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BEA47">
      <w:pPr>
        <w:spacing w:line="360" w:lineRule="auto"/>
        <w:jc w:val="right"/>
        <w:rPr>
          <w:rFonts w:ascii="宋体" w:hAnsi="宋体"/>
          <w:b/>
          <w:szCs w:val="21"/>
        </w:rPr>
      </w:pPr>
      <w:r>
        <w:rPr>
          <w:rFonts w:ascii="宋体" w:hAnsi="宋体"/>
          <w:bCs/>
          <w:sz w:val="28"/>
          <w:szCs w:val="28"/>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882650" cy="854710"/>
                    </a:xfrm>
                    <a:prstGeom prst="rect">
                      <a:avLst/>
                    </a:prstGeom>
                    <a:ln>
                      <a:noFill/>
                    </a:ln>
                  </pic:spPr>
                </pic:pic>
              </a:graphicData>
            </a:graphic>
          </wp:inline>
        </w:drawing>
      </w:r>
    </w:p>
    <w:p w14:paraId="5AF0EEE3">
      <w:pPr>
        <w:spacing w:line="360" w:lineRule="auto"/>
        <w:rPr>
          <w:rFonts w:ascii="宋体" w:hAnsi="宋体"/>
          <w:b/>
          <w:szCs w:val="21"/>
        </w:rPr>
      </w:pPr>
    </w:p>
    <w:p w14:paraId="581FE2CB">
      <w:pPr>
        <w:spacing w:line="360" w:lineRule="auto"/>
        <w:rPr>
          <w:rFonts w:ascii="宋体" w:hAnsi="宋体"/>
          <w:b/>
          <w:szCs w:val="21"/>
        </w:rPr>
      </w:pPr>
    </w:p>
    <w:p w14:paraId="30EFCC3B">
      <w:pPr>
        <w:spacing w:line="360" w:lineRule="auto"/>
        <w:rPr>
          <w:rFonts w:ascii="宋体" w:hAnsi="宋体"/>
          <w:b/>
          <w:szCs w:val="21"/>
        </w:rPr>
      </w:pPr>
    </w:p>
    <w:p w14:paraId="4C36C2D0">
      <w:pPr>
        <w:tabs>
          <w:tab w:val="left" w:pos="420"/>
          <w:tab w:val="center" w:pos="4933"/>
          <w:tab w:val="left" w:pos="6660"/>
          <w:tab w:val="left" w:pos="7829"/>
        </w:tabs>
        <w:spacing w:line="360" w:lineRule="auto"/>
        <w:jc w:val="left"/>
        <w:rPr>
          <w:rFonts w:ascii="宋体" w:hAnsi="宋体"/>
          <w:b/>
          <w:sz w:val="52"/>
          <w:szCs w:val="52"/>
        </w:rPr>
      </w:pPr>
      <w:r>
        <w:rPr>
          <w:rFonts w:hint="eastAsia" w:ascii="宋体" w:hAnsi="宋体"/>
          <w:b/>
          <w:sz w:val="52"/>
          <w:szCs w:val="52"/>
        </w:rPr>
        <w:tab/>
      </w:r>
      <w:r>
        <w:rPr>
          <w:rFonts w:hint="eastAsia" w:ascii="宋体" w:hAnsi="宋体"/>
          <w:b/>
          <w:sz w:val="52"/>
          <w:szCs w:val="52"/>
        </w:rPr>
        <w:tab/>
      </w:r>
      <w:r>
        <w:rPr>
          <w:rFonts w:hint="eastAsia" w:ascii="宋体" w:hAnsi="宋体"/>
          <w:b/>
          <w:sz w:val="52"/>
          <w:szCs w:val="52"/>
        </w:rPr>
        <w:t>竞争性磋商文件</w:t>
      </w:r>
      <w:r>
        <w:rPr>
          <w:rFonts w:hint="eastAsia" w:ascii="宋体" w:hAnsi="宋体"/>
          <w:b/>
          <w:sz w:val="52"/>
          <w:szCs w:val="52"/>
        </w:rPr>
        <w:tab/>
      </w:r>
    </w:p>
    <w:p w14:paraId="01D23D28">
      <w:pPr>
        <w:spacing w:line="360" w:lineRule="auto"/>
        <w:rPr>
          <w:rFonts w:ascii="宋体" w:hAnsi="宋体"/>
          <w:bCs/>
          <w:szCs w:val="21"/>
        </w:rPr>
      </w:pPr>
    </w:p>
    <w:p w14:paraId="19548071">
      <w:pPr>
        <w:spacing w:line="360" w:lineRule="auto"/>
        <w:jc w:val="center"/>
        <w:rPr>
          <w:rFonts w:ascii="宋体" w:hAnsi="宋体"/>
          <w:bCs/>
          <w:szCs w:val="21"/>
        </w:rPr>
      </w:pPr>
    </w:p>
    <w:p w14:paraId="1F0C2613">
      <w:pPr>
        <w:spacing w:line="360" w:lineRule="auto"/>
        <w:jc w:val="center"/>
        <w:rPr>
          <w:rFonts w:ascii="宋体" w:hAnsi="宋体"/>
          <w:bCs/>
          <w:szCs w:val="21"/>
        </w:rPr>
      </w:pPr>
    </w:p>
    <w:p w14:paraId="4483FFB6">
      <w:pPr>
        <w:spacing w:line="360" w:lineRule="auto"/>
        <w:jc w:val="center"/>
        <w:rPr>
          <w:rFonts w:ascii="宋体" w:hAnsi="宋体"/>
          <w:bCs/>
          <w:szCs w:val="21"/>
        </w:rPr>
      </w:pPr>
    </w:p>
    <w:p w14:paraId="45E1B2B9">
      <w:pPr>
        <w:spacing w:line="360" w:lineRule="auto"/>
        <w:jc w:val="center"/>
        <w:rPr>
          <w:rFonts w:ascii="宋体" w:hAnsi="宋体"/>
          <w:b/>
          <w:bCs/>
          <w:sz w:val="28"/>
          <w:szCs w:val="28"/>
        </w:rPr>
      </w:pPr>
      <w:r>
        <w:rPr>
          <w:rFonts w:hint="eastAsia" w:ascii="宋体" w:hAnsi="宋体"/>
          <w:b/>
          <w:bCs/>
          <w:sz w:val="28"/>
          <w:szCs w:val="28"/>
        </w:rPr>
        <w:t>采购项目编号：</w:t>
      </w:r>
      <w:r>
        <w:rPr>
          <w:rFonts w:hint="eastAsia" w:ascii="宋体" w:hAnsi="宋体"/>
          <w:b/>
          <w:bCs/>
          <w:sz w:val="28"/>
          <w:szCs w:val="28"/>
          <w:u w:val="single"/>
        </w:rPr>
        <w:fldChar w:fldCharType="begin"/>
      </w:r>
      <w:r>
        <w:rPr>
          <w:rFonts w:hint="eastAsia" w:ascii="宋体" w:hAnsi="宋体"/>
          <w:b/>
          <w:bCs/>
          <w:sz w:val="28"/>
          <w:szCs w:val="28"/>
          <w:u w:val="single"/>
        </w:rPr>
        <w:instrText xml:space="preserve"> MERGEFIELD "（项目编号）" </w:instrText>
      </w:r>
      <w:r>
        <w:rPr>
          <w:rFonts w:hint="eastAsia" w:ascii="宋体" w:hAnsi="宋体"/>
          <w:b/>
          <w:bCs/>
          <w:sz w:val="28"/>
          <w:szCs w:val="28"/>
          <w:u w:val="single"/>
        </w:rPr>
        <w:fldChar w:fldCharType="separate"/>
      </w:r>
      <w:r>
        <w:rPr>
          <w:rFonts w:hint="eastAsia" w:ascii="宋体" w:hAnsi="宋体"/>
          <w:b/>
          <w:bCs/>
          <w:sz w:val="28"/>
          <w:szCs w:val="28"/>
          <w:u w:val="single"/>
          <w:lang w:eastAsia="zh-CN"/>
        </w:rPr>
        <w:t>DQA-2025069-CS</w:t>
      </w:r>
      <w:r>
        <w:rPr>
          <w:rFonts w:hint="eastAsia" w:ascii="宋体" w:hAnsi="宋体"/>
          <w:b/>
          <w:bCs/>
          <w:sz w:val="28"/>
          <w:szCs w:val="28"/>
          <w:u w:val="single"/>
        </w:rPr>
        <w:fldChar w:fldCharType="end"/>
      </w:r>
      <w:r>
        <w:rPr>
          <w:rFonts w:hint="eastAsia" w:ascii="宋体" w:hAnsi="宋体"/>
          <w:b/>
          <w:bCs/>
          <w:sz w:val="28"/>
          <w:szCs w:val="28"/>
        </w:rPr>
        <w:fldChar w:fldCharType="begin"/>
      </w:r>
      <w:r>
        <w:rPr>
          <w:rFonts w:hint="eastAsia" w:ascii="宋体" w:hAnsi="宋体"/>
          <w:b/>
          <w:bCs/>
          <w:sz w:val="28"/>
          <w:szCs w:val="28"/>
        </w:rPr>
        <w:instrText xml:space="preserve"> DOCVARIABLE  采购编号  \* MERGEFORMAT </w:instrText>
      </w:r>
      <w:r>
        <w:rPr>
          <w:rFonts w:hint="eastAsia" w:ascii="宋体" w:hAnsi="宋体"/>
          <w:b/>
          <w:bCs/>
          <w:sz w:val="28"/>
          <w:szCs w:val="28"/>
        </w:rPr>
        <w:fldChar w:fldCharType="end"/>
      </w:r>
    </w:p>
    <w:p w14:paraId="31655C75">
      <w:pPr>
        <w:spacing w:line="360" w:lineRule="auto"/>
        <w:jc w:val="center"/>
        <w:rPr>
          <w:rFonts w:ascii="宋体" w:hAnsi="宋体"/>
          <w:b/>
          <w:sz w:val="30"/>
          <w:szCs w:val="30"/>
          <w:u w:val="single"/>
        </w:rPr>
      </w:pPr>
      <w:r>
        <w:rPr>
          <w:rFonts w:hint="eastAsia" w:ascii="宋体" w:hAnsi="宋体"/>
          <w:b/>
          <w:bCs/>
          <w:sz w:val="28"/>
          <w:szCs w:val="28"/>
        </w:rPr>
        <w:t>采购项目名称：</w:t>
      </w:r>
      <w:r>
        <w:rPr>
          <w:rFonts w:hint="eastAsia" w:ascii="宋体" w:hAnsi="宋体"/>
          <w:b/>
          <w:bCs/>
          <w:sz w:val="28"/>
          <w:szCs w:val="28"/>
          <w:u w:val="single"/>
        </w:rPr>
        <w:fldChar w:fldCharType="begin"/>
      </w:r>
      <w:r>
        <w:rPr>
          <w:rFonts w:hint="eastAsia" w:ascii="宋体" w:hAnsi="宋体"/>
          <w:b/>
          <w:bCs/>
          <w:sz w:val="28"/>
          <w:szCs w:val="28"/>
          <w:u w:val="single"/>
        </w:rPr>
        <w:instrText xml:space="preserve"> MERGEFIELD "（项目名称）" </w:instrText>
      </w:r>
      <w:r>
        <w:rPr>
          <w:rFonts w:hint="eastAsia" w:ascii="宋体" w:hAnsi="宋体"/>
          <w:b/>
          <w:bCs/>
          <w:sz w:val="28"/>
          <w:szCs w:val="28"/>
          <w:u w:val="single"/>
        </w:rPr>
        <w:fldChar w:fldCharType="separate"/>
      </w:r>
      <w:r>
        <w:rPr>
          <w:rFonts w:hint="eastAsia" w:ascii="宋体" w:hAnsi="宋体"/>
          <w:b/>
          <w:bCs/>
          <w:sz w:val="28"/>
          <w:szCs w:val="28"/>
          <w:u w:val="single"/>
          <w:lang w:eastAsia="zh-CN"/>
        </w:rPr>
        <w:t>省级信息安全系统运维项目采购</w:t>
      </w:r>
      <w:r>
        <w:rPr>
          <w:rFonts w:hint="eastAsia" w:ascii="宋体" w:hAnsi="宋体"/>
          <w:b/>
          <w:bCs/>
          <w:sz w:val="28"/>
          <w:szCs w:val="28"/>
          <w:u w:val="single"/>
        </w:rPr>
        <w:fldChar w:fldCharType="end"/>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14:paraId="17A1512D">
      <w:pPr>
        <w:spacing w:line="360" w:lineRule="auto"/>
        <w:jc w:val="center"/>
        <w:rPr>
          <w:rFonts w:ascii="宋体" w:hAnsi="宋体"/>
          <w:b/>
          <w:bCs/>
          <w:szCs w:val="21"/>
        </w:rPr>
      </w:pPr>
    </w:p>
    <w:p w14:paraId="40EFC360">
      <w:pPr>
        <w:spacing w:line="360" w:lineRule="auto"/>
        <w:jc w:val="center"/>
        <w:rPr>
          <w:rFonts w:ascii="宋体" w:hAnsi="宋体"/>
          <w:b/>
          <w:bCs/>
          <w:szCs w:val="21"/>
        </w:rPr>
      </w:pPr>
    </w:p>
    <w:p w14:paraId="10DE08F2">
      <w:pPr>
        <w:spacing w:line="360" w:lineRule="auto"/>
        <w:jc w:val="center"/>
        <w:rPr>
          <w:rFonts w:ascii="宋体" w:hAnsi="宋体"/>
          <w:b/>
          <w:bCs/>
          <w:szCs w:val="21"/>
        </w:rPr>
      </w:pPr>
    </w:p>
    <w:p w14:paraId="14975D44">
      <w:pPr>
        <w:spacing w:line="360" w:lineRule="auto"/>
        <w:jc w:val="center"/>
        <w:rPr>
          <w:rFonts w:ascii="宋体" w:hAnsi="宋体"/>
          <w:b/>
          <w:bCs/>
          <w:szCs w:val="21"/>
        </w:rPr>
      </w:pPr>
    </w:p>
    <w:p w14:paraId="6FC5F0D1">
      <w:pPr>
        <w:spacing w:line="360" w:lineRule="auto"/>
        <w:jc w:val="center"/>
        <w:rPr>
          <w:rFonts w:ascii="宋体" w:hAnsi="宋体"/>
          <w:b/>
          <w:bCs/>
          <w:szCs w:val="21"/>
        </w:rPr>
      </w:pPr>
    </w:p>
    <w:p w14:paraId="555CA178">
      <w:pPr>
        <w:spacing w:line="360" w:lineRule="auto"/>
        <w:jc w:val="center"/>
        <w:rPr>
          <w:rFonts w:ascii="宋体" w:hAnsi="宋体"/>
          <w:b/>
          <w:bCs/>
          <w:sz w:val="30"/>
          <w:szCs w:val="30"/>
        </w:rPr>
      </w:pPr>
    </w:p>
    <w:p w14:paraId="7F0D324F">
      <w:pPr>
        <w:spacing w:line="360" w:lineRule="auto"/>
        <w:jc w:val="center"/>
        <w:rPr>
          <w:rFonts w:ascii="宋体" w:hAnsi="宋体"/>
          <w:b/>
          <w:bCs/>
          <w:szCs w:val="21"/>
        </w:rPr>
      </w:pPr>
    </w:p>
    <w:p w14:paraId="6E37E25B">
      <w:pPr>
        <w:spacing w:line="360" w:lineRule="auto"/>
        <w:jc w:val="center"/>
        <w:rPr>
          <w:rFonts w:ascii="宋体" w:hAnsi="宋体"/>
          <w:b/>
          <w:bCs/>
          <w:szCs w:val="21"/>
        </w:rPr>
      </w:pPr>
    </w:p>
    <w:p w14:paraId="0707FD0D">
      <w:pPr>
        <w:spacing w:line="360" w:lineRule="auto"/>
        <w:jc w:val="center"/>
        <w:rPr>
          <w:rFonts w:ascii="宋体" w:hAnsi="宋体"/>
          <w:b/>
          <w:bCs/>
          <w:szCs w:val="21"/>
        </w:rPr>
      </w:pPr>
    </w:p>
    <w:p w14:paraId="10D3B121">
      <w:pPr>
        <w:spacing w:line="360" w:lineRule="auto"/>
        <w:jc w:val="center"/>
        <w:rPr>
          <w:rFonts w:ascii="宋体" w:hAnsi="宋体"/>
          <w:b/>
          <w:bCs/>
          <w:szCs w:val="21"/>
        </w:rPr>
      </w:pPr>
    </w:p>
    <w:p w14:paraId="7196A690">
      <w:pPr>
        <w:spacing w:line="360" w:lineRule="auto"/>
        <w:jc w:val="center"/>
        <w:rPr>
          <w:rFonts w:ascii="宋体" w:hAnsi="宋体"/>
          <w:b/>
          <w:bCs/>
          <w:szCs w:val="21"/>
        </w:rPr>
      </w:pPr>
    </w:p>
    <w:p w14:paraId="4ED8C3BC">
      <w:pPr>
        <w:spacing w:line="360" w:lineRule="auto"/>
        <w:jc w:val="center"/>
        <w:rPr>
          <w:rFonts w:ascii="宋体" w:hAnsi="宋体"/>
          <w:b/>
          <w:bCs/>
          <w:sz w:val="24"/>
          <w:highlight w:val="none"/>
        </w:rPr>
      </w:pPr>
      <w:r>
        <w:rPr>
          <w:rFonts w:hint="eastAsia" w:ascii="宋体" w:hAnsi="宋体"/>
          <w:b/>
          <w:bCs/>
          <w:sz w:val="24"/>
          <w:highlight w:val="none"/>
        </w:rPr>
        <w:t>陕西德勤招标有限公司编制</w:t>
      </w:r>
    </w:p>
    <w:p w14:paraId="21B5A996">
      <w:pPr>
        <w:spacing w:line="360" w:lineRule="auto"/>
        <w:jc w:val="center"/>
        <w:rPr>
          <w:rFonts w:ascii="宋体" w:hAnsi="宋体"/>
          <w:b/>
          <w:bCs/>
          <w:sz w:val="24"/>
          <w:highlight w:val="none"/>
        </w:rPr>
      </w:pPr>
      <w:r>
        <w:rPr>
          <w:rFonts w:hint="eastAsia" w:ascii="宋体" w:hAnsi="宋体"/>
          <w:b/>
          <w:bCs/>
          <w:sz w:val="24"/>
          <w:highlight w:val="none"/>
        </w:rPr>
        <w:t>发布日期：202</w:t>
      </w:r>
      <w:r>
        <w:rPr>
          <w:rFonts w:hint="eastAsia" w:ascii="宋体" w:hAnsi="宋体"/>
          <w:b/>
          <w:bCs/>
          <w:sz w:val="24"/>
          <w:highlight w:val="none"/>
          <w:lang w:val="en-US" w:eastAsia="zh-CN"/>
        </w:rPr>
        <w:t>5</w:t>
      </w:r>
      <w:r>
        <w:rPr>
          <w:rFonts w:hint="eastAsia" w:ascii="宋体" w:hAnsi="宋体"/>
          <w:b/>
          <w:bCs/>
          <w:sz w:val="24"/>
          <w:highlight w:val="none"/>
        </w:rPr>
        <w:t>年</w:t>
      </w:r>
      <w:r>
        <w:rPr>
          <w:rFonts w:hint="eastAsia" w:ascii="宋体" w:hAnsi="宋体"/>
          <w:b/>
          <w:bCs/>
          <w:sz w:val="24"/>
          <w:highlight w:val="none"/>
          <w:lang w:val="en-US" w:eastAsia="zh-CN"/>
        </w:rPr>
        <w:t>00</w:t>
      </w:r>
      <w:r>
        <w:rPr>
          <w:rFonts w:hint="eastAsia" w:ascii="宋体" w:hAnsi="宋体"/>
          <w:b/>
          <w:bCs/>
          <w:sz w:val="24"/>
          <w:highlight w:val="none"/>
        </w:rPr>
        <w:t>月</w:t>
      </w:r>
      <w:r>
        <w:rPr>
          <w:rFonts w:hint="eastAsia" w:ascii="宋体" w:hAnsi="宋体"/>
          <w:b/>
          <w:bCs/>
          <w:sz w:val="24"/>
          <w:highlight w:val="none"/>
          <w:lang w:val="en-US" w:eastAsia="zh-CN"/>
        </w:rPr>
        <w:t>00</w:t>
      </w:r>
      <w:r>
        <w:rPr>
          <w:rFonts w:hint="eastAsia" w:ascii="宋体" w:hAnsi="宋体"/>
          <w:b/>
          <w:bCs/>
          <w:sz w:val="24"/>
          <w:highlight w:val="none"/>
        </w:rPr>
        <w:t>日</w:t>
      </w:r>
    </w:p>
    <w:p w14:paraId="5E1D17BE">
      <w:pPr>
        <w:spacing w:line="360" w:lineRule="auto"/>
        <w:jc w:val="center"/>
        <w:rPr>
          <w:rFonts w:ascii="宋体" w:hAnsi="宋体"/>
          <w:b/>
          <w:bCs/>
          <w:sz w:val="24"/>
        </w:rPr>
      </w:pPr>
      <w:r>
        <w:rPr>
          <w:rFonts w:hint="eastAsia" w:ascii="宋体" w:hAnsi="宋体"/>
          <w:b/>
          <w:bCs/>
          <w:sz w:val="24"/>
        </w:rPr>
        <w:br w:type="page"/>
      </w:r>
    </w:p>
    <w:p w14:paraId="3099805B">
      <w:pPr>
        <w:spacing w:line="360" w:lineRule="auto"/>
        <w:jc w:val="center"/>
        <w:rPr>
          <w:rFonts w:ascii="黑体" w:hAnsi="黑体" w:eastAsia="黑体" w:cs="黑体"/>
          <w:b/>
          <w:bCs/>
          <w:sz w:val="32"/>
          <w:szCs w:val="32"/>
        </w:rPr>
      </w:pPr>
      <w:bookmarkStart w:id="0" w:name="_Toc14384"/>
      <w:bookmarkStart w:id="1" w:name="_Toc28776"/>
      <w:r>
        <w:rPr>
          <w:rFonts w:hint="eastAsia" w:ascii="黑体" w:hAnsi="黑体" w:eastAsia="黑体" w:cs="黑体"/>
          <w:b/>
          <w:bCs/>
          <w:sz w:val="32"/>
          <w:szCs w:val="32"/>
        </w:rPr>
        <w:t>温馨提示</w:t>
      </w:r>
    </w:p>
    <w:p w14:paraId="2D1E1304">
      <w:pPr>
        <w:spacing w:line="360" w:lineRule="auto"/>
        <w:jc w:val="center"/>
        <w:rPr>
          <w:rFonts w:ascii="宋体" w:hAnsi="宋体"/>
          <w:kern w:val="0"/>
          <w:sz w:val="24"/>
        </w:rPr>
      </w:pPr>
      <w:r>
        <w:rPr>
          <w:rFonts w:hint="eastAsia" w:ascii="宋体" w:hAnsi="宋体"/>
          <w:kern w:val="0"/>
          <w:sz w:val="24"/>
        </w:rPr>
        <w:t>（本提示内容非采购文件的组成部分，仅为善意提醒。如有不一致，以采购文件为准）。</w:t>
      </w:r>
    </w:p>
    <w:p w14:paraId="1D38EE94">
      <w:pPr>
        <w:widowControl/>
        <w:spacing w:line="360" w:lineRule="auto"/>
        <w:ind w:firstLine="480" w:firstLineChars="200"/>
        <w:jc w:val="left"/>
        <w:rPr>
          <w:rFonts w:ascii="宋体" w:hAnsi="宋体"/>
          <w:kern w:val="0"/>
          <w:sz w:val="24"/>
        </w:rPr>
      </w:pPr>
      <w:r>
        <w:rPr>
          <w:rFonts w:hint="eastAsia" w:ascii="宋体" w:hAnsi="宋体"/>
          <w:kern w:val="0"/>
          <w:sz w:val="24"/>
        </w:rPr>
        <w:t>一、如无另行说明，投标/响应文件递交时间为投标/响应文件递交截止时间之前60分钟内。</w:t>
      </w:r>
    </w:p>
    <w:p w14:paraId="2AB71618">
      <w:pPr>
        <w:widowControl/>
        <w:spacing w:line="360" w:lineRule="auto"/>
        <w:ind w:firstLine="480" w:firstLineChars="200"/>
        <w:jc w:val="left"/>
        <w:rPr>
          <w:rFonts w:ascii="宋体" w:hAnsi="宋体"/>
          <w:kern w:val="0"/>
          <w:sz w:val="24"/>
        </w:rPr>
      </w:pPr>
      <w:r>
        <w:rPr>
          <w:rFonts w:hint="eastAsia" w:ascii="宋体" w:hAnsi="宋体"/>
          <w:kern w:val="0"/>
          <w:sz w:val="24"/>
        </w:rPr>
        <w:t>二、每个供应商每个项目的保证金缴纳账户是唯一的，本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7DC44559">
      <w:pPr>
        <w:widowControl/>
        <w:spacing w:line="360" w:lineRule="auto"/>
        <w:ind w:firstLine="480" w:firstLineChars="200"/>
        <w:jc w:val="left"/>
        <w:rPr>
          <w:rFonts w:ascii="宋体" w:hAnsi="宋体"/>
          <w:kern w:val="0"/>
          <w:sz w:val="24"/>
        </w:rPr>
      </w:pPr>
      <w:r>
        <w:rPr>
          <w:rFonts w:hint="eastAsia" w:ascii="宋体" w:hAnsi="宋体"/>
          <w:kern w:val="0"/>
          <w:sz w:val="24"/>
        </w:rPr>
        <w:t>三、为了提高政府采购效率，节约社会交易成本与时间，本公司希望购买了采购文件而决定不参加本次投标/响应的供应商，在投标/响应文件递交截止时间的3日前，按《投标/磋商邀请函》中的联系方式，以电话或电子邮件形式告知本公司。对您的支持与配合，谨此致谢。</w:t>
      </w:r>
    </w:p>
    <w:p w14:paraId="3D9DF68D">
      <w:pPr>
        <w:widowControl/>
        <w:spacing w:line="360" w:lineRule="auto"/>
        <w:ind w:firstLine="480" w:firstLineChars="200"/>
        <w:jc w:val="left"/>
        <w:rPr>
          <w:rFonts w:ascii="宋体" w:hAnsi="宋体"/>
          <w:kern w:val="0"/>
          <w:sz w:val="24"/>
        </w:rPr>
      </w:pPr>
      <w:r>
        <w:rPr>
          <w:rFonts w:hint="eastAsia" w:ascii="宋体" w:hAnsi="宋体"/>
          <w:kern w:val="0"/>
          <w:sz w:val="24"/>
        </w:rPr>
        <w:t>四</w:t>
      </w:r>
      <w:r>
        <w:rPr>
          <w:rFonts w:ascii="宋体" w:hAnsi="宋体"/>
          <w:kern w:val="0"/>
          <w:sz w:val="24"/>
        </w:rPr>
        <w:t>、</w:t>
      </w:r>
      <w:r>
        <w:rPr>
          <w:rFonts w:hint="eastAsia" w:ascii="宋体" w:hAnsi="宋体"/>
          <w:kern w:val="0"/>
          <w:sz w:val="24"/>
        </w:rPr>
        <w:t>供应商如需对项目提出询问或质疑，应按采购文件中要求的询问函和质疑函的格式提交。</w:t>
      </w:r>
    </w:p>
    <w:p w14:paraId="7363A7E0">
      <w:pPr>
        <w:widowControl/>
        <w:spacing w:line="360" w:lineRule="auto"/>
        <w:ind w:firstLine="480" w:firstLineChars="200"/>
        <w:jc w:val="left"/>
        <w:rPr>
          <w:rFonts w:ascii="宋体" w:hAnsi="宋体"/>
          <w:kern w:val="0"/>
          <w:sz w:val="24"/>
        </w:rPr>
      </w:pPr>
      <w:r>
        <w:rPr>
          <w:rFonts w:hint="eastAsia" w:ascii="宋体" w:hAnsi="宋体"/>
          <w:kern w:val="0"/>
          <w:sz w:val="24"/>
        </w:rPr>
        <w:t>五、</w:t>
      </w:r>
      <w:r>
        <w:rPr>
          <w:rStyle w:val="33"/>
          <w:rFonts w:hint="eastAsia" w:ascii="宋体" w:hAnsi="宋体"/>
          <w:color w:val="auto"/>
          <w:kern w:val="0"/>
          <w:sz w:val="24"/>
          <w:lang w:bidi="ar"/>
        </w:rPr>
        <w:t>若遇高峰期停车困难，可至公司周边停车场停车，如绿地SOHO同盟、旺都、绿地领海、绿地蓝海及其他对外营业的停车场等。</w:t>
      </w:r>
    </w:p>
    <w:p w14:paraId="28C790C9">
      <w:pPr>
        <w:widowControl/>
        <w:spacing w:line="360" w:lineRule="auto"/>
        <w:ind w:firstLine="480" w:firstLineChars="200"/>
        <w:jc w:val="left"/>
        <w:rPr>
          <w:rStyle w:val="33"/>
          <w:rFonts w:ascii="宋体" w:hAnsi="宋体"/>
          <w:color w:val="auto"/>
          <w:kern w:val="0"/>
          <w:sz w:val="24"/>
          <w:lang w:bidi="ar"/>
        </w:rPr>
      </w:pPr>
      <w:r>
        <w:rPr>
          <w:rStyle w:val="33"/>
          <w:rFonts w:hint="eastAsia" w:ascii="宋体" w:hAnsi="宋体"/>
          <w:color w:val="auto"/>
          <w:kern w:val="0"/>
          <w:sz w:val="24"/>
          <w:lang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14:paraId="1FA128A4">
      <w:pPr>
        <w:pStyle w:val="20"/>
        <w:tabs>
          <w:tab w:val="right" w:leader="dot" w:pos="9747"/>
        </w:tabs>
        <w:spacing w:before="120" w:after="120" w:line="360" w:lineRule="auto"/>
        <w:jc w:val="center"/>
        <w:rPr>
          <w:rFonts w:ascii="黑体" w:hAnsi="黑体" w:eastAsia="黑体" w:cs="黑体"/>
          <w:b/>
          <w:bCs/>
          <w:szCs w:val="30"/>
        </w:rPr>
      </w:pPr>
      <w:r>
        <w:rPr>
          <w:rStyle w:val="45"/>
          <w:rFonts w:hint="eastAsia" w:ascii="黑体" w:hAnsi="黑体" w:eastAsia="黑体" w:cs="黑体"/>
          <w:sz w:val="32"/>
          <w:szCs w:val="32"/>
        </w:rPr>
        <w:br w:type="page"/>
      </w:r>
      <w:r>
        <w:rPr>
          <w:rFonts w:hint="eastAsia" w:ascii="黑体" w:hAnsi="黑体" w:eastAsia="黑体" w:cs="黑体"/>
          <w:b/>
          <w:bCs/>
          <w:sz w:val="32"/>
          <w:szCs w:val="32"/>
        </w:rPr>
        <w:t>目  录</w:t>
      </w:r>
      <w:bookmarkEnd w:id="0"/>
      <w:bookmarkEnd w:id="1"/>
      <w:r>
        <w:rPr>
          <w:rFonts w:hint="eastAsia" w:ascii="黑体" w:hAnsi="黑体" w:eastAsia="黑体" w:cs="黑体"/>
          <w:b/>
          <w:bCs/>
          <w:szCs w:val="30"/>
        </w:rPr>
        <w:fldChar w:fldCharType="begin"/>
      </w:r>
      <w:r>
        <w:rPr>
          <w:rFonts w:hint="eastAsia" w:ascii="黑体" w:hAnsi="黑体" w:eastAsia="黑体" w:cs="黑体"/>
          <w:b/>
          <w:bCs/>
          <w:szCs w:val="30"/>
        </w:rPr>
        <w:instrText xml:space="preserve">TOC \o "1-3" \h \u </w:instrText>
      </w:r>
      <w:r>
        <w:rPr>
          <w:rFonts w:hint="eastAsia" w:ascii="黑体" w:hAnsi="黑体" w:eastAsia="黑体" w:cs="黑体"/>
          <w:b/>
          <w:bCs/>
          <w:szCs w:val="30"/>
        </w:rPr>
        <w:fldChar w:fldCharType="separate"/>
      </w:r>
    </w:p>
    <w:p w14:paraId="2F81DA56">
      <w:pPr>
        <w:pStyle w:val="20"/>
        <w:tabs>
          <w:tab w:val="right" w:leader="dot" w:pos="9746"/>
        </w:tabs>
        <w:rPr>
          <w:rFonts w:ascii="黑体" w:hAnsi="黑体" w:eastAsia="黑体" w:cs="黑体"/>
          <w:b/>
          <w:bCs/>
        </w:rPr>
      </w:pPr>
      <w:r>
        <w:fldChar w:fldCharType="begin"/>
      </w:r>
      <w:r>
        <w:instrText xml:space="preserve"> HYPERLINK \l "_Toc23574" </w:instrText>
      </w:r>
      <w:r>
        <w:fldChar w:fldCharType="separate"/>
      </w:r>
      <w:r>
        <w:rPr>
          <w:rFonts w:hint="eastAsia" w:ascii="黑体" w:hAnsi="黑体" w:eastAsia="黑体" w:cs="黑体"/>
          <w:b/>
          <w:bCs/>
          <w:szCs w:val="32"/>
        </w:rPr>
        <w:t>第一部分 磋商邀请</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_Toc23574 \h </w:instrText>
      </w:r>
      <w:r>
        <w:rPr>
          <w:rFonts w:hint="eastAsia" w:ascii="黑体" w:hAnsi="黑体" w:eastAsia="黑体" w:cs="黑体"/>
          <w:b/>
          <w:bCs/>
        </w:rPr>
        <w:fldChar w:fldCharType="separate"/>
      </w:r>
      <w:r>
        <w:rPr>
          <w:rFonts w:hint="eastAsia" w:ascii="黑体" w:hAnsi="黑体" w:eastAsia="黑体" w:cs="黑体"/>
          <w:b/>
          <w:bCs/>
        </w:rPr>
        <w:t>5</w:t>
      </w:r>
      <w:r>
        <w:rPr>
          <w:rFonts w:hint="eastAsia" w:ascii="黑体" w:hAnsi="黑体" w:eastAsia="黑体" w:cs="黑体"/>
          <w:b/>
          <w:bCs/>
        </w:rPr>
        <w:fldChar w:fldCharType="end"/>
      </w:r>
      <w:r>
        <w:rPr>
          <w:rFonts w:hint="eastAsia" w:ascii="黑体" w:hAnsi="黑体" w:eastAsia="黑体" w:cs="黑体"/>
          <w:b/>
          <w:bCs/>
        </w:rPr>
        <w:fldChar w:fldCharType="end"/>
      </w:r>
    </w:p>
    <w:p w14:paraId="4B38AA69">
      <w:pPr>
        <w:pStyle w:val="20"/>
        <w:tabs>
          <w:tab w:val="right" w:leader="dot" w:pos="9746"/>
        </w:tabs>
        <w:rPr>
          <w:rFonts w:ascii="黑体" w:hAnsi="黑体" w:eastAsia="黑体" w:cs="黑体"/>
          <w:b/>
          <w:bCs/>
        </w:rPr>
      </w:pPr>
      <w:r>
        <w:fldChar w:fldCharType="begin"/>
      </w:r>
      <w:r>
        <w:instrText xml:space="preserve"> HYPERLINK \l "_Toc5051" </w:instrText>
      </w:r>
      <w:r>
        <w:fldChar w:fldCharType="separate"/>
      </w:r>
      <w:r>
        <w:rPr>
          <w:rFonts w:hint="eastAsia" w:ascii="黑体" w:hAnsi="黑体" w:eastAsia="黑体" w:cs="黑体"/>
          <w:b/>
          <w:bCs/>
          <w:szCs w:val="32"/>
        </w:rPr>
        <w:t>第二部分 用户需求书</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_Toc5051 \h </w:instrText>
      </w:r>
      <w:r>
        <w:rPr>
          <w:rFonts w:hint="eastAsia" w:ascii="黑体" w:hAnsi="黑体" w:eastAsia="黑体" w:cs="黑体"/>
          <w:b/>
          <w:bCs/>
        </w:rPr>
        <w:fldChar w:fldCharType="separate"/>
      </w:r>
      <w:r>
        <w:rPr>
          <w:rFonts w:hint="eastAsia" w:ascii="黑体" w:hAnsi="黑体" w:eastAsia="黑体" w:cs="黑体"/>
          <w:b/>
          <w:bCs/>
        </w:rPr>
        <w:t>10</w:t>
      </w:r>
      <w:r>
        <w:rPr>
          <w:rFonts w:hint="eastAsia" w:ascii="黑体" w:hAnsi="黑体" w:eastAsia="黑体" w:cs="黑体"/>
          <w:b/>
          <w:bCs/>
        </w:rPr>
        <w:fldChar w:fldCharType="end"/>
      </w:r>
      <w:r>
        <w:rPr>
          <w:rFonts w:hint="eastAsia" w:ascii="黑体" w:hAnsi="黑体" w:eastAsia="黑体" w:cs="黑体"/>
          <w:b/>
          <w:bCs/>
        </w:rPr>
        <w:fldChar w:fldCharType="end"/>
      </w:r>
    </w:p>
    <w:p w14:paraId="58F1D1DE">
      <w:pPr>
        <w:pStyle w:val="20"/>
        <w:tabs>
          <w:tab w:val="right" w:leader="dot" w:pos="9746"/>
        </w:tabs>
        <w:rPr>
          <w:rFonts w:ascii="黑体" w:hAnsi="黑体" w:eastAsia="黑体" w:cs="黑体"/>
          <w:b/>
          <w:bCs/>
        </w:rPr>
      </w:pPr>
      <w:r>
        <w:fldChar w:fldCharType="begin"/>
      </w:r>
      <w:r>
        <w:instrText xml:space="preserve"> HYPERLINK \l "_Toc28798" </w:instrText>
      </w:r>
      <w:r>
        <w:fldChar w:fldCharType="separate"/>
      </w:r>
      <w:r>
        <w:rPr>
          <w:rFonts w:hint="eastAsia" w:ascii="黑体" w:hAnsi="黑体" w:eastAsia="黑体" w:cs="黑体"/>
          <w:b/>
          <w:bCs/>
          <w:szCs w:val="32"/>
        </w:rPr>
        <w:t>第三部分 供应商须知</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_Toc28798 \h </w:instrText>
      </w:r>
      <w:r>
        <w:rPr>
          <w:rFonts w:hint="eastAsia" w:ascii="黑体" w:hAnsi="黑体" w:eastAsia="黑体" w:cs="黑体"/>
          <w:b/>
          <w:bCs/>
        </w:rPr>
        <w:fldChar w:fldCharType="separate"/>
      </w:r>
      <w:r>
        <w:rPr>
          <w:rFonts w:hint="eastAsia" w:ascii="黑体" w:hAnsi="黑体" w:eastAsia="黑体" w:cs="黑体"/>
          <w:b/>
          <w:bCs/>
        </w:rPr>
        <w:t>13</w:t>
      </w:r>
      <w:r>
        <w:rPr>
          <w:rFonts w:hint="eastAsia" w:ascii="黑体" w:hAnsi="黑体" w:eastAsia="黑体" w:cs="黑体"/>
          <w:b/>
          <w:bCs/>
        </w:rPr>
        <w:fldChar w:fldCharType="end"/>
      </w:r>
      <w:r>
        <w:rPr>
          <w:rFonts w:hint="eastAsia" w:ascii="黑体" w:hAnsi="黑体" w:eastAsia="黑体" w:cs="黑体"/>
          <w:b/>
          <w:bCs/>
        </w:rPr>
        <w:fldChar w:fldCharType="end"/>
      </w:r>
    </w:p>
    <w:p w14:paraId="54D883E2">
      <w:pPr>
        <w:pStyle w:val="20"/>
        <w:tabs>
          <w:tab w:val="right" w:leader="dot" w:pos="9746"/>
        </w:tabs>
        <w:rPr>
          <w:rFonts w:ascii="黑体" w:hAnsi="黑体" w:eastAsia="黑体" w:cs="黑体"/>
          <w:b/>
          <w:bCs/>
        </w:rPr>
      </w:pPr>
      <w:r>
        <w:fldChar w:fldCharType="begin"/>
      </w:r>
      <w:r>
        <w:instrText xml:space="preserve"> HYPERLINK \l "_Toc9935" </w:instrText>
      </w:r>
      <w:r>
        <w:fldChar w:fldCharType="separate"/>
      </w:r>
      <w:r>
        <w:rPr>
          <w:rFonts w:hint="eastAsia" w:ascii="黑体" w:hAnsi="黑体" w:eastAsia="黑体" w:cs="黑体"/>
          <w:b/>
          <w:bCs/>
          <w:szCs w:val="32"/>
        </w:rPr>
        <w:t>第四部分 磋商、澄清、成交</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_Toc9935 \h </w:instrText>
      </w:r>
      <w:r>
        <w:rPr>
          <w:rFonts w:hint="eastAsia" w:ascii="黑体" w:hAnsi="黑体" w:eastAsia="黑体" w:cs="黑体"/>
          <w:b/>
          <w:bCs/>
        </w:rPr>
        <w:fldChar w:fldCharType="separate"/>
      </w:r>
      <w:r>
        <w:rPr>
          <w:rFonts w:hint="eastAsia" w:ascii="黑体" w:hAnsi="黑体" w:eastAsia="黑体" w:cs="黑体"/>
          <w:b/>
          <w:bCs/>
        </w:rPr>
        <w:t>27</w:t>
      </w:r>
      <w:r>
        <w:rPr>
          <w:rFonts w:hint="eastAsia" w:ascii="黑体" w:hAnsi="黑体" w:eastAsia="黑体" w:cs="黑体"/>
          <w:b/>
          <w:bCs/>
        </w:rPr>
        <w:fldChar w:fldCharType="end"/>
      </w:r>
      <w:r>
        <w:rPr>
          <w:rFonts w:hint="eastAsia" w:ascii="黑体" w:hAnsi="黑体" w:eastAsia="黑体" w:cs="黑体"/>
          <w:b/>
          <w:bCs/>
        </w:rPr>
        <w:fldChar w:fldCharType="end"/>
      </w:r>
    </w:p>
    <w:p w14:paraId="4EF7B3E4">
      <w:pPr>
        <w:pStyle w:val="23"/>
        <w:tabs>
          <w:tab w:val="right" w:leader="dot" w:pos="9746"/>
          <w:tab w:val="clear" w:pos="8302"/>
        </w:tabs>
        <w:rPr>
          <w:rFonts w:ascii="黑体" w:hAnsi="黑体" w:eastAsia="黑体" w:cs="黑体"/>
          <w:bCs/>
        </w:rPr>
      </w:pPr>
      <w:r>
        <w:fldChar w:fldCharType="begin"/>
      </w:r>
      <w:r>
        <w:instrText xml:space="preserve"> HYPERLINK \l "_Toc22273" </w:instrText>
      </w:r>
      <w:r>
        <w:fldChar w:fldCharType="separate"/>
      </w:r>
      <w:r>
        <w:rPr>
          <w:rFonts w:hint="eastAsia" w:ascii="黑体" w:hAnsi="黑体" w:eastAsia="黑体" w:cs="黑体"/>
          <w:bCs/>
          <w:kern w:val="2"/>
        </w:rPr>
        <w:t>附表一：资格审查表</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_Toc22273 \h </w:instrText>
      </w:r>
      <w:r>
        <w:rPr>
          <w:rFonts w:hint="eastAsia" w:ascii="黑体" w:hAnsi="黑体" w:eastAsia="黑体" w:cs="黑体"/>
          <w:bCs/>
        </w:rPr>
        <w:fldChar w:fldCharType="separate"/>
      </w:r>
      <w:r>
        <w:rPr>
          <w:rFonts w:hint="eastAsia" w:ascii="黑体" w:hAnsi="黑体" w:eastAsia="黑体" w:cs="黑体"/>
          <w:bCs/>
        </w:rPr>
        <w:t>32</w:t>
      </w:r>
      <w:r>
        <w:rPr>
          <w:rFonts w:hint="eastAsia" w:ascii="黑体" w:hAnsi="黑体" w:eastAsia="黑体" w:cs="黑体"/>
          <w:bCs/>
        </w:rPr>
        <w:fldChar w:fldCharType="end"/>
      </w:r>
      <w:r>
        <w:rPr>
          <w:rFonts w:hint="eastAsia" w:ascii="黑体" w:hAnsi="黑体" w:eastAsia="黑体" w:cs="黑体"/>
          <w:bCs/>
        </w:rPr>
        <w:fldChar w:fldCharType="end"/>
      </w:r>
    </w:p>
    <w:p w14:paraId="39F1FDDE">
      <w:pPr>
        <w:pStyle w:val="23"/>
        <w:tabs>
          <w:tab w:val="right" w:leader="dot" w:pos="9746"/>
          <w:tab w:val="clear" w:pos="8302"/>
        </w:tabs>
        <w:rPr>
          <w:rFonts w:ascii="黑体" w:hAnsi="黑体" w:eastAsia="黑体" w:cs="黑体"/>
          <w:bCs/>
        </w:rPr>
      </w:pPr>
      <w:r>
        <w:fldChar w:fldCharType="begin"/>
      </w:r>
      <w:r>
        <w:instrText xml:space="preserve"> HYPERLINK \l "_Toc25136" </w:instrText>
      </w:r>
      <w:r>
        <w:fldChar w:fldCharType="separate"/>
      </w:r>
      <w:r>
        <w:rPr>
          <w:rFonts w:hint="eastAsia" w:ascii="黑体" w:hAnsi="黑体" w:eastAsia="黑体" w:cs="黑体"/>
          <w:bCs/>
          <w:kern w:val="2"/>
        </w:rPr>
        <w:t>附表二：符合性审查</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_Toc25136 \h </w:instrText>
      </w:r>
      <w:r>
        <w:rPr>
          <w:rFonts w:hint="eastAsia" w:ascii="黑体" w:hAnsi="黑体" w:eastAsia="黑体" w:cs="黑体"/>
          <w:bCs/>
        </w:rPr>
        <w:fldChar w:fldCharType="separate"/>
      </w:r>
      <w:r>
        <w:rPr>
          <w:rFonts w:hint="eastAsia" w:ascii="黑体" w:hAnsi="黑体" w:eastAsia="黑体" w:cs="黑体"/>
          <w:bCs/>
        </w:rPr>
        <w:t>34</w:t>
      </w:r>
      <w:r>
        <w:rPr>
          <w:rFonts w:hint="eastAsia" w:ascii="黑体" w:hAnsi="黑体" w:eastAsia="黑体" w:cs="黑体"/>
          <w:bCs/>
        </w:rPr>
        <w:fldChar w:fldCharType="end"/>
      </w:r>
      <w:r>
        <w:rPr>
          <w:rFonts w:hint="eastAsia" w:ascii="黑体" w:hAnsi="黑体" w:eastAsia="黑体" w:cs="黑体"/>
          <w:bCs/>
        </w:rPr>
        <w:fldChar w:fldCharType="end"/>
      </w:r>
    </w:p>
    <w:p w14:paraId="07C22D7A">
      <w:pPr>
        <w:pStyle w:val="23"/>
        <w:tabs>
          <w:tab w:val="right" w:leader="dot" w:pos="9746"/>
          <w:tab w:val="clear" w:pos="8302"/>
        </w:tabs>
        <w:rPr>
          <w:rFonts w:ascii="黑体" w:hAnsi="黑体" w:eastAsia="黑体" w:cs="黑体"/>
          <w:bCs/>
        </w:rPr>
      </w:pPr>
      <w:r>
        <w:fldChar w:fldCharType="begin"/>
      </w:r>
      <w:r>
        <w:instrText xml:space="preserve"> HYPERLINK \l "_Toc28098" </w:instrText>
      </w:r>
      <w:r>
        <w:fldChar w:fldCharType="separate"/>
      </w:r>
      <w:r>
        <w:rPr>
          <w:rFonts w:hint="eastAsia" w:ascii="黑体" w:hAnsi="黑体" w:eastAsia="黑体" w:cs="黑体"/>
          <w:bCs/>
          <w:kern w:val="2"/>
        </w:rPr>
        <w:t>附表三：评审要素及分值一览表</w:t>
      </w:r>
      <w:r>
        <w:rPr>
          <w:rFonts w:hint="eastAsia" w:ascii="黑体" w:hAnsi="黑体" w:eastAsia="黑体" w:cs="黑体"/>
          <w:bCs/>
        </w:rPr>
        <w:tab/>
      </w:r>
      <w:r>
        <w:rPr>
          <w:rFonts w:hint="eastAsia" w:ascii="黑体" w:hAnsi="黑体" w:eastAsia="黑体" w:cs="黑体"/>
          <w:bCs/>
        </w:rPr>
        <w:fldChar w:fldCharType="begin"/>
      </w:r>
      <w:r>
        <w:rPr>
          <w:rFonts w:hint="eastAsia" w:ascii="黑体" w:hAnsi="黑体" w:eastAsia="黑体" w:cs="黑体"/>
          <w:bCs/>
        </w:rPr>
        <w:instrText xml:space="preserve"> PAGEREF _Toc28098 \h </w:instrText>
      </w:r>
      <w:r>
        <w:rPr>
          <w:rFonts w:hint="eastAsia" w:ascii="黑体" w:hAnsi="黑体" w:eastAsia="黑体" w:cs="黑体"/>
          <w:bCs/>
        </w:rPr>
        <w:fldChar w:fldCharType="separate"/>
      </w:r>
      <w:r>
        <w:rPr>
          <w:rFonts w:hint="eastAsia" w:ascii="黑体" w:hAnsi="黑体" w:eastAsia="黑体" w:cs="黑体"/>
          <w:bCs/>
        </w:rPr>
        <w:t>35</w:t>
      </w:r>
      <w:r>
        <w:rPr>
          <w:rFonts w:hint="eastAsia" w:ascii="黑体" w:hAnsi="黑体" w:eastAsia="黑体" w:cs="黑体"/>
          <w:bCs/>
        </w:rPr>
        <w:fldChar w:fldCharType="end"/>
      </w:r>
      <w:r>
        <w:rPr>
          <w:rFonts w:hint="eastAsia" w:ascii="黑体" w:hAnsi="黑体" w:eastAsia="黑体" w:cs="黑体"/>
          <w:bCs/>
        </w:rPr>
        <w:fldChar w:fldCharType="end"/>
      </w:r>
    </w:p>
    <w:p w14:paraId="18FDDCF9">
      <w:pPr>
        <w:pStyle w:val="20"/>
        <w:tabs>
          <w:tab w:val="right" w:leader="dot" w:pos="9746"/>
        </w:tabs>
        <w:rPr>
          <w:rFonts w:ascii="黑体" w:hAnsi="黑体" w:eastAsia="黑体" w:cs="黑体"/>
          <w:b/>
          <w:bCs/>
        </w:rPr>
      </w:pPr>
      <w:r>
        <w:fldChar w:fldCharType="begin"/>
      </w:r>
      <w:r>
        <w:instrText xml:space="preserve"> HYPERLINK \l "_Toc602" </w:instrText>
      </w:r>
      <w:r>
        <w:fldChar w:fldCharType="separate"/>
      </w:r>
      <w:r>
        <w:rPr>
          <w:rFonts w:hint="eastAsia" w:ascii="黑体" w:hAnsi="黑体" w:eastAsia="黑体" w:cs="黑体"/>
          <w:b/>
          <w:bCs/>
          <w:kern w:val="44"/>
          <w:szCs w:val="32"/>
        </w:rPr>
        <w:t>第五部分 合同范本</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_Toc602 \h </w:instrText>
      </w:r>
      <w:r>
        <w:rPr>
          <w:rFonts w:hint="eastAsia" w:ascii="黑体" w:hAnsi="黑体" w:eastAsia="黑体" w:cs="黑体"/>
          <w:b/>
          <w:bCs/>
        </w:rPr>
        <w:fldChar w:fldCharType="separate"/>
      </w:r>
      <w:r>
        <w:rPr>
          <w:rFonts w:hint="eastAsia" w:ascii="黑体" w:hAnsi="黑体" w:eastAsia="黑体" w:cs="黑体"/>
          <w:b/>
          <w:bCs/>
        </w:rPr>
        <w:t>39</w:t>
      </w:r>
      <w:r>
        <w:rPr>
          <w:rFonts w:hint="eastAsia" w:ascii="黑体" w:hAnsi="黑体" w:eastAsia="黑体" w:cs="黑体"/>
          <w:b/>
          <w:bCs/>
        </w:rPr>
        <w:fldChar w:fldCharType="end"/>
      </w:r>
      <w:r>
        <w:rPr>
          <w:rFonts w:hint="eastAsia" w:ascii="黑体" w:hAnsi="黑体" w:eastAsia="黑体" w:cs="黑体"/>
          <w:b/>
          <w:bCs/>
        </w:rPr>
        <w:fldChar w:fldCharType="end"/>
      </w:r>
    </w:p>
    <w:p w14:paraId="2ED4B970">
      <w:pPr>
        <w:pStyle w:val="20"/>
        <w:tabs>
          <w:tab w:val="right" w:leader="dot" w:pos="9746"/>
        </w:tabs>
        <w:rPr>
          <w:rFonts w:ascii="黑体" w:hAnsi="黑体" w:eastAsia="黑体" w:cs="黑体"/>
          <w:b/>
          <w:bCs/>
        </w:rPr>
      </w:pPr>
      <w:r>
        <w:fldChar w:fldCharType="begin"/>
      </w:r>
      <w:r>
        <w:instrText xml:space="preserve"> HYPERLINK \l "_Toc8850" </w:instrText>
      </w:r>
      <w:r>
        <w:fldChar w:fldCharType="separate"/>
      </w:r>
      <w:r>
        <w:rPr>
          <w:rFonts w:hint="eastAsia" w:ascii="黑体" w:hAnsi="黑体" w:eastAsia="黑体" w:cs="黑体"/>
          <w:b/>
          <w:bCs/>
          <w:szCs w:val="32"/>
        </w:rPr>
        <w:t>第六部分 响应</w:t>
      </w:r>
      <w:r>
        <w:rPr>
          <w:rFonts w:hint="eastAsia" w:ascii="黑体" w:hAnsi="黑体" w:eastAsia="黑体" w:cs="黑体"/>
          <w:b/>
          <w:bCs/>
          <w:szCs w:val="32"/>
          <w:lang w:val="zh-CN"/>
        </w:rPr>
        <w:t>文件格式</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_Toc8850 \h </w:instrText>
      </w:r>
      <w:r>
        <w:rPr>
          <w:rFonts w:hint="eastAsia" w:ascii="黑体" w:hAnsi="黑体" w:eastAsia="黑体" w:cs="黑体"/>
          <w:b/>
          <w:bCs/>
        </w:rPr>
        <w:fldChar w:fldCharType="separate"/>
      </w:r>
      <w:r>
        <w:rPr>
          <w:rFonts w:hint="eastAsia" w:ascii="黑体" w:hAnsi="黑体" w:eastAsia="黑体" w:cs="黑体"/>
          <w:b/>
          <w:bCs/>
        </w:rPr>
        <w:t>46</w:t>
      </w:r>
      <w:r>
        <w:rPr>
          <w:rFonts w:hint="eastAsia" w:ascii="黑体" w:hAnsi="黑体" w:eastAsia="黑体" w:cs="黑体"/>
          <w:b/>
          <w:bCs/>
        </w:rPr>
        <w:fldChar w:fldCharType="end"/>
      </w:r>
      <w:r>
        <w:rPr>
          <w:rFonts w:hint="eastAsia" w:ascii="黑体" w:hAnsi="黑体" w:eastAsia="黑体" w:cs="黑体"/>
          <w:b/>
          <w:bCs/>
        </w:rPr>
        <w:fldChar w:fldCharType="end"/>
      </w:r>
    </w:p>
    <w:p w14:paraId="3AE114D4">
      <w:pPr>
        <w:pStyle w:val="20"/>
        <w:tabs>
          <w:tab w:val="right" w:leader="dot" w:pos="9746"/>
        </w:tabs>
        <w:rPr>
          <w:rFonts w:ascii="黑体" w:hAnsi="黑体" w:eastAsia="黑体" w:cs="黑体"/>
          <w:b/>
          <w:bCs/>
        </w:rPr>
      </w:pPr>
      <w:r>
        <w:fldChar w:fldCharType="begin"/>
      </w:r>
      <w:r>
        <w:instrText xml:space="preserve"> HYPERLINK \l "_Toc23582" </w:instrText>
      </w:r>
      <w:r>
        <w:fldChar w:fldCharType="separate"/>
      </w:r>
      <w:r>
        <w:rPr>
          <w:rFonts w:hint="eastAsia" w:ascii="黑体" w:hAnsi="黑体" w:eastAsia="黑体" w:cs="黑体"/>
          <w:b/>
          <w:bCs/>
          <w:szCs w:val="32"/>
          <w:lang w:val="en-GB"/>
        </w:rPr>
        <w:t>封袋正面标识式样</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_Toc23582 \h </w:instrText>
      </w:r>
      <w:r>
        <w:rPr>
          <w:rFonts w:hint="eastAsia" w:ascii="黑体" w:hAnsi="黑体" w:eastAsia="黑体" w:cs="黑体"/>
          <w:b/>
          <w:bCs/>
        </w:rPr>
        <w:fldChar w:fldCharType="separate"/>
      </w:r>
      <w:r>
        <w:rPr>
          <w:rFonts w:hint="eastAsia" w:ascii="黑体" w:hAnsi="黑体" w:eastAsia="黑体" w:cs="黑体"/>
          <w:b/>
          <w:bCs/>
        </w:rPr>
        <w:t>72</w:t>
      </w:r>
      <w:r>
        <w:rPr>
          <w:rFonts w:hint="eastAsia" w:ascii="黑体" w:hAnsi="黑体" w:eastAsia="黑体" w:cs="黑体"/>
          <w:b/>
          <w:bCs/>
        </w:rPr>
        <w:fldChar w:fldCharType="end"/>
      </w:r>
      <w:r>
        <w:rPr>
          <w:rFonts w:hint="eastAsia" w:ascii="黑体" w:hAnsi="黑体" w:eastAsia="黑体" w:cs="黑体"/>
          <w:b/>
          <w:bCs/>
        </w:rPr>
        <w:fldChar w:fldCharType="end"/>
      </w:r>
    </w:p>
    <w:p w14:paraId="2E7D93D3">
      <w:pPr>
        <w:tabs>
          <w:tab w:val="right" w:leader="dot" w:pos="9747"/>
        </w:tabs>
        <w:spacing w:before="120" w:after="120" w:line="360" w:lineRule="auto"/>
        <w:jc w:val="center"/>
        <w:rPr>
          <w:rFonts w:ascii="黑体" w:hAnsi="黑体" w:eastAsia="黑体" w:cs="黑体"/>
          <w:b/>
          <w:bCs/>
          <w:caps/>
          <w:sz w:val="24"/>
        </w:rPr>
      </w:pPr>
      <w:r>
        <w:rPr>
          <w:rFonts w:hint="eastAsia" w:ascii="黑体" w:hAnsi="黑体" w:eastAsia="黑体" w:cs="黑体"/>
          <w:b/>
          <w:bCs/>
          <w:szCs w:val="30"/>
        </w:rPr>
        <w:fldChar w:fldCharType="end"/>
      </w:r>
    </w:p>
    <w:p w14:paraId="3945CBD4">
      <w:pPr>
        <w:spacing w:before="114" w:line="225" w:lineRule="auto"/>
        <w:ind w:left="122"/>
        <w:rPr>
          <w:rStyle w:val="45"/>
          <w:rFonts w:ascii="黑体" w:hAnsi="黑体" w:eastAsia="黑体" w:cs="黑体"/>
          <w:sz w:val="32"/>
          <w:szCs w:val="32"/>
        </w:rPr>
      </w:pPr>
    </w:p>
    <w:p w14:paraId="46C830EF">
      <w:pPr>
        <w:spacing w:before="114" w:line="225" w:lineRule="auto"/>
        <w:ind w:left="122"/>
        <w:rPr>
          <w:rStyle w:val="45"/>
          <w:rFonts w:ascii="黑体" w:hAnsi="黑体" w:eastAsia="黑体" w:cs="黑体"/>
          <w:sz w:val="32"/>
          <w:szCs w:val="32"/>
        </w:rPr>
      </w:pPr>
    </w:p>
    <w:p w14:paraId="00F169DD">
      <w:pPr>
        <w:spacing w:before="114" w:line="225" w:lineRule="auto"/>
        <w:ind w:left="122"/>
        <w:rPr>
          <w:rStyle w:val="45"/>
          <w:rFonts w:ascii="黑体" w:hAnsi="黑体" w:eastAsia="黑体" w:cs="黑体"/>
          <w:sz w:val="32"/>
          <w:szCs w:val="32"/>
        </w:rPr>
      </w:pPr>
    </w:p>
    <w:p w14:paraId="40BA7AAB">
      <w:pPr>
        <w:spacing w:before="114" w:line="225" w:lineRule="auto"/>
        <w:ind w:left="122"/>
        <w:rPr>
          <w:rStyle w:val="45"/>
          <w:rFonts w:ascii="黑体" w:hAnsi="黑体" w:eastAsia="黑体" w:cs="黑体"/>
          <w:sz w:val="32"/>
          <w:szCs w:val="32"/>
        </w:rPr>
      </w:pPr>
    </w:p>
    <w:p w14:paraId="23914F21">
      <w:pPr>
        <w:spacing w:before="114" w:line="225" w:lineRule="auto"/>
        <w:ind w:left="122"/>
        <w:rPr>
          <w:rStyle w:val="45"/>
          <w:rFonts w:ascii="黑体" w:hAnsi="黑体" w:eastAsia="黑体" w:cs="黑体"/>
          <w:sz w:val="32"/>
          <w:szCs w:val="32"/>
        </w:rPr>
      </w:pPr>
    </w:p>
    <w:p w14:paraId="3F7E1CE6">
      <w:pPr>
        <w:spacing w:before="114" w:line="225" w:lineRule="auto"/>
        <w:ind w:left="122"/>
        <w:rPr>
          <w:rStyle w:val="45"/>
          <w:rFonts w:ascii="黑体" w:hAnsi="黑体" w:eastAsia="黑体" w:cs="黑体"/>
          <w:sz w:val="32"/>
          <w:szCs w:val="32"/>
        </w:rPr>
      </w:pPr>
    </w:p>
    <w:p w14:paraId="4AEB4767">
      <w:pPr>
        <w:spacing w:before="114" w:line="225" w:lineRule="auto"/>
        <w:ind w:left="122"/>
        <w:rPr>
          <w:rStyle w:val="45"/>
          <w:rFonts w:ascii="黑体" w:hAnsi="黑体" w:eastAsia="黑体" w:cs="黑体"/>
          <w:sz w:val="32"/>
          <w:szCs w:val="32"/>
        </w:rPr>
      </w:pPr>
    </w:p>
    <w:p w14:paraId="5B5EB4BF">
      <w:pPr>
        <w:spacing w:before="114" w:line="225" w:lineRule="auto"/>
        <w:ind w:left="122"/>
        <w:rPr>
          <w:rStyle w:val="45"/>
          <w:rFonts w:ascii="黑体" w:hAnsi="黑体" w:eastAsia="黑体" w:cs="黑体"/>
          <w:sz w:val="32"/>
          <w:szCs w:val="32"/>
        </w:rPr>
      </w:pPr>
    </w:p>
    <w:p w14:paraId="1A190DB3">
      <w:pPr>
        <w:spacing w:before="114" w:line="225" w:lineRule="auto"/>
        <w:ind w:left="122"/>
        <w:rPr>
          <w:rStyle w:val="45"/>
          <w:rFonts w:ascii="黑体" w:hAnsi="黑体" w:eastAsia="黑体" w:cs="黑体"/>
          <w:sz w:val="32"/>
          <w:szCs w:val="32"/>
        </w:rPr>
      </w:pPr>
    </w:p>
    <w:p w14:paraId="3A053E11">
      <w:pPr>
        <w:spacing w:before="114" w:line="225" w:lineRule="auto"/>
        <w:ind w:left="122"/>
        <w:rPr>
          <w:rStyle w:val="45"/>
          <w:rFonts w:ascii="黑体" w:hAnsi="黑体" w:eastAsia="黑体" w:cs="黑体"/>
          <w:sz w:val="32"/>
          <w:szCs w:val="32"/>
        </w:rPr>
      </w:pPr>
    </w:p>
    <w:p w14:paraId="1341529F">
      <w:pPr>
        <w:spacing w:before="114" w:line="225" w:lineRule="auto"/>
        <w:ind w:left="122"/>
        <w:rPr>
          <w:rStyle w:val="45"/>
          <w:rFonts w:ascii="黑体" w:hAnsi="黑体" w:eastAsia="黑体" w:cs="黑体"/>
          <w:sz w:val="32"/>
          <w:szCs w:val="32"/>
        </w:rPr>
      </w:pPr>
    </w:p>
    <w:p w14:paraId="5991C25A">
      <w:pPr>
        <w:spacing w:before="114" w:line="225" w:lineRule="auto"/>
        <w:ind w:left="122"/>
        <w:rPr>
          <w:rStyle w:val="45"/>
          <w:rFonts w:ascii="黑体" w:hAnsi="黑体" w:eastAsia="黑体" w:cs="黑体"/>
          <w:sz w:val="32"/>
          <w:szCs w:val="32"/>
        </w:rPr>
      </w:pPr>
    </w:p>
    <w:p w14:paraId="65FB550B">
      <w:pPr>
        <w:spacing w:before="114" w:line="225" w:lineRule="auto"/>
        <w:ind w:left="122"/>
        <w:rPr>
          <w:rStyle w:val="45"/>
          <w:rFonts w:ascii="黑体" w:hAnsi="黑体" w:eastAsia="黑体" w:cs="黑体"/>
          <w:sz w:val="32"/>
          <w:szCs w:val="32"/>
        </w:rPr>
      </w:pPr>
    </w:p>
    <w:p w14:paraId="43D0BF1C">
      <w:pPr>
        <w:spacing w:before="114" w:line="225" w:lineRule="auto"/>
        <w:ind w:left="122"/>
        <w:rPr>
          <w:rStyle w:val="45"/>
          <w:rFonts w:ascii="黑体" w:hAnsi="黑体" w:eastAsia="黑体" w:cs="黑体"/>
          <w:sz w:val="32"/>
          <w:szCs w:val="32"/>
        </w:rPr>
      </w:pPr>
    </w:p>
    <w:p w14:paraId="471B8435">
      <w:pPr>
        <w:spacing w:before="114" w:line="225" w:lineRule="auto"/>
        <w:ind w:left="122"/>
        <w:rPr>
          <w:rStyle w:val="45"/>
          <w:rFonts w:ascii="黑体" w:hAnsi="黑体" w:eastAsia="黑体" w:cs="黑体"/>
          <w:sz w:val="32"/>
          <w:szCs w:val="32"/>
        </w:rPr>
      </w:pPr>
    </w:p>
    <w:p w14:paraId="0EDE588E">
      <w:pPr>
        <w:spacing w:before="114" w:line="225" w:lineRule="auto"/>
        <w:ind w:left="122"/>
        <w:rPr>
          <w:rStyle w:val="45"/>
          <w:rFonts w:ascii="黑体" w:hAnsi="黑体" w:eastAsia="黑体" w:cs="黑体"/>
          <w:sz w:val="32"/>
          <w:szCs w:val="32"/>
        </w:rPr>
      </w:pPr>
    </w:p>
    <w:p w14:paraId="119ADA64">
      <w:pPr>
        <w:spacing w:before="114" w:line="225" w:lineRule="auto"/>
        <w:ind w:left="122"/>
        <w:rPr>
          <w:rStyle w:val="45"/>
          <w:rFonts w:ascii="黑体" w:hAnsi="黑体" w:eastAsia="黑体" w:cs="黑体"/>
          <w:sz w:val="32"/>
          <w:szCs w:val="32"/>
        </w:rPr>
      </w:pPr>
    </w:p>
    <w:p w14:paraId="439C65F1">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一</w:t>
      </w:r>
      <w:r>
        <w:rPr>
          <w:rFonts w:ascii="宋体" w:hAnsi="宋体"/>
          <w:b/>
          <w:bCs/>
          <w:spacing w:val="7"/>
          <w:sz w:val="52"/>
          <w:szCs w:val="52"/>
        </w:rPr>
        <w:t>部分</w:t>
      </w:r>
    </w:p>
    <w:p w14:paraId="28BD1640">
      <w:pPr>
        <w:spacing w:before="113" w:line="224" w:lineRule="auto"/>
        <w:ind w:right="420"/>
        <w:jc w:val="right"/>
        <w:rPr>
          <w:rFonts w:ascii="宋体" w:hAnsi="宋体"/>
          <w:b/>
          <w:bCs/>
          <w:sz w:val="52"/>
          <w:szCs w:val="52"/>
        </w:rPr>
      </w:pPr>
      <w:bookmarkStart w:id="2" w:name="_bookmark4"/>
      <w:bookmarkEnd w:id="2"/>
      <w:r>
        <w:rPr>
          <w:b/>
          <w:bCs/>
          <w:sz w:val="52"/>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336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DOZRSHtAQAA3QMAAA4AAABkcnMvZTJvRG9jLnhtbK1TzW4TMRC+&#10;I/EOlu9kN0UpdJVNDw3lgiAS8AAT25u15D953GzyErwAEjc4ceTO27Q8BmNvmkK55MAevGPPzDfz&#10;fR7PL3fWsK2KqL1r+XRSc6ac8FK7Tcs/frh+9pIzTOAkGO9Uy/cK+eXi6ZP5EBp15ntvpIqMQBw2&#10;Q2h5n1JoqgpFryzgxAflyNn5aCHRNm4qGWEgdGuqs7o+rwYfZYheKEQ6XY5OfkCMpwD6rtNCLb24&#10;scqlETUqA4koYa8D8kXptuuUSO+6DlVipuXENJWVipC9zmu1mEOziRB6LQ4twCktPOJkQTsqeoRa&#10;QgJ2E/U/UFaL6NF3aSK8rUYiRRFiMa0fafO+h6AKF5Iaw1F0/H+w4u12FZmWNAkkiQNLN373+cft&#10;p6+/fn6h9e77N0YekmkI2FD0lVvFww7DKmbOuy7a/Cc2bFek3R+lVbvEBB3OXkxndU0lBPnOn88y&#10;YvWQGiKm18pblo2WG+0yb2hg+wbTGHofko+NYwN1fFHPMiLQFHZ0+2TaQEzQbUoyeqPltTYmp2Dc&#10;rK9MZFvIk1C+Qw9/heUqS8B+jCuuHAZNr0C+cpKlfSCJHD0NnnuwSnJmFL2kbJXIBNqcEkn0jSMV&#10;srCjlNlae7kvCpdzuvWi02FC81j9uS/ZD69y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xDnP&#10;0wAAAAgBAAAPAAAAAAAAAAEAIAAAACIAAABkcnMvZG93bnJldi54bWxQSwECFAAUAAAACACHTuJA&#10;M5lFIe0BAADdAwAADgAAAAAAAAABACAAAAAiAQAAZHJzL2Uyb0RvYy54bWxQSwUGAAAAAAYABgBZ&#10;AQAAgQUAAAAA&#10;">
                <v:fill on="f" focussize="0,0"/>
                <v:stroke weight="1.5pt" color="#000000" joinstyle="round"/>
                <v:imagedata o:title=""/>
                <o:lock v:ext="edit" aspectratio="f"/>
              </v:line>
            </w:pict>
          </mc:Fallback>
        </mc:AlternateContent>
      </w:r>
    </w:p>
    <w:p w14:paraId="5C0EB1AE">
      <w:pPr>
        <w:spacing w:before="113" w:line="224" w:lineRule="auto"/>
        <w:ind w:right="420"/>
        <w:jc w:val="right"/>
        <w:rPr>
          <w:rFonts w:ascii="宋体" w:hAnsi="宋体"/>
          <w:b/>
          <w:bCs/>
          <w:sz w:val="35"/>
          <w:szCs w:val="35"/>
        </w:rPr>
      </w:pPr>
      <w:r>
        <w:rPr>
          <w:rFonts w:hint="eastAsia" w:ascii="宋体" w:hAnsi="宋体"/>
          <w:b/>
          <w:bCs/>
          <w:sz w:val="52"/>
          <w:szCs w:val="52"/>
        </w:rPr>
        <w:t>磋商邀请</w:t>
      </w:r>
    </w:p>
    <w:p w14:paraId="642AD284">
      <w:pPr>
        <w:spacing w:line="242" w:lineRule="auto"/>
        <w:rPr>
          <w:rFonts w:ascii="Arial"/>
        </w:rPr>
      </w:pPr>
    </w:p>
    <w:p w14:paraId="757CE065">
      <w:pPr>
        <w:rPr>
          <w:rFonts w:ascii="宋体" w:hAnsi="宋体"/>
          <w:szCs w:val="30"/>
        </w:rPr>
      </w:pPr>
    </w:p>
    <w:p w14:paraId="4635A3FA">
      <w:pPr>
        <w:spacing w:line="360" w:lineRule="auto"/>
        <w:jc w:val="center"/>
        <w:rPr>
          <w:rFonts w:ascii="宋体" w:hAnsi="宋体"/>
          <w:szCs w:val="30"/>
        </w:rPr>
      </w:pPr>
      <w:r>
        <w:rPr>
          <w:rFonts w:hint="eastAsia" w:ascii="宋体" w:hAnsi="宋体"/>
          <w:szCs w:val="30"/>
        </w:rPr>
        <w:br w:type="page"/>
      </w:r>
    </w:p>
    <w:p w14:paraId="1D30ADE9">
      <w:pPr>
        <w:pStyle w:val="2"/>
        <w:keepNext w:val="0"/>
        <w:keepLines w:val="0"/>
        <w:spacing w:before="0" w:after="0"/>
        <w:rPr>
          <w:rFonts w:eastAsia="黑体"/>
        </w:rPr>
      </w:pPr>
      <w:bookmarkStart w:id="3" w:name="_Toc8243"/>
      <w:bookmarkStart w:id="4" w:name="_Toc30721"/>
      <w:bookmarkStart w:id="5" w:name="_Toc23574"/>
      <w:r>
        <w:rPr>
          <w:rFonts w:hint="eastAsia" w:ascii="黑体" w:hAnsi="黑体" w:eastAsia="黑体" w:cs="黑体"/>
          <w:b/>
          <w:bCs/>
          <w:sz w:val="32"/>
          <w:szCs w:val="32"/>
        </w:rPr>
        <w:t>第一部分</w:t>
      </w:r>
      <w:bookmarkEnd w:id="3"/>
      <w:bookmarkEnd w:id="4"/>
      <w:r>
        <w:rPr>
          <w:rFonts w:hint="eastAsia" w:ascii="黑体" w:hAnsi="黑体" w:eastAsia="黑体" w:cs="黑体"/>
          <w:b/>
          <w:bCs/>
          <w:sz w:val="32"/>
          <w:szCs w:val="32"/>
        </w:rPr>
        <w:t xml:space="preserve"> 磋商邀请</w:t>
      </w:r>
      <w:bookmarkEnd w:id="5"/>
    </w:p>
    <w:tbl>
      <w:tblPr>
        <w:tblStyle w:val="50"/>
        <w:tblW w:w="93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4"/>
      </w:tblGrid>
      <w:tr w14:paraId="155357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27" w:hRule="atLeast"/>
        </w:trPr>
        <w:tc>
          <w:tcPr>
            <w:tcW w:w="9304" w:type="dxa"/>
          </w:tcPr>
          <w:p w14:paraId="20AE92DF">
            <w:pPr>
              <w:spacing w:before="190" w:line="227" w:lineRule="auto"/>
              <w:ind w:left="601"/>
              <w:rPr>
                <w:rFonts w:ascii="宋体" w:hAnsi="宋体"/>
                <w:sz w:val="23"/>
                <w:szCs w:val="23"/>
              </w:rPr>
            </w:pPr>
            <w:r>
              <w:rPr>
                <w:rFonts w:ascii="宋体" w:hAnsi="宋体"/>
                <w:color w:val="333333"/>
                <w:spacing w:val="8"/>
                <w:sz w:val="24"/>
                <w14:textOutline w14:w="4356" w14:cap="sq" w14:cmpd="sng" w14:algn="ctr">
                  <w14:solidFill>
                    <w14:srgbClr w14:val="333333"/>
                  </w14:solidFill>
                  <w14:prstDash w14:val="solid"/>
                  <w14:bevel/>
                </w14:textOutline>
              </w:rPr>
              <w:t>项</w:t>
            </w:r>
            <w:r>
              <w:rPr>
                <w:rFonts w:ascii="宋体" w:hAnsi="宋体"/>
                <w:color w:val="333333"/>
                <w:spacing w:val="7"/>
                <w:sz w:val="24"/>
                <w14:textOutline w14:w="4356" w14:cap="sq" w14:cmpd="sng" w14:algn="ctr">
                  <w14:solidFill>
                    <w14:srgbClr w14:val="333333"/>
                  </w14:solidFill>
                  <w14:prstDash w14:val="solid"/>
                  <w14:bevel/>
                </w14:textOutline>
              </w:rPr>
              <w:t>目概况</w:t>
            </w:r>
          </w:p>
          <w:p w14:paraId="665C8009">
            <w:pPr>
              <w:spacing w:line="258" w:lineRule="auto"/>
              <w:rPr>
                <w:rFonts w:ascii="Arial"/>
              </w:rPr>
            </w:pPr>
          </w:p>
          <w:p w14:paraId="7D465ECE">
            <w:pPr>
              <w:spacing w:before="74" w:line="380" w:lineRule="auto"/>
              <w:ind w:left="117" w:right="106" w:firstLine="485"/>
              <w:rPr>
                <w:rFonts w:ascii="宋体" w:hAnsi="宋体"/>
                <w:sz w:val="23"/>
                <w:szCs w:val="23"/>
              </w:rPr>
            </w:pPr>
            <w:r>
              <w:rPr>
                <w:rFonts w:hint="eastAsia" w:ascii="宋体" w:hAnsi="宋体"/>
                <w:kern w:val="0"/>
                <w:sz w:val="24"/>
              </w:rPr>
              <w:fldChar w:fldCharType="begin"/>
            </w:r>
            <w:r>
              <w:rPr>
                <w:rFonts w:hint="eastAsia" w:ascii="宋体" w:hAnsi="宋体"/>
                <w:kern w:val="0"/>
                <w:sz w:val="24"/>
              </w:rPr>
              <w:instrText xml:space="preserve"> MERGEFIELD "（项目名称）" </w:instrText>
            </w:r>
            <w:r>
              <w:rPr>
                <w:rFonts w:hint="eastAsia" w:ascii="宋体" w:hAnsi="宋体"/>
                <w:kern w:val="0"/>
                <w:sz w:val="24"/>
              </w:rPr>
              <w:fldChar w:fldCharType="separate"/>
            </w:r>
            <w:r>
              <w:rPr>
                <w:rFonts w:hint="eastAsia" w:ascii="宋体" w:hAnsi="宋体"/>
                <w:kern w:val="0"/>
                <w:sz w:val="24"/>
                <w:lang w:eastAsia="zh-CN"/>
              </w:rPr>
              <w:t>省级信息安全系统运维项目采购</w:t>
            </w:r>
            <w:r>
              <w:rPr>
                <w:rFonts w:hint="eastAsia" w:ascii="宋体" w:hAnsi="宋体"/>
                <w:kern w:val="0"/>
                <w:sz w:val="24"/>
              </w:rPr>
              <w:fldChar w:fldCharType="end"/>
            </w:r>
            <w:r>
              <w:rPr>
                <w:rFonts w:hint="eastAsia" w:ascii="宋体" w:hAnsi="宋体"/>
                <w:kern w:val="0"/>
                <w:sz w:val="24"/>
              </w:rPr>
              <w:t>潜在的供应商可在陕西省西安市高新区丈八一路1号汇鑫中心D座2206室携带单位介绍信、身份证原件及复印件获取采购文件，并于</w:t>
            </w:r>
            <w:r>
              <w:rPr>
                <w:rFonts w:hint="eastAsia" w:ascii="宋体" w:hAnsi="宋体"/>
                <w:kern w:val="0"/>
                <w:sz w:val="24"/>
                <w:highlight w:val="none"/>
              </w:rPr>
              <w:t>20</w:t>
            </w:r>
            <w:r>
              <w:rPr>
                <w:rFonts w:hint="eastAsia" w:ascii="宋体" w:hAnsi="宋体"/>
                <w:kern w:val="0"/>
                <w:sz w:val="24"/>
                <w:highlight w:val="none"/>
                <w:lang w:val="en-US" w:eastAsia="zh-CN"/>
              </w:rPr>
              <w:t>25</w:t>
            </w:r>
            <w:r>
              <w:rPr>
                <w:rFonts w:hint="eastAsia" w:ascii="宋体" w:hAnsi="宋体"/>
                <w:kern w:val="0"/>
                <w:sz w:val="24"/>
                <w:highlight w:val="none"/>
              </w:rPr>
              <w:t>-</w:t>
            </w:r>
            <w:r>
              <w:rPr>
                <w:rFonts w:hint="eastAsia" w:ascii="宋体" w:hAnsi="宋体"/>
                <w:kern w:val="0"/>
                <w:sz w:val="24"/>
                <w:highlight w:val="none"/>
                <w:lang w:val="en-US" w:eastAsia="zh-CN"/>
              </w:rPr>
              <w:t>07</w:t>
            </w:r>
            <w:r>
              <w:rPr>
                <w:rFonts w:hint="eastAsia" w:ascii="宋体" w:hAnsi="宋体"/>
                <w:kern w:val="0"/>
                <w:sz w:val="24"/>
                <w:highlight w:val="none"/>
              </w:rPr>
              <w:t>-</w:t>
            </w:r>
            <w:r>
              <w:rPr>
                <w:rFonts w:hint="eastAsia" w:ascii="宋体" w:hAnsi="宋体"/>
                <w:kern w:val="0"/>
                <w:sz w:val="24"/>
                <w:highlight w:val="none"/>
                <w:lang w:val="en-US" w:eastAsia="zh-CN"/>
              </w:rPr>
              <w:t>14</w:t>
            </w:r>
            <w:r>
              <w:rPr>
                <w:rFonts w:hint="eastAsia" w:ascii="宋体" w:hAnsi="宋体"/>
                <w:kern w:val="0"/>
                <w:sz w:val="24"/>
                <w:highlight w:val="none"/>
              </w:rPr>
              <w:t xml:space="preserve"> </w:t>
            </w:r>
            <w:r>
              <w:rPr>
                <w:rFonts w:hint="eastAsia" w:ascii="宋体" w:hAnsi="宋体"/>
                <w:kern w:val="0"/>
                <w:sz w:val="24"/>
                <w:highlight w:val="none"/>
                <w:lang w:val="en-US" w:eastAsia="zh-CN"/>
              </w:rPr>
              <w:t>09</w:t>
            </w:r>
            <w:r>
              <w:rPr>
                <w:rFonts w:hint="eastAsia" w:ascii="宋体" w:hAnsi="宋体"/>
                <w:kern w:val="0"/>
                <w:sz w:val="24"/>
                <w:highlight w:val="none"/>
              </w:rPr>
              <w:t>:</w:t>
            </w:r>
            <w:r>
              <w:rPr>
                <w:rFonts w:hint="eastAsia" w:ascii="宋体" w:hAnsi="宋体"/>
                <w:kern w:val="0"/>
                <w:sz w:val="24"/>
                <w:highlight w:val="none"/>
                <w:lang w:val="en-US" w:eastAsia="zh-CN"/>
              </w:rPr>
              <w:t>30</w:t>
            </w:r>
            <w:r>
              <w:rPr>
                <w:rFonts w:hint="eastAsia" w:ascii="宋体" w:hAnsi="宋体"/>
                <w:kern w:val="0"/>
                <w:sz w:val="24"/>
                <w:highlight w:val="none"/>
              </w:rPr>
              <w:t>:00</w:t>
            </w:r>
            <w:r>
              <w:rPr>
                <w:rFonts w:hint="eastAsia" w:ascii="宋体" w:hAnsi="宋体"/>
                <w:kern w:val="0"/>
                <w:sz w:val="24"/>
              </w:rPr>
              <w:t>前递交响应文件。</w:t>
            </w:r>
          </w:p>
        </w:tc>
      </w:tr>
    </w:tbl>
    <w:p w14:paraId="227F4C01">
      <w:pPr>
        <w:widowControl/>
        <w:spacing w:before="150" w:line="510" w:lineRule="atLeast"/>
        <w:ind w:firstLine="482" w:firstLineChars="200"/>
        <w:jc w:val="left"/>
        <w:rPr>
          <w:rFonts w:ascii="宋体" w:hAnsi="宋体" w:cs="Helvetica"/>
          <w:b/>
          <w:bCs/>
          <w:kern w:val="0"/>
          <w:sz w:val="24"/>
        </w:rPr>
      </w:pPr>
      <w:r>
        <w:rPr>
          <w:rFonts w:hint="eastAsia" w:ascii="宋体" w:hAnsi="宋体" w:cs="Helvetica"/>
          <w:b/>
          <w:bCs/>
          <w:kern w:val="0"/>
          <w:sz w:val="24"/>
        </w:rPr>
        <w:t>一、项目基本情况：</w:t>
      </w:r>
    </w:p>
    <w:p w14:paraId="222E4A7E">
      <w:pPr>
        <w:widowControl/>
        <w:spacing w:line="510" w:lineRule="atLeast"/>
        <w:ind w:firstLine="480"/>
        <w:jc w:val="left"/>
        <w:rPr>
          <w:rFonts w:ascii="宋体" w:hAnsi="宋体" w:cs="Helvetica"/>
          <w:kern w:val="0"/>
          <w:sz w:val="24"/>
        </w:rPr>
      </w:pPr>
      <w:r>
        <w:rPr>
          <w:rFonts w:hint="eastAsia" w:ascii="宋体" w:hAnsi="宋体" w:cs="Helvetica"/>
          <w:kern w:val="0"/>
          <w:sz w:val="24"/>
        </w:rPr>
        <w:t>1.项目编号：</w:t>
      </w:r>
      <w:r>
        <w:rPr>
          <w:rFonts w:hint="eastAsia" w:ascii="宋体" w:hAnsi="宋体" w:cs="Helvetica"/>
          <w:kern w:val="0"/>
          <w:sz w:val="24"/>
        </w:rPr>
        <w:fldChar w:fldCharType="begin"/>
      </w:r>
      <w:r>
        <w:rPr>
          <w:rFonts w:hint="eastAsia" w:ascii="宋体" w:hAnsi="宋体" w:cs="Helvetica"/>
          <w:kern w:val="0"/>
          <w:sz w:val="24"/>
        </w:rPr>
        <w:instrText xml:space="preserve"> MERGEFIELD "（项目编号）" </w:instrText>
      </w:r>
      <w:r>
        <w:rPr>
          <w:rFonts w:hint="eastAsia" w:ascii="宋体" w:hAnsi="宋体" w:cs="Helvetica"/>
          <w:kern w:val="0"/>
          <w:sz w:val="24"/>
        </w:rPr>
        <w:fldChar w:fldCharType="separate"/>
      </w:r>
      <w:r>
        <w:rPr>
          <w:rFonts w:hint="eastAsia" w:ascii="宋体" w:hAnsi="宋体" w:cs="Helvetica"/>
          <w:kern w:val="0"/>
          <w:sz w:val="24"/>
          <w:lang w:eastAsia="zh-CN"/>
        </w:rPr>
        <w:t>DQA-2025069-CS</w:t>
      </w:r>
      <w:r>
        <w:rPr>
          <w:rFonts w:hint="eastAsia" w:ascii="宋体" w:hAnsi="宋体" w:cs="Helvetica"/>
          <w:kern w:val="0"/>
          <w:sz w:val="24"/>
        </w:rPr>
        <w:fldChar w:fldCharType="end"/>
      </w:r>
    </w:p>
    <w:p w14:paraId="1F37A94A">
      <w:pPr>
        <w:widowControl/>
        <w:spacing w:line="510" w:lineRule="atLeast"/>
        <w:ind w:firstLine="480"/>
        <w:jc w:val="left"/>
        <w:rPr>
          <w:rFonts w:ascii="宋体" w:hAnsi="宋体" w:cs="Helvetica"/>
          <w:kern w:val="0"/>
          <w:sz w:val="24"/>
        </w:rPr>
      </w:pPr>
      <w:r>
        <w:rPr>
          <w:rFonts w:hint="eastAsia" w:ascii="宋体" w:hAnsi="宋体" w:cs="Helvetica"/>
          <w:kern w:val="0"/>
          <w:sz w:val="24"/>
        </w:rPr>
        <w:t>2.项目名称：</w:t>
      </w:r>
      <w:r>
        <w:rPr>
          <w:rFonts w:hint="eastAsia" w:ascii="宋体" w:hAnsi="宋体" w:cs="Helvetica"/>
          <w:kern w:val="0"/>
          <w:sz w:val="24"/>
        </w:rPr>
        <w:fldChar w:fldCharType="begin"/>
      </w:r>
      <w:r>
        <w:rPr>
          <w:rFonts w:hint="eastAsia" w:ascii="宋体" w:hAnsi="宋体" w:cs="Helvetica"/>
          <w:kern w:val="0"/>
          <w:sz w:val="24"/>
        </w:rPr>
        <w:instrText xml:space="preserve"> MERGEFIELD "（项目名称）" </w:instrText>
      </w:r>
      <w:r>
        <w:rPr>
          <w:rFonts w:hint="eastAsia" w:ascii="宋体" w:hAnsi="宋体" w:cs="Helvetica"/>
          <w:kern w:val="0"/>
          <w:sz w:val="24"/>
        </w:rPr>
        <w:fldChar w:fldCharType="separate"/>
      </w:r>
      <w:r>
        <w:rPr>
          <w:rFonts w:hint="eastAsia" w:ascii="宋体" w:hAnsi="宋体" w:cs="Helvetica"/>
          <w:kern w:val="0"/>
          <w:sz w:val="24"/>
          <w:lang w:eastAsia="zh-CN"/>
        </w:rPr>
        <w:t>省级信息安全系统运维项目采购</w:t>
      </w:r>
      <w:r>
        <w:rPr>
          <w:rFonts w:hint="eastAsia" w:ascii="宋体" w:hAnsi="宋体" w:cs="Helvetica"/>
          <w:kern w:val="0"/>
          <w:sz w:val="24"/>
        </w:rPr>
        <w:fldChar w:fldCharType="end"/>
      </w:r>
      <w:r>
        <w:rPr>
          <w:rFonts w:hint="eastAsia" w:ascii="宋体" w:hAnsi="宋体" w:cs="Helvetica"/>
          <w:kern w:val="0"/>
          <w:sz w:val="24"/>
        </w:rPr>
        <w:t xml:space="preserve"> </w:t>
      </w:r>
    </w:p>
    <w:p w14:paraId="27691D43">
      <w:pPr>
        <w:widowControl/>
        <w:spacing w:line="510" w:lineRule="atLeast"/>
        <w:ind w:firstLine="480"/>
        <w:jc w:val="left"/>
        <w:rPr>
          <w:rFonts w:ascii="宋体" w:hAnsi="宋体" w:cs="Helvetica"/>
          <w:kern w:val="0"/>
          <w:sz w:val="24"/>
        </w:rPr>
      </w:pPr>
      <w:r>
        <w:rPr>
          <w:rFonts w:hint="eastAsia" w:ascii="宋体" w:hAnsi="宋体" w:cs="Helvetica"/>
          <w:kern w:val="0"/>
          <w:sz w:val="24"/>
        </w:rPr>
        <w:t>3.预算金额：</w:t>
      </w:r>
      <w:r>
        <w:rPr>
          <w:rFonts w:hint="eastAsia" w:ascii="宋体" w:hAnsi="宋体" w:cs="Helvetica"/>
          <w:kern w:val="0"/>
          <w:sz w:val="24"/>
        </w:rPr>
        <w:fldChar w:fldCharType="begin"/>
      </w:r>
      <w:r>
        <w:rPr>
          <w:rFonts w:hint="eastAsia" w:ascii="宋体" w:hAnsi="宋体" w:cs="Helvetica"/>
          <w:kern w:val="0"/>
          <w:sz w:val="24"/>
        </w:rPr>
        <w:instrText xml:space="preserve"> MERGEFIELD "（预算金额）" </w:instrText>
      </w:r>
      <w:r>
        <w:rPr>
          <w:rFonts w:hint="eastAsia" w:ascii="宋体" w:hAnsi="宋体" w:cs="Helvetica"/>
          <w:kern w:val="0"/>
          <w:sz w:val="24"/>
        </w:rPr>
        <w:fldChar w:fldCharType="separate"/>
      </w:r>
      <w:r>
        <w:rPr>
          <w:rFonts w:hint="eastAsia" w:ascii="宋体" w:hAnsi="宋体" w:cs="Helvetica"/>
          <w:kern w:val="0"/>
          <w:sz w:val="24"/>
        </w:rPr>
        <w:t>300,000.00元</w:t>
      </w:r>
      <w:r>
        <w:rPr>
          <w:rFonts w:hint="eastAsia" w:ascii="宋体" w:hAnsi="宋体" w:cs="Helvetica"/>
          <w:kern w:val="0"/>
          <w:sz w:val="24"/>
        </w:rPr>
        <w:fldChar w:fldCharType="end"/>
      </w:r>
    </w:p>
    <w:p w14:paraId="3DCA994A">
      <w:pPr>
        <w:widowControl/>
        <w:spacing w:line="510" w:lineRule="atLeast"/>
        <w:ind w:firstLine="480"/>
        <w:jc w:val="left"/>
        <w:rPr>
          <w:rFonts w:ascii="宋体" w:hAnsi="宋体" w:cs="Helvetica"/>
          <w:kern w:val="0"/>
          <w:sz w:val="24"/>
        </w:rPr>
      </w:pPr>
      <w:r>
        <w:rPr>
          <w:rFonts w:hint="eastAsia" w:ascii="宋体" w:hAnsi="宋体" w:cs="Helvetica"/>
          <w:kern w:val="0"/>
          <w:sz w:val="24"/>
        </w:rPr>
        <w:t>4.采购需求：</w:t>
      </w:r>
    </w:p>
    <w:p w14:paraId="4605BC42">
      <w:pPr>
        <w:widowControl/>
        <w:spacing w:line="510" w:lineRule="atLeast"/>
        <w:ind w:firstLine="480"/>
        <w:jc w:val="left"/>
        <w:rPr>
          <w:rFonts w:ascii="宋体" w:hAnsi="宋体" w:cs="Helvetica"/>
          <w:kern w:val="0"/>
          <w:sz w:val="24"/>
        </w:rPr>
      </w:pPr>
      <w:r>
        <w:rPr>
          <w:rFonts w:hint="eastAsia" w:ascii="宋体" w:hAnsi="宋体" w:cs="Helvetica"/>
          <w:kern w:val="0"/>
          <w:sz w:val="24"/>
        </w:rPr>
        <w:t>合同包1(</w:t>
      </w:r>
      <w:r>
        <w:rPr>
          <w:rFonts w:hint="eastAsia" w:ascii="宋体" w:hAnsi="宋体" w:cs="Helvetica"/>
          <w:kern w:val="0"/>
          <w:sz w:val="24"/>
        </w:rPr>
        <w:fldChar w:fldCharType="begin"/>
      </w:r>
      <w:r>
        <w:rPr>
          <w:rFonts w:hint="eastAsia" w:ascii="宋体" w:hAnsi="宋体" w:cs="Helvetica"/>
          <w:kern w:val="0"/>
          <w:sz w:val="24"/>
        </w:rPr>
        <w:instrText xml:space="preserve"> MERGEFIELD "（项目名称）" </w:instrText>
      </w:r>
      <w:r>
        <w:rPr>
          <w:rFonts w:hint="eastAsia" w:ascii="宋体" w:hAnsi="宋体" w:cs="Helvetica"/>
          <w:kern w:val="0"/>
          <w:sz w:val="24"/>
        </w:rPr>
        <w:fldChar w:fldCharType="separate"/>
      </w:r>
      <w:r>
        <w:rPr>
          <w:rFonts w:hint="eastAsia" w:ascii="宋体" w:hAnsi="宋体" w:cs="Helvetica"/>
          <w:kern w:val="0"/>
          <w:sz w:val="24"/>
          <w:lang w:eastAsia="zh-CN"/>
        </w:rPr>
        <w:t>省级信息安全系统运维项目采购</w:t>
      </w:r>
      <w:r>
        <w:rPr>
          <w:rFonts w:hint="eastAsia" w:ascii="宋体" w:hAnsi="宋体" w:cs="Helvetica"/>
          <w:kern w:val="0"/>
          <w:sz w:val="24"/>
        </w:rPr>
        <w:fldChar w:fldCharType="end"/>
      </w:r>
      <w:r>
        <w:rPr>
          <w:rFonts w:hint="eastAsia" w:ascii="宋体" w:hAnsi="宋体" w:cs="Helvetica"/>
          <w:kern w:val="0"/>
          <w:sz w:val="24"/>
        </w:rPr>
        <w:t>):</w:t>
      </w:r>
    </w:p>
    <w:p w14:paraId="72FC6F2A">
      <w:pPr>
        <w:widowControl/>
        <w:spacing w:line="510" w:lineRule="atLeast"/>
        <w:ind w:firstLine="480"/>
        <w:jc w:val="left"/>
        <w:rPr>
          <w:rFonts w:ascii="宋体" w:hAnsi="宋体" w:cs="Helvetica"/>
          <w:kern w:val="0"/>
          <w:sz w:val="24"/>
        </w:rPr>
      </w:pPr>
      <w:r>
        <w:rPr>
          <w:rFonts w:hint="eastAsia" w:ascii="宋体" w:hAnsi="宋体" w:cs="Helvetica"/>
          <w:kern w:val="0"/>
          <w:sz w:val="24"/>
        </w:rPr>
        <w:t>合同包预算金额：</w:t>
      </w:r>
      <w:r>
        <w:rPr>
          <w:rFonts w:hint="eastAsia" w:ascii="宋体" w:hAnsi="宋体" w:cs="Helvetica"/>
          <w:kern w:val="0"/>
          <w:sz w:val="24"/>
        </w:rPr>
        <w:fldChar w:fldCharType="begin"/>
      </w:r>
      <w:r>
        <w:rPr>
          <w:rFonts w:hint="eastAsia" w:ascii="宋体" w:hAnsi="宋体" w:cs="Helvetica"/>
          <w:kern w:val="0"/>
          <w:sz w:val="24"/>
        </w:rPr>
        <w:instrText xml:space="preserve"> MERGEFIELD "（预算金额）" </w:instrText>
      </w:r>
      <w:r>
        <w:rPr>
          <w:rFonts w:hint="eastAsia" w:ascii="宋体" w:hAnsi="宋体" w:cs="Helvetica"/>
          <w:kern w:val="0"/>
          <w:sz w:val="24"/>
        </w:rPr>
        <w:fldChar w:fldCharType="separate"/>
      </w:r>
      <w:r>
        <w:rPr>
          <w:rFonts w:hint="eastAsia" w:ascii="宋体" w:hAnsi="宋体" w:cs="Helvetica"/>
          <w:kern w:val="0"/>
          <w:sz w:val="24"/>
        </w:rPr>
        <w:t>300,000.00元</w:t>
      </w:r>
      <w:r>
        <w:rPr>
          <w:rFonts w:hint="eastAsia" w:ascii="宋体" w:hAnsi="宋体" w:cs="Helvetica"/>
          <w:kern w:val="0"/>
          <w:sz w:val="24"/>
        </w:rPr>
        <w:fldChar w:fldCharType="end"/>
      </w:r>
    </w:p>
    <w:p w14:paraId="5DDD0FB3">
      <w:pPr>
        <w:widowControl/>
        <w:spacing w:line="510" w:lineRule="atLeast"/>
        <w:ind w:firstLine="480"/>
        <w:jc w:val="left"/>
        <w:rPr>
          <w:rFonts w:ascii="宋体" w:hAnsi="宋体" w:cs="Helvetica"/>
          <w:kern w:val="0"/>
          <w:sz w:val="24"/>
        </w:rPr>
      </w:pPr>
      <w:r>
        <w:rPr>
          <w:rFonts w:hint="eastAsia" w:ascii="宋体" w:hAnsi="宋体" w:cs="Helvetica"/>
          <w:kern w:val="0"/>
          <w:sz w:val="24"/>
        </w:rPr>
        <w:t>合同包最高限价：</w:t>
      </w:r>
      <w:r>
        <w:rPr>
          <w:rFonts w:hint="eastAsia" w:ascii="宋体" w:hAnsi="宋体" w:cs="Helvetica"/>
          <w:kern w:val="0"/>
          <w:sz w:val="24"/>
        </w:rPr>
        <w:fldChar w:fldCharType="begin"/>
      </w:r>
      <w:r>
        <w:rPr>
          <w:rFonts w:hint="eastAsia" w:ascii="宋体" w:hAnsi="宋体" w:cs="Helvetica"/>
          <w:kern w:val="0"/>
          <w:sz w:val="24"/>
        </w:rPr>
        <w:instrText xml:space="preserve"> MERGEFIELD "（预算金额）" </w:instrText>
      </w:r>
      <w:r>
        <w:rPr>
          <w:rFonts w:hint="eastAsia" w:ascii="宋体" w:hAnsi="宋体" w:cs="Helvetica"/>
          <w:kern w:val="0"/>
          <w:sz w:val="24"/>
        </w:rPr>
        <w:fldChar w:fldCharType="separate"/>
      </w:r>
      <w:r>
        <w:rPr>
          <w:rFonts w:hint="eastAsia" w:ascii="宋体" w:hAnsi="宋体" w:cs="Helvetica"/>
          <w:kern w:val="0"/>
          <w:sz w:val="24"/>
        </w:rPr>
        <w:t>300,000.00元</w:t>
      </w:r>
      <w:r>
        <w:rPr>
          <w:rFonts w:hint="eastAsia" w:ascii="宋体" w:hAnsi="宋体" w:cs="Helvetica"/>
          <w:kern w:val="0"/>
          <w:sz w:val="24"/>
        </w:rPr>
        <w:fldChar w:fldCharType="end"/>
      </w:r>
    </w:p>
    <w:p w14:paraId="01982B17">
      <w:pPr>
        <w:pStyle w:val="11"/>
      </w:pPr>
    </w:p>
    <w:tbl>
      <w:tblPr>
        <w:tblStyle w:val="28"/>
        <w:tblW w:w="945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0"/>
        <w:gridCol w:w="1305"/>
        <w:gridCol w:w="1930"/>
        <w:gridCol w:w="1153"/>
        <w:gridCol w:w="1125"/>
        <w:gridCol w:w="1416"/>
        <w:gridCol w:w="1416"/>
      </w:tblGrid>
      <w:tr w14:paraId="323EE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4836F675">
            <w:pPr>
              <w:widowControl/>
              <w:spacing w:line="510" w:lineRule="atLeast"/>
              <w:jc w:val="center"/>
              <w:rPr>
                <w:rFonts w:ascii="宋体" w:hAnsi="宋体" w:cs="Helvetica"/>
                <w:kern w:val="0"/>
                <w:sz w:val="24"/>
              </w:rPr>
            </w:pPr>
            <w:r>
              <w:rPr>
                <w:rFonts w:hint="eastAsia" w:ascii="宋体" w:hAnsi="宋体" w:cs="Helvetica"/>
                <w:kern w:val="0"/>
                <w:sz w:val="24"/>
              </w:rPr>
              <w:t>品目号</w:t>
            </w:r>
          </w:p>
        </w:tc>
        <w:tc>
          <w:tcPr>
            <w:tcW w:w="1418" w:type="dxa"/>
            <w:vAlign w:val="center"/>
          </w:tcPr>
          <w:p w14:paraId="50A16D82">
            <w:pPr>
              <w:widowControl/>
              <w:spacing w:line="510" w:lineRule="atLeast"/>
              <w:jc w:val="center"/>
              <w:rPr>
                <w:rFonts w:ascii="宋体" w:hAnsi="宋体" w:cs="Helvetica"/>
                <w:kern w:val="0"/>
                <w:sz w:val="24"/>
              </w:rPr>
            </w:pPr>
            <w:r>
              <w:rPr>
                <w:rFonts w:hint="eastAsia" w:ascii="宋体" w:hAnsi="宋体" w:cs="Helvetica"/>
                <w:kern w:val="0"/>
                <w:sz w:val="24"/>
              </w:rPr>
              <w:t>品目名称</w:t>
            </w:r>
          </w:p>
        </w:tc>
        <w:tc>
          <w:tcPr>
            <w:tcW w:w="2127" w:type="dxa"/>
            <w:vAlign w:val="center"/>
          </w:tcPr>
          <w:p w14:paraId="3008930F">
            <w:pPr>
              <w:widowControl/>
              <w:spacing w:line="510" w:lineRule="atLeast"/>
              <w:jc w:val="center"/>
              <w:rPr>
                <w:rFonts w:ascii="宋体" w:hAnsi="宋体" w:cs="Helvetica"/>
                <w:kern w:val="0"/>
                <w:sz w:val="24"/>
              </w:rPr>
            </w:pPr>
            <w:r>
              <w:rPr>
                <w:rFonts w:hint="eastAsia" w:ascii="宋体" w:hAnsi="宋体" w:cs="Helvetica"/>
                <w:kern w:val="0"/>
                <w:sz w:val="24"/>
              </w:rPr>
              <w:t>采购标的</w:t>
            </w:r>
          </w:p>
        </w:tc>
        <w:tc>
          <w:tcPr>
            <w:tcW w:w="1182" w:type="dxa"/>
            <w:vAlign w:val="center"/>
          </w:tcPr>
          <w:p w14:paraId="332874CF">
            <w:pPr>
              <w:widowControl/>
              <w:spacing w:line="510" w:lineRule="atLeast"/>
              <w:jc w:val="center"/>
              <w:rPr>
                <w:rFonts w:ascii="宋体" w:hAnsi="宋体" w:cs="Helvetica"/>
                <w:kern w:val="0"/>
                <w:sz w:val="24"/>
              </w:rPr>
            </w:pPr>
            <w:r>
              <w:rPr>
                <w:rFonts w:hint="eastAsia" w:ascii="宋体" w:hAnsi="宋体" w:cs="Helvetica"/>
                <w:kern w:val="0"/>
                <w:sz w:val="24"/>
              </w:rPr>
              <w:t>数量（单位）</w:t>
            </w:r>
          </w:p>
        </w:tc>
        <w:tc>
          <w:tcPr>
            <w:tcW w:w="1182" w:type="dxa"/>
            <w:vAlign w:val="center"/>
          </w:tcPr>
          <w:p w14:paraId="740A2AE8">
            <w:pPr>
              <w:widowControl/>
              <w:spacing w:line="510" w:lineRule="atLeast"/>
              <w:jc w:val="center"/>
              <w:rPr>
                <w:rFonts w:ascii="宋体" w:hAnsi="宋体" w:cs="Helvetica"/>
                <w:kern w:val="0"/>
                <w:sz w:val="24"/>
              </w:rPr>
            </w:pPr>
            <w:r>
              <w:rPr>
                <w:rFonts w:hint="eastAsia" w:ascii="宋体" w:hAnsi="宋体" w:cs="Helvetica"/>
                <w:kern w:val="0"/>
                <w:sz w:val="24"/>
              </w:rPr>
              <w:t>技术规格、参数及要求</w:t>
            </w:r>
          </w:p>
        </w:tc>
        <w:tc>
          <w:tcPr>
            <w:tcW w:w="1182" w:type="dxa"/>
            <w:vAlign w:val="center"/>
          </w:tcPr>
          <w:p w14:paraId="62BF699A">
            <w:pPr>
              <w:widowControl/>
              <w:spacing w:line="510" w:lineRule="atLeast"/>
              <w:jc w:val="center"/>
              <w:rPr>
                <w:rFonts w:ascii="宋体" w:hAnsi="宋体" w:cs="Helvetica"/>
                <w:kern w:val="0"/>
                <w:sz w:val="24"/>
              </w:rPr>
            </w:pPr>
            <w:r>
              <w:rPr>
                <w:rFonts w:ascii="宋体" w:hAnsi="宋体" w:cs="Helvetica"/>
                <w:kern w:val="0"/>
                <w:sz w:val="24"/>
              </w:rPr>
              <w:t>品目预算(元)</w:t>
            </w:r>
          </w:p>
        </w:tc>
        <w:tc>
          <w:tcPr>
            <w:tcW w:w="1182" w:type="dxa"/>
            <w:vAlign w:val="center"/>
          </w:tcPr>
          <w:p w14:paraId="6AD8C031">
            <w:pPr>
              <w:widowControl/>
              <w:spacing w:line="510" w:lineRule="atLeast"/>
              <w:jc w:val="center"/>
              <w:rPr>
                <w:rFonts w:ascii="宋体" w:hAnsi="宋体" w:cs="Helvetica"/>
                <w:kern w:val="0"/>
                <w:sz w:val="24"/>
              </w:rPr>
            </w:pPr>
            <w:r>
              <w:rPr>
                <w:rFonts w:ascii="宋体" w:hAnsi="宋体" w:cs="Helvetica"/>
                <w:kern w:val="0"/>
                <w:sz w:val="24"/>
              </w:rPr>
              <w:t>最高限价(元)</w:t>
            </w:r>
          </w:p>
        </w:tc>
      </w:tr>
      <w:tr w14:paraId="2F73F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1832096B">
            <w:pPr>
              <w:widowControl/>
              <w:spacing w:line="510" w:lineRule="atLeast"/>
              <w:jc w:val="center"/>
              <w:rPr>
                <w:rFonts w:ascii="宋体" w:hAnsi="宋体" w:cs="Helvetica"/>
                <w:kern w:val="0"/>
                <w:sz w:val="24"/>
              </w:rPr>
            </w:pPr>
            <w:r>
              <w:rPr>
                <w:rFonts w:hint="eastAsia" w:ascii="宋体" w:hAnsi="宋体" w:cs="Helvetica"/>
                <w:kern w:val="0"/>
                <w:sz w:val="24"/>
              </w:rPr>
              <w:t>1-1</w:t>
            </w:r>
          </w:p>
        </w:tc>
        <w:tc>
          <w:tcPr>
            <w:tcW w:w="1418" w:type="dxa"/>
            <w:vAlign w:val="center"/>
          </w:tcPr>
          <w:p w14:paraId="1405C603">
            <w:pPr>
              <w:widowControl/>
              <w:spacing w:line="510" w:lineRule="atLeast"/>
              <w:jc w:val="center"/>
              <w:rPr>
                <w:rFonts w:ascii="宋体" w:hAnsi="宋体" w:cs="Helvetica"/>
                <w:kern w:val="0"/>
                <w:sz w:val="24"/>
              </w:rPr>
            </w:pPr>
            <w:r>
              <w:rPr>
                <w:rFonts w:hint="eastAsia" w:ascii="宋体" w:hAnsi="宋体" w:cs="Helvetica"/>
                <w:kern w:val="0"/>
                <w:sz w:val="24"/>
              </w:rPr>
              <w:t>运维服务</w:t>
            </w:r>
          </w:p>
        </w:tc>
        <w:tc>
          <w:tcPr>
            <w:tcW w:w="2127" w:type="dxa"/>
            <w:vAlign w:val="center"/>
          </w:tcPr>
          <w:p w14:paraId="3369BCA3">
            <w:pPr>
              <w:widowControl/>
              <w:spacing w:line="510" w:lineRule="atLeast"/>
              <w:jc w:val="center"/>
              <w:rPr>
                <w:rFonts w:ascii="宋体" w:hAnsi="宋体" w:cs="Helvetica"/>
                <w:kern w:val="0"/>
                <w:sz w:val="24"/>
              </w:rPr>
            </w:pPr>
            <w:r>
              <w:rPr>
                <w:rFonts w:hint="eastAsia" w:ascii="宋体" w:hAnsi="宋体" w:cs="Helvetica"/>
                <w:kern w:val="0"/>
                <w:sz w:val="24"/>
              </w:rPr>
              <w:fldChar w:fldCharType="begin"/>
            </w:r>
            <w:r>
              <w:rPr>
                <w:rFonts w:hint="eastAsia" w:ascii="宋体" w:hAnsi="宋体" w:cs="Helvetica"/>
                <w:kern w:val="0"/>
                <w:sz w:val="24"/>
              </w:rPr>
              <w:instrText xml:space="preserve"> MERGEFIELD "（项目名称）" </w:instrText>
            </w:r>
            <w:r>
              <w:rPr>
                <w:rFonts w:hint="eastAsia" w:ascii="宋体" w:hAnsi="宋体" w:cs="Helvetica"/>
                <w:kern w:val="0"/>
                <w:sz w:val="24"/>
              </w:rPr>
              <w:fldChar w:fldCharType="separate"/>
            </w:r>
            <w:r>
              <w:rPr>
                <w:rFonts w:hint="eastAsia" w:ascii="宋体" w:hAnsi="宋体" w:cs="Helvetica"/>
                <w:kern w:val="0"/>
                <w:sz w:val="24"/>
                <w:lang w:eastAsia="zh-CN"/>
              </w:rPr>
              <w:t>省级信息安全系统运维项目采购</w:t>
            </w:r>
            <w:r>
              <w:rPr>
                <w:rFonts w:hint="eastAsia" w:ascii="宋体" w:hAnsi="宋体" w:cs="Helvetica"/>
                <w:kern w:val="0"/>
                <w:sz w:val="24"/>
              </w:rPr>
              <w:fldChar w:fldCharType="end"/>
            </w:r>
          </w:p>
        </w:tc>
        <w:tc>
          <w:tcPr>
            <w:tcW w:w="1182" w:type="dxa"/>
            <w:vAlign w:val="center"/>
          </w:tcPr>
          <w:p w14:paraId="3D0DCCA7">
            <w:pPr>
              <w:widowControl/>
              <w:spacing w:line="510" w:lineRule="atLeast"/>
              <w:jc w:val="center"/>
              <w:rPr>
                <w:rFonts w:ascii="宋体" w:hAnsi="宋体" w:cs="Helvetica"/>
                <w:kern w:val="0"/>
                <w:sz w:val="24"/>
              </w:rPr>
            </w:pPr>
            <w:r>
              <w:rPr>
                <w:rFonts w:hint="eastAsia" w:ascii="宋体" w:hAnsi="宋体" w:cs="Helvetica"/>
                <w:kern w:val="0"/>
                <w:sz w:val="24"/>
              </w:rPr>
              <w:t>1（项）</w:t>
            </w:r>
          </w:p>
        </w:tc>
        <w:tc>
          <w:tcPr>
            <w:tcW w:w="1182" w:type="dxa"/>
            <w:vAlign w:val="center"/>
          </w:tcPr>
          <w:p w14:paraId="2CAA7E21">
            <w:pPr>
              <w:widowControl/>
              <w:spacing w:line="510" w:lineRule="atLeast"/>
              <w:jc w:val="center"/>
              <w:rPr>
                <w:rFonts w:ascii="宋体" w:hAnsi="宋体" w:cs="Helvetica"/>
                <w:kern w:val="0"/>
                <w:sz w:val="24"/>
              </w:rPr>
            </w:pPr>
            <w:r>
              <w:rPr>
                <w:rFonts w:hint="eastAsia" w:ascii="宋体" w:hAnsi="宋体" w:cs="Helvetica"/>
                <w:kern w:val="0"/>
                <w:sz w:val="24"/>
              </w:rPr>
              <w:t>详见采购文件</w:t>
            </w:r>
          </w:p>
        </w:tc>
        <w:tc>
          <w:tcPr>
            <w:tcW w:w="1182" w:type="dxa"/>
            <w:vAlign w:val="center"/>
          </w:tcPr>
          <w:p w14:paraId="27BE5FFE">
            <w:pPr>
              <w:widowControl/>
              <w:spacing w:line="510" w:lineRule="atLeast"/>
              <w:jc w:val="center"/>
              <w:rPr>
                <w:rFonts w:ascii="宋体" w:hAnsi="宋体" w:cs="Helvetica"/>
                <w:kern w:val="0"/>
                <w:sz w:val="24"/>
              </w:rPr>
            </w:pPr>
            <w:r>
              <w:rPr>
                <w:rFonts w:hint="eastAsia" w:ascii="宋体" w:hAnsi="宋体" w:cs="Helvetica"/>
                <w:kern w:val="0"/>
                <w:sz w:val="24"/>
              </w:rPr>
              <w:t>300,000.00</w:t>
            </w:r>
          </w:p>
        </w:tc>
        <w:tc>
          <w:tcPr>
            <w:tcW w:w="1182" w:type="dxa"/>
            <w:vAlign w:val="center"/>
          </w:tcPr>
          <w:p w14:paraId="6B3C26C7">
            <w:pPr>
              <w:widowControl/>
              <w:spacing w:line="510" w:lineRule="atLeast"/>
              <w:jc w:val="center"/>
              <w:rPr>
                <w:rFonts w:ascii="宋体" w:hAnsi="宋体" w:cs="Helvetica"/>
                <w:kern w:val="0"/>
                <w:sz w:val="24"/>
              </w:rPr>
            </w:pPr>
            <w:r>
              <w:rPr>
                <w:rFonts w:hint="eastAsia" w:ascii="宋体" w:hAnsi="宋体" w:cs="Helvetica"/>
                <w:kern w:val="0"/>
                <w:sz w:val="24"/>
              </w:rPr>
              <w:t>300,000.00</w:t>
            </w:r>
          </w:p>
        </w:tc>
      </w:tr>
    </w:tbl>
    <w:p w14:paraId="08F3F29B">
      <w:pPr>
        <w:widowControl/>
        <w:spacing w:line="510" w:lineRule="atLeast"/>
        <w:ind w:firstLine="480"/>
        <w:jc w:val="left"/>
        <w:rPr>
          <w:rFonts w:ascii="宋体" w:hAnsi="宋体" w:cs="Helvetica"/>
          <w:kern w:val="0"/>
          <w:sz w:val="24"/>
        </w:rPr>
      </w:pPr>
      <w:r>
        <w:rPr>
          <w:rFonts w:hint="eastAsia" w:ascii="宋体" w:hAnsi="宋体" w:cs="Helvetica"/>
          <w:kern w:val="0"/>
          <w:sz w:val="24"/>
        </w:rPr>
        <w:t>本合同包不接受联合体磋商。</w:t>
      </w:r>
    </w:p>
    <w:p w14:paraId="4B1BBA31">
      <w:pPr>
        <w:widowControl/>
        <w:spacing w:line="510" w:lineRule="atLeast"/>
        <w:ind w:firstLine="480"/>
        <w:jc w:val="left"/>
        <w:rPr>
          <w:rFonts w:ascii="宋体" w:hAnsi="宋体" w:cs="Helvetica"/>
          <w:kern w:val="0"/>
          <w:sz w:val="24"/>
        </w:rPr>
      </w:pPr>
      <w:r>
        <w:rPr>
          <w:rFonts w:hint="eastAsia" w:ascii="宋体" w:hAnsi="宋体" w:cs="Helvetica"/>
          <w:kern w:val="0"/>
          <w:sz w:val="24"/>
        </w:rPr>
        <w:t>服务期限：</w:t>
      </w:r>
      <w:r>
        <w:rPr>
          <w:rFonts w:hint="eastAsia" w:ascii="宋体" w:hAnsi="宋体" w:cs="Helvetica"/>
          <w:kern w:val="0"/>
          <w:sz w:val="24"/>
          <w:lang w:val="en-US" w:eastAsia="zh-CN"/>
        </w:rPr>
        <w:t>自合同签订之日起</w:t>
      </w:r>
      <w:r>
        <w:rPr>
          <w:rFonts w:hint="eastAsia" w:ascii="宋体" w:hAnsi="宋体" w:cs="Helvetica"/>
          <w:kern w:val="0"/>
          <w:sz w:val="24"/>
        </w:rPr>
        <w:t>一年</w:t>
      </w:r>
    </w:p>
    <w:p w14:paraId="46CC8E7C">
      <w:pPr>
        <w:widowControl/>
        <w:spacing w:line="510" w:lineRule="atLeast"/>
        <w:ind w:firstLine="480"/>
        <w:jc w:val="left"/>
        <w:rPr>
          <w:rFonts w:ascii="宋体" w:hAnsi="宋体" w:cs="Helvetica"/>
          <w:b/>
          <w:bCs/>
          <w:kern w:val="0"/>
          <w:sz w:val="24"/>
        </w:rPr>
      </w:pPr>
      <w:r>
        <w:rPr>
          <w:rFonts w:hint="eastAsia" w:ascii="宋体" w:hAnsi="宋体" w:cs="Helvetica"/>
          <w:b/>
          <w:bCs/>
          <w:kern w:val="0"/>
          <w:sz w:val="24"/>
        </w:rPr>
        <w:t xml:space="preserve">二、供应商的资格要求 </w:t>
      </w:r>
    </w:p>
    <w:p w14:paraId="2666636C">
      <w:pPr>
        <w:widowControl/>
        <w:spacing w:line="510" w:lineRule="atLeast"/>
        <w:ind w:firstLine="480"/>
        <w:jc w:val="left"/>
        <w:rPr>
          <w:rFonts w:ascii="宋体" w:hAnsi="宋体" w:cs="Helvetica"/>
          <w:kern w:val="0"/>
          <w:sz w:val="24"/>
        </w:rPr>
      </w:pPr>
      <w:r>
        <w:rPr>
          <w:rFonts w:hint="eastAsia" w:ascii="宋体" w:hAnsi="宋体" w:cs="Helvetica"/>
          <w:kern w:val="0"/>
          <w:sz w:val="24"/>
        </w:rPr>
        <w:t>1.满足《中华人民共和国政府采购法》第二十二条规定;</w:t>
      </w:r>
    </w:p>
    <w:p w14:paraId="77561EFA">
      <w:pPr>
        <w:widowControl/>
        <w:spacing w:line="510" w:lineRule="atLeast"/>
        <w:ind w:firstLine="480"/>
        <w:jc w:val="left"/>
        <w:rPr>
          <w:rFonts w:ascii="宋体" w:hAnsi="宋体" w:cs="Helvetica"/>
          <w:kern w:val="0"/>
          <w:sz w:val="24"/>
        </w:rPr>
      </w:pPr>
      <w:r>
        <w:rPr>
          <w:rFonts w:hint="eastAsia" w:ascii="宋体" w:hAnsi="宋体" w:cs="Helvetica"/>
          <w:kern w:val="0"/>
          <w:sz w:val="24"/>
        </w:rPr>
        <w:t>1.1主体资格证明文件：提供有效存续的企业营业执照（副本）/事业单位法人证书/专业服务机构执业许可证/民办非企业单位登记证书等主体资格证明文件，自然人投标提供其身份证明文件。</w:t>
      </w:r>
    </w:p>
    <w:p w14:paraId="7A1DE6D6">
      <w:pPr>
        <w:widowControl/>
        <w:spacing w:line="510" w:lineRule="atLeast"/>
        <w:ind w:firstLine="480"/>
        <w:jc w:val="left"/>
        <w:rPr>
          <w:rFonts w:ascii="宋体" w:hAnsi="宋体" w:cs="Helvetica"/>
          <w:kern w:val="0"/>
          <w:sz w:val="24"/>
        </w:rPr>
      </w:pPr>
      <w:r>
        <w:rPr>
          <w:rFonts w:hint="eastAsia" w:ascii="宋体" w:hAnsi="宋体" w:cs="Helvetica"/>
          <w:kern w:val="0"/>
          <w:sz w:val="24"/>
        </w:rPr>
        <w:t>1.2财务状况报告：提供</w:t>
      </w:r>
      <w:r>
        <w:rPr>
          <w:rFonts w:hint="eastAsia" w:ascii="宋体" w:hAnsi="宋体" w:cs="Helvetica"/>
          <w:kern w:val="0"/>
          <w:sz w:val="24"/>
          <w:lang w:eastAsia="zh-CN"/>
        </w:rPr>
        <w:t>2024年</w:t>
      </w:r>
      <w:r>
        <w:rPr>
          <w:rFonts w:hint="eastAsia" w:ascii="宋体" w:hAnsi="宋体" w:cs="Helvetica"/>
          <w:kern w:val="0"/>
          <w:sz w:val="24"/>
        </w:rPr>
        <w:t>度经审计的财务报告（成立时间至提交响应文件截止时间不足一年的可提供成立后任意时段的资产负债表），或其递交响应文件截止之日前三个月内基本开户银行出具的资信证明（以上</w:t>
      </w:r>
      <w:r>
        <w:rPr>
          <w:rFonts w:hint="eastAsia" w:ascii="宋体" w:hAnsi="宋体" w:cs="Helvetica"/>
          <w:kern w:val="0"/>
          <w:sz w:val="24"/>
          <w:lang w:val="en-US" w:eastAsia="zh-CN"/>
        </w:rPr>
        <w:t>两</w:t>
      </w:r>
      <w:r>
        <w:rPr>
          <w:rFonts w:hint="eastAsia" w:ascii="宋体" w:hAnsi="宋体" w:cs="Helvetica"/>
          <w:kern w:val="0"/>
          <w:sz w:val="24"/>
        </w:rPr>
        <w:t>种形式的资料提供任何一种即可）。</w:t>
      </w:r>
    </w:p>
    <w:p w14:paraId="7FF6E32C">
      <w:pPr>
        <w:widowControl/>
        <w:spacing w:line="510" w:lineRule="atLeast"/>
        <w:ind w:firstLine="480"/>
        <w:jc w:val="left"/>
        <w:rPr>
          <w:rFonts w:hint="eastAsia" w:ascii="宋体" w:hAnsi="宋体" w:cs="Helvetica"/>
          <w:kern w:val="0"/>
          <w:sz w:val="24"/>
          <w:lang w:eastAsia="zh-CN"/>
        </w:rPr>
      </w:pPr>
      <w:r>
        <w:rPr>
          <w:rFonts w:hint="eastAsia" w:ascii="宋体" w:hAnsi="宋体" w:cs="Helvetica"/>
          <w:kern w:val="0"/>
          <w:sz w:val="24"/>
        </w:rPr>
        <w:t>1.3书面声明：提供书面声明，包括声明具有履行合同所必需的设备和专业技术能力</w:t>
      </w:r>
      <w:r>
        <w:rPr>
          <w:rFonts w:hint="eastAsia" w:ascii="宋体" w:hAnsi="宋体" w:cs="Helvetica"/>
          <w:kern w:val="0"/>
          <w:sz w:val="24"/>
          <w:lang w:eastAsia="zh-CN"/>
        </w:rPr>
        <w:t>。</w:t>
      </w:r>
    </w:p>
    <w:p w14:paraId="02E6E88D">
      <w:pPr>
        <w:widowControl/>
        <w:spacing w:line="510" w:lineRule="atLeast"/>
        <w:ind w:firstLine="480"/>
        <w:jc w:val="left"/>
        <w:rPr>
          <w:rFonts w:ascii="宋体" w:hAnsi="宋体" w:cs="Helvetica"/>
          <w:kern w:val="0"/>
          <w:sz w:val="24"/>
        </w:rPr>
      </w:pPr>
      <w:r>
        <w:rPr>
          <w:rFonts w:hint="eastAsia" w:ascii="宋体" w:hAnsi="宋体" w:cs="Helvetica"/>
          <w:kern w:val="0"/>
          <w:sz w:val="24"/>
        </w:rPr>
        <w:t>1.4社保缴纳证明：提供递交响应文件截止之日前一年内任意一个月的社会保障资金缴存单据或社保机构开具的社会保险参保缴费情况证明。依法不需要缴纳社会保障资金的供应商应提供相关文件证明。</w:t>
      </w:r>
    </w:p>
    <w:p w14:paraId="1A444335">
      <w:pPr>
        <w:widowControl/>
        <w:spacing w:line="510" w:lineRule="atLeast"/>
        <w:ind w:firstLine="480"/>
        <w:jc w:val="left"/>
        <w:rPr>
          <w:rFonts w:ascii="宋体" w:hAnsi="宋体" w:cs="Helvetica"/>
          <w:kern w:val="0"/>
          <w:sz w:val="24"/>
        </w:rPr>
      </w:pPr>
      <w:r>
        <w:rPr>
          <w:rFonts w:hint="eastAsia" w:ascii="宋体" w:hAnsi="宋体" w:cs="Helvetica"/>
          <w:kern w:val="0"/>
          <w:sz w:val="24"/>
        </w:rPr>
        <w:t>1.5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177BE09B">
      <w:pPr>
        <w:widowControl/>
        <w:spacing w:line="510" w:lineRule="atLeast"/>
        <w:ind w:firstLine="480"/>
        <w:jc w:val="left"/>
        <w:rPr>
          <w:rFonts w:ascii="宋体" w:hAnsi="宋体" w:cs="Helvetica"/>
          <w:kern w:val="0"/>
          <w:sz w:val="24"/>
        </w:rPr>
      </w:pPr>
      <w:r>
        <w:rPr>
          <w:rFonts w:hint="eastAsia" w:ascii="宋体" w:hAnsi="宋体" w:cs="Helvetica"/>
          <w:kern w:val="0"/>
          <w:sz w:val="24"/>
        </w:rPr>
        <w:t>1.6近三年无重大违法、违纪书面声明：提供《近三年无重大违法、违纪书面声明》。</w:t>
      </w:r>
    </w:p>
    <w:p w14:paraId="6428A7C0">
      <w:pPr>
        <w:widowControl/>
        <w:spacing w:line="510" w:lineRule="atLeast"/>
        <w:ind w:firstLine="480"/>
        <w:jc w:val="left"/>
        <w:rPr>
          <w:rFonts w:ascii="宋体" w:hAnsi="宋体" w:cs="Helvetica"/>
          <w:kern w:val="0"/>
          <w:sz w:val="24"/>
        </w:rPr>
      </w:pPr>
      <w:r>
        <w:rPr>
          <w:rFonts w:hint="eastAsia" w:ascii="宋体" w:hAnsi="宋体" w:cs="Helvetica"/>
          <w:kern w:val="0"/>
          <w:sz w:val="24"/>
        </w:rPr>
        <w:t>2.落实政府采购政策需满足的资格要求：</w:t>
      </w:r>
    </w:p>
    <w:p w14:paraId="364A4BCC">
      <w:pPr>
        <w:widowControl/>
        <w:spacing w:line="510" w:lineRule="atLeast"/>
        <w:ind w:firstLine="480"/>
        <w:jc w:val="left"/>
        <w:rPr>
          <w:rFonts w:ascii="宋体" w:hAnsi="宋体" w:cs="Helvetica"/>
          <w:kern w:val="0"/>
          <w:sz w:val="24"/>
        </w:rPr>
      </w:pPr>
      <w:r>
        <w:rPr>
          <w:rFonts w:hint="eastAsia" w:ascii="宋体" w:hAnsi="宋体"/>
          <w:color w:val="000000"/>
          <w:sz w:val="24"/>
          <w:shd w:val="clear" w:color="auto" w:fill="FFFFFF"/>
        </w:rPr>
        <w:t>本项目不专门面向中小企业采购。</w:t>
      </w:r>
    </w:p>
    <w:p w14:paraId="5F2D863C">
      <w:pPr>
        <w:widowControl/>
        <w:spacing w:line="510" w:lineRule="atLeast"/>
        <w:ind w:firstLine="480"/>
        <w:jc w:val="left"/>
        <w:rPr>
          <w:rFonts w:ascii="宋体" w:hAnsi="宋体" w:cs="Helvetica"/>
          <w:kern w:val="0"/>
          <w:sz w:val="24"/>
        </w:rPr>
      </w:pPr>
      <w:r>
        <w:rPr>
          <w:rFonts w:hint="eastAsia" w:ascii="宋体" w:hAnsi="宋体" w:cs="Helvetica"/>
          <w:kern w:val="0"/>
          <w:sz w:val="24"/>
        </w:rPr>
        <w:t>3.本项目的特定资格要求：</w:t>
      </w:r>
    </w:p>
    <w:p w14:paraId="588DCE31">
      <w:pPr>
        <w:widowControl/>
        <w:spacing w:line="510" w:lineRule="atLeast"/>
        <w:ind w:firstLine="480"/>
        <w:jc w:val="left"/>
        <w:rPr>
          <w:rFonts w:ascii="宋体" w:hAnsi="宋体" w:cs="Helvetica"/>
          <w:kern w:val="0"/>
          <w:sz w:val="24"/>
        </w:rPr>
      </w:pPr>
      <w:r>
        <w:rPr>
          <w:rFonts w:hint="eastAsia" w:ascii="宋体" w:hAnsi="宋体" w:cs="Helvetica"/>
          <w:kern w:val="0"/>
          <w:sz w:val="24"/>
        </w:rPr>
        <w:t>3.1信用记录：供应商未被列入“信用中国”网站记录的“失信被执行人”或“</w:t>
      </w:r>
      <w:r>
        <w:rPr>
          <w:rFonts w:hint="eastAsia" w:ascii="宋体" w:hAnsi="宋体" w:cs="Helvetica"/>
          <w:kern w:val="0"/>
          <w:sz w:val="24"/>
          <w:lang w:eastAsia="zh-CN"/>
        </w:rPr>
        <w:t>重大税收违法失信主体</w:t>
      </w:r>
      <w:r>
        <w:rPr>
          <w:rFonts w:hint="eastAsia" w:ascii="宋体" w:hAnsi="宋体" w:cs="Helvetica"/>
          <w:kern w:val="0"/>
          <w:sz w:val="24"/>
        </w:rPr>
        <w:t>”名单；不处于“中国政府采购网”记录的“政府采购严重违法失信行为记录名单”中的禁止参加政府采购活动期间。（以采购人或采购代理机构开标当天查询结果为准）；</w:t>
      </w:r>
    </w:p>
    <w:p w14:paraId="413226DF">
      <w:pPr>
        <w:widowControl/>
        <w:spacing w:line="510" w:lineRule="atLeast"/>
        <w:ind w:firstLine="480"/>
        <w:jc w:val="left"/>
        <w:rPr>
          <w:rFonts w:ascii="宋体" w:hAnsi="宋体" w:cs="Helvetica"/>
          <w:kern w:val="0"/>
          <w:sz w:val="24"/>
        </w:rPr>
      </w:pPr>
      <w:r>
        <w:rPr>
          <w:rFonts w:hint="eastAsia" w:ascii="宋体" w:hAnsi="宋体" w:cs="Helvetica"/>
          <w:kern w:val="0"/>
          <w:sz w:val="24"/>
        </w:rPr>
        <w:t>3.2控股管理关系：提供直接控股和管理关系清单。若与其他供应商存在单位负责人为同一人或者存在直接控股、管理关系的，则响应无效。</w:t>
      </w:r>
    </w:p>
    <w:p w14:paraId="693C8266">
      <w:pPr>
        <w:widowControl/>
        <w:spacing w:line="510" w:lineRule="atLeast"/>
        <w:ind w:firstLine="480"/>
        <w:jc w:val="left"/>
        <w:rPr>
          <w:rFonts w:ascii="宋体" w:hAnsi="宋体" w:cs="Helvetica"/>
          <w:kern w:val="0"/>
          <w:sz w:val="24"/>
        </w:rPr>
      </w:pPr>
      <w:r>
        <w:rPr>
          <w:rFonts w:hint="eastAsia" w:ascii="宋体" w:hAnsi="宋体" w:cs="Helvetica"/>
          <w:kern w:val="0"/>
          <w:sz w:val="24"/>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法人的分支机构参与磋商时，除提供《法定代表人授权委托书》外，还须同时提供法人给分支机构出具的授权书。</w:t>
      </w:r>
    </w:p>
    <w:p w14:paraId="43B1302F">
      <w:pPr>
        <w:widowControl/>
        <w:spacing w:line="510" w:lineRule="atLeast"/>
        <w:ind w:firstLine="480"/>
        <w:jc w:val="left"/>
        <w:rPr>
          <w:rFonts w:ascii="宋体" w:hAnsi="宋体" w:cs="Helvetica"/>
          <w:kern w:val="0"/>
          <w:sz w:val="24"/>
        </w:rPr>
      </w:pPr>
      <w:r>
        <w:rPr>
          <w:rFonts w:hint="eastAsia" w:ascii="宋体" w:hAnsi="宋体" w:cs="Helvetica"/>
          <w:kern w:val="0"/>
          <w:sz w:val="24"/>
        </w:rPr>
        <w:t>3.4本项目不接受联合体磋商，不允许分包。供应商应提供《非联合体不分包磋商声明》，视为独立磋商，不分包。</w:t>
      </w:r>
    </w:p>
    <w:p w14:paraId="106DE1F8">
      <w:pPr>
        <w:widowControl/>
        <w:spacing w:line="510" w:lineRule="atLeast"/>
        <w:ind w:firstLine="480"/>
        <w:jc w:val="left"/>
        <w:rPr>
          <w:rFonts w:ascii="宋体" w:hAnsi="宋体" w:cs="Helvetica"/>
          <w:b/>
          <w:bCs/>
          <w:kern w:val="0"/>
          <w:sz w:val="24"/>
        </w:rPr>
      </w:pPr>
      <w:r>
        <w:rPr>
          <w:rFonts w:hint="eastAsia" w:ascii="宋体" w:hAnsi="宋体" w:cs="Helvetica"/>
          <w:b/>
          <w:bCs/>
          <w:kern w:val="0"/>
          <w:sz w:val="24"/>
        </w:rPr>
        <w:t>三、获取采购文件</w:t>
      </w:r>
    </w:p>
    <w:p w14:paraId="6E353775">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时间：2025年06月30日 至 2025年07月07日 ，每天上午 09:00:00 至 12:00:00 ，下午 14:00:00 至 17:00:00 （北京时间）</w:t>
      </w:r>
    </w:p>
    <w:p w14:paraId="1F110CE3">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途径：</w:t>
      </w:r>
      <w:r>
        <w:rPr>
          <w:rFonts w:hint="eastAsia" w:ascii="宋体" w:hAnsi="宋体"/>
          <w:sz w:val="24"/>
        </w:rPr>
        <w:t>陕西省西安市高新区丈八一路1号汇鑫中心D座2206室携带单位介绍信、身份证原件及复印件</w:t>
      </w:r>
      <w:r>
        <w:rPr>
          <w:rFonts w:hint="eastAsia" w:ascii="宋体" w:hAnsi="宋体" w:cs="Helvetica"/>
          <w:kern w:val="0"/>
          <w:sz w:val="24"/>
          <w:szCs w:val="21"/>
        </w:rPr>
        <w:t>获取</w:t>
      </w:r>
    </w:p>
    <w:p w14:paraId="35BD9C28">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方式：现场获取</w:t>
      </w:r>
    </w:p>
    <w:p w14:paraId="6CFA8D9E">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售价：500元</w:t>
      </w:r>
    </w:p>
    <w:p w14:paraId="51784E98">
      <w:pPr>
        <w:widowControl/>
        <w:spacing w:line="510" w:lineRule="atLeast"/>
        <w:ind w:firstLine="480"/>
        <w:jc w:val="left"/>
        <w:rPr>
          <w:rStyle w:val="31"/>
        </w:rPr>
      </w:pPr>
      <w:r>
        <w:rPr>
          <w:rFonts w:hint="eastAsia"/>
          <w:b/>
          <w:bCs/>
          <w:sz w:val="24"/>
        </w:rPr>
        <w:t>注：</w:t>
      </w:r>
      <w:r>
        <w:rPr>
          <w:rStyle w:val="31"/>
          <w:rFonts w:hint="eastAsia"/>
        </w:rPr>
        <w:t>请供应商按照陕西省财政厅关于政府采购供应商注册登记有关事项的通知中的要求，通过陕西省政府采购网（http://www.ccgp-shaanxi.gov.cn/）注册登记加入陕西省政府采购供应商库。</w:t>
      </w:r>
    </w:p>
    <w:p w14:paraId="390FB5EC">
      <w:pPr>
        <w:widowControl/>
        <w:spacing w:line="510" w:lineRule="atLeast"/>
        <w:ind w:firstLine="480"/>
        <w:jc w:val="left"/>
        <w:rPr>
          <w:rFonts w:ascii="宋体" w:hAnsi="宋体" w:cs="Helvetica"/>
          <w:b/>
          <w:bCs/>
          <w:kern w:val="0"/>
          <w:sz w:val="24"/>
          <w:highlight w:val="none"/>
        </w:rPr>
      </w:pPr>
      <w:r>
        <w:rPr>
          <w:rFonts w:hint="eastAsia" w:ascii="宋体" w:hAnsi="宋体" w:cs="Helvetica"/>
          <w:b/>
          <w:bCs/>
          <w:kern w:val="0"/>
          <w:sz w:val="24"/>
        </w:rPr>
        <w:t>四</w:t>
      </w:r>
      <w:r>
        <w:rPr>
          <w:rFonts w:hint="eastAsia" w:ascii="宋体" w:hAnsi="宋体" w:cs="Helvetica"/>
          <w:b/>
          <w:bCs/>
          <w:kern w:val="0"/>
          <w:sz w:val="24"/>
          <w:highlight w:val="none"/>
        </w:rPr>
        <w:t>、响应文件提交</w:t>
      </w:r>
    </w:p>
    <w:p w14:paraId="65DDE7CE">
      <w:pPr>
        <w:widowControl/>
        <w:spacing w:line="510" w:lineRule="atLeast"/>
        <w:ind w:firstLine="480"/>
        <w:jc w:val="left"/>
        <w:rPr>
          <w:rFonts w:ascii="宋体" w:hAnsi="宋体" w:cs="Helvetica"/>
          <w:kern w:val="0"/>
          <w:sz w:val="24"/>
          <w:szCs w:val="21"/>
          <w:highlight w:val="none"/>
        </w:rPr>
      </w:pPr>
      <w:r>
        <w:rPr>
          <w:rFonts w:hint="eastAsia" w:ascii="宋体" w:hAnsi="宋体" w:cs="Helvetica"/>
          <w:kern w:val="0"/>
          <w:sz w:val="24"/>
          <w:szCs w:val="21"/>
          <w:highlight w:val="none"/>
        </w:rPr>
        <w:t>截止时间： 2025年07月14日 09时30分00秒 （北京时间）</w:t>
      </w:r>
    </w:p>
    <w:p w14:paraId="18640E55">
      <w:pPr>
        <w:widowControl/>
        <w:spacing w:line="510" w:lineRule="atLeast"/>
        <w:ind w:firstLine="480"/>
        <w:jc w:val="left"/>
        <w:rPr>
          <w:rFonts w:ascii="宋体" w:hAnsi="宋体"/>
          <w:sz w:val="24"/>
          <w:highlight w:val="none"/>
        </w:rPr>
      </w:pPr>
      <w:r>
        <w:rPr>
          <w:rFonts w:hint="eastAsia" w:ascii="宋体" w:hAnsi="宋体" w:cs="Helvetica"/>
          <w:kern w:val="0"/>
          <w:sz w:val="24"/>
          <w:szCs w:val="21"/>
          <w:highlight w:val="none"/>
        </w:rPr>
        <w:t>地点：</w:t>
      </w:r>
      <w:r>
        <w:rPr>
          <w:rFonts w:hint="eastAsia" w:ascii="宋体" w:hAnsi="宋体"/>
          <w:sz w:val="24"/>
          <w:highlight w:val="none"/>
        </w:rPr>
        <w:t>陕西省西安市高新区丈八一路1号汇鑫中心D座2206室陕西德勤招标有限公司第一会议室</w:t>
      </w:r>
    </w:p>
    <w:p w14:paraId="6267B879">
      <w:pPr>
        <w:widowControl/>
        <w:spacing w:line="510" w:lineRule="atLeast"/>
        <w:ind w:firstLine="480"/>
        <w:jc w:val="left"/>
        <w:rPr>
          <w:rFonts w:ascii="宋体" w:hAnsi="宋体" w:cs="Helvetica"/>
          <w:b/>
          <w:bCs/>
          <w:kern w:val="0"/>
          <w:sz w:val="24"/>
          <w:highlight w:val="none"/>
        </w:rPr>
      </w:pPr>
      <w:r>
        <w:rPr>
          <w:rFonts w:hint="eastAsia" w:ascii="宋体" w:hAnsi="宋体" w:cs="Helvetica"/>
          <w:b/>
          <w:bCs/>
          <w:kern w:val="0"/>
          <w:sz w:val="24"/>
          <w:highlight w:val="none"/>
        </w:rPr>
        <w:t>五、开启</w:t>
      </w:r>
    </w:p>
    <w:p w14:paraId="282B0BA9">
      <w:pPr>
        <w:widowControl/>
        <w:spacing w:line="510" w:lineRule="atLeast"/>
        <w:ind w:firstLine="480"/>
        <w:jc w:val="left"/>
        <w:rPr>
          <w:rFonts w:ascii="宋体" w:hAnsi="宋体" w:cs="Helvetica"/>
          <w:kern w:val="0"/>
          <w:sz w:val="24"/>
          <w:szCs w:val="21"/>
          <w:highlight w:val="none"/>
        </w:rPr>
      </w:pPr>
      <w:r>
        <w:rPr>
          <w:rFonts w:hint="eastAsia" w:ascii="宋体" w:hAnsi="宋体" w:cs="Helvetica"/>
          <w:kern w:val="0"/>
          <w:sz w:val="24"/>
          <w:szCs w:val="21"/>
          <w:highlight w:val="none"/>
        </w:rPr>
        <w:t>时间： 2025年07月14日 09时30分00秒 （北京时间）</w:t>
      </w:r>
    </w:p>
    <w:p w14:paraId="2B094A6F">
      <w:pPr>
        <w:widowControl/>
        <w:spacing w:line="510" w:lineRule="atLeast"/>
        <w:ind w:firstLine="480"/>
        <w:jc w:val="left"/>
        <w:rPr>
          <w:rFonts w:ascii="宋体" w:hAnsi="宋体"/>
          <w:sz w:val="24"/>
          <w:highlight w:val="none"/>
        </w:rPr>
      </w:pPr>
      <w:r>
        <w:rPr>
          <w:rFonts w:hint="eastAsia" w:ascii="宋体" w:hAnsi="宋体" w:cs="Helvetica"/>
          <w:kern w:val="0"/>
          <w:sz w:val="24"/>
          <w:szCs w:val="21"/>
          <w:highlight w:val="none"/>
        </w:rPr>
        <w:t>地点：</w:t>
      </w:r>
      <w:r>
        <w:rPr>
          <w:rFonts w:hint="eastAsia" w:ascii="宋体" w:hAnsi="宋体"/>
          <w:sz w:val="24"/>
          <w:highlight w:val="none"/>
        </w:rPr>
        <w:t>陕西省西安市高新区丈八一路1号汇鑫中心D座2206室陕西德勤招标有限公司第一会议室</w:t>
      </w:r>
    </w:p>
    <w:p w14:paraId="702BE549">
      <w:pPr>
        <w:widowControl/>
        <w:spacing w:line="510" w:lineRule="atLeast"/>
        <w:ind w:firstLine="480"/>
        <w:jc w:val="left"/>
        <w:rPr>
          <w:rFonts w:ascii="宋体" w:hAnsi="宋体" w:cs="Helvetica"/>
          <w:b/>
          <w:bCs/>
          <w:kern w:val="0"/>
          <w:sz w:val="24"/>
        </w:rPr>
      </w:pPr>
      <w:r>
        <w:rPr>
          <w:rFonts w:hint="eastAsia" w:ascii="宋体" w:hAnsi="宋体" w:cs="Helvetica"/>
          <w:b/>
          <w:bCs/>
          <w:kern w:val="0"/>
          <w:sz w:val="24"/>
        </w:rPr>
        <w:t>六、公告期限</w:t>
      </w:r>
    </w:p>
    <w:p w14:paraId="7B5F4C45">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自本公告发布之日起3个工作日。</w:t>
      </w:r>
    </w:p>
    <w:p w14:paraId="60ED992E">
      <w:pPr>
        <w:widowControl/>
        <w:spacing w:line="510" w:lineRule="atLeast"/>
        <w:ind w:firstLine="480"/>
        <w:jc w:val="left"/>
        <w:rPr>
          <w:rFonts w:ascii="宋体" w:hAnsi="宋体" w:cs="Helvetica"/>
          <w:b/>
          <w:bCs/>
          <w:kern w:val="0"/>
          <w:sz w:val="24"/>
        </w:rPr>
      </w:pPr>
      <w:r>
        <w:rPr>
          <w:rFonts w:hint="eastAsia" w:ascii="宋体" w:hAnsi="宋体" w:cs="Helvetica"/>
          <w:b/>
          <w:bCs/>
          <w:kern w:val="0"/>
          <w:sz w:val="24"/>
        </w:rPr>
        <w:t>七、其他补充事宜</w:t>
      </w:r>
    </w:p>
    <w:p w14:paraId="1C818CBA">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需落实的政府采购政策：</w:t>
      </w:r>
    </w:p>
    <w:p w14:paraId="0478D8BB">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1.《关于在政府采购活动中查询及使用信用记录有关问题的通知》（财库〔2016〕125号）。</w:t>
      </w:r>
    </w:p>
    <w:p w14:paraId="44545935">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2.《政府采购促进中小企业发展管理办法》（财库〔2020〕46号）、《关于政府采购支持监狱企业发展有关问题的通知》（财库〔2014〕68号）以及《关于促进残疾人就业政府采购政策的通知》（财库〔2017〕141号）。</w:t>
      </w:r>
    </w:p>
    <w:p w14:paraId="7CE74570">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3.《陕西省财政厅关于加快推进我省中小企业政府采购信用融资工作的通知》（陕财办采〔2020〕15号）、陕西省财政厅关于印发《陕西省中小企业政府采购信用融资办法》（陕财办采〔2018〕23号）。</w:t>
      </w:r>
    </w:p>
    <w:p w14:paraId="09208760">
      <w:pPr>
        <w:widowControl/>
        <w:spacing w:line="510" w:lineRule="atLeast"/>
        <w:ind w:firstLine="480"/>
        <w:jc w:val="left"/>
        <w:rPr>
          <w:rFonts w:ascii="宋体" w:hAnsi="宋体" w:cs="Helvetica"/>
          <w:b/>
          <w:bCs/>
          <w:kern w:val="0"/>
          <w:sz w:val="24"/>
        </w:rPr>
      </w:pPr>
      <w:r>
        <w:rPr>
          <w:rFonts w:hint="eastAsia" w:ascii="宋体" w:hAnsi="宋体" w:cs="Helvetica"/>
          <w:b/>
          <w:bCs/>
          <w:kern w:val="0"/>
          <w:sz w:val="24"/>
        </w:rPr>
        <w:t>八、对本次采购提出询问，请按以下方式联系。</w:t>
      </w:r>
    </w:p>
    <w:p w14:paraId="43EEBB1F">
      <w:pPr>
        <w:pStyle w:val="24"/>
        <w:shd w:val="clear" w:color="auto" w:fill="FFFFFF"/>
        <w:spacing w:before="0" w:beforeAutospacing="0" w:after="0" w:afterAutospacing="0" w:line="510" w:lineRule="atLeast"/>
        <w:ind w:firstLine="480"/>
        <w:rPr>
          <w:rFonts w:cs="Helvetica"/>
          <w:color w:val="auto"/>
          <w:szCs w:val="21"/>
        </w:rPr>
      </w:pPr>
      <w:r>
        <w:rPr>
          <w:rFonts w:hint="eastAsia" w:cs="Helvetica"/>
          <w:color w:val="auto"/>
          <w:szCs w:val="21"/>
        </w:rPr>
        <w:t>1.采购人信息：陕西省卫生健康信息中心</w:t>
      </w:r>
    </w:p>
    <w:p w14:paraId="6A27C9FA">
      <w:pPr>
        <w:pStyle w:val="24"/>
        <w:shd w:val="clear" w:color="auto" w:fill="FFFFFF"/>
        <w:spacing w:before="0" w:beforeAutospacing="0" w:after="0" w:afterAutospacing="0" w:line="510" w:lineRule="atLeast"/>
        <w:ind w:firstLine="480"/>
        <w:rPr>
          <w:color w:val="auto"/>
          <w:highlight w:val="yellow"/>
        </w:rPr>
      </w:pPr>
      <w:r>
        <w:rPr>
          <w:rFonts w:hint="eastAsia"/>
          <w:color w:val="auto"/>
        </w:rPr>
        <w:t>地址：西安市莲湖区顺城北路西段38号</w:t>
      </w:r>
    </w:p>
    <w:p w14:paraId="75B48B5E">
      <w:pPr>
        <w:pStyle w:val="24"/>
        <w:shd w:val="clear" w:color="auto" w:fill="FFFFFF"/>
        <w:spacing w:before="0" w:beforeAutospacing="0" w:after="0" w:afterAutospacing="0" w:line="510" w:lineRule="atLeast"/>
        <w:ind w:firstLine="480"/>
        <w:rPr>
          <w:color w:val="auto"/>
        </w:rPr>
      </w:pPr>
      <w:r>
        <w:rPr>
          <w:rFonts w:hint="eastAsia"/>
          <w:color w:val="auto"/>
        </w:rPr>
        <w:t>电话：029-89620710</w:t>
      </w:r>
    </w:p>
    <w:p w14:paraId="134A9CE6">
      <w:pPr>
        <w:pStyle w:val="24"/>
        <w:shd w:val="clear" w:color="auto" w:fill="FFFFFF"/>
        <w:spacing w:before="0" w:beforeAutospacing="0" w:after="0" w:afterAutospacing="0" w:line="510" w:lineRule="atLeast"/>
        <w:ind w:firstLine="480"/>
        <w:rPr>
          <w:color w:val="auto"/>
        </w:rPr>
      </w:pPr>
      <w:r>
        <w:rPr>
          <w:rFonts w:hint="eastAsia"/>
          <w:color w:val="auto"/>
        </w:rPr>
        <w:t>2.采购代理机构信息</w:t>
      </w:r>
    </w:p>
    <w:p w14:paraId="16956EBB">
      <w:pPr>
        <w:pStyle w:val="24"/>
        <w:shd w:val="clear" w:color="auto" w:fill="FFFFFF"/>
        <w:spacing w:before="0" w:beforeAutospacing="0" w:after="0" w:afterAutospacing="0" w:line="510" w:lineRule="atLeast"/>
        <w:ind w:firstLine="480"/>
        <w:rPr>
          <w:color w:val="auto"/>
        </w:rPr>
      </w:pPr>
      <w:r>
        <w:rPr>
          <w:color w:val="auto"/>
        </w:rPr>
        <w:t>名称：</w:t>
      </w:r>
      <w:r>
        <w:rPr>
          <w:rFonts w:hint="eastAsia"/>
          <w:color w:val="auto"/>
          <w:kern w:val="28"/>
        </w:rPr>
        <w:t>陕西德勤招标有限公司</w:t>
      </w:r>
    </w:p>
    <w:p w14:paraId="462F98C6">
      <w:pPr>
        <w:pStyle w:val="24"/>
        <w:shd w:val="clear" w:color="auto" w:fill="FFFFFF"/>
        <w:spacing w:before="0" w:beforeAutospacing="0" w:after="0" w:afterAutospacing="0" w:line="510" w:lineRule="atLeast"/>
        <w:ind w:firstLine="480"/>
        <w:rPr>
          <w:color w:val="auto"/>
        </w:rPr>
      </w:pPr>
      <w:r>
        <w:rPr>
          <w:color w:val="auto"/>
        </w:rPr>
        <w:t>地址：</w:t>
      </w:r>
      <w:r>
        <w:rPr>
          <w:rFonts w:hint="eastAsia"/>
          <w:color w:val="auto"/>
          <w:kern w:val="28"/>
        </w:rPr>
        <w:t>陕西省西安市高新区丈八一路1号汇鑫中心D座2206室</w:t>
      </w:r>
    </w:p>
    <w:p w14:paraId="764FFBEE">
      <w:pPr>
        <w:pStyle w:val="24"/>
        <w:shd w:val="clear" w:color="auto" w:fill="FFFFFF"/>
        <w:spacing w:before="0" w:beforeAutospacing="0" w:after="0" w:afterAutospacing="0" w:line="510" w:lineRule="atLeast"/>
        <w:ind w:firstLine="480"/>
        <w:rPr>
          <w:color w:val="auto"/>
        </w:rPr>
      </w:pPr>
      <w:r>
        <w:rPr>
          <w:color w:val="auto"/>
        </w:rPr>
        <w:t>联系方式：029-8</w:t>
      </w:r>
      <w:r>
        <w:rPr>
          <w:rFonts w:hint="eastAsia"/>
          <w:color w:val="auto"/>
        </w:rPr>
        <w:t>1169855</w:t>
      </w:r>
    </w:p>
    <w:p w14:paraId="0BED32EE">
      <w:pPr>
        <w:widowControl/>
        <w:spacing w:line="510" w:lineRule="atLeast"/>
        <w:ind w:firstLine="480"/>
        <w:jc w:val="left"/>
        <w:rPr>
          <w:rFonts w:ascii="宋体" w:hAnsi="宋体" w:cs="Helvetica"/>
          <w:kern w:val="0"/>
          <w:sz w:val="24"/>
          <w:szCs w:val="21"/>
        </w:rPr>
      </w:pPr>
      <w:r>
        <w:rPr>
          <w:rFonts w:hint="eastAsia" w:ascii="宋体" w:hAnsi="宋体" w:cs="Helvetica"/>
          <w:kern w:val="0"/>
          <w:sz w:val="24"/>
          <w:szCs w:val="21"/>
        </w:rPr>
        <w:t>3.项目联系方式</w:t>
      </w:r>
    </w:p>
    <w:p w14:paraId="55F562E7">
      <w:pPr>
        <w:widowControl/>
        <w:spacing w:line="510" w:lineRule="atLeast"/>
        <w:ind w:firstLine="480"/>
        <w:jc w:val="left"/>
        <w:rPr>
          <w:rFonts w:hint="default" w:ascii="宋体" w:hAnsi="宋体" w:eastAsia="宋体" w:cs="Helvetica"/>
          <w:kern w:val="0"/>
          <w:sz w:val="24"/>
          <w:szCs w:val="21"/>
          <w:lang w:val="en-US" w:eastAsia="zh-CN"/>
        </w:rPr>
      </w:pPr>
      <w:r>
        <w:rPr>
          <w:rFonts w:ascii="宋体" w:hAnsi="宋体" w:cs="Helvetica"/>
          <w:kern w:val="0"/>
          <w:sz w:val="24"/>
          <w:szCs w:val="21"/>
        </w:rPr>
        <w:t>项目联系人：</w:t>
      </w:r>
      <w:r>
        <w:rPr>
          <w:rFonts w:hint="eastAsia" w:ascii="宋体" w:hAnsi="宋体" w:cs="Helvetica"/>
          <w:kern w:val="0"/>
          <w:sz w:val="24"/>
          <w:szCs w:val="21"/>
        </w:rPr>
        <w:t>贾旭鸣</w:t>
      </w:r>
      <w:r>
        <w:rPr>
          <w:rFonts w:hint="eastAsia" w:ascii="宋体" w:hAnsi="宋体" w:cs="Helvetica"/>
          <w:kern w:val="0"/>
          <w:sz w:val="24"/>
          <w:szCs w:val="21"/>
          <w:lang w:eastAsia="zh-CN"/>
        </w:rPr>
        <w:t>、</w:t>
      </w:r>
      <w:r>
        <w:rPr>
          <w:rFonts w:hint="eastAsia" w:ascii="宋体" w:hAnsi="宋体" w:cs="Helvetica"/>
          <w:kern w:val="0"/>
          <w:sz w:val="24"/>
          <w:szCs w:val="21"/>
          <w:lang w:val="en-US" w:eastAsia="zh-CN"/>
        </w:rPr>
        <w:t>王俊熙</w:t>
      </w:r>
    </w:p>
    <w:p w14:paraId="5A57FE60">
      <w:pPr>
        <w:widowControl/>
        <w:spacing w:line="510" w:lineRule="atLeast"/>
        <w:ind w:firstLine="480"/>
        <w:jc w:val="left"/>
        <w:rPr>
          <w:rFonts w:ascii="宋体" w:hAnsi="宋体" w:cs="Helvetica"/>
          <w:kern w:val="0"/>
          <w:sz w:val="24"/>
          <w:szCs w:val="21"/>
        </w:rPr>
      </w:pPr>
      <w:r>
        <w:rPr>
          <w:rFonts w:ascii="宋体" w:hAnsi="宋体" w:cs="Helvetica"/>
          <w:kern w:val="0"/>
          <w:sz w:val="24"/>
          <w:szCs w:val="21"/>
        </w:rPr>
        <w:t>电话：029-81169855</w:t>
      </w:r>
    </w:p>
    <w:p w14:paraId="0F85C567">
      <w:pPr>
        <w:widowControl/>
        <w:spacing w:line="510" w:lineRule="atLeast"/>
        <w:ind w:firstLine="480"/>
        <w:jc w:val="left"/>
        <w:rPr>
          <w:rFonts w:ascii="宋体" w:hAnsi="宋体" w:cs="Helvetica"/>
          <w:kern w:val="0"/>
          <w:sz w:val="24"/>
          <w:szCs w:val="21"/>
        </w:rPr>
      </w:pPr>
    </w:p>
    <w:p w14:paraId="64C5B5F7">
      <w:pPr>
        <w:widowControl/>
        <w:spacing w:line="510" w:lineRule="atLeast"/>
        <w:ind w:firstLine="480"/>
        <w:jc w:val="center"/>
        <w:rPr>
          <w:rFonts w:ascii="宋体" w:hAnsi="宋体" w:cs="Helvetica"/>
          <w:kern w:val="0"/>
          <w:sz w:val="24"/>
          <w:szCs w:val="21"/>
        </w:rPr>
      </w:pPr>
      <w:r>
        <w:rPr>
          <w:rFonts w:ascii="宋体" w:hAnsi="宋体" w:cs="Helvetica"/>
          <w:kern w:val="0"/>
          <w:sz w:val="24"/>
          <w:szCs w:val="21"/>
        </w:rPr>
        <w:t xml:space="preserve">                            </w:t>
      </w:r>
      <w:r>
        <w:rPr>
          <w:rFonts w:hint="eastAsia" w:ascii="宋体" w:hAnsi="宋体" w:cs="Helvetica"/>
          <w:kern w:val="0"/>
          <w:sz w:val="24"/>
          <w:szCs w:val="21"/>
        </w:rPr>
        <w:t xml:space="preserve">               </w:t>
      </w:r>
      <w:r>
        <w:rPr>
          <w:rFonts w:ascii="宋体" w:hAnsi="宋体" w:cs="Helvetica"/>
          <w:kern w:val="0"/>
          <w:sz w:val="24"/>
          <w:szCs w:val="21"/>
        </w:rPr>
        <w:t xml:space="preserve"> </w:t>
      </w:r>
      <w:r>
        <w:rPr>
          <w:rFonts w:hint="eastAsia" w:ascii="宋体" w:hAnsi="宋体" w:cs="Helvetica"/>
          <w:kern w:val="0"/>
          <w:sz w:val="24"/>
          <w:szCs w:val="21"/>
        </w:rPr>
        <w:t xml:space="preserve"> 陕西德勤招标有限公司</w:t>
      </w:r>
    </w:p>
    <w:p w14:paraId="248F2435">
      <w:pPr>
        <w:widowControl/>
        <w:spacing w:line="510" w:lineRule="atLeast"/>
        <w:ind w:firstLine="480"/>
        <w:jc w:val="center"/>
        <w:rPr>
          <w:rFonts w:ascii="宋体" w:hAnsi="宋体" w:cs="Helvetica"/>
          <w:kern w:val="0"/>
          <w:sz w:val="24"/>
          <w:szCs w:val="21"/>
          <w:highlight w:val="none"/>
        </w:rPr>
      </w:pPr>
      <w:r>
        <w:rPr>
          <w:rFonts w:hint="eastAsia" w:ascii="宋体" w:hAnsi="宋体" w:cs="Helvetica"/>
          <w:kern w:val="0"/>
          <w:sz w:val="24"/>
          <w:szCs w:val="21"/>
        </w:rPr>
        <w:t xml:space="preserve">                                            </w:t>
      </w:r>
      <w:r>
        <w:rPr>
          <w:rFonts w:hint="eastAsia" w:ascii="宋体" w:hAnsi="宋体" w:cs="Helvetica"/>
          <w:kern w:val="0"/>
          <w:sz w:val="24"/>
          <w:szCs w:val="21"/>
          <w:highlight w:val="none"/>
        </w:rPr>
        <w:t xml:space="preserve"> 202</w:t>
      </w:r>
      <w:r>
        <w:rPr>
          <w:rFonts w:hint="eastAsia" w:ascii="宋体" w:hAnsi="宋体" w:cs="Helvetica"/>
          <w:kern w:val="0"/>
          <w:sz w:val="24"/>
          <w:szCs w:val="21"/>
          <w:highlight w:val="none"/>
          <w:lang w:val="en-US" w:eastAsia="zh-CN"/>
        </w:rPr>
        <w:t>5</w:t>
      </w:r>
      <w:r>
        <w:rPr>
          <w:rFonts w:hint="eastAsia" w:ascii="宋体" w:hAnsi="宋体" w:cs="Helvetica"/>
          <w:kern w:val="0"/>
          <w:sz w:val="24"/>
          <w:szCs w:val="21"/>
          <w:highlight w:val="none"/>
        </w:rPr>
        <w:t>年</w:t>
      </w:r>
      <w:r>
        <w:rPr>
          <w:rFonts w:hint="eastAsia" w:ascii="宋体" w:hAnsi="宋体" w:cs="Helvetica"/>
          <w:kern w:val="0"/>
          <w:sz w:val="24"/>
          <w:szCs w:val="21"/>
          <w:highlight w:val="none"/>
          <w:lang w:val="en-US" w:eastAsia="zh-CN"/>
        </w:rPr>
        <w:t>6</w:t>
      </w:r>
      <w:r>
        <w:rPr>
          <w:rFonts w:hint="eastAsia" w:ascii="宋体" w:hAnsi="宋体" w:cs="Helvetica"/>
          <w:kern w:val="0"/>
          <w:sz w:val="24"/>
          <w:szCs w:val="21"/>
          <w:highlight w:val="none"/>
        </w:rPr>
        <w:t>月</w:t>
      </w:r>
      <w:r>
        <w:rPr>
          <w:rFonts w:hint="eastAsia" w:ascii="宋体" w:hAnsi="宋体" w:cs="Helvetica"/>
          <w:kern w:val="0"/>
          <w:sz w:val="24"/>
          <w:szCs w:val="21"/>
          <w:highlight w:val="none"/>
          <w:lang w:val="en-US" w:eastAsia="zh-CN"/>
        </w:rPr>
        <w:t>30</w:t>
      </w:r>
      <w:r>
        <w:rPr>
          <w:rFonts w:hint="eastAsia" w:ascii="宋体" w:hAnsi="宋体" w:cs="Helvetica"/>
          <w:kern w:val="0"/>
          <w:sz w:val="24"/>
          <w:szCs w:val="21"/>
          <w:highlight w:val="none"/>
        </w:rPr>
        <w:t>日</w:t>
      </w:r>
    </w:p>
    <w:p w14:paraId="33355A61">
      <w:pPr>
        <w:spacing w:line="360" w:lineRule="auto"/>
        <w:jc w:val="center"/>
        <w:rPr>
          <w:rFonts w:ascii="宋体" w:hAnsi="宋体"/>
          <w:szCs w:val="30"/>
        </w:rPr>
      </w:pPr>
      <w:r>
        <w:rPr>
          <w:rFonts w:hint="eastAsia" w:ascii="宋体" w:hAnsi="宋体"/>
          <w:szCs w:val="30"/>
        </w:rPr>
        <w:br w:type="page"/>
      </w:r>
    </w:p>
    <w:p w14:paraId="7B080D4A">
      <w:pPr>
        <w:spacing w:before="114" w:line="225" w:lineRule="auto"/>
        <w:ind w:left="122"/>
        <w:rPr>
          <w:rStyle w:val="45"/>
          <w:rFonts w:ascii="黑体" w:hAnsi="黑体" w:eastAsia="黑体" w:cs="黑体"/>
          <w:sz w:val="32"/>
          <w:szCs w:val="32"/>
        </w:rPr>
      </w:pPr>
      <w:bookmarkStart w:id="6" w:name="_Toc1522"/>
    </w:p>
    <w:p w14:paraId="5CA5D0E5">
      <w:pPr>
        <w:spacing w:before="114" w:line="225" w:lineRule="auto"/>
        <w:ind w:left="122"/>
        <w:rPr>
          <w:rStyle w:val="45"/>
          <w:rFonts w:ascii="黑体" w:hAnsi="黑体" w:eastAsia="黑体" w:cs="黑体"/>
          <w:sz w:val="32"/>
          <w:szCs w:val="32"/>
        </w:rPr>
      </w:pPr>
    </w:p>
    <w:p w14:paraId="5A0B4EB0">
      <w:pPr>
        <w:spacing w:before="114" w:line="225" w:lineRule="auto"/>
        <w:ind w:left="122"/>
        <w:rPr>
          <w:rStyle w:val="45"/>
          <w:rFonts w:ascii="黑体" w:hAnsi="黑体" w:eastAsia="黑体" w:cs="黑体"/>
          <w:sz w:val="32"/>
          <w:szCs w:val="32"/>
        </w:rPr>
      </w:pPr>
    </w:p>
    <w:p w14:paraId="1F09463B">
      <w:pPr>
        <w:spacing w:before="114" w:line="225" w:lineRule="auto"/>
        <w:ind w:left="122"/>
        <w:rPr>
          <w:rStyle w:val="45"/>
          <w:rFonts w:ascii="黑体" w:hAnsi="黑体" w:eastAsia="黑体" w:cs="黑体"/>
          <w:sz w:val="32"/>
          <w:szCs w:val="32"/>
        </w:rPr>
      </w:pPr>
    </w:p>
    <w:p w14:paraId="6C2F7712">
      <w:pPr>
        <w:spacing w:before="114" w:line="225" w:lineRule="auto"/>
        <w:ind w:left="122"/>
        <w:rPr>
          <w:rStyle w:val="45"/>
          <w:rFonts w:ascii="黑体" w:hAnsi="黑体" w:eastAsia="黑体" w:cs="黑体"/>
          <w:sz w:val="32"/>
          <w:szCs w:val="32"/>
        </w:rPr>
      </w:pPr>
    </w:p>
    <w:p w14:paraId="11A184C9">
      <w:pPr>
        <w:spacing w:before="114" w:line="225" w:lineRule="auto"/>
        <w:ind w:left="122"/>
        <w:rPr>
          <w:rStyle w:val="45"/>
          <w:rFonts w:ascii="黑体" w:hAnsi="黑体" w:eastAsia="黑体" w:cs="黑体"/>
          <w:sz w:val="32"/>
          <w:szCs w:val="32"/>
        </w:rPr>
      </w:pPr>
    </w:p>
    <w:p w14:paraId="548BDABD">
      <w:pPr>
        <w:spacing w:before="114" w:line="225" w:lineRule="auto"/>
        <w:ind w:left="122"/>
        <w:rPr>
          <w:rStyle w:val="45"/>
          <w:rFonts w:ascii="黑体" w:hAnsi="黑体" w:eastAsia="黑体" w:cs="黑体"/>
          <w:sz w:val="32"/>
          <w:szCs w:val="32"/>
        </w:rPr>
      </w:pPr>
    </w:p>
    <w:p w14:paraId="55843A75">
      <w:pPr>
        <w:spacing w:before="114" w:line="225" w:lineRule="auto"/>
        <w:ind w:left="122"/>
        <w:rPr>
          <w:rStyle w:val="45"/>
          <w:rFonts w:ascii="黑体" w:hAnsi="黑体" w:eastAsia="黑体" w:cs="黑体"/>
          <w:sz w:val="32"/>
          <w:szCs w:val="32"/>
        </w:rPr>
      </w:pPr>
    </w:p>
    <w:p w14:paraId="10561BC2">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二</w:t>
      </w:r>
      <w:r>
        <w:rPr>
          <w:rFonts w:ascii="宋体" w:hAnsi="宋体"/>
          <w:b/>
          <w:bCs/>
          <w:spacing w:val="7"/>
          <w:sz w:val="52"/>
          <w:szCs w:val="52"/>
        </w:rPr>
        <w:t>部分</w:t>
      </w:r>
    </w:p>
    <w:p w14:paraId="633CB15B">
      <w:pPr>
        <w:spacing w:before="113" w:line="224" w:lineRule="auto"/>
        <w:ind w:right="420"/>
        <w:jc w:val="right"/>
        <w:rPr>
          <w:rFonts w:ascii="宋体" w:hAnsi="宋体"/>
          <w:b/>
          <w:bCs/>
          <w:sz w:val="52"/>
          <w:szCs w:val="52"/>
        </w:rPr>
      </w:pPr>
      <w:r>
        <w:rPr>
          <w:b/>
          <w:bCs/>
          <w:sz w:val="52"/>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4384;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IwkFajtAQAA3QMAAA4AAABkcnMvZTJvRG9jLnhtbK1TzW4TMRC+&#10;I/EOlu9kN0UpdJVNDw3lgiAS8AAT25u15D953GzyErwAEjc4ceTO27Q8BmNvmkK55MAevOP5+Tzf&#10;5/H8cmcN26qI2ruWTyc1Z8oJL7XbtPzjh+tnLznDBE6C8U61fK+QXy6ePpkPoVFnvvdGqsgIxGEz&#10;hJb3KYWmqlD0ygJOfFCOgp2PFhJt46aSEQZCt6Y6q+vzavBRhuiFQiTvcgzyA2I8BdB3nRZq6cWN&#10;VS6NqFEZSEQJex2QL0q3XadEetd1qBIzLSemqax0CNnrvFaLOTSbCKHX4tACnNLCI04WtKNDj1BL&#10;SMBuov4HymoRPfouTYS31UikKEIspvUjbd73EFThQlJjOIqO/w9WvN2uItOSJmHKmQNLN373+cft&#10;p6+/fn6h9e77N0YRkmkI2FD2lVvFww7DKmbOuy7a/Cc2bFek3R+lVbvEBDlnL6azuibVBcXOn88y&#10;YvVQGiKm18pblo2WG+0yb2hg+wbTmHqfkt3GsYE6vqhnGRFoCju6fTJtICboNqUYvdHyWhuTSzBu&#10;1lcmsi3kSSjfoYe/0vIpS8B+zCuhnAZNr0C+cpKlfSCJHD0NnnuwSnJmFL2kbJXMBNqckkn0jSMV&#10;srCjlNlae7kvChc/3XrR6TCheaz+3Jfqh1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xDnP&#10;0wAAAAgBAAAPAAAAAAAAAAEAIAAAACIAAABkcnMvZG93bnJldi54bWxQSwECFAAUAAAACACHTuJA&#10;jCQVqO0BAADdAwAADgAAAAAAAAABACAAAAAiAQAAZHJzL2Uyb0RvYy54bWxQSwUGAAAAAAYABgBZ&#10;AQAAgQUAAAAA&#10;">
                <v:fill on="f" focussize="0,0"/>
                <v:stroke weight="1.5pt" color="#000000" joinstyle="round"/>
                <v:imagedata o:title=""/>
                <o:lock v:ext="edit" aspectratio="f"/>
              </v:line>
            </w:pict>
          </mc:Fallback>
        </mc:AlternateContent>
      </w:r>
    </w:p>
    <w:p w14:paraId="5D3B28D4">
      <w:pPr>
        <w:spacing w:before="113" w:line="224" w:lineRule="auto"/>
        <w:ind w:right="420"/>
        <w:jc w:val="right"/>
        <w:rPr>
          <w:rFonts w:ascii="宋体" w:hAnsi="宋体"/>
          <w:b/>
          <w:bCs/>
          <w:sz w:val="35"/>
          <w:szCs w:val="35"/>
        </w:rPr>
      </w:pPr>
      <w:r>
        <w:rPr>
          <w:rFonts w:hint="eastAsia" w:ascii="宋体" w:hAnsi="宋体"/>
          <w:b/>
          <w:bCs/>
          <w:sz w:val="52"/>
          <w:szCs w:val="52"/>
        </w:rPr>
        <w:t>用户需求书</w:t>
      </w:r>
    </w:p>
    <w:p w14:paraId="363797E3">
      <w:pPr>
        <w:rPr>
          <w:rFonts w:ascii="黑体" w:hAnsi="黑体" w:eastAsia="黑体" w:cs="黑体"/>
          <w:b/>
          <w:bCs/>
          <w:sz w:val="32"/>
          <w:szCs w:val="32"/>
        </w:rPr>
      </w:pPr>
      <w:r>
        <w:rPr>
          <w:rFonts w:hint="eastAsia" w:ascii="黑体" w:hAnsi="黑体" w:eastAsia="黑体" w:cs="黑体"/>
          <w:b/>
          <w:bCs/>
          <w:sz w:val="32"/>
          <w:szCs w:val="32"/>
        </w:rPr>
        <w:br w:type="page"/>
      </w:r>
    </w:p>
    <w:p w14:paraId="205BA482">
      <w:pPr>
        <w:spacing w:line="360" w:lineRule="auto"/>
        <w:jc w:val="center"/>
        <w:outlineLvl w:val="0"/>
        <w:rPr>
          <w:rFonts w:ascii="黑体" w:hAnsi="黑体" w:eastAsia="黑体" w:cs="黑体"/>
          <w:b/>
          <w:bCs/>
          <w:szCs w:val="32"/>
        </w:rPr>
      </w:pPr>
      <w:bookmarkStart w:id="7" w:name="_Toc5051"/>
      <w:bookmarkStart w:id="8" w:name="_Toc31209"/>
      <w:r>
        <w:rPr>
          <w:rFonts w:hint="eastAsia" w:ascii="黑体" w:hAnsi="黑体" w:eastAsia="黑体" w:cs="黑体"/>
          <w:b/>
          <w:bCs/>
          <w:sz w:val="32"/>
          <w:szCs w:val="32"/>
        </w:rPr>
        <w:t>第二部分 用户需求书</w:t>
      </w:r>
      <w:bookmarkEnd w:id="7"/>
      <w:bookmarkEnd w:id="8"/>
    </w:p>
    <w:p w14:paraId="3D26618B">
      <w:pPr>
        <w:widowControl w:val="0"/>
        <w:spacing w:line="360" w:lineRule="auto"/>
        <w:ind w:firstLine="482" w:firstLineChars="200"/>
        <w:jc w:val="both"/>
        <w:rPr>
          <w:rFonts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一、项目概况</w:t>
      </w:r>
    </w:p>
    <w:p w14:paraId="17D7E701">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陕西省卫生健康信息安全平台是负责监测预警省级卫生信息平台和委直属7家医院互联网出口数据的统一安全监测、预警平台。平台通过对数据流量、设备、应用系统日志等系统数据进行深度挖掘和分析，实现行业安全态势监管。</w:t>
      </w:r>
    </w:p>
    <w:p w14:paraId="6311B5E9">
      <w:pPr>
        <w:widowControl w:val="0"/>
        <w:spacing w:line="360" w:lineRule="auto"/>
        <w:ind w:firstLine="482" w:firstLineChars="200"/>
        <w:jc w:val="both"/>
        <w:rPr>
          <w:rFonts w:ascii="宋体" w:hAnsi="宋体" w:eastAsia="宋体" w:cs="宋体"/>
          <w:color w:val="000000"/>
          <w:kern w:val="0"/>
          <w:sz w:val="24"/>
          <w:szCs w:val="24"/>
          <w:lang w:val="en-US" w:eastAsia="zh-CN" w:bidi="ar-SA"/>
        </w:rPr>
      </w:pPr>
      <w:r>
        <w:rPr>
          <w:rFonts w:hint="eastAsia" w:ascii="黑体" w:hAnsi="黑体" w:eastAsia="黑体" w:cs="黑体"/>
          <w:b/>
          <w:color w:val="000000"/>
          <w:kern w:val="2"/>
          <w:sz w:val="24"/>
          <w:szCs w:val="24"/>
          <w:lang w:val="en-US" w:eastAsia="zh-CN" w:bidi="ar-SA"/>
        </w:rPr>
        <w:t>二、技术要求</w:t>
      </w:r>
    </w:p>
    <w:p w14:paraId="793D37C9">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1.开展平台日常运维，平台系统版本、特征库升级维护、各类软硬件故障维护、委直七家医疗机构探针维护；</w:t>
      </w:r>
    </w:p>
    <w:p w14:paraId="389211F7">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派驻不少于1名信息安全驻场工程师，提供5*8小时驻场服务，为保证驻场工程师的服务能力，要求驻场人员有3年以上网络安全运维工作经验并且具备CISP证书，协助卫健委开展日常信息安全服务的管理和分析工作。驻场运维工作内容包括但不限于：</w:t>
      </w:r>
    </w:p>
    <w:p w14:paraId="49BFC586">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1.1.1网络安全预警：对系统产出的各类预警信息进行人工分析筛选，分析研判为重点预警安全事件进行通报预警，预警内容包括受害IP、攻击时间、攻击类型、可能的攻击路径、下一步处置建议等。</w:t>
      </w:r>
    </w:p>
    <w:p w14:paraId="1CEEB1C5">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1.1.2在日常预警监测中对发现的新资产进行资产管理。</w:t>
      </w:r>
    </w:p>
    <w:p w14:paraId="359D6AAC">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1.1.3安全分析研判：安全日志采集、分析，收集现有安全设备和服务器的日志信息,深入分析信息系统中存在的高级安全威胁，研判攻击造成危害和影响。</w:t>
      </w:r>
    </w:p>
    <w:p w14:paraId="19EB3E7A">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1.1.4运行状态检查，包含：CPU使用率、内存占用率、接口流量、接口工作状态、硬盘使用情况等运行状态相关的基本参数监控，并对安全运行情况进行统计分析，形成报告并提交。</w:t>
      </w:r>
    </w:p>
    <w:p w14:paraId="3C85FA68">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1.1.5网络故障排查：当发现设备下线或者运行异常时，安全工程师启动相应的安全应急预案，尽快判断故障并进行异常响应处理。</w:t>
      </w:r>
    </w:p>
    <w:p w14:paraId="305F5156">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1.1.6策略优化：结合安全现状分析结果，针对性提出安全策略优化意见，开展策略配置调优。</w:t>
      </w:r>
    </w:p>
    <w:p w14:paraId="676169C8">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1.1.7网络架构优化：结合现有安全架构分析结果，明确网络架构的不合理处，提供网络架构优化意见。</w:t>
      </w:r>
    </w:p>
    <w:p w14:paraId="311B4A8F">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1.1.8设备升级维护：对态势感知平台、漏洞扫描及探针设备进行版本维护升级，包括安全设备的系统版本、特征库、病毒库、威胁情报库和漏洞库等进行更新升级。爆发重大安全漏洞时，针对漏洞进行专项安全检查；驻场运维工程师每天关注安全设备的升级情况，对相应设备进行同步升级，保证安全设备系统处于最新状态，安全设备系统版本一致；</w:t>
      </w:r>
    </w:p>
    <w:p w14:paraId="7E377272">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1.1.9进行安全设备巡检:发现告警信息及时分析和处置,对巡检过程中发现的重大问题，应及时上报客户相关负责人，并协助进行问题处理。</w:t>
      </w:r>
    </w:p>
    <w:p w14:paraId="26F04A1E">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1.1.10重要配置定期备份：定期对安全设备的系统配置和策略配置进行完整备份，在设备发生故障后提供配置快速导入等恢复措施。</w:t>
      </w:r>
    </w:p>
    <w:p w14:paraId="176FF2C6">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1.1.11网络和数据安全威胁情报共享：定期通过报告的形式提供最新的卫生健康行业网络和数据安全威胁情报。</w:t>
      </w:r>
    </w:p>
    <w:p w14:paraId="684D1E1B">
      <w:pPr>
        <w:widowControl w:val="0"/>
        <w:spacing w:line="360" w:lineRule="auto"/>
        <w:ind w:firstLine="482" w:firstLineChars="200"/>
        <w:jc w:val="both"/>
        <w:rPr>
          <w:rFonts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三、配合平台各类安全报告撰写；</w:t>
      </w:r>
    </w:p>
    <w:p w14:paraId="4F5F85EC">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包含每日预警通报、月报、年报及其他报告。</w:t>
      </w:r>
    </w:p>
    <w:p w14:paraId="22298AAF">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对态势感知平台监管范围内的业务系统开展每年不少于4次漏扫及复检，须出具报告；</w:t>
      </w:r>
    </w:p>
    <w:p w14:paraId="2C1162C6">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更新漏洞扫描设备特征库，保证漏扫工作正常开展。</w:t>
      </w:r>
    </w:p>
    <w:p w14:paraId="78F1C0BC">
      <w:pPr>
        <w:widowControl w:val="0"/>
        <w:spacing w:line="360" w:lineRule="auto"/>
        <w:ind w:firstLine="482" w:firstLineChars="200"/>
        <w:jc w:val="both"/>
        <w:rPr>
          <w:rFonts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四、其他要求：</w:t>
      </w:r>
    </w:p>
    <w:p w14:paraId="3BB0C3F8">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1.配合我单位开展网络安全事件应急处置；</w:t>
      </w:r>
    </w:p>
    <w:p w14:paraId="4DB3EE07">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2.按照要求开展重要时期网络安全保障工作；</w:t>
      </w:r>
    </w:p>
    <w:p w14:paraId="5C4F7BEE">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3.每年开展不少于2次网络安全培训。</w:t>
      </w:r>
    </w:p>
    <w:p w14:paraId="0C03C17C">
      <w:pPr>
        <w:ind w:firstLine="482" w:firstLineChars="200"/>
        <w:rPr>
          <w:rFonts w:ascii="黑体" w:hAnsi="黑体" w:eastAsia="黑体" w:cs="黑体"/>
          <w:b/>
          <w:color w:val="000000"/>
          <w:sz w:val="24"/>
        </w:rPr>
      </w:pPr>
      <w:r>
        <w:rPr>
          <w:rFonts w:hint="eastAsia" w:ascii="黑体" w:hAnsi="黑体" w:eastAsia="黑体" w:cs="黑体"/>
          <w:b/>
          <w:color w:val="000000"/>
          <w:sz w:val="24"/>
        </w:rPr>
        <w:t>五、服务期限及交付地点：</w:t>
      </w:r>
    </w:p>
    <w:p w14:paraId="63618686">
      <w:pPr>
        <w:spacing w:line="360" w:lineRule="auto"/>
        <w:ind w:firstLine="480" w:firstLineChars="200"/>
        <w:rPr>
          <w:rFonts w:ascii="宋体" w:hAnsi="宋体" w:eastAsia="宋体" w:cs="宋体"/>
          <w:sz w:val="24"/>
        </w:rPr>
      </w:pPr>
      <w:r>
        <w:rPr>
          <w:rFonts w:hint="eastAsia" w:ascii="宋体" w:hAnsi="宋体" w:eastAsia="宋体" w:cs="宋体"/>
          <w:sz w:val="24"/>
        </w:rPr>
        <w:t>1.服务期限：一年</w:t>
      </w:r>
    </w:p>
    <w:p w14:paraId="1C4D5480">
      <w:pPr>
        <w:widowControl w:val="0"/>
        <w:spacing w:line="360"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2.服务地点：采购人指定地点</w:t>
      </w:r>
    </w:p>
    <w:p w14:paraId="0CF07E60">
      <w:pPr>
        <w:widowControl w:val="0"/>
        <w:spacing w:line="360" w:lineRule="auto"/>
        <w:ind w:firstLine="482" w:firstLineChars="200"/>
        <w:jc w:val="both"/>
        <w:rPr>
          <w:rFonts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六、付款方式</w:t>
      </w:r>
    </w:p>
    <w:p w14:paraId="41B73A5D">
      <w:pPr>
        <w:widowControl w:val="0"/>
        <w:spacing w:line="360" w:lineRule="auto"/>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合同签订后一次性支付合同总价款的100%。</w:t>
      </w:r>
    </w:p>
    <w:p w14:paraId="43E230C7">
      <w:pPr>
        <w:widowControl w:val="0"/>
        <w:spacing w:line="360" w:lineRule="auto"/>
        <w:ind w:firstLine="480" w:firstLineChars="200"/>
        <w:jc w:val="both"/>
        <w:rPr>
          <w:rFonts w:ascii="黑体" w:hAnsi="黑体" w:eastAsia="黑体" w:cs="黑体"/>
          <w:b/>
          <w:color w:val="000000"/>
          <w:kern w:val="2"/>
          <w:sz w:val="24"/>
          <w:szCs w:val="24"/>
          <w:highlight w:val="yellow"/>
          <w:lang w:val="en-US" w:eastAsia="zh-CN" w:bidi="ar-SA"/>
        </w:rPr>
      </w:pPr>
      <w:r>
        <w:rPr>
          <w:rFonts w:hint="eastAsia" w:ascii="宋体" w:hAnsi="宋体" w:eastAsia="宋体" w:cs="宋体"/>
          <w:color w:val="000000"/>
          <w:kern w:val="2"/>
          <w:sz w:val="24"/>
          <w:szCs w:val="24"/>
          <w:lang w:val="en-US" w:eastAsia="zh-CN" w:bidi="ar-SA"/>
        </w:rPr>
        <w:t>注：乙方在甲方付款前提供相应金额的发票。</w:t>
      </w:r>
    </w:p>
    <w:p w14:paraId="3EA048AE">
      <w:pPr>
        <w:widowControl w:val="0"/>
        <w:spacing w:line="360" w:lineRule="auto"/>
        <w:ind w:firstLine="482" w:firstLineChars="200"/>
        <w:jc w:val="both"/>
        <w:rPr>
          <w:rFonts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七、服务内容</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7371"/>
      </w:tblGrid>
      <w:tr w14:paraId="5FE4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E7E6E6"/>
            <w:vAlign w:val="center"/>
          </w:tcPr>
          <w:p w14:paraId="22B8CA25">
            <w:pPr>
              <w:spacing w:line="276" w:lineRule="auto"/>
              <w:jc w:val="center"/>
              <w:rPr>
                <w:rFonts w:ascii="宋体" w:hAnsi="宋体" w:eastAsia="宋体" w:cs="宋体"/>
                <w:sz w:val="24"/>
                <w14:ligatures w14:val="standardContextual"/>
              </w:rPr>
            </w:pPr>
            <w:r>
              <w:rPr>
                <w:rFonts w:hint="eastAsia" w:ascii="宋体" w:hAnsi="宋体" w:eastAsia="宋体" w:cs="宋体"/>
                <w:sz w:val="24"/>
                <w14:ligatures w14:val="standardContextual"/>
              </w:rPr>
              <w:t>序号</w:t>
            </w:r>
          </w:p>
        </w:tc>
        <w:tc>
          <w:tcPr>
            <w:tcW w:w="1559" w:type="dxa"/>
            <w:shd w:val="clear" w:color="auto" w:fill="E7E6E6"/>
            <w:vAlign w:val="center"/>
          </w:tcPr>
          <w:p w14:paraId="7175D699">
            <w:pPr>
              <w:spacing w:line="276" w:lineRule="auto"/>
              <w:jc w:val="center"/>
              <w:rPr>
                <w:rFonts w:ascii="宋体" w:hAnsi="宋体" w:eastAsia="宋体" w:cs="宋体"/>
                <w:sz w:val="24"/>
                <w14:ligatures w14:val="standardContextual"/>
              </w:rPr>
            </w:pPr>
            <w:r>
              <w:rPr>
                <w:rFonts w:hint="eastAsia" w:ascii="宋体" w:hAnsi="宋体" w:eastAsia="宋体" w:cs="宋体"/>
                <w:sz w:val="24"/>
                <w14:ligatures w14:val="standardContextual"/>
              </w:rPr>
              <w:t>服务名称</w:t>
            </w:r>
          </w:p>
        </w:tc>
        <w:tc>
          <w:tcPr>
            <w:tcW w:w="7371" w:type="dxa"/>
            <w:shd w:val="clear" w:color="auto" w:fill="E7E6E6"/>
            <w:vAlign w:val="center"/>
          </w:tcPr>
          <w:p w14:paraId="50A9A1C8">
            <w:pPr>
              <w:spacing w:line="276" w:lineRule="auto"/>
              <w:jc w:val="center"/>
              <w:rPr>
                <w:rFonts w:ascii="宋体" w:hAnsi="宋体" w:eastAsia="宋体" w:cs="宋体"/>
                <w:sz w:val="24"/>
                <w14:ligatures w14:val="standardContextual"/>
              </w:rPr>
            </w:pPr>
            <w:r>
              <w:rPr>
                <w:rFonts w:hint="eastAsia" w:ascii="宋体" w:hAnsi="宋体" w:eastAsia="宋体" w:cs="宋体"/>
                <w:sz w:val="24"/>
                <w14:ligatures w14:val="standardContextual"/>
              </w:rPr>
              <w:t>服务要求</w:t>
            </w:r>
          </w:p>
        </w:tc>
      </w:tr>
      <w:tr w14:paraId="59FC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E332A">
            <w:pPr>
              <w:spacing w:line="276" w:lineRule="auto"/>
              <w:jc w:val="center"/>
              <w:rPr>
                <w:rFonts w:ascii="宋体" w:hAnsi="宋体" w:eastAsia="宋体" w:cs="宋体"/>
                <w14:ligatures w14:val="standardContextual"/>
              </w:rPr>
            </w:pPr>
            <w:r>
              <w:rPr>
                <w:rFonts w:hint="eastAsia" w:ascii="宋体" w:hAnsi="宋体" w:eastAsia="宋体" w:cs="宋体"/>
                <w14:ligatures w14:val="standardContextual"/>
              </w:rPr>
              <w:t>1</w:t>
            </w:r>
          </w:p>
        </w:tc>
        <w:tc>
          <w:tcPr>
            <w:tcW w:w="1559" w:type="dxa"/>
            <w:vAlign w:val="center"/>
          </w:tcPr>
          <w:p w14:paraId="58F1C17F">
            <w:pPr>
              <w:spacing w:line="276" w:lineRule="auto"/>
              <w:rPr>
                <w:rFonts w:ascii="宋体" w:hAnsi="宋体" w:eastAsia="宋体" w:cs="宋体"/>
                <w14:ligatures w14:val="standardContextual"/>
              </w:rPr>
            </w:pPr>
            <w:r>
              <w:rPr>
                <w:rFonts w:hint="eastAsia" w:ascii="宋体" w:hAnsi="宋体" w:eastAsia="宋体" w:cs="宋体"/>
                <w14:ligatures w14:val="standardContextual"/>
              </w:rPr>
              <w:t>驻场运维服务</w:t>
            </w:r>
          </w:p>
        </w:tc>
        <w:tc>
          <w:tcPr>
            <w:tcW w:w="7371" w:type="dxa"/>
            <w:vAlign w:val="center"/>
          </w:tcPr>
          <w:p w14:paraId="7C902EC2">
            <w:pPr>
              <w:spacing w:line="276" w:lineRule="auto"/>
              <w:rPr>
                <w:rFonts w:ascii="宋体" w:hAnsi="宋体" w:eastAsia="宋体" w:cs="宋体"/>
                <w14:ligatures w14:val="standardContextual"/>
              </w:rPr>
            </w:pPr>
            <w:r>
              <w:rPr>
                <w:rFonts w:hint="eastAsia" w:ascii="宋体" w:hAnsi="宋体" w:eastAsia="宋体" w:cs="宋体"/>
                <w14:ligatures w14:val="standardContextual"/>
              </w:rPr>
              <w:t>驻场运维工作内容包括但不限于：</w:t>
            </w:r>
          </w:p>
          <w:p w14:paraId="07C0FC8E">
            <w:pPr>
              <w:spacing w:line="276" w:lineRule="auto"/>
              <w:rPr>
                <w:rFonts w:ascii="宋体" w:hAnsi="宋体" w:eastAsia="宋体" w:cs="宋体"/>
                <w14:ligatures w14:val="standardContextual"/>
              </w:rPr>
            </w:pPr>
            <w:r>
              <w:rPr>
                <w:rFonts w:ascii="宋体" w:hAnsi="宋体" w:eastAsia="宋体" w:cs="宋体"/>
                <w14:ligatures w14:val="standardContextual"/>
              </w:rPr>
              <w:t>1）运行状态检查，包含：CPU使用率、内存占用率、接口流量、接口工作状态、硬盘使用情况等运行状态相关的基本参数监控，并对安全运行情况进行统计分析，形成报告并提交。</w:t>
            </w:r>
          </w:p>
          <w:p w14:paraId="3F5804E4">
            <w:pPr>
              <w:spacing w:line="276" w:lineRule="auto"/>
              <w:rPr>
                <w:rFonts w:ascii="宋体" w:hAnsi="宋体" w:eastAsia="宋体" w:cs="宋体"/>
                <w14:ligatures w14:val="standardContextual"/>
              </w:rPr>
            </w:pPr>
            <w:r>
              <w:rPr>
                <w:rFonts w:ascii="宋体" w:hAnsi="宋体" w:eastAsia="宋体" w:cs="宋体"/>
                <w14:ligatures w14:val="standardContextual"/>
              </w:rPr>
              <w:t>2）网络安全预警：对系统产出的各类预警信息进行人工分析筛选，分析研判为重点预警安全事件进行通报预警，预警内容包括受害IP、攻击时间、攻击类型、可能的攻击路径、下一步处置建议等，在日常预警监测中对发现的新资产进行资产管理。</w:t>
            </w:r>
          </w:p>
          <w:p w14:paraId="2480EA05">
            <w:pPr>
              <w:spacing w:line="276" w:lineRule="auto"/>
              <w:rPr>
                <w:rFonts w:ascii="宋体" w:hAnsi="宋体" w:eastAsia="宋体" w:cs="宋体"/>
                <w14:ligatures w14:val="standardContextual"/>
              </w:rPr>
            </w:pPr>
            <w:r>
              <w:rPr>
                <w:rFonts w:ascii="宋体" w:hAnsi="宋体" w:eastAsia="宋体" w:cs="宋体"/>
                <w14:ligatures w14:val="standardContextual"/>
              </w:rPr>
              <w:t>3）配合平台各类安全报告撰写，包含每日预警通报、月报、年报</w:t>
            </w:r>
            <w:r>
              <w:rPr>
                <w:rFonts w:hint="eastAsia" w:ascii="宋体" w:hAnsi="宋体" w:eastAsia="宋体" w:cs="宋体"/>
                <w:lang w:eastAsia="zh-CN"/>
                <w14:ligatures w14:val="standardContextual"/>
              </w:rPr>
              <w:t>、</w:t>
            </w:r>
            <w:r>
              <w:rPr>
                <w:rFonts w:hint="eastAsia" w:ascii="宋体" w:hAnsi="宋体" w:eastAsia="宋体" w:cs="宋体"/>
                <w14:ligatures w14:val="standardContextual"/>
              </w:rPr>
              <w:t>网络和数据安全威胁情报</w:t>
            </w:r>
            <w:r>
              <w:rPr>
                <w:rFonts w:ascii="宋体" w:hAnsi="宋体" w:eastAsia="宋体" w:cs="宋体"/>
                <w14:ligatures w14:val="standardContextual"/>
              </w:rPr>
              <w:t>及其他报告。</w:t>
            </w:r>
          </w:p>
          <w:p w14:paraId="70807612">
            <w:pPr>
              <w:spacing w:line="276" w:lineRule="auto"/>
              <w:rPr>
                <w:rFonts w:ascii="宋体" w:hAnsi="宋体" w:eastAsia="宋体" w:cs="宋体"/>
                <w14:ligatures w14:val="standardContextual"/>
              </w:rPr>
            </w:pPr>
            <w:r>
              <w:rPr>
                <w:rFonts w:ascii="宋体" w:hAnsi="宋体" w:eastAsia="宋体" w:cs="宋体"/>
                <w14:ligatures w14:val="standardContextual"/>
              </w:rPr>
              <w:t>4）网络故障排查：当发现设备下线或者运行异常时，安全工程师启动相应的安全应急预案，尽快判断故障并进行异常响应处理。</w:t>
            </w:r>
          </w:p>
          <w:p w14:paraId="08886793">
            <w:pPr>
              <w:spacing w:line="276" w:lineRule="auto"/>
              <w:rPr>
                <w:rFonts w:ascii="宋体" w:hAnsi="宋体" w:eastAsia="宋体" w:cs="宋体"/>
                <w14:ligatures w14:val="standardContextual"/>
              </w:rPr>
            </w:pPr>
            <w:r>
              <w:rPr>
                <w:rFonts w:ascii="宋体" w:hAnsi="宋体" w:eastAsia="宋体" w:cs="宋体"/>
                <w14:ligatures w14:val="standardContextual"/>
              </w:rPr>
              <w:t>5）策略优化：结合安全现状分析结果，针对性提出安全策略优化意见，开展策略配置调优。</w:t>
            </w:r>
          </w:p>
          <w:p w14:paraId="1AAD7F55">
            <w:pPr>
              <w:spacing w:line="276" w:lineRule="auto"/>
              <w:rPr>
                <w:rFonts w:ascii="宋体" w:hAnsi="宋体" w:eastAsia="宋体" w:cs="宋体"/>
                <w14:ligatures w14:val="standardContextual"/>
              </w:rPr>
            </w:pPr>
            <w:r>
              <w:rPr>
                <w:rFonts w:ascii="宋体" w:hAnsi="宋体" w:eastAsia="宋体" w:cs="宋体"/>
                <w14:ligatures w14:val="standardContextual"/>
              </w:rPr>
              <w:t>6）安全分析研判：安全日志采集、分析，收集现有安全设备和服务器的日志信息,深入分析信息系统中存在的高级安全威胁，研判攻击造成危害和影响。</w:t>
            </w:r>
          </w:p>
          <w:p w14:paraId="281238DA">
            <w:pPr>
              <w:spacing w:line="276" w:lineRule="auto"/>
              <w:rPr>
                <w:rFonts w:ascii="宋体" w:hAnsi="宋体" w:eastAsia="宋体" w:cs="宋体"/>
                <w14:ligatures w14:val="standardContextual"/>
              </w:rPr>
            </w:pPr>
            <w:r>
              <w:rPr>
                <w:rFonts w:hint="eastAsia" w:ascii="宋体" w:hAnsi="宋体" w:eastAsia="宋体" w:cs="宋体"/>
                <w14:ligatures w14:val="standardContextual"/>
              </w:rPr>
              <w:t>7</w:t>
            </w:r>
            <w:r>
              <w:rPr>
                <w:rFonts w:ascii="宋体" w:hAnsi="宋体" w:eastAsia="宋体" w:cs="宋体"/>
                <w14:ligatures w14:val="standardContextual"/>
              </w:rPr>
              <w:t>）网络架构优化：结合现有安全架构分析结果，明确网络架构的不合理处，提供网络架构优化意见。</w:t>
            </w:r>
          </w:p>
          <w:p w14:paraId="4F0E632B">
            <w:pPr>
              <w:spacing w:line="276" w:lineRule="auto"/>
              <w:rPr>
                <w:rFonts w:ascii="宋体" w:hAnsi="宋体" w:eastAsia="宋体" w:cs="宋体"/>
                <w14:ligatures w14:val="standardContextual"/>
              </w:rPr>
            </w:pPr>
            <w:r>
              <w:rPr>
                <w:rFonts w:hint="eastAsia" w:ascii="宋体" w:hAnsi="宋体" w:eastAsia="宋体" w:cs="宋体"/>
                <w14:ligatures w14:val="standardContextual"/>
              </w:rPr>
              <w:t>8</w:t>
            </w:r>
            <w:r>
              <w:rPr>
                <w:rFonts w:ascii="宋体" w:hAnsi="宋体" w:eastAsia="宋体" w:cs="宋体"/>
                <w14:ligatures w14:val="standardContextual"/>
              </w:rPr>
              <w:t>）设备升级维护：对态势感知平台、漏洞扫描及探针进行维护升级。定期对安全设备的系统版本、特征库、病毒库、威胁情报库和漏洞库等进行更新升级。爆发重大安全漏洞时，针对漏洞进行专项安全检查；驻场运维工程师每天关注安全设备的升级情况，对相应设备进行同步升级，保证安全设备系统处于最新状态，安全设备系统版本一致。</w:t>
            </w:r>
          </w:p>
          <w:p w14:paraId="4071DE0D">
            <w:pPr>
              <w:spacing w:line="276" w:lineRule="auto"/>
              <w:rPr>
                <w:rFonts w:ascii="宋体" w:hAnsi="宋体" w:eastAsia="宋体" w:cs="宋体"/>
                <w14:ligatures w14:val="standardContextual"/>
              </w:rPr>
            </w:pPr>
            <w:r>
              <w:rPr>
                <w:rFonts w:hint="eastAsia" w:ascii="宋体" w:hAnsi="宋体" w:eastAsia="宋体" w:cs="宋体"/>
                <w14:ligatures w14:val="standardContextual"/>
              </w:rPr>
              <w:t>9</w:t>
            </w:r>
            <w:r>
              <w:rPr>
                <w:rFonts w:ascii="宋体" w:hAnsi="宋体" w:eastAsia="宋体" w:cs="宋体"/>
                <w14:ligatures w14:val="standardContextual"/>
              </w:rPr>
              <w:t>）进行安全设备巡检，发现告警信息及时分析和处置。在进行运行状态检查时，驻场运维工程师登录设备进行检查,填写检查记录表，在巡检完毕后，输出《运维巡检日报》，同时，对巡检过程中发现的重大问题，应及时上报客户相关负责人，并协助进行问题处理。</w:t>
            </w:r>
          </w:p>
          <w:p w14:paraId="0FDCF2DF">
            <w:pPr>
              <w:spacing w:line="276" w:lineRule="auto"/>
              <w:rPr>
                <w:rFonts w:ascii="宋体" w:hAnsi="宋体" w:eastAsia="宋体" w:cs="宋体"/>
                <w14:ligatures w14:val="standardContextual"/>
              </w:rPr>
            </w:pPr>
            <w:r>
              <w:rPr>
                <w:rFonts w:ascii="宋体" w:hAnsi="宋体" w:eastAsia="宋体" w:cs="宋体"/>
                <w14:ligatures w14:val="standardContextual"/>
              </w:rPr>
              <w:t>1</w:t>
            </w:r>
            <w:r>
              <w:rPr>
                <w:rFonts w:hint="eastAsia" w:ascii="宋体" w:hAnsi="宋体" w:eastAsia="宋体" w:cs="宋体"/>
                <w14:ligatures w14:val="standardContextual"/>
              </w:rPr>
              <w:t>0</w:t>
            </w:r>
            <w:r>
              <w:rPr>
                <w:rFonts w:ascii="宋体" w:hAnsi="宋体" w:eastAsia="宋体" w:cs="宋体"/>
                <w14:ligatures w14:val="standardContextual"/>
              </w:rPr>
              <w:t>）重要配置定期备份：定期对安全设备的系统配置和策略配置进行完整备份，在设备发生故障后提供配置快速导入等恢复措施。</w:t>
            </w:r>
          </w:p>
          <w:p w14:paraId="1441C5D0">
            <w:pPr>
              <w:spacing w:line="276" w:lineRule="auto"/>
              <w:rPr>
                <w:rFonts w:ascii="宋体" w:hAnsi="宋体" w:eastAsia="宋体" w:cs="宋体"/>
                <w14:ligatures w14:val="standardContextual"/>
              </w:rPr>
            </w:pPr>
            <w:r>
              <w:rPr>
                <w:rFonts w:ascii="宋体" w:hAnsi="宋体" w:eastAsia="宋体" w:cs="宋体"/>
                <w14:ligatures w14:val="standardContextual"/>
              </w:rPr>
              <w:t>1</w:t>
            </w:r>
            <w:r>
              <w:rPr>
                <w:rFonts w:hint="eastAsia" w:ascii="宋体" w:hAnsi="宋体" w:eastAsia="宋体" w:cs="宋体"/>
                <w14:ligatures w14:val="standardContextual"/>
              </w:rPr>
              <w:t>1</w:t>
            </w:r>
            <w:r>
              <w:rPr>
                <w:rFonts w:ascii="宋体" w:hAnsi="宋体" w:eastAsia="宋体" w:cs="宋体"/>
                <w14:ligatures w14:val="standardContextual"/>
              </w:rPr>
              <w:t>）安全协助加固：针对风险监控、漏洞扫描发现的安全风险，提出专业可落地的安全加固方案，协助进行漏洞处置、全面加固和策略优化，加固完成后进行全面复测，确保安全加固有效性。</w:t>
            </w:r>
          </w:p>
          <w:p w14:paraId="5B2C88AD">
            <w:pPr>
              <w:spacing w:line="276" w:lineRule="auto"/>
              <w:rPr>
                <w:rFonts w:ascii="宋体" w:hAnsi="宋体" w:eastAsia="宋体" w:cs="宋体"/>
                <w14:ligatures w14:val="standardContextual"/>
              </w:rPr>
            </w:pPr>
            <w:r>
              <w:rPr>
                <w:rFonts w:ascii="宋体" w:hAnsi="宋体" w:eastAsia="宋体" w:cs="宋体"/>
                <w14:ligatures w14:val="standardContextual"/>
              </w:rPr>
              <w:t>1</w:t>
            </w:r>
            <w:r>
              <w:rPr>
                <w:rFonts w:hint="eastAsia" w:ascii="宋体" w:hAnsi="宋体" w:eastAsia="宋体" w:cs="宋体"/>
                <w14:ligatures w14:val="standardContextual"/>
              </w:rPr>
              <w:t>2</w:t>
            </w:r>
            <w:r>
              <w:rPr>
                <w:rFonts w:ascii="宋体" w:hAnsi="宋体" w:eastAsia="宋体" w:cs="宋体"/>
                <w14:ligatures w14:val="standardContextual"/>
              </w:rPr>
              <w:t>）结合漏洞扫描工作开展业务系统脆弱性评估、威胁评估须出具报告</w:t>
            </w:r>
          </w:p>
          <w:p w14:paraId="1B9AA8CC">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服务周期：服务期一年</w:t>
            </w:r>
          </w:p>
          <w:p w14:paraId="24FC560A">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服务交付物：包含不仅限于每日预警通报、月报、年报及其他报告，《驻场运维报告》、《运维巡检日报》、《安全加固建议》等。</w:t>
            </w:r>
          </w:p>
        </w:tc>
      </w:tr>
      <w:tr w14:paraId="3F2B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9FEF39B">
            <w:pPr>
              <w:spacing w:line="276" w:lineRule="auto"/>
              <w:jc w:val="center"/>
              <w:rPr>
                <w:rFonts w:ascii="宋体" w:hAnsi="宋体" w:eastAsia="宋体" w:cs="宋体"/>
                <w14:ligatures w14:val="standardContextual"/>
              </w:rPr>
            </w:pPr>
            <w:r>
              <w:rPr>
                <w:rFonts w:hint="eastAsia" w:ascii="宋体" w:hAnsi="宋体" w:eastAsia="宋体" w:cs="宋体"/>
                <w14:ligatures w14:val="standardContextual"/>
              </w:rPr>
              <w:t>2</w:t>
            </w:r>
          </w:p>
        </w:tc>
        <w:tc>
          <w:tcPr>
            <w:tcW w:w="1559" w:type="dxa"/>
            <w:vAlign w:val="center"/>
          </w:tcPr>
          <w:p w14:paraId="22F82CF7">
            <w:pPr>
              <w:spacing w:line="276" w:lineRule="auto"/>
              <w:rPr>
                <w:rFonts w:ascii="宋体" w:hAnsi="宋体" w:eastAsia="宋体" w:cs="宋体"/>
                <w14:ligatures w14:val="standardContextual"/>
              </w:rPr>
            </w:pPr>
            <w:r>
              <w:rPr>
                <w:rFonts w:hint="eastAsia" w:ascii="宋体" w:hAnsi="宋体" w:eastAsia="宋体" w:cs="宋体"/>
                <w14:ligatures w14:val="standardContextual"/>
              </w:rPr>
              <w:t>漏洞扫描服务</w:t>
            </w:r>
          </w:p>
        </w:tc>
        <w:tc>
          <w:tcPr>
            <w:tcW w:w="7371" w:type="dxa"/>
            <w:vAlign w:val="center"/>
          </w:tcPr>
          <w:p w14:paraId="4D0E37E1">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内容：服务期内对平台监管范围内的业务系统开展不少于四次漏洞扫描服务。采用漏洞扫描工具对服务范围内各种软硬件设备进行网络层、系统层、数据库、应用层面的全面扫描与分析，扫描设备检测规则库及知识库应涵盖</w:t>
            </w:r>
            <w:r>
              <w:rPr>
                <w:rFonts w:ascii="宋体" w:hAnsi="宋体" w:eastAsia="宋体" w:cs="宋体"/>
                <w14:ligatures w14:val="standardContextual"/>
              </w:rPr>
              <w:t>CVE、CNCVE、CNVD、CNNVD等标准。扫描完成后并人工验证所发现的操作系统漏洞、数据库漏洞、弱口令、信息泄露及配置不当等脆弱性问题。提出准确有效的扫描报告，并针对漏洞扫描中出现的问题，提供解决方案，协助进行安全漏洞加固。</w:t>
            </w:r>
          </w:p>
          <w:p w14:paraId="3886B865">
            <w:pPr>
              <w:spacing w:line="276" w:lineRule="auto"/>
              <w:rPr>
                <w:rFonts w:ascii="宋体" w:hAnsi="宋体" w:eastAsia="宋体" w:cs="宋体"/>
                <w14:ligatures w14:val="standardContextual"/>
              </w:rPr>
            </w:pPr>
            <w:r>
              <w:rPr>
                <w:rFonts w:hint="eastAsia" w:ascii="宋体" w:hAnsi="宋体" w:eastAsia="宋体" w:cs="宋体"/>
                <w14:ligatures w14:val="standardContextual"/>
              </w:rPr>
              <w:t>1）扫描实施及报告</w:t>
            </w:r>
          </w:p>
          <w:p w14:paraId="1A7F68EA">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服务周期内，按要求进行全面的安全漏洞扫描和分析，并在扫描完成后出具正式的准确有效的报告。</w:t>
            </w:r>
          </w:p>
          <w:p w14:paraId="6ADC0639">
            <w:pPr>
              <w:spacing w:line="276" w:lineRule="auto"/>
              <w:rPr>
                <w:rFonts w:ascii="宋体" w:hAnsi="宋体" w:eastAsia="宋体" w:cs="宋体"/>
                <w14:ligatures w14:val="standardContextual"/>
              </w:rPr>
            </w:pPr>
            <w:r>
              <w:rPr>
                <w:rFonts w:hint="eastAsia" w:ascii="宋体" w:hAnsi="宋体" w:eastAsia="宋体" w:cs="宋体"/>
                <w14:ligatures w14:val="standardContextual"/>
              </w:rPr>
              <w:t>2）误报排查</w:t>
            </w:r>
          </w:p>
          <w:p w14:paraId="7B0B8EFE">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服务周期内，确保出具的报告准确有效，对扫描结果和实际情况不相符的误报应进行排查，最后提交的报告内容应排除误报。</w:t>
            </w:r>
          </w:p>
          <w:p w14:paraId="233635BE">
            <w:pPr>
              <w:spacing w:line="276" w:lineRule="auto"/>
              <w:rPr>
                <w:rFonts w:ascii="宋体" w:hAnsi="宋体" w:eastAsia="宋体" w:cs="宋体"/>
                <w14:ligatures w14:val="standardContextual"/>
              </w:rPr>
            </w:pPr>
            <w:r>
              <w:rPr>
                <w:rFonts w:hint="eastAsia" w:ascii="宋体" w:hAnsi="宋体" w:eastAsia="宋体" w:cs="宋体"/>
                <w14:ligatures w14:val="standardContextual"/>
              </w:rPr>
              <w:t>3）漏洞说明及验证</w:t>
            </w:r>
          </w:p>
          <w:p w14:paraId="5F2A99E2">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内，对漏洞结果进行说明，包括漏洞被利用后可能造成的影响、漏洞产生的原因、漏洞发现的原理等，若采购人提出验证要求，模拟出相关场景进行验证。漏洞验证需提供详细的验证步骤，建议可形成自动化脚本。</w:t>
            </w:r>
          </w:p>
          <w:p w14:paraId="2E8774E6">
            <w:pPr>
              <w:spacing w:line="276" w:lineRule="auto"/>
              <w:rPr>
                <w:rFonts w:ascii="宋体" w:hAnsi="宋体" w:eastAsia="宋体" w:cs="宋体"/>
                <w14:ligatures w14:val="standardContextual"/>
              </w:rPr>
            </w:pPr>
            <w:r>
              <w:rPr>
                <w:rFonts w:hint="eastAsia" w:ascii="宋体" w:hAnsi="宋体" w:eastAsia="宋体" w:cs="宋体"/>
                <w14:ligatures w14:val="standardContextual"/>
              </w:rPr>
              <w:t>4）漏洞整改及加固</w:t>
            </w:r>
          </w:p>
          <w:p w14:paraId="5930A5BC">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服务周期内，根据扫描结果提出具体实施方案，涵盖风险分析及其应对措施，解决方案将符合采购人实际情况并切实可行，协助采购人完成整改；提出安全加固方案，支持采购人完成安全加固。</w:t>
            </w:r>
          </w:p>
          <w:p w14:paraId="179FEE3F">
            <w:pPr>
              <w:spacing w:line="276" w:lineRule="auto"/>
              <w:rPr>
                <w:rFonts w:ascii="宋体" w:hAnsi="宋体" w:eastAsia="宋体" w:cs="宋体"/>
                <w14:ligatures w14:val="standardContextual"/>
              </w:rPr>
            </w:pPr>
            <w:r>
              <w:rPr>
                <w:rFonts w:hint="eastAsia" w:ascii="宋体" w:hAnsi="宋体" w:eastAsia="宋体" w:cs="宋体"/>
                <w14:ligatures w14:val="standardContextual"/>
              </w:rPr>
              <w:t>5）漏洞整改复查</w:t>
            </w:r>
          </w:p>
          <w:p w14:paraId="26957252">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服务周期内，对于采购人已确认整改的漏洞将进行第二次扫描确认，确保整改完成后漏洞已修复完毕。</w:t>
            </w:r>
          </w:p>
          <w:p w14:paraId="50C13BE9">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服务周期：服务周期内对态势感知平台监管范围内的业务系统开展每年不少于</w:t>
            </w:r>
            <w:r>
              <w:rPr>
                <w:rFonts w:ascii="宋体" w:hAnsi="宋体" w:eastAsia="宋体" w:cs="宋体"/>
                <w14:ligatures w14:val="standardContextual"/>
              </w:rPr>
              <w:t>4次漏洞扫描及复检服务。</w:t>
            </w:r>
          </w:p>
          <w:p w14:paraId="4B565D3D">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服务交付物：《漏洞扫描报告》、</w:t>
            </w:r>
            <w:r>
              <w:rPr>
                <w:rFonts w:ascii="宋体" w:hAnsi="宋体" w:eastAsia="宋体" w:cs="宋体"/>
                <w14:ligatures w14:val="standardContextual"/>
              </w:rPr>
              <w:t xml:space="preserve"> 《整改加固报告》</w:t>
            </w:r>
            <w:r>
              <w:rPr>
                <w:rFonts w:hint="eastAsia" w:ascii="宋体" w:hAnsi="宋体" w:eastAsia="宋体" w:cs="宋体"/>
                <w14:ligatures w14:val="standardContextual"/>
              </w:rPr>
              <w:t>等</w:t>
            </w:r>
          </w:p>
        </w:tc>
      </w:tr>
      <w:tr w14:paraId="21A2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72074E9">
            <w:pPr>
              <w:spacing w:line="276" w:lineRule="auto"/>
              <w:jc w:val="center"/>
              <w:rPr>
                <w:rFonts w:ascii="宋体" w:hAnsi="宋体" w:eastAsia="宋体" w:cs="宋体"/>
                <w14:ligatures w14:val="standardContextual"/>
              </w:rPr>
            </w:pPr>
            <w:r>
              <w:rPr>
                <w:rFonts w:hint="eastAsia" w:ascii="宋体" w:hAnsi="宋体" w:eastAsia="宋体" w:cs="宋体"/>
                <w14:ligatures w14:val="standardContextual"/>
              </w:rPr>
              <w:t>3</w:t>
            </w:r>
          </w:p>
        </w:tc>
        <w:tc>
          <w:tcPr>
            <w:tcW w:w="1559" w:type="dxa"/>
            <w:vAlign w:val="center"/>
          </w:tcPr>
          <w:p w14:paraId="385FE0D3">
            <w:pPr>
              <w:spacing w:line="276" w:lineRule="auto"/>
              <w:rPr>
                <w:rFonts w:ascii="宋体" w:hAnsi="宋体" w:eastAsia="宋体" w:cs="宋体"/>
                <w14:ligatures w14:val="standardContextual"/>
              </w:rPr>
            </w:pPr>
            <w:r>
              <w:rPr>
                <w:rFonts w:hint="eastAsia" w:ascii="宋体" w:hAnsi="宋体" w:eastAsia="宋体" w:cs="宋体"/>
                <w14:ligatures w14:val="standardContextual"/>
              </w:rPr>
              <w:t>应急管理服务</w:t>
            </w:r>
          </w:p>
        </w:tc>
        <w:tc>
          <w:tcPr>
            <w:tcW w:w="7371" w:type="dxa"/>
            <w:vAlign w:val="center"/>
          </w:tcPr>
          <w:p w14:paraId="2C7980E8">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内容：在发生各类网络安全事件时，第一时间提供应急响应和处置服务，按照安全应急响应预案，及时采取有效的应对措施，控制安全事件造成的影响范围，缩小损失，排查问题来源，恢复信息资产正常运行，应急响应结束后，输出《应急响应报告》。</w:t>
            </w:r>
          </w:p>
          <w:p w14:paraId="05D7C428">
            <w:pPr>
              <w:spacing w:line="276" w:lineRule="auto"/>
              <w:rPr>
                <w:rFonts w:ascii="宋体" w:hAnsi="宋体" w:eastAsia="宋体" w:cs="宋体"/>
                <w14:ligatures w14:val="standardContextual"/>
              </w:rPr>
            </w:pPr>
            <w:r>
              <w:rPr>
                <w:rFonts w:hint="eastAsia" w:ascii="宋体" w:hAnsi="宋体" w:eastAsia="宋体" w:cs="宋体"/>
                <w14:ligatures w14:val="standardContextual"/>
              </w:rPr>
              <w:t>开展应急演练，检验应急预案实用性、应急机制科学性、应急体制合理性、应急程序的适用性。根据应急预案规定的流程，进行相应的模拟演练，事后进行总结分析，对应急预案不足之处进行修订。同时，使得信息系统相关人员了解应急流程和责任，在安全事件发生时，能够有条不紊地开展应急工作，最大程度降低安全事件带来的负面影响和损失。</w:t>
            </w:r>
          </w:p>
          <w:p w14:paraId="4780C267">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服务周期：服务周期内应急响应按需提供，服务周期内应急演练开展不少于</w:t>
            </w:r>
            <w:r>
              <w:rPr>
                <w:rFonts w:ascii="宋体" w:hAnsi="宋体" w:eastAsia="宋体" w:cs="宋体"/>
                <w14:ligatures w14:val="standardContextual"/>
              </w:rPr>
              <w:t>1次。</w:t>
            </w:r>
          </w:p>
          <w:p w14:paraId="76F100B9">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服务交付物：《应急响应报告》、《网络安全应急演练总结》等。</w:t>
            </w:r>
          </w:p>
        </w:tc>
      </w:tr>
      <w:tr w14:paraId="2D6D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6CA6468">
            <w:pPr>
              <w:spacing w:line="276" w:lineRule="auto"/>
              <w:jc w:val="center"/>
              <w:rPr>
                <w:rFonts w:ascii="宋体" w:hAnsi="宋体" w:eastAsia="宋体" w:cs="宋体"/>
                <w14:ligatures w14:val="standardContextual"/>
              </w:rPr>
            </w:pPr>
            <w:r>
              <w:rPr>
                <w:rFonts w:hint="eastAsia" w:ascii="宋体" w:hAnsi="宋体" w:eastAsia="宋体" w:cs="宋体"/>
                <w14:ligatures w14:val="standardContextual"/>
              </w:rPr>
              <w:t>4</w:t>
            </w:r>
          </w:p>
        </w:tc>
        <w:tc>
          <w:tcPr>
            <w:tcW w:w="1559" w:type="dxa"/>
            <w:vAlign w:val="center"/>
          </w:tcPr>
          <w:p w14:paraId="3F1ED3E2">
            <w:pPr>
              <w:spacing w:line="276" w:lineRule="auto"/>
              <w:rPr>
                <w:rFonts w:ascii="宋体" w:hAnsi="宋体" w:eastAsia="宋体" w:cs="宋体"/>
                <w14:ligatures w14:val="standardContextual"/>
              </w:rPr>
            </w:pPr>
            <w:r>
              <w:rPr>
                <w:rFonts w:hint="eastAsia" w:ascii="宋体" w:hAnsi="宋体" w:eastAsia="宋体" w:cs="宋体"/>
                <w14:ligatures w14:val="standardContextual"/>
              </w:rPr>
              <w:t>安全培训服务</w:t>
            </w:r>
          </w:p>
        </w:tc>
        <w:tc>
          <w:tcPr>
            <w:tcW w:w="7371" w:type="dxa"/>
            <w:vAlign w:val="center"/>
          </w:tcPr>
          <w:p w14:paraId="39789817">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内容：定期开展信息安全培训，提高人员信息安全意识、技能，应对信息安全风险能力、信息系统安全运维水平，降低信息系统安全风险。面向单位全体人员开展网络安全培训，内容需包括安全现状分析、行业安全事件、安全防护措施等，旨在提升安全防护意识和了解防护措施，让安全事故可以得到有效的避免。安全培训团队不少于2人，并且都具备注册信息安全讲师资质。</w:t>
            </w:r>
          </w:p>
          <w:p w14:paraId="7F119954">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服务周期：服务期内需开展不少于</w:t>
            </w:r>
            <w:r>
              <w:rPr>
                <w:rFonts w:ascii="宋体" w:hAnsi="宋体" w:eastAsia="宋体" w:cs="宋体"/>
                <w14:ligatures w14:val="standardContextual"/>
              </w:rPr>
              <w:t>2次。</w:t>
            </w:r>
          </w:p>
          <w:p w14:paraId="7DFB3105">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服务交付物：《安全培训课件》、《培训反馈总结》等。</w:t>
            </w:r>
          </w:p>
        </w:tc>
      </w:tr>
      <w:tr w14:paraId="5A6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7F56904">
            <w:pPr>
              <w:spacing w:line="276" w:lineRule="auto"/>
              <w:jc w:val="center"/>
              <w:rPr>
                <w:rFonts w:ascii="宋体" w:hAnsi="宋体" w:eastAsia="宋体" w:cs="宋体"/>
                <w14:ligatures w14:val="standardContextual"/>
              </w:rPr>
            </w:pPr>
            <w:r>
              <w:rPr>
                <w:rFonts w:hint="eastAsia" w:ascii="宋体" w:hAnsi="宋体" w:eastAsia="宋体" w:cs="宋体"/>
                <w14:ligatures w14:val="standardContextual"/>
              </w:rPr>
              <w:t>5</w:t>
            </w:r>
          </w:p>
        </w:tc>
        <w:tc>
          <w:tcPr>
            <w:tcW w:w="1559" w:type="dxa"/>
            <w:vAlign w:val="center"/>
          </w:tcPr>
          <w:p w14:paraId="68583831">
            <w:pPr>
              <w:spacing w:line="276" w:lineRule="auto"/>
              <w:rPr>
                <w:rFonts w:ascii="宋体" w:hAnsi="宋体" w:eastAsia="宋体" w:cs="宋体"/>
                <w14:ligatures w14:val="standardContextual"/>
              </w:rPr>
            </w:pPr>
            <w:r>
              <w:rPr>
                <w:rFonts w:hint="eastAsia" w:ascii="宋体" w:hAnsi="宋体" w:eastAsia="宋体" w:cs="宋体"/>
                <w14:ligatures w14:val="standardContextual"/>
              </w:rPr>
              <w:t>重要时期保障服务</w:t>
            </w:r>
          </w:p>
        </w:tc>
        <w:tc>
          <w:tcPr>
            <w:tcW w:w="7371" w:type="dxa"/>
            <w:vAlign w:val="center"/>
          </w:tcPr>
          <w:p w14:paraId="7BAAC80B">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服务内容：在国家、省、市重要会议、重大活动及重大节假日期间，对态势感知平台监管范围内的业务系统提供</w:t>
            </w:r>
            <w:r>
              <w:rPr>
                <w:rFonts w:ascii="宋体" w:hAnsi="宋体" w:eastAsia="宋体" w:cs="宋体"/>
                <w14:ligatures w14:val="standardContextual"/>
              </w:rPr>
              <w:t>7×24小时的安全保障服务，期间派遣安全服务人员进行现场值守，完成风险摸排、策略梳理、安全监测、分析研判、应急处置等工作。</w:t>
            </w:r>
          </w:p>
          <w:p w14:paraId="6BC3C8F2">
            <w:pPr>
              <w:spacing w:line="276" w:lineRule="auto"/>
              <w:rPr>
                <w:rFonts w:ascii="宋体" w:hAnsi="宋体" w:eastAsia="宋体" w:cs="宋体"/>
                <w14:ligatures w14:val="standardContextual"/>
              </w:rPr>
            </w:pPr>
            <w:r>
              <w:rPr>
                <w:rFonts w:hint="eastAsia" w:ascii="宋体" w:hAnsi="宋体" w:eastAsia="宋体" w:cs="宋体"/>
                <w14:ligatures w14:val="standardContextual"/>
              </w:rPr>
              <w:t>1）服务前期的备战，包含服务计划、资源保障、人员安排等详细计划内容；根据服务目标制定详细计划并安排相应人员保障，例如攻击检查，则制定攻击检查计划，防守保障，则制定防守保障计划；</w:t>
            </w:r>
          </w:p>
          <w:p w14:paraId="11BEFF16">
            <w:pPr>
              <w:spacing w:line="276" w:lineRule="auto"/>
              <w:rPr>
                <w:rFonts w:ascii="宋体" w:hAnsi="宋体" w:eastAsia="宋体" w:cs="宋体"/>
                <w14:ligatures w14:val="standardContextual"/>
              </w:rPr>
            </w:pPr>
            <w:r>
              <w:rPr>
                <w:rFonts w:hint="eastAsia" w:ascii="宋体" w:hAnsi="宋体" w:eastAsia="宋体" w:cs="宋体"/>
                <w14:ligatures w14:val="standardContextual"/>
              </w:rPr>
              <w:t>2）针对重要系统，应在开始前完成漏洞扫描、安全基线核查、安全加固等工作；</w:t>
            </w:r>
          </w:p>
          <w:p w14:paraId="259C776C">
            <w:pPr>
              <w:spacing w:line="276" w:lineRule="auto"/>
              <w:rPr>
                <w:rFonts w:ascii="宋体" w:hAnsi="宋体" w:eastAsia="宋体" w:cs="宋体"/>
                <w14:ligatures w14:val="standardContextual"/>
              </w:rPr>
            </w:pPr>
            <w:r>
              <w:rPr>
                <w:rFonts w:hint="eastAsia" w:ascii="宋体" w:hAnsi="宋体" w:eastAsia="宋体" w:cs="宋体"/>
                <w14:ligatures w14:val="standardContextual"/>
              </w:rPr>
              <w:t>3）重大活动期间，完成安全监测、应急处理、追踪溯源等工作；</w:t>
            </w:r>
          </w:p>
          <w:p w14:paraId="36AD509A">
            <w:pPr>
              <w:spacing w:line="276" w:lineRule="auto"/>
              <w:rPr>
                <w:rFonts w:ascii="宋体" w:hAnsi="宋体" w:eastAsia="宋体" w:cs="宋体"/>
                <w14:ligatures w14:val="standardContextual"/>
              </w:rPr>
            </w:pPr>
            <w:r>
              <w:rPr>
                <w:rFonts w:hint="eastAsia" w:ascii="宋体" w:hAnsi="宋体" w:eastAsia="宋体" w:cs="宋体"/>
                <w14:ligatures w14:val="standardContextual"/>
              </w:rPr>
              <w:t>4）重保结束后，进行数据分析与报告总结，并对攻击进行复盘，提出之后</w:t>
            </w:r>
            <w:r>
              <w:rPr>
                <w:rFonts w:ascii="宋体" w:hAnsi="宋体" w:eastAsia="宋体" w:cs="宋体"/>
                <w14:ligatures w14:val="standardContextual"/>
              </w:rPr>
              <w:t>1-2年安全建设规划。</w:t>
            </w:r>
          </w:p>
          <w:p w14:paraId="488E7203">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服务周期：服务周期内按需提供服务。</w:t>
            </w:r>
          </w:p>
          <w:p w14:paraId="03BD6D14">
            <w:pPr>
              <w:spacing w:line="276" w:lineRule="auto"/>
              <w:rPr>
                <w:rFonts w:ascii="宋体" w:hAnsi="宋体" w:eastAsia="宋体" w:cs="宋体"/>
                <w14:ligatures w14:val="standardContextual"/>
              </w:rPr>
            </w:pPr>
            <w:r>
              <w:rPr>
                <w:rFonts w:hint="eastAsia" w:ascii="宋体" w:hAnsi="宋体" w:eastAsia="宋体" w:cs="宋体"/>
                <w14:ligatures w14:val="standardContextual"/>
              </w:rPr>
              <w:t>服务交付物：</w:t>
            </w:r>
            <w:r>
              <w:rPr>
                <w:rFonts w:ascii="宋体" w:hAnsi="宋体" w:eastAsia="宋体" w:cs="宋体"/>
                <w14:ligatures w14:val="standardContextual"/>
              </w:rPr>
              <w:t>《重要时期保障业务系统和资产列表》</w:t>
            </w:r>
            <w:r>
              <w:rPr>
                <w:rFonts w:hint="eastAsia" w:ascii="宋体" w:hAnsi="宋体" w:eastAsia="宋体" w:cs="宋体"/>
                <w14:ligatures w14:val="standardContextual"/>
              </w:rPr>
              <w:t>、</w:t>
            </w:r>
            <w:r>
              <w:rPr>
                <w:rFonts w:ascii="宋体" w:hAnsi="宋体" w:eastAsia="宋体" w:cs="宋体"/>
                <w14:ligatures w14:val="standardContextual"/>
              </w:rPr>
              <w:t>《脆弱性检查报告》</w:t>
            </w:r>
            <w:r>
              <w:rPr>
                <w:rFonts w:hint="eastAsia" w:ascii="宋体" w:hAnsi="宋体" w:eastAsia="宋体" w:cs="宋体"/>
                <w14:ligatures w14:val="standardContextual"/>
              </w:rPr>
              <w:t>、</w:t>
            </w:r>
            <w:r>
              <w:rPr>
                <w:rFonts w:ascii="宋体" w:hAnsi="宋体" w:eastAsia="宋体" w:cs="宋体"/>
                <w14:ligatures w14:val="standardContextual"/>
              </w:rPr>
              <w:t>《重要时期整改应急预案》</w:t>
            </w:r>
            <w:r>
              <w:rPr>
                <w:rFonts w:hint="eastAsia" w:ascii="宋体" w:hAnsi="宋体" w:eastAsia="宋体" w:cs="宋体"/>
                <w14:ligatures w14:val="standardContextual"/>
              </w:rPr>
              <w:t>、</w:t>
            </w:r>
            <w:r>
              <w:rPr>
                <w:rFonts w:ascii="宋体" w:hAnsi="宋体" w:eastAsia="宋体" w:cs="宋体"/>
                <w14:ligatures w14:val="standardContextual"/>
              </w:rPr>
              <w:t>《重要时期专题培训课件》</w:t>
            </w:r>
            <w:r>
              <w:rPr>
                <w:rFonts w:hint="eastAsia" w:ascii="宋体" w:hAnsi="宋体" w:eastAsia="宋体" w:cs="宋体"/>
                <w14:ligatures w14:val="standardContextual"/>
              </w:rPr>
              <w:t>、《重大活动保障总结报告》、</w:t>
            </w:r>
            <w:r>
              <w:rPr>
                <w:rFonts w:ascii="宋体" w:hAnsi="宋体" w:eastAsia="宋体" w:cs="宋体"/>
                <w14:ligatures w14:val="standardContextual"/>
              </w:rPr>
              <w:t>《现场安全值守日报/巡检/监控报告》</w:t>
            </w:r>
            <w:r>
              <w:rPr>
                <w:rFonts w:hint="eastAsia" w:ascii="宋体" w:hAnsi="宋体" w:eastAsia="宋体" w:cs="宋体"/>
                <w14:ligatures w14:val="standardContextual"/>
              </w:rPr>
              <w:t>等。</w:t>
            </w:r>
          </w:p>
        </w:tc>
      </w:tr>
    </w:tbl>
    <w:p w14:paraId="32BFE218">
      <w:pPr>
        <w:rPr>
          <w:rFonts w:hint="eastAsia" w:ascii="黑体" w:hAnsi="黑体" w:eastAsia="黑体" w:cs="黑体"/>
          <w:b/>
          <w:color w:val="000000"/>
          <w:sz w:val="24"/>
        </w:rPr>
      </w:pPr>
    </w:p>
    <w:p w14:paraId="79ADC6C2">
      <w:pPr>
        <w:pStyle w:val="11"/>
        <w:tabs>
          <w:tab w:val="left" w:pos="1391"/>
        </w:tabs>
        <w:spacing w:line="360" w:lineRule="auto"/>
        <w:ind w:firstLine="482" w:firstLineChars="200"/>
        <w:rPr>
          <w:rFonts w:ascii="黑体" w:hAnsi="黑体" w:eastAsia="黑体" w:cs="黑体"/>
          <w:b/>
          <w:color w:val="000000" w:themeColor="text1"/>
          <w:kern w:val="2"/>
          <w:sz w:val="24"/>
          <w:highlight w:val="none"/>
          <w14:textFill>
            <w14:solidFill>
              <w14:schemeClr w14:val="tx1"/>
            </w14:solidFill>
          </w14:textFill>
        </w:rPr>
      </w:pPr>
      <w:r>
        <w:rPr>
          <w:rFonts w:hint="eastAsia" w:ascii="黑体" w:hAnsi="黑体" w:eastAsia="黑体" w:cs="黑体"/>
          <w:b/>
          <w:color w:val="000000" w:themeColor="text1"/>
          <w:kern w:val="2"/>
          <w:sz w:val="24"/>
          <w:highlight w:val="none"/>
          <w14:textFill>
            <w14:solidFill>
              <w14:schemeClr w14:val="tx1"/>
            </w14:solidFill>
          </w14:textFill>
        </w:rPr>
        <w:t>八、项目组织与质量保证</w:t>
      </w:r>
    </w:p>
    <w:p w14:paraId="0F56E094">
      <w:pPr>
        <w:pStyle w:val="46"/>
        <w:ind w:firstLine="482"/>
        <w:jc w:val="both"/>
        <w:rPr>
          <w:b/>
          <w:bCs/>
          <w:sz w:val="24"/>
          <w:szCs w:val="18"/>
          <w:highlight w:val="none"/>
        </w:rPr>
      </w:pPr>
      <w:r>
        <w:rPr>
          <w:rFonts w:hint="eastAsia"/>
          <w:b/>
          <w:bCs/>
          <w:sz w:val="24"/>
          <w:szCs w:val="18"/>
          <w:highlight w:val="none"/>
          <w:lang w:val="en-US" w:eastAsia="zh-CN"/>
        </w:rPr>
        <w:t>1.</w:t>
      </w:r>
      <w:r>
        <w:rPr>
          <w:rFonts w:hint="eastAsia"/>
          <w:b/>
          <w:bCs/>
          <w:sz w:val="24"/>
          <w:szCs w:val="18"/>
          <w:highlight w:val="none"/>
        </w:rPr>
        <w:t>服务质量管理</w:t>
      </w:r>
    </w:p>
    <w:p w14:paraId="6995D666">
      <w:pPr>
        <w:snapToGrid w:val="0"/>
        <w:spacing w:line="360" w:lineRule="auto"/>
        <w:ind w:firstLine="480" w:firstLineChars="200"/>
        <w:rPr>
          <w:rFonts w:ascii="宋体" w:hAnsi="宋体"/>
          <w:sz w:val="24"/>
          <w:highlight w:val="none"/>
        </w:rPr>
      </w:pPr>
      <w:r>
        <w:rPr>
          <w:rFonts w:hint="eastAsia" w:ascii="宋体" w:hAnsi="宋体"/>
          <w:sz w:val="24"/>
          <w:highlight w:val="none"/>
        </w:rPr>
        <w:t>服务商应严格执行需求方的项目管理规定，应建立严格的质量保证体系，制定项目建设的质量控制方案和实施措施，并督促完成各环节质量控制内容和目标，从项目资质、项目质量保障、项目风险管理和安全保密等方面加强项目管理，确保服务质量，提供完善详细的项目管理方案。</w:t>
      </w:r>
    </w:p>
    <w:p w14:paraId="78EA9148">
      <w:pPr>
        <w:pStyle w:val="46"/>
        <w:ind w:firstLine="482"/>
        <w:jc w:val="both"/>
        <w:rPr>
          <w:b/>
          <w:bCs/>
          <w:sz w:val="24"/>
          <w:szCs w:val="18"/>
          <w:highlight w:val="none"/>
        </w:rPr>
      </w:pPr>
      <w:bookmarkStart w:id="9" w:name="_Toc54801046"/>
      <w:r>
        <w:rPr>
          <w:rFonts w:hint="eastAsia"/>
          <w:b/>
          <w:bCs/>
          <w:sz w:val="24"/>
          <w:szCs w:val="18"/>
          <w:highlight w:val="none"/>
          <w:lang w:val="en-US" w:eastAsia="zh-CN"/>
        </w:rPr>
        <w:t>2.</w:t>
      </w:r>
      <w:r>
        <w:rPr>
          <w:rFonts w:hint="eastAsia"/>
          <w:b/>
          <w:bCs/>
          <w:sz w:val="24"/>
          <w:szCs w:val="18"/>
          <w:highlight w:val="none"/>
        </w:rPr>
        <w:t>安全服务要求</w:t>
      </w:r>
      <w:bookmarkEnd w:id="9"/>
    </w:p>
    <w:p w14:paraId="355D0813">
      <w:pPr>
        <w:widowControl/>
        <w:numPr>
          <w:ilvl w:val="0"/>
          <w:numId w:val="1"/>
        </w:numPr>
        <w:spacing w:line="360" w:lineRule="auto"/>
        <w:contextualSpacing/>
        <w:jc w:val="left"/>
        <w:rPr>
          <w:rFonts w:ascii="宋体" w:hAnsi="宋体"/>
          <w:kern w:val="0"/>
          <w:sz w:val="24"/>
          <w:highlight w:val="none"/>
          <w:lang w:bidi="en-US"/>
        </w:rPr>
      </w:pPr>
      <w:r>
        <w:rPr>
          <w:rFonts w:hint="eastAsia" w:ascii="宋体" w:hAnsi="宋体"/>
          <w:kern w:val="0"/>
          <w:sz w:val="24"/>
          <w:highlight w:val="none"/>
          <w:lang w:bidi="en-US"/>
        </w:rPr>
        <w:t>为保证供应商开展平台系统版本、特征库升级维护、各类软硬件故障维护工作不涉及知识产权及法律纠纷，服务商在进行信息安全运维、升级维护、安全测试、安全评估等工作中使用的工具及设备不涉及第三方侵权纠纷（由供应商负责，与采购人无关），供应商应提供相应工具及设备的升级授权。</w:t>
      </w:r>
    </w:p>
    <w:p w14:paraId="2A09D320">
      <w:pPr>
        <w:widowControl/>
        <w:numPr>
          <w:ilvl w:val="0"/>
          <w:numId w:val="1"/>
        </w:numPr>
        <w:spacing w:line="360" w:lineRule="auto"/>
        <w:contextualSpacing/>
        <w:jc w:val="left"/>
        <w:rPr>
          <w:rFonts w:ascii="宋体" w:hAnsi="宋体"/>
          <w:kern w:val="0"/>
          <w:sz w:val="24"/>
          <w:highlight w:val="none"/>
          <w:lang w:bidi="en-US"/>
        </w:rPr>
      </w:pPr>
      <w:r>
        <w:rPr>
          <w:rFonts w:hint="eastAsia" w:ascii="宋体" w:hAnsi="宋体"/>
          <w:kern w:val="0"/>
          <w:sz w:val="24"/>
          <w:highlight w:val="none"/>
          <w:lang w:bidi="en-US"/>
        </w:rPr>
        <w:t xml:space="preserve">提供全面、有效、及时的技术支持和检测服务，应详细说明技术指导和技术支持的范围和程度。对于甲方不清楚的问题，需要提供免费咨询，并附有详细说明材料。 </w:t>
      </w:r>
    </w:p>
    <w:p w14:paraId="2514A4B4">
      <w:pPr>
        <w:widowControl/>
        <w:numPr>
          <w:ilvl w:val="0"/>
          <w:numId w:val="1"/>
        </w:numPr>
        <w:spacing w:line="360" w:lineRule="auto"/>
        <w:contextualSpacing/>
        <w:jc w:val="left"/>
        <w:rPr>
          <w:rFonts w:ascii="宋体" w:hAnsi="宋体"/>
          <w:kern w:val="0"/>
          <w:sz w:val="24"/>
          <w:highlight w:val="none"/>
          <w:lang w:bidi="en-US"/>
        </w:rPr>
      </w:pPr>
      <w:r>
        <w:rPr>
          <w:rFonts w:hint="eastAsia" w:ascii="宋体" w:hAnsi="宋体"/>
          <w:kern w:val="0"/>
          <w:sz w:val="24"/>
          <w:highlight w:val="none"/>
          <w:lang w:bidi="en-US"/>
        </w:rPr>
        <w:t>进行风险检测过程中采用的技术应遵循国家相关标准和技术体制，没有相应国家标准则须遵循国际标准。</w:t>
      </w:r>
    </w:p>
    <w:p w14:paraId="4ED3604F">
      <w:pPr>
        <w:pStyle w:val="46"/>
        <w:ind w:firstLine="482"/>
        <w:jc w:val="both"/>
        <w:rPr>
          <w:b/>
          <w:bCs/>
          <w:sz w:val="24"/>
          <w:szCs w:val="18"/>
          <w:highlight w:val="none"/>
        </w:rPr>
      </w:pPr>
      <w:r>
        <w:rPr>
          <w:rFonts w:hint="eastAsia"/>
          <w:b/>
          <w:bCs/>
          <w:sz w:val="24"/>
          <w:szCs w:val="18"/>
          <w:highlight w:val="none"/>
          <w:lang w:val="en-US" w:eastAsia="zh-CN"/>
        </w:rPr>
        <w:t>3.</w:t>
      </w:r>
      <w:r>
        <w:rPr>
          <w:rFonts w:hint="eastAsia"/>
          <w:b/>
          <w:bCs/>
          <w:sz w:val="24"/>
          <w:szCs w:val="18"/>
          <w:highlight w:val="none"/>
        </w:rPr>
        <w:t>服务人员要求</w:t>
      </w:r>
    </w:p>
    <w:p w14:paraId="7D1A328E">
      <w:pPr>
        <w:spacing w:line="360" w:lineRule="auto"/>
        <w:ind w:firstLine="480" w:firstLineChars="200"/>
        <w:rPr>
          <w:rFonts w:ascii="宋体" w:hAnsi="宋体"/>
          <w:sz w:val="24"/>
          <w:highlight w:val="none"/>
        </w:rPr>
      </w:pPr>
      <w:r>
        <w:rPr>
          <w:rFonts w:hint="eastAsia" w:ascii="宋体" w:hAnsi="宋体"/>
          <w:sz w:val="24"/>
          <w:highlight w:val="none"/>
        </w:rPr>
        <w:t>以上服务需要指派专业人员进驻现场开展安全保障工作，在服务期内完成所有系统的全部</w:t>
      </w:r>
      <w:r>
        <w:rPr>
          <w:rFonts w:hint="eastAsia" w:ascii="宋体" w:hAnsi="宋体"/>
          <w:sz w:val="24"/>
          <w:highlight w:val="none"/>
          <w:lang w:val="en-US" w:eastAsia="zh-CN"/>
        </w:rPr>
        <w:t>服务</w:t>
      </w:r>
      <w:r>
        <w:rPr>
          <w:rFonts w:hint="eastAsia" w:ascii="宋体" w:hAnsi="宋体"/>
          <w:sz w:val="24"/>
          <w:highlight w:val="none"/>
        </w:rPr>
        <w:t>项并出具安全报告。</w:t>
      </w:r>
    </w:p>
    <w:p w14:paraId="46360B9C">
      <w:pPr>
        <w:pStyle w:val="39"/>
        <w:widowControl/>
        <w:numPr>
          <w:ilvl w:val="0"/>
          <w:numId w:val="2"/>
        </w:numPr>
        <w:spacing w:line="360" w:lineRule="auto"/>
        <w:ind w:firstLineChars="0"/>
        <w:contextualSpacing/>
        <w:jc w:val="left"/>
        <w:rPr>
          <w:rFonts w:ascii="宋体" w:hAnsi="宋体"/>
          <w:sz w:val="24"/>
          <w:szCs w:val="32"/>
          <w:highlight w:val="none"/>
        </w:rPr>
      </w:pPr>
      <w:r>
        <w:rPr>
          <w:rFonts w:hint="eastAsia" w:ascii="宋体" w:hAnsi="宋体"/>
          <w:sz w:val="24"/>
          <w:szCs w:val="32"/>
          <w:highlight w:val="none"/>
        </w:rPr>
        <w:t>服务商提供项目人员在项目中所负职责的详细安排；</w:t>
      </w:r>
    </w:p>
    <w:p w14:paraId="20F9697C">
      <w:pPr>
        <w:pStyle w:val="39"/>
        <w:widowControl/>
        <w:numPr>
          <w:ilvl w:val="0"/>
          <w:numId w:val="2"/>
        </w:numPr>
        <w:spacing w:line="360" w:lineRule="auto"/>
        <w:ind w:firstLineChars="0"/>
        <w:contextualSpacing/>
        <w:jc w:val="left"/>
        <w:rPr>
          <w:rFonts w:ascii="宋体" w:hAnsi="宋体"/>
          <w:sz w:val="24"/>
          <w:szCs w:val="32"/>
          <w:highlight w:val="none"/>
        </w:rPr>
      </w:pPr>
      <w:r>
        <w:rPr>
          <w:rFonts w:hint="eastAsia" w:ascii="宋体" w:hAnsi="宋体"/>
          <w:sz w:val="24"/>
          <w:szCs w:val="32"/>
          <w:highlight w:val="none"/>
        </w:rPr>
        <w:t>所有服务人员需经甲方面试认可并签订责任和保密承诺书后加入项目组。如果在合同期内甲方认为某成员因工作态度、技术水平或身体原因不适合项目组工作的，有权要求服务商更换。服务商应积极配合，合同签订后确保全部人员到位，完成工作接入。否则甲方有权终止合同并由服务商承担违约责任。</w:t>
      </w:r>
    </w:p>
    <w:p w14:paraId="38D35772">
      <w:pPr>
        <w:pStyle w:val="39"/>
        <w:widowControl/>
        <w:numPr>
          <w:ilvl w:val="0"/>
          <w:numId w:val="2"/>
        </w:numPr>
        <w:spacing w:line="360" w:lineRule="auto"/>
        <w:ind w:firstLineChars="0"/>
        <w:contextualSpacing/>
        <w:jc w:val="left"/>
        <w:rPr>
          <w:rFonts w:ascii="宋体" w:hAnsi="宋体"/>
          <w:sz w:val="24"/>
          <w:szCs w:val="32"/>
          <w:highlight w:val="none"/>
        </w:rPr>
      </w:pPr>
      <w:r>
        <w:rPr>
          <w:rFonts w:hint="eastAsia" w:ascii="宋体" w:hAnsi="宋体"/>
          <w:sz w:val="24"/>
          <w:szCs w:val="32"/>
          <w:highlight w:val="none"/>
        </w:rPr>
        <w:t>服务商有责任维持项目组成员的稳定性，合同期内项目组成员因离职或其他原因要求更换的，须提前一个月通知甲方，经甲方同意后，且新的项目组成员须经甲方面试通过。在一个月内完成工作交接，方可更换，否则甲方有权终止合同并追究服务商的违约责任。</w:t>
      </w:r>
    </w:p>
    <w:p w14:paraId="045EA00A">
      <w:pPr>
        <w:pStyle w:val="39"/>
        <w:widowControl/>
        <w:spacing w:line="360" w:lineRule="auto"/>
        <w:ind w:left="0" w:leftChars="0" w:firstLine="482" w:firstLineChars="200"/>
        <w:contextualSpacing/>
        <w:jc w:val="left"/>
        <w:rPr>
          <w:rFonts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对服务商</w:t>
      </w:r>
      <w:r>
        <w:rPr>
          <w:rFonts w:hint="eastAsia" w:ascii="宋体" w:hAnsi="宋体"/>
          <w:b/>
          <w:bCs/>
          <w:sz w:val="24"/>
          <w:highlight w:val="none"/>
          <w:lang w:val="en-US" w:eastAsia="zh-CN"/>
        </w:rPr>
        <w:t>提供的运维团队</w:t>
      </w:r>
      <w:r>
        <w:rPr>
          <w:rFonts w:hint="eastAsia" w:ascii="宋体" w:hAnsi="宋体"/>
          <w:b/>
          <w:bCs/>
          <w:sz w:val="24"/>
          <w:highlight w:val="none"/>
        </w:rPr>
        <w:t>要求如下：</w:t>
      </w:r>
    </w:p>
    <w:p w14:paraId="5D75B539">
      <w:pPr>
        <w:spacing w:line="360" w:lineRule="auto"/>
        <w:ind w:firstLine="480" w:firstLineChars="200"/>
        <w:rPr>
          <w:rFonts w:ascii="宋体" w:hAnsi="宋体"/>
          <w:sz w:val="24"/>
          <w:highlight w:val="none"/>
        </w:rPr>
      </w:pPr>
      <w:r>
        <w:rPr>
          <w:rFonts w:hint="eastAsia" w:ascii="宋体" w:hAnsi="宋体"/>
          <w:sz w:val="24"/>
          <w:highlight w:val="none"/>
        </w:rPr>
        <w:t>项目经理要求：为保障服务质量以及服务的风险控制，要求项目负责人具备10年以上工作经验，具备硕士及以上学历，具备计算机技术与软件专业技术资格高级证书，项目管理证书，注册信息安全培训讲师资质证书，信息安全保障人员认证证书等，精通项目管理，通过有效的控制手段，确保项目按时、按质完成。</w:t>
      </w:r>
    </w:p>
    <w:p w14:paraId="579198FF">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服务团队要求：为保障服务质量以及服务的风险控制，团队成员不少于5人，</w:t>
      </w:r>
      <w:r>
        <w:rPr>
          <w:rFonts w:hint="eastAsia" w:ascii="宋体" w:hAnsi="宋体"/>
          <w:sz w:val="24"/>
          <w:highlight w:val="none"/>
          <w:lang w:val="en-US" w:eastAsia="zh-CN"/>
        </w:rPr>
        <w:t>服务团队</w:t>
      </w:r>
      <w:r>
        <w:rPr>
          <w:rFonts w:hint="eastAsia" w:ascii="宋体" w:hAnsi="宋体"/>
          <w:sz w:val="24"/>
          <w:highlight w:val="none"/>
        </w:rPr>
        <w:t>对一线驻场工程师不能明确的安全事件进行综合研判，形成确认的安全事件报告，并在重保期间提供人员支撑。</w:t>
      </w:r>
      <w:r>
        <w:rPr>
          <w:rFonts w:hint="eastAsia" w:ascii="宋体" w:hAnsi="宋体"/>
          <w:sz w:val="24"/>
          <w:highlight w:val="none"/>
          <w:lang w:val="en-US" w:eastAsia="zh-CN"/>
        </w:rPr>
        <w:t>团队专家中至少有一人需同时</w:t>
      </w:r>
      <w:r>
        <w:rPr>
          <w:rFonts w:hint="eastAsia" w:ascii="宋体" w:hAnsi="宋体"/>
          <w:sz w:val="24"/>
          <w:highlight w:val="none"/>
        </w:rPr>
        <w:t>具备5年以上工作经验，具备高级网络信息安全工程师证书、应急服务证书、注册信息安全工程师、计算机技术与软件专业技术资格中级证书等相关资质证书，精通安全技术、流量分析、安全评估等。</w:t>
      </w:r>
      <w:r>
        <w:rPr>
          <w:rFonts w:hint="eastAsia" w:ascii="宋体" w:hAnsi="宋体"/>
          <w:sz w:val="24"/>
          <w:highlight w:val="none"/>
          <w:lang w:val="en-US" w:eastAsia="zh-CN"/>
        </w:rPr>
        <w:t>团队其他成员均需具备相应服务资质和能力。</w:t>
      </w:r>
    </w:p>
    <w:p w14:paraId="0B3106C5">
      <w:pPr>
        <w:spacing w:line="360" w:lineRule="auto"/>
        <w:ind w:firstLine="480" w:firstLineChars="200"/>
        <w:rPr>
          <w:rFonts w:cs="Times New Roman"/>
          <w:color w:val="000000"/>
          <w:szCs w:val="21"/>
          <w:highlight w:val="yellow"/>
        </w:rPr>
      </w:pPr>
      <w:r>
        <w:rPr>
          <w:rFonts w:hint="eastAsia" w:ascii="宋体" w:hAnsi="宋体"/>
          <w:sz w:val="24"/>
          <w:highlight w:val="none"/>
        </w:rPr>
        <w:t>驻场人员要求：提供至少1名信息安全驻场工程师，提供5*8小时驻场服务，为保证驻场工程师的服务能力，要求具备3年及以上</w:t>
      </w:r>
      <w:r>
        <w:rPr>
          <w:rFonts w:hint="eastAsia" w:ascii="宋体" w:hAnsi="宋体"/>
          <w:sz w:val="24"/>
          <w:highlight w:val="none"/>
          <w:lang w:val="en-US" w:eastAsia="zh-CN"/>
        </w:rPr>
        <w:t>网络安全运维</w:t>
      </w:r>
      <w:r>
        <w:rPr>
          <w:rFonts w:hint="eastAsia" w:ascii="宋体" w:hAnsi="宋体"/>
          <w:sz w:val="24"/>
          <w:highlight w:val="none"/>
        </w:rPr>
        <w:t>工作经验，协助卫健委开展日常信息安全服务的管理和分析工作。</w:t>
      </w:r>
    </w:p>
    <w:bookmarkEnd w:id="6"/>
    <w:p w14:paraId="385904B2">
      <w:pPr>
        <w:spacing w:before="114" w:line="225" w:lineRule="auto"/>
        <w:ind w:left="122"/>
        <w:rPr>
          <w:rStyle w:val="45"/>
          <w:rFonts w:ascii="黑体" w:hAnsi="黑体" w:eastAsia="黑体" w:cs="黑体"/>
          <w:sz w:val="32"/>
          <w:szCs w:val="32"/>
        </w:rPr>
      </w:pPr>
      <w:bookmarkStart w:id="10" w:name="_Toc11572"/>
    </w:p>
    <w:p w14:paraId="02A567F3">
      <w:pPr>
        <w:spacing w:before="114" w:line="225" w:lineRule="auto"/>
        <w:ind w:left="122"/>
        <w:rPr>
          <w:rStyle w:val="45"/>
          <w:rFonts w:ascii="黑体" w:hAnsi="黑体" w:eastAsia="黑体" w:cs="黑体"/>
          <w:sz w:val="32"/>
          <w:szCs w:val="32"/>
        </w:rPr>
      </w:pPr>
    </w:p>
    <w:p w14:paraId="43CF9575">
      <w:pPr>
        <w:spacing w:before="114" w:line="225" w:lineRule="auto"/>
        <w:ind w:left="122"/>
        <w:rPr>
          <w:rStyle w:val="45"/>
          <w:rFonts w:ascii="黑体" w:hAnsi="黑体" w:eastAsia="黑体" w:cs="黑体"/>
          <w:sz w:val="32"/>
          <w:szCs w:val="32"/>
        </w:rPr>
      </w:pPr>
    </w:p>
    <w:p w14:paraId="018C9607">
      <w:pPr>
        <w:spacing w:before="114" w:line="225" w:lineRule="auto"/>
        <w:ind w:left="122"/>
        <w:rPr>
          <w:rStyle w:val="45"/>
          <w:rFonts w:ascii="黑体" w:hAnsi="黑体" w:eastAsia="黑体" w:cs="黑体"/>
          <w:sz w:val="32"/>
          <w:szCs w:val="32"/>
        </w:rPr>
      </w:pPr>
    </w:p>
    <w:p w14:paraId="3D8CEC57">
      <w:pPr>
        <w:spacing w:before="114" w:line="225" w:lineRule="auto"/>
        <w:ind w:left="122"/>
        <w:rPr>
          <w:rStyle w:val="45"/>
          <w:rFonts w:ascii="黑体" w:hAnsi="黑体" w:eastAsia="黑体" w:cs="黑体"/>
          <w:sz w:val="32"/>
          <w:szCs w:val="32"/>
        </w:rPr>
      </w:pPr>
    </w:p>
    <w:p w14:paraId="17F61D7A">
      <w:pPr>
        <w:spacing w:before="114" w:line="225" w:lineRule="auto"/>
        <w:ind w:left="122"/>
        <w:rPr>
          <w:rStyle w:val="45"/>
          <w:rFonts w:ascii="黑体" w:hAnsi="黑体" w:eastAsia="黑体" w:cs="黑体"/>
          <w:sz w:val="32"/>
          <w:szCs w:val="32"/>
        </w:rPr>
      </w:pPr>
    </w:p>
    <w:p w14:paraId="12AD8426">
      <w:pPr>
        <w:spacing w:before="114" w:line="225" w:lineRule="auto"/>
        <w:ind w:left="122"/>
        <w:rPr>
          <w:rStyle w:val="45"/>
          <w:rFonts w:ascii="黑体" w:hAnsi="黑体" w:eastAsia="黑体" w:cs="黑体"/>
          <w:sz w:val="32"/>
          <w:szCs w:val="32"/>
        </w:rPr>
      </w:pPr>
    </w:p>
    <w:p w14:paraId="586EB868">
      <w:pPr>
        <w:spacing w:before="114" w:line="225" w:lineRule="auto"/>
        <w:ind w:left="122"/>
        <w:rPr>
          <w:rStyle w:val="45"/>
          <w:rFonts w:ascii="黑体" w:hAnsi="黑体" w:eastAsia="黑体" w:cs="黑体"/>
          <w:sz w:val="32"/>
          <w:szCs w:val="32"/>
        </w:rPr>
      </w:pPr>
    </w:p>
    <w:p w14:paraId="3F42B2E5">
      <w:pPr>
        <w:spacing w:before="114" w:line="225" w:lineRule="auto"/>
        <w:ind w:left="122"/>
        <w:rPr>
          <w:rFonts w:ascii="宋体" w:hAnsi="宋体"/>
          <w:b/>
          <w:bCs/>
          <w:spacing w:val="9"/>
          <w:sz w:val="52"/>
          <w:szCs w:val="52"/>
        </w:rPr>
      </w:pPr>
    </w:p>
    <w:p w14:paraId="0D332F19">
      <w:pPr>
        <w:spacing w:before="114" w:line="225" w:lineRule="auto"/>
        <w:ind w:left="122"/>
        <w:rPr>
          <w:rFonts w:ascii="宋体" w:hAnsi="宋体"/>
          <w:b/>
          <w:bCs/>
          <w:spacing w:val="9"/>
          <w:sz w:val="52"/>
          <w:szCs w:val="52"/>
        </w:rPr>
      </w:pPr>
    </w:p>
    <w:p w14:paraId="380D7C17">
      <w:pPr>
        <w:spacing w:before="114" w:line="225" w:lineRule="auto"/>
        <w:ind w:left="122"/>
        <w:rPr>
          <w:rFonts w:ascii="宋体" w:hAnsi="宋体"/>
          <w:b/>
          <w:bCs/>
          <w:spacing w:val="9"/>
          <w:sz w:val="52"/>
          <w:szCs w:val="52"/>
        </w:rPr>
      </w:pPr>
    </w:p>
    <w:p w14:paraId="0825894C">
      <w:pPr>
        <w:spacing w:before="114" w:line="225" w:lineRule="auto"/>
        <w:ind w:left="122"/>
        <w:rPr>
          <w:rFonts w:ascii="宋体" w:hAnsi="宋体"/>
          <w:b/>
          <w:bCs/>
          <w:spacing w:val="9"/>
          <w:sz w:val="52"/>
          <w:szCs w:val="52"/>
        </w:rPr>
      </w:pPr>
    </w:p>
    <w:p w14:paraId="15B307CE">
      <w:pPr>
        <w:spacing w:before="114" w:line="225" w:lineRule="auto"/>
        <w:ind w:left="122"/>
        <w:rPr>
          <w:rFonts w:ascii="宋体" w:hAnsi="宋体"/>
          <w:b/>
          <w:bCs/>
          <w:spacing w:val="9"/>
          <w:sz w:val="52"/>
          <w:szCs w:val="52"/>
        </w:rPr>
      </w:pPr>
    </w:p>
    <w:p w14:paraId="4C0F1A30">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三</w:t>
      </w:r>
      <w:r>
        <w:rPr>
          <w:rFonts w:ascii="宋体" w:hAnsi="宋体"/>
          <w:b/>
          <w:bCs/>
          <w:spacing w:val="7"/>
          <w:sz w:val="52"/>
          <w:szCs w:val="52"/>
        </w:rPr>
        <w:t>部分</w:t>
      </w:r>
    </w:p>
    <w:p w14:paraId="36209AE8">
      <w:pPr>
        <w:spacing w:before="113" w:line="224" w:lineRule="auto"/>
        <w:ind w:right="420"/>
        <w:jc w:val="right"/>
        <w:rPr>
          <w:rFonts w:ascii="宋体" w:hAnsi="宋体"/>
          <w:b/>
          <w:bCs/>
          <w:sz w:val="52"/>
          <w:szCs w:val="52"/>
        </w:rPr>
      </w:pPr>
      <w:r>
        <w:rPr>
          <w:b/>
          <w:bCs/>
          <w:sz w:val="52"/>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5408;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AzklejsAQAA3QMAAA4AAABkcnMvZTJvRG9jLnhtbK1TS44TMRDd&#10;I3EHy3vSnaAM0EpnFhOGDYJIwAEqtjttyT+5POnkElwAiR2sWLLnNjMcg7I7ZGDYZEEv3OX6PNd7&#10;Li8u99awnYqovWv5dFJzppzwUrttyz+8v37ynDNM4CQY71TLDwr55fLxo8UQGjXzvTdSRUYgDpsh&#10;tLxPKTRVhaJXFnDig3IU7Hy0kGgbt5WMMBC6NdWsri+qwUcZohcKkbyrMciPiPEcQN91WqiVFzdW&#10;uTSiRmUgESXsdUC+LN12nRLpbdehSsy0nJimstIhZG/yWi0X0GwjhF6LYwtwTgsPOFnQjg49Qa0g&#10;AbuJ+h8oq0X06Ls0Ed5WI5GiCLGY1g+0eddDUIULSY3hJDr+P1jxZreOTEuahBlnDizd+N2n77cf&#10;v/z88ZnWu29fGUVIpiFgQ9lXbh2POwzrmDnvu2jzn9iwfZH2cJJW7RMT5Jw/m87rmlQXFLt4Os+I&#10;1X1piJheKW9ZNlputMu8oYHda0xj6u+U7DaODdTxi3qeEYGmsKPbJ9MGYoJuW4rRGy2vtTG5BON2&#10;c2Ui20GehPIde/grLZ+yAuzHvBLKadD0CuRLJ1k6BJLI0dPguQerJGdG0UvKVslMoM05mUTfOFIh&#10;CztKma2Nl4eicPHTrRedjhOax+rPfam+f5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LEOc/T&#10;AAAACAEAAA8AAAAAAAAAAQAgAAAAIgAAAGRycy9kb3ducmV2LnhtbFBLAQIUABQAAAAIAIdO4kAM&#10;5JXo7AEAAN0DAAAOAAAAAAAAAAEAIAAAACIBAABkcnMvZTJvRG9jLnhtbFBLBQYAAAAABgAGAFkB&#10;AACABQAAAAA=&#10;">
                <v:fill on="f" focussize="0,0"/>
                <v:stroke weight="1.5pt" color="#000000" joinstyle="round"/>
                <v:imagedata o:title=""/>
                <o:lock v:ext="edit" aspectratio="f"/>
              </v:line>
            </w:pict>
          </mc:Fallback>
        </mc:AlternateContent>
      </w:r>
    </w:p>
    <w:p w14:paraId="3BDA8A86">
      <w:pPr>
        <w:spacing w:before="113" w:line="224" w:lineRule="auto"/>
        <w:ind w:right="420"/>
        <w:jc w:val="right"/>
        <w:rPr>
          <w:rFonts w:ascii="宋体" w:hAnsi="宋体"/>
          <w:b/>
          <w:bCs/>
          <w:sz w:val="35"/>
          <w:szCs w:val="35"/>
        </w:rPr>
      </w:pPr>
      <w:r>
        <w:rPr>
          <w:rFonts w:hint="eastAsia" w:ascii="宋体" w:hAnsi="宋体"/>
          <w:b/>
          <w:bCs/>
          <w:sz w:val="52"/>
          <w:szCs w:val="52"/>
        </w:rPr>
        <w:t>供应商须知</w:t>
      </w:r>
    </w:p>
    <w:p w14:paraId="18D5C9B5">
      <w:pPr>
        <w:rPr>
          <w:rFonts w:ascii="黑体" w:hAnsi="黑体" w:eastAsia="黑体" w:cs="黑体"/>
          <w:b/>
          <w:bCs/>
          <w:sz w:val="32"/>
          <w:szCs w:val="32"/>
        </w:rPr>
      </w:pPr>
      <w:r>
        <w:rPr>
          <w:rFonts w:hint="eastAsia" w:ascii="黑体" w:hAnsi="黑体" w:eastAsia="黑体" w:cs="黑体"/>
          <w:b/>
          <w:bCs/>
          <w:sz w:val="32"/>
          <w:szCs w:val="32"/>
        </w:rPr>
        <w:br w:type="page"/>
      </w:r>
    </w:p>
    <w:p w14:paraId="40350AA1">
      <w:pPr>
        <w:pStyle w:val="2"/>
        <w:keepNext w:val="0"/>
        <w:keepLines w:val="0"/>
        <w:spacing w:line="480" w:lineRule="exact"/>
        <w:rPr>
          <w:rFonts w:ascii="宋体" w:hAnsi="宋体"/>
          <w:sz w:val="32"/>
          <w:szCs w:val="32"/>
        </w:rPr>
      </w:pPr>
      <w:bookmarkStart w:id="11" w:name="_Toc28798"/>
      <w:r>
        <w:rPr>
          <w:rFonts w:hint="eastAsia" w:ascii="黑体" w:hAnsi="黑体" w:eastAsia="黑体" w:cs="黑体"/>
          <w:b/>
          <w:bCs/>
          <w:sz w:val="32"/>
          <w:szCs w:val="32"/>
        </w:rPr>
        <w:t>第三部分 供应商须知</w:t>
      </w:r>
      <w:bookmarkEnd w:id="11"/>
    </w:p>
    <w:p w14:paraId="39BDF541">
      <w:pPr>
        <w:tabs>
          <w:tab w:val="left" w:pos="240"/>
        </w:tabs>
        <w:spacing w:line="480" w:lineRule="exact"/>
        <w:ind w:left="-120" w:leftChars="-57"/>
        <w:jc w:val="center"/>
        <w:rPr>
          <w:rFonts w:ascii="宋体" w:hAnsi="宋体"/>
          <w:b/>
          <w:sz w:val="30"/>
          <w:szCs w:val="30"/>
        </w:rPr>
      </w:pPr>
      <w:r>
        <w:rPr>
          <w:rFonts w:hint="eastAsia" w:ascii="宋体" w:hAnsi="宋体"/>
          <w:b/>
          <w:sz w:val="30"/>
          <w:szCs w:val="30"/>
        </w:rPr>
        <w:t>供应商须知前附表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8"/>
        <w:gridCol w:w="5953"/>
      </w:tblGrid>
      <w:tr w14:paraId="5DD5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A91C43A">
            <w:pPr>
              <w:pStyle w:val="14"/>
              <w:spacing w:line="440" w:lineRule="exact"/>
              <w:jc w:val="center"/>
              <w:rPr>
                <w:rFonts w:hAnsi="宋体"/>
              </w:rPr>
            </w:pPr>
            <w:r>
              <w:rPr>
                <w:rFonts w:hint="eastAsia" w:hAnsi="宋体"/>
              </w:rPr>
              <w:t>序号</w:t>
            </w:r>
          </w:p>
        </w:tc>
        <w:tc>
          <w:tcPr>
            <w:tcW w:w="2618" w:type="dxa"/>
            <w:vAlign w:val="center"/>
          </w:tcPr>
          <w:p w14:paraId="142EFF33">
            <w:pPr>
              <w:pStyle w:val="14"/>
              <w:spacing w:line="440" w:lineRule="exact"/>
              <w:jc w:val="center"/>
              <w:rPr>
                <w:rFonts w:hAnsi="宋体"/>
              </w:rPr>
            </w:pPr>
            <w:r>
              <w:rPr>
                <w:rFonts w:hint="eastAsia" w:hAnsi="宋体"/>
              </w:rPr>
              <w:t>名称</w:t>
            </w:r>
          </w:p>
        </w:tc>
        <w:tc>
          <w:tcPr>
            <w:tcW w:w="5953" w:type="dxa"/>
            <w:vAlign w:val="center"/>
          </w:tcPr>
          <w:p w14:paraId="397FEC65">
            <w:pPr>
              <w:pStyle w:val="14"/>
              <w:spacing w:line="440" w:lineRule="exact"/>
              <w:jc w:val="center"/>
              <w:rPr>
                <w:rFonts w:hAnsi="宋体" w:cs="MingLiU_HKSCS"/>
              </w:rPr>
            </w:pPr>
            <w:r>
              <w:rPr>
                <w:rFonts w:hint="eastAsia" w:hAnsi="宋体"/>
              </w:rPr>
              <w:t>具体内容和要求</w:t>
            </w:r>
          </w:p>
        </w:tc>
      </w:tr>
      <w:tr w14:paraId="5ADD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4D0463D9">
            <w:pPr>
              <w:pStyle w:val="14"/>
              <w:numPr>
                <w:ilvl w:val="0"/>
                <w:numId w:val="3"/>
              </w:numPr>
              <w:spacing w:line="440" w:lineRule="exact"/>
              <w:ind w:left="284" w:right="-67" w:rightChars="-32"/>
              <w:jc w:val="center"/>
              <w:rPr>
                <w:rFonts w:hAnsi="宋体"/>
              </w:rPr>
            </w:pPr>
          </w:p>
        </w:tc>
        <w:tc>
          <w:tcPr>
            <w:tcW w:w="2618" w:type="dxa"/>
            <w:vAlign w:val="center"/>
          </w:tcPr>
          <w:p w14:paraId="22875E78">
            <w:pPr>
              <w:pStyle w:val="14"/>
              <w:spacing w:line="440" w:lineRule="exact"/>
              <w:jc w:val="left"/>
              <w:rPr>
                <w:rFonts w:hAnsi="宋体"/>
              </w:rPr>
            </w:pPr>
            <w:r>
              <w:rPr>
                <w:rFonts w:hint="eastAsia" w:hAnsi="宋体"/>
              </w:rPr>
              <w:t>采购项目</w:t>
            </w:r>
          </w:p>
        </w:tc>
        <w:tc>
          <w:tcPr>
            <w:tcW w:w="5953" w:type="dxa"/>
            <w:vAlign w:val="center"/>
          </w:tcPr>
          <w:p w14:paraId="5CA60F10">
            <w:pPr>
              <w:pStyle w:val="14"/>
              <w:spacing w:line="440" w:lineRule="exact"/>
              <w:jc w:val="left"/>
              <w:rPr>
                <w:rFonts w:hint="eastAsia" w:hAnsi="宋体" w:eastAsia="宋体" w:cs="MingLiU_HKSCS"/>
                <w:lang w:eastAsia="zh-CN"/>
              </w:rPr>
            </w:pPr>
            <w:r>
              <w:rPr>
                <w:rFonts w:hint="eastAsia" w:hAnsi="宋体" w:cs="MingLiU_HKSCS"/>
                <w:lang w:eastAsia="zh-CN"/>
              </w:rPr>
              <w:t>省级信息安全系统运维项目采购</w:t>
            </w:r>
          </w:p>
        </w:tc>
      </w:tr>
      <w:tr w14:paraId="684F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3D822B09">
            <w:pPr>
              <w:pStyle w:val="14"/>
              <w:numPr>
                <w:ilvl w:val="0"/>
                <w:numId w:val="3"/>
              </w:numPr>
              <w:spacing w:line="440" w:lineRule="exact"/>
              <w:ind w:left="284" w:right="-67" w:rightChars="-32"/>
              <w:jc w:val="center"/>
              <w:rPr>
                <w:rFonts w:hAnsi="宋体"/>
              </w:rPr>
            </w:pPr>
          </w:p>
        </w:tc>
        <w:tc>
          <w:tcPr>
            <w:tcW w:w="2618" w:type="dxa"/>
            <w:vAlign w:val="center"/>
          </w:tcPr>
          <w:p w14:paraId="13D45E63">
            <w:pPr>
              <w:pStyle w:val="14"/>
              <w:spacing w:line="440" w:lineRule="exact"/>
              <w:jc w:val="left"/>
              <w:rPr>
                <w:rFonts w:hAnsi="宋体"/>
              </w:rPr>
            </w:pPr>
            <w:r>
              <w:rPr>
                <w:rFonts w:hint="eastAsia" w:hAnsi="宋体"/>
              </w:rPr>
              <w:t>采购预算</w:t>
            </w:r>
          </w:p>
        </w:tc>
        <w:tc>
          <w:tcPr>
            <w:tcW w:w="5953" w:type="dxa"/>
            <w:vAlign w:val="center"/>
          </w:tcPr>
          <w:p w14:paraId="0CB63939">
            <w:pPr>
              <w:pStyle w:val="14"/>
              <w:spacing w:line="440" w:lineRule="exact"/>
              <w:jc w:val="left"/>
              <w:rPr>
                <w:rFonts w:hAnsi="宋体"/>
              </w:rPr>
            </w:pPr>
            <w:r>
              <w:rPr>
                <w:rFonts w:hint="eastAsia" w:hAnsi="宋体"/>
              </w:rPr>
              <w:t>300,000.00元</w:t>
            </w:r>
          </w:p>
        </w:tc>
      </w:tr>
      <w:tr w14:paraId="1E7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763F9264">
            <w:pPr>
              <w:pStyle w:val="14"/>
              <w:numPr>
                <w:ilvl w:val="0"/>
                <w:numId w:val="3"/>
              </w:numPr>
              <w:spacing w:line="440" w:lineRule="exact"/>
              <w:ind w:left="284" w:right="-67" w:rightChars="-32"/>
              <w:jc w:val="center"/>
              <w:rPr>
                <w:rFonts w:hAnsi="宋体"/>
              </w:rPr>
            </w:pPr>
          </w:p>
        </w:tc>
        <w:tc>
          <w:tcPr>
            <w:tcW w:w="2618" w:type="dxa"/>
            <w:vAlign w:val="center"/>
          </w:tcPr>
          <w:p w14:paraId="29D1BD2A">
            <w:pPr>
              <w:pStyle w:val="14"/>
              <w:spacing w:line="440" w:lineRule="exact"/>
              <w:jc w:val="left"/>
              <w:rPr>
                <w:rFonts w:hAnsi="宋体"/>
              </w:rPr>
            </w:pPr>
            <w:r>
              <w:rPr>
                <w:rFonts w:hint="eastAsia" w:hAnsi="宋体"/>
              </w:rPr>
              <w:t>最高限价</w:t>
            </w:r>
          </w:p>
        </w:tc>
        <w:tc>
          <w:tcPr>
            <w:tcW w:w="5953" w:type="dxa"/>
            <w:vAlign w:val="center"/>
          </w:tcPr>
          <w:p w14:paraId="04CFD656">
            <w:pPr>
              <w:pStyle w:val="14"/>
              <w:spacing w:line="440" w:lineRule="exact"/>
              <w:jc w:val="left"/>
              <w:rPr>
                <w:rFonts w:hAnsi="宋体"/>
              </w:rPr>
            </w:pPr>
            <w:r>
              <w:rPr>
                <w:rFonts w:hint="eastAsia" w:hAnsi="宋体"/>
              </w:rPr>
              <w:t>300,000.00元</w:t>
            </w:r>
          </w:p>
        </w:tc>
      </w:tr>
      <w:tr w14:paraId="692C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4CDAAAD9">
            <w:pPr>
              <w:pStyle w:val="14"/>
              <w:numPr>
                <w:ilvl w:val="0"/>
                <w:numId w:val="3"/>
              </w:numPr>
              <w:spacing w:line="440" w:lineRule="exact"/>
              <w:ind w:left="284" w:right="-67" w:rightChars="-32"/>
              <w:jc w:val="center"/>
              <w:rPr>
                <w:rFonts w:hAnsi="宋体"/>
                <w:highlight w:val="none"/>
              </w:rPr>
            </w:pPr>
          </w:p>
        </w:tc>
        <w:tc>
          <w:tcPr>
            <w:tcW w:w="2618" w:type="dxa"/>
            <w:vAlign w:val="center"/>
          </w:tcPr>
          <w:p w14:paraId="18D50589">
            <w:pPr>
              <w:pStyle w:val="14"/>
              <w:spacing w:line="440" w:lineRule="exact"/>
              <w:jc w:val="left"/>
              <w:rPr>
                <w:rFonts w:hAnsi="宋体"/>
                <w:highlight w:val="none"/>
              </w:rPr>
            </w:pPr>
            <w:r>
              <w:rPr>
                <w:rFonts w:hint="eastAsia" w:hAnsi="宋体"/>
                <w:highlight w:val="none"/>
              </w:rPr>
              <w:t>公告媒体</w:t>
            </w:r>
          </w:p>
        </w:tc>
        <w:tc>
          <w:tcPr>
            <w:tcW w:w="5953" w:type="dxa"/>
            <w:vAlign w:val="center"/>
          </w:tcPr>
          <w:p w14:paraId="467000BC">
            <w:pPr>
              <w:pStyle w:val="14"/>
              <w:spacing w:line="440" w:lineRule="exact"/>
              <w:jc w:val="left"/>
              <w:rPr>
                <w:rFonts w:hint="default" w:hAnsi="宋体" w:eastAsia="宋体" w:cs="MingLiU_HKSCS"/>
                <w:lang w:val="en-US" w:eastAsia="zh-CN"/>
              </w:rPr>
            </w:pPr>
            <w:r>
              <w:rPr>
                <w:rFonts w:hint="eastAsia" w:hAnsi="宋体" w:cs="MingLiU_HKSCS"/>
                <w:lang w:val="en-US" w:eastAsia="zh-CN"/>
              </w:rPr>
              <w:t>陕西省政府采购网</w:t>
            </w:r>
          </w:p>
        </w:tc>
      </w:tr>
      <w:tr w14:paraId="10AC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4B21FF8F">
            <w:pPr>
              <w:pStyle w:val="14"/>
              <w:numPr>
                <w:ilvl w:val="0"/>
                <w:numId w:val="3"/>
              </w:numPr>
              <w:spacing w:line="440" w:lineRule="exact"/>
              <w:ind w:left="284" w:right="-67" w:rightChars="-32"/>
              <w:jc w:val="center"/>
              <w:rPr>
                <w:rFonts w:hAnsi="宋体"/>
              </w:rPr>
            </w:pPr>
          </w:p>
        </w:tc>
        <w:tc>
          <w:tcPr>
            <w:tcW w:w="2618" w:type="dxa"/>
            <w:vAlign w:val="center"/>
          </w:tcPr>
          <w:p w14:paraId="66E17061">
            <w:pPr>
              <w:pStyle w:val="14"/>
              <w:spacing w:line="440" w:lineRule="exact"/>
              <w:jc w:val="left"/>
              <w:rPr>
                <w:rFonts w:hAnsi="宋体"/>
              </w:rPr>
            </w:pPr>
            <w:r>
              <w:rPr>
                <w:rFonts w:hint="eastAsia" w:hAnsi="宋体"/>
              </w:rPr>
              <w:t>采购人</w:t>
            </w:r>
          </w:p>
        </w:tc>
        <w:tc>
          <w:tcPr>
            <w:tcW w:w="5953" w:type="dxa"/>
            <w:vAlign w:val="center"/>
          </w:tcPr>
          <w:p w14:paraId="46AAD07D">
            <w:pPr>
              <w:pStyle w:val="14"/>
              <w:spacing w:line="440" w:lineRule="exact"/>
              <w:contextualSpacing/>
              <w:jc w:val="left"/>
              <w:rPr>
                <w:rFonts w:hAnsi="宋体"/>
              </w:rPr>
            </w:pPr>
            <w:r>
              <w:rPr>
                <w:rFonts w:hint="eastAsia" w:hAnsi="宋体"/>
              </w:rPr>
              <w:t>1.名称：陕西省卫生健康信息中心</w:t>
            </w:r>
          </w:p>
          <w:p w14:paraId="242FC0DA">
            <w:pPr>
              <w:pStyle w:val="14"/>
              <w:spacing w:line="440" w:lineRule="exact"/>
              <w:contextualSpacing/>
              <w:jc w:val="left"/>
              <w:rPr>
                <w:rFonts w:hAnsi="宋体"/>
                <w:highlight w:val="none"/>
              </w:rPr>
            </w:pPr>
            <w:r>
              <w:rPr>
                <w:rFonts w:hint="eastAsia" w:hAnsi="宋体"/>
              </w:rPr>
              <w:t>2.</w:t>
            </w:r>
            <w:r>
              <w:rPr>
                <w:rFonts w:hint="eastAsia" w:hAnsi="宋体"/>
                <w:highlight w:val="none"/>
              </w:rPr>
              <w:t>地址：西安市莲湖区顺城北路西段38号</w:t>
            </w:r>
          </w:p>
          <w:p w14:paraId="090778FC">
            <w:pPr>
              <w:pStyle w:val="14"/>
              <w:spacing w:line="440" w:lineRule="exact"/>
              <w:contextualSpacing/>
              <w:jc w:val="left"/>
              <w:rPr>
                <w:rFonts w:hint="eastAsia" w:hAnsi="宋体" w:eastAsia="宋体"/>
                <w:highlight w:val="none"/>
                <w:lang w:val="en-US" w:eastAsia="zh-CN"/>
              </w:rPr>
            </w:pPr>
            <w:r>
              <w:rPr>
                <w:rFonts w:hint="eastAsia" w:hAnsi="宋体"/>
                <w:highlight w:val="none"/>
              </w:rPr>
              <w:t>3.电话：</w:t>
            </w:r>
            <w:r>
              <w:rPr>
                <w:rFonts w:hint="eastAsia"/>
                <w:color w:val="auto"/>
              </w:rPr>
              <w:t>029-89620710</w:t>
            </w:r>
          </w:p>
          <w:p w14:paraId="335A6CEC">
            <w:pPr>
              <w:pStyle w:val="14"/>
              <w:spacing w:line="440" w:lineRule="exact"/>
              <w:jc w:val="left"/>
              <w:rPr>
                <w:rFonts w:hint="eastAsia" w:hAnsi="宋体" w:eastAsia="宋体"/>
                <w:lang w:eastAsia="zh-CN"/>
              </w:rPr>
            </w:pPr>
            <w:r>
              <w:rPr>
                <w:rFonts w:hint="eastAsia" w:hAnsi="宋体"/>
                <w:highlight w:val="none"/>
              </w:rPr>
              <w:t>4.联系人：</w:t>
            </w:r>
            <w:r>
              <w:rPr>
                <w:rFonts w:hint="eastAsia"/>
                <w:color w:val="auto"/>
                <w:lang w:val="en-US" w:eastAsia="zh-CN"/>
              </w:rPr>
              <w:t>李老师</w:t>
            </w:r>
          </w:p>
        </w:tc>
      </w:tr>
      <w:tr w14:paraId="1501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3015175A">
            <w:pPr>
              <w:pStyle w:val="14"/>
              <w:numPr>
                <w:ilvl w:val="0"/>
                <w:numId w:val="3"/>
              </w:numPr>
              <w:spacing w:line="440" w:lineRule="exact"/>
              <w:ind w:left="284" w:right="-67" w:rightChars="-32"/>
              <w:jc w:val="center"/>
              <w:rPr>
                <w:rFonts w:hAnsi="宋体"/>
              </w:rPr>
            </w:pPr>
          </w:p>
        </w:tc>
        <w:tc>
          <w:tcPr>
            <w:tcW w:w="2618" w:type="dxa"/>
            <w:vAlign w:val="center"/>
          </w:tcPr>
          <w:p w14:paraId="6CD46593">
            <w:pPr>
              <w:pStyle w:val="14"/>
              <w:spacing w:line="440" w:lineRule="exact"/>
              <w:jc w:val="left"/>
              <w:rPr>
                <w:rFonts w:hAnsi="宋体"/>
              </w:rPr>
            </w:pPr>
            <w:r>
              <w:rPr>
                <w:rFonts w:hint="eastAsia" w:hAnsi="宋体"/>
              </w:rPr>
              <w:t>采购代理机构</w:t>
            </w:r>
          </w:p>
        </w:tc>
        <w:tc>
          <w:tcPr>
            <w:tcW w:w="5953" w:type="dxa"/>
            <w:vAlign w:val="center"/>
          </w:tcPr>
          <w:p w14:paraId="6357B33B">
            <w:pPr>
              <w:pStyle w:val="14"/>
              <w:spacing w:line="440" w:lineRule="exact"/>
              <w:contextualSpacing/>
              <w:jc w:val="left"/>
              <w:rPr>
                <w:rFonts w:hAnsi="宋体"/>
              </w:rPr>
            </w:pPr>
            <w:r>
              <w:rPr>
                <w:rFonts w:hint="eastAsia" w:hAnsi="宋体"/>
              </w:rPr>
              <w:t>1.名称：陕西德勤招标有限公司</w:t>
            </w:r>
          </w:p>
          <w:p w14:paraId="1EE67C83">
            <w:pPr>
              <w:pStyle w:val="14"/>
              <w:spacing w:line="440" w:lineRule="exact"/>
              <w:contextualSpacing/>
              <w:jc w:val="left"/>
              <w:rPr>
                <w:rFonts w:hAnsi="宋体"/>
              </w:rPr>
            </w:pPr>
            <w:r>
              <w:rPr>
                <w:rFonts w:hAnsi="宋体"/>
              </w:rPr>
              <w:t>2</w:t>
            </w:r>
            <w:r>
              <w:rPr>
                <w:rFonts w:hint="eastAsia" w:hAnsi="宋体"/>
              </w:rPr>
              <w:t>.地址：陕西省西安市高新区丈八一路1号汇鑫中心D座2206室</w:t>
            </w:r>
          </w:p>
          <w:p w14:paraId="53BD01AA">
            <w:pPr>
              <w:pStyle w:val="14"/>
              <w:spacing w:line="440" w:lineRule="exact"/>
              <w:contextualSpacing/>
              <w:jc w:val="left"/>
              <w:rPr>
                <w:rFonts w:hAnsi="宋体"/>
              </w:rPr>
            </w:pPr>
            <w:r>
              <w:rPr>
                <w:rFonts w:hAnsi="宋体"/>
              </w:rPr>
              <w:t>3</w:t>
            </w:r>
            <w:r>
              <w:rPr>
                <w:rFonts w:hint="eastAsia" w:hAnsi="宋体"/>
              </w:rPr>
              <w:t>.电话：029-81169855</w:t>
            </w:r>
          </w:p>
          <w:p w14:paraId="49A67D93">
            <w:pPr>
              <w:pStyle w:val="14"/>
              <w:spacing w:line="440" w:lineRule="exact"/>
              <w:jc w:val="left"/>
              <w:rPr>
                <w:rFonts w:hint="default" w:hAnsi="宋体" w:eastAsia="宋体"/>
                <w:lang w:val="en-US" w:eastAsia="zh-CN"/>
              </w:rPr>
            </w:pPr>
            <w:r>
              <w:rPr>
                <w:rFonts w:hint="eastAsia" w:hAnsi="宋体"/>
              </w:rPr>
              <w:t>4.联系人：贾旭鸣</w:t>
            </w:r>
            <w:r>
              <w:rPr>
                <w:rFonts w:hint="eastAsia" w:hAnsi="宋体"/>
                <w:lang w:eastAsia="zh-CN"/>
              </w:rPr>
              <w:t>、</w:t>
            </w:r>
            <w:r>
              <w:rPr>
                <w:rFonts w:hint="eastAsia" w:hAnsi="宋体"/>
                <w:lang w:val="en-US" w:eastAsia="zh-CN"/>
              </w:rPr>
              <w:t>王俊熙</w:t>
            </w:r>
          </w:p>
        </w:tc>
      </w:tr>
      <w:tr w14:paraId="380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63D3A3DF">
            <w:pPr>
              <w:pStyle w:val="14"/>
              <w:numPr>
                <w:ilvl w:val="0"/>
                <w:numId w:val="3"/>
              </w:numPr>
              <w:spacing w:line="440" w:lineRule="exact"/>
              <w:ind w:left="284" w:right="-67" w:rightChars="-32"/>
              <w:jc w:val="center"/>
              <w:rPr>
                <w:rFonts w:hAnsi="宋体"/>
              </w:rPr>
            </w:pPr>
          </w:p>
        </w:tc>
        <w:tc>
          <w:tcPr>
            <w:tcW w:w="2618" w:type="dxa"/>
            <w:vAlign w:val="center"/>
          </w:tcPr>
          <w:p w14:paraId="001649F8">
            <w:pPr>
              <w:pStyle w:val="14"/>
              <w:spacing w:line="440" w:lineRule="exact"/>
              <w:jc w:val="left"/>
              <w:rPr>
                <w:rFonts w:hAnsi="宋体"/>
              </w:rPr>
            </w:pPr>
            <w:r>
              <w:rPr>
                <w:rFonts w:hint="eastAsia" w:hAnsi="宋体"/>
              </w:rPr>
              <w:t>供应商资格条件</w:t>
            </w:r>
          </w:p>
        </w:tc>
        <w:tc>
          <w:tcPr>
            <w:tcW w:w="5953" w:type="dxa"/>
            <w:vAlign w:val="center"/>
          </w:tcPr>
          <w:p w14:paraId="7A67F47D">
            <w:pPr>
              <w:spacing w:line="440" w:lineRule="exact"/>
              <w:rPr>
                <w:rFonts w:ascii="宋体" w:hAnsi="宋体"/>
                <w:szCs w:val="21"/>
              </w:rPr>
            </w:pPr>
            <w:r>
              <w:rPr>
                <w:rFonts w:hint="eastAsia" w:ascii="宋体" w:hAnsi="宋体"/>
                <w:szCs w:val="21"/>
              </w:rPr>
              <w:t>1.满足《中华人民共和国政府采购法》第二十二条规定;</w:t>
            </w:r>
          </w:p>
          <w:p w14:paraId="643A02FD">
            <w:pPr>
              <w:spacing w:line="440" w:lineRule="exact"/>
              <w:rPr>
                <w:rFonts w:hint="eastAsia" w:ascii="宋体" w:hAnsi="宋体" w:eastAsia="宋体"/>
                <w:szCs w:val="21"/>
                <w:lang w:eastAsia="zh-CN"/>
              </w:rPr>
            </w:pPr>
            <w:r>
              <w:rPr>
                <w:rFonts w:hint="eastAsia" w:ascii="宋体" w:hAnsi="宋体"/>
                <w:szCs w:val="21"/>
              </w:rPr>
              <w:t>1.1</w:t>
            </w:r>
            <w:r>
              <w:rPr>
                <w:rFonts w:hint="eastAsia" w:ascii="宋体" w:hAnsi="宋体"/>
                <w:szCs w:val="21"/>
                <w:lang w:eastAsia="zh-CN"/>
              </w:rPr>
              <w:t>主体资格证明文件：提供有效存续的企业营业执照（副本）/事业单位法人证书/专业服务机构执业许可证/民办非企业单位登记证书等主体资格证明文件，自然人投标提供其身份证明文件。</w:t>
            </w:r>
          </w:p>
          <w:p w14:paraId="6AF193DB">
            <w:pPr>
              <w:spacing w:line="440" w:lineRule="exact"/>
              <w:rPr>
                <w:rFonts w:ascii="宋体" w:hAnsi="宋体"/>
                <w:szCs w:val="21"/>
              </w:rPr>
            </w:pPr>
            <w:r>
              <w:rPr>
                <w:rFonts w:hint="eastAsia" w:ascii="宋体" w:hAnsi="宋体"/>
                <w:szCs w:val="21"/>
              </w:rPr>
              <w:t>1.2财务状况报告：提供</w:t>
            </w:r>
            <w:r>
              <w:rPr>
                <w:rFonts w:hint="eastAsia" w:ascii="宋体" w:hAnsi="宋体"/>
                <w:szCs w:val="21"/>
                <w:lang w:eastAsia="zh-CN"/>
              </w:rPr>
              <w:t>2024年</w:t>
            </w:r>
            <w:r>
              <w:rPr>
                <w:rFonts w:hint="eastAsia" w:ascii="宋体" w:hAnsi="宋体"/>
                <w:szCs w:val="21"/>
              </w:rPr>
              <w:t>度经审计的财务报告（成立时间至提交响应文件截止时间不足一年的可提供成立后任意时段的资产负债表），或其递交响应文件截止之日前三个月内基本开户银行出具的资信证明（以上</w:t>
            </w:r>
            <w:r>
              <w:rPr>
                <w:rFonts w:hint="eastAsia" w:ascii="宋体" w:hAnsi="宋体"/>
                <w:szCs w:val="21"/>
                <w:lang w:val="en-US" w:eastAsia="zh-CN"/>
              </w:rPr>
              <w:t>两</w:t>
            </w:r>
            <w:r>
              <w:rPr>
                <w:rFonts w:hint="eastAsia" w:ascii="宋体" w:hAnsi="宋体"/>
                <w:szCs w:val="21"/>
              </w:rPr>
              <w:t>种形式的资料提供任何一种即可）。</w:t>
            </w:r>
          </w:p>
          <w:p w14:paraId="5E3AAC06">
            <w:pPr>
              <w:spacing w:line="440" w:lineRule="exact"/>
              <w:rPr>
                <w:rFonts w:ascii="宋体" w:hAnsi="宋体"/>
                <w:szCs w:val="21"/>
              </w:rPr>
            </w:pPr>
            <w:r>
              <w:rPr>
                <w:rFonts w:hint="eastAsia" w:ascii="宋体" w:hAnsi="宋体"/>
                <w:szCs w:val="21"/>
              </w:rPr>
              <w:t>1.3书面声明：提供书面声明，包括声明具有履行合同所必需的设备和专业技术能力。</w:t>
            </w:r>
          </w:p>
          <w:p w14:paraId="309C79C5">
            <w:pPr>
              <w:spacing w:line="440" w:lineRule="exact"/>
              <w:rPr>
                <w:rFonts w:ascii="宋体" w:hAnsi="宋体"/>
                <w:szCs w:val="21"/>
              </w:rPr>
            </w:pPr>
            <w:r>
              <w:rPr>
                <w:rFonts w:hint="eastAsia" w:ascii="宋体" w:hAnsi="宋体"/>
                <w:szCs w:val="21"/>
              </w:rPr>
              <w:t>1.4社保缴纳证明：提供递交响应文件截止之日前一年内任意一个月的社会保障资金缴存单据或社保机构开具的社会保险参保缴费情况证明。依法不需要缴纳社会保障资金的供应商应提供相关文件证明。</w:t>
            </w:r>
          </w:p>
          <w:p w14:paraId="556B1699">
            <w:pPr>
              <w:spacing w:line="440" w:lineRule="exact"/>
              <w:rPr>
                <w:rFonts w:ascii="宋体" w:hAnsi="宋体"/>
                <w:szCs w:val="21"/>
              </w:rPr>
            </w:pPr>
            <w:r>
              <w:rPr>
                <w:rFonts w:hint="eastAsia" w:ascii="宋体" w:hAnsi="宋体"/>
                <w:szCs w:val="21"/>
              </w:rPr>
              <w:t>1.5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612EF8D5">
            <w:pPr>
              <w:spacing w:line="440" w:lineRule="exact"/>
              <w:rPr>
                <w:rFonts w:ascii="宋体" w:hAnsi="宋体"/>
                <w:szCs w:val="21"/>
              </w:rPr>
            </w:pPr>
            <w:r>
              <w:rPr>
                <w:rFonts w:hint="eastAsia" w:ascii="宋体" w:hAnsi="宋体"/>
                <w:szCs w:val="21"/>
              </w:rPr>
              <w:t>1.6近三年无重大违法、违纪书面声明：提供《近三年无重大违法、违纪书面声明》。</w:t>
            </w:r>
          </w:p>
          <w:p w14:paraId="397031ED">
            <w:pPr>
              <w:spacing w:line="440" w:lineRule="exact"/>
              <w:rPr>
                <w:rFonts w:ascii="宋体" w:hAnsi="宋体"/>
                <w:szCs w:val="21"/>
              </w:rPr>
            </w:pPr>
            <w:r>
              <w:rPr>
                <w:rFonts w:hint="eastAsia" w:ascii="宋体" w:hAnsi="宋体"/>
                <w:szCs w:val="21"/>
              </w:rPr>
              <w:t>2.落实政府采购政策需满足的资格要求：</w:t>
            </w:r>
          </w:p>
          <w:p w14:paraId="4B9ABCAA">
            <w:pPr>
              <w:spacing w:line="440" w:lineRule="exact"/>
              <w:rPr>
                <w:rFonts w:ascii="宋体" w:hAnsi="宋体"/>
                <w:szCs w:val="21"/>
                <w:highlight w:val="none"/>
              </w:rPr>
            </w:pPr>
            <w:r>
              <w:rPr>
                <w:rFonts w:hint="eastAsia" w:ascii="宋体" w:hAnsi="宋体"/>
                <w:szCs w:val="21"/>
                <w:highlight w:val="none"/>
              </w:rPr>
              <w:t>本项目不专门面向中小企业采购。</w:t>
            </w:r>
          </w:p>
          <w:p w14:paraId="3C67115D">
            <w:pPr>
              <w:spacing w:line="440" w:lineRule="exact"/>
              <w:rPr>
                <w:rFonts w:ascii="宋体" w:hAnsi="宋体"/>
                <w:szCs w:val="21"/>
              </w:rPr>
            </w:pPr>
            <w:r>
              <w:rPr>
                <w:rFonts w:hint="eastAsia" w:ascii="宋体" w:hAnsi="宋体"/>
                <w:szCs w:val="21"/>
              </w:rPr>
              <w:t>3.本项目的特定资格要求：</w:t>
            </w:r>
          </w:p>
          <w:p w14:paraId="5A572B97">
            <w:pPr>
              <w:spacing w:line="440" w:lineRule="exact"/>
              <w:rPr>
                <w:rFonts w:ascii="宋体" w:hAnsi="宋体"/>
                <w:szCs w:val="21"/>
              </w:rPr>
            </w:pPr>
            <w:r>
              <w:rPr>
                <w:rFonts w:hint="eastAsia" w:ascii="宋体" w:hAnsi="宋体"/>
                <w:szCs w:val="21"/>
              </w:rPr>
              <w:t>3.1信用记录：供应商未被列入“信用中国”网站记录的“失信被执行人”或“</w:t>
            </w:r>
            <w:r>
              <w:rPr>
                <w:rFonts w:hint="eastAsia" w:ascii="宋体" w:hAnsi="宋体"/>
                <w:szCs w:val="21"/>
                <w:lang w:eastAsia="zh-CN"/>
              </w:rPr>
              <w:t>重大税收违法失信主体</w:t>
            </w:r>
            <w:r>
              <w:rPr>
                <w:rFonts w:hint="eastAsia" w:ascii="宋体" w:hAnsi="宋体"/>
                <w:szCs w:val="21"/>
              </w:rPr>
              <w:t>”名单；不处于“中国政府采购网”记录的“政府采购严重违法失信行为记录名单”中的禁止参加政府采购活动期间。（以采购人或采购代理机构开标当天查询结果为准）；</w:t>
            </w:r>
          </w:p>
          <w:p w14:paraId="25EC584C">
            <w:pPr>
              <w:spacing w:line="440" w:lineRule="exact"/>
              <w:rPr>
                <w:rFonts w:ascii="宋体" w:hAnsi="宋体"/>
                <w:szCs w:val="21"/>
              </w:rPr>
            </w:pPr>
            <w:r>
              <w:rPr>
                <w:rFonts w:hint="eastAsia" w:ascii="宋体" w:hAnsi="宋体"/>
                <w:szCs w:val="21"/>
              </w:rPr>
              <w:t>3.2控股管理关系：提供直接控股和管理关系清单。若与其他供应商存在单位负责人为同一人或者存在直接控股、管理关系的，则响应无效。</w:t>
            </w:r>
          </w:p>
          <w:p w14:paraId="4B03FDD6">
            <w:pPr>
              <w:spacing w:line="440" w:lineRule="exact"/>
              <w:rPr>
                <w:rFonts w:ascii="宋体" w:hAnsi="宋体"/>
                <w:szCs w:val="21"/>
              </w:rPr>
            </w:pPr>
            <w:r>
              <w:rPr>
                <w:rFonts w:hint="eastAsia" w:ascii="宋体" w:hAnsi="宋体"/>
                <w:szCs w:val="21"/>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p>
          <w:p w14:paraId="29C0E6F3">
            <w:pPr>
              <w:spacing w:line="440" w:lineRule="exact"/>
              <w:rPr>
                <w:rFonts w:ascii="宋体" w:hAnsi="宋体"/>
                <w:szCs w:val="21"/>
              </w:rPr>
            </w:pPr>
            <w:r>
              <w:rPr>
                <w:rFonts w:hint="eastAsia" w:ascii="宋体" w:hAnsi="宋体"/>
                <w:szCs w:val="21"/>
              </w:rPr>
              <w:t>法人的分支机构参与磋商时，除提供《法定代表人授权委托书》外，还须同时提供法人给分支机构出具的授权书。</w:t>
            </w:r>
          </w:p>
          <w:p w14:paraId="5D2167F9">
            <w:pPr>
              <w:spacing w:line="440" w:lineRule="exact"/>
              <w:rPr>
                <w:rFonts w:ascii="宋体" w:hAnsi="宋体"/>
                <w:szCs w:val="21"/>
              </w:rPr>
            </w:pPr>
            <w:r>
              <w:rPr>
                <w:rFonts w:hint="eastAsia" w:ascii="宋体" w:hAnsi="宋体"/>
                <w:szCs w:val="21"/>
              </w:rPr>
              <w:t>3.4本项目不接受联合体磋商，不允许分包。供应商应提供《非联合体不分包磋商声明》，视为独立磋商，不分包。</w:t>
            </w:r>
          </w:p>
          <w:p w14:paraId="4117B1C7">
            <w:pPr>
              <w:pStyle w:val="14"/>
              <w:spacing w:line="440" w:lineRule="exact"/>
              <w:jc w:val="left"/>
              <w:rPr>
                <w:rFonts w:hAnsi="宋体" w:cs="仿宋"/>
                <w:b/>
                <w:bCs/>
              </w:rPr>
            </w:pPr>
            <w:r>
              <w:rPr>
                <w:rFonts w:hint="eastAsia" w:hAnsi="宋体" w:cs="仿宋"/>
                <w:b/>
                <w:bCs/>
              </w:rPr>
              <w:t>备注：</w:t>
            </w:r>
          </w:p>
          <w:p w14:paraId="6098DFB1">
            <w:pPr>
              <w:pStyle w:val="14"/>
              <w:spacing w:line="440" w:lineRule="exact"/>
              <w:jc w:val="left"/>
              <w:rPr>
                <w:rFonts w:hAnsi="宋体"/>
              </w:rPr>
            </w:pPr>
            <w:r>
              <w:rPr>
                <w:rFonts w:hint="eastAsia" w:hAnsi="宋体"/>
              </w:rPr>
              <w:t>1.除注明原件外，均为复印件加盖供应商公章；身份证原件须随响应文件一并递交。</w:t>
            </w:r>
          </w:p>
          <w:p w14:paraId="1A8E0F33">
            <w:pPr>
              <w:pStyle w:val="14"/>
              <w:spacing w:line="440" w:lineRule="exact"/>
              <w:jc w:val="left"/>
              <w:rPr>
                <w:rFonts w:hAnsi="宋体"/>
              </w:rPr>
            </w:pPr>
            <w:r>
              <w:rPr>
                <w:rFonts w:hint="eastAsia" w:hAnsi="宋体"/>
              </w:rPr>
              <w:t>2.分支机构参与磋商时，响应文件中应附法人出具的授权书。法人只能授权一家分支机构参与磋商，且不能与分支机构同时参与磋商。分支机构须提供自己的资格要求证明文件。</w:t>
            </w:r>
          </w:p>
          <w:p w14:paraId="7F100CB1">
            <w:pPr>
              <w:pStyle w:val="14"/>
              <w:spacing w:line="440" w:lineRule="exact"/>
              <w:jc w:val="left"/>
              <w:rPr>
                <w:rFonts w:hAnsi="宋体"/>
              </w:rPr>
            </w:pPr>
            <w:r>
              <w:rPr>
                <w:rFonts w:hint="eastAsia" w:hAnsi="宋体"/>
              </w:rPr>
              <w:t>3.事业单位法人参与磋商可不提供财务状况报告、社会保障资金缴纳证明及税收缴纳证明。</w:t>
            </w:r>
          </w:p>
          <w:p w14:paraId="50E12B3E">
            <w:pPr>
              <w:pStyle w:val="14"/>
              <w:spacing w:line="440" w:lineRule="exact"/>
              <w:jc w:val="left"/>
              <w:rPr>
                <w:rFonts w:hAnsi="宋体"/>
              </w:rPr>
            </w:pPr>
            <w:r>
              <w:rPr>
                <w:rFonts w:hint="eastAsia" w:hAnsi="宋体"/>
              </w:rPr>
              <w:t>4.单位负责人为同一人或存在直接控股、管理关系的不同单位，不得同时参加本项目采购活动。</w:t>
            </w:r>
          </w:p>
          <w:p w14:paraId="3E0706C9">
            <w:pPr>
              <w:pStyle w:val="14"/>
              <w:spacing w:line="440" w:lineRule="exact"/>
              <w:jc w:val="left"/>
              <w:rPr>
                <w:rFonts w:hAnsi="宋体"/>
              </w:rPr>
            </w:pPr>
            <w:r>
              <w:rPr>
                <w:rFonts w:hint="eastAsia" w:hAnsi="宋体"/>
              </w:rPr>
              <w:t>5.磋商文件中要求签字或盖章之处，非法人单位均参照执行。</w:t>
            </w:r>
          </w:p>
        </w:tc>
      </w:tr>
      <w:tr w14:paraId="77C0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34031AC5">
            <w:pPr>
              <w:pStyle w:val="14"/>
              <w:numPr>
                <w:ilvl w:val="0"/>
                <w:numId w:val="3"/>
              </w:numPr>
              <w:spacing w:line="440" w:lineRule="exact"/>
              <w:ind w:left="284" w:right="-67" w:rightChars="-32"/>
              <w:jc w:val="center"/>
              <w:rPr>
                <w:rFonts w:hAnsi="宋体"/>
              </w:rPr>
            </w:pPr>
          </w:p>
        </w:tc>
        <w:tc>
          <w:tcPr>
            <w:tcW w:w="2618" w:type="dxa"/>
            <w:vAlign w:val="center"/>
          </w:tcPr>
          <w:p w14:paraId="247497F2">
            <w:pPr>
              <w:pStyle w:val="14"/>
              <w:spacing w:line="440" w:lineRule="exact"/>
              <w:rPr>
                <w:rFonts w:hAnsi="宋体"/>
              </w:rPr>
            </w:pPr>
            <w:r>
              <w:rPr>
                <w:rFonts w:hint="eastAsia" w:hAnsi="宋体"/>
              </w:rPr>
              <w:t>本项目</w:t>
            </w:r>
            <w:r>
              <w:rPr>
                <w:rFonts w:hAnsi="宋体"/>
              </w:rPr>
              <w:t>是否接受联合体</w:t>
            </w:r>
            <w:r>
              <w:rPr>
                <w:rFonts w:hint="eastAsia" w:hAnsi="宋体"/>
              </w:rPr>
              <w:t>磋商</w:t>
            </w:r>
          </w:p>
        </w:tc>
        <w:tc>
          <w:tcPr>
            <w:tcW w:w="5953" w:type="dxa"/>
            <w:vAlign w:val="center"/>
          </w:tcPr>
          <w:p w14:paraId="2743F6F1">
            <w:pPr>
              <w:pStyle w:val="14"/>
              <w:spacing w:line="440" w:lineRule="exact"/>
              <w:jc w:val="left"/>
              <w:rPr>
                <w:rFonts w:hAnsi="宋体"/>
              </w:rPr>
            </w:pPr>
            <w:r>
              <w:rPr>
                <w:rFonts w:hAnsi="宋体"/>
              </w:rPr>
              <w:t>□</w:t>
            </w:r>
            <w:r>
              <w:rPr>
                <w:rFonts w:hint="eastAsia" w:hAnsi="宋体"/>
              </w:rPr>
              <w:t>是/</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否</w:t>
            </w:r>
          </w:p>
        </w:tc>
      </w:tr>
      <w:tr w14:paraId="54D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5" w:type="dxa"/>
            <w:vAlign w:val="center"/>
          </w:tcPr>
          <w:p w14:paraId="02D3428C">
            <w:pPr>
              <w:pStyle w:val="14"/>
              <w:numPr>
                <w:ilvl w:val="0"/>
                <w:numId w:val="3"/>
              </w:numPr>
              <w:spacing w:line="440" w:lineRule="exact"/>
              <w:ind w:left="284" w:right="-67" w:rightChars="-32"/>
              <w:jc w:val="center"/>
              <w:rPr>
                <w:rFonts w:hAnsi="宋体"/>
              </w:rPr>
            </w:pPr>
          </w:p>
        </w:tc>
        <w:tc>
          <w:tcPr>
            <w:tcW w:w="2618" w:type="dxa"/>
            <w:vAlign w:val="center"/>
          </w:tcPr>
          <w:p w14:paraId="1F515B33">
            <w:pPr>
              <w:pStyle w:val="14"/>
              <w:spacing w:line="440" w:lineRule="exact"/>
              <w:rPr>
                <w:rFonts w:hAnsi="宋体"/>
              </w:rPr>
            </w:pPr>
            <w:r>
              <w:rPr>
                <w:rFonts w:hint="eastAsia" w:hAnsi="宋体"/>
              </w:rPr>
              <w:t>响应文件</w:t>
            </w:r>
            <w:r>
              <w:rPr>
                <w:rFonts w:hAnsi="宋体"/>
              </w:rPr>
              <w:t>有效期</w:t>
            </w:r>
          </w:p>
        </w:tc>
        <w:tc>
          <w:tcPr>
            <w:tcW w:w="5953" w:type="dxa"/>
            <w:vAlign w:val="center"/>
          </w:tcPr>
          <w:p w14:paraId="5EAEF951">
            <w:pPr>
              <w:pStyle w:val="14"/>
              <w:spacing w:line="440" w:lineRule="exact"/>
              <w:jc w:val="left"/>
              <w:rPr>
                <w:rFonts w:hAnsi="宋体"/>
              </w:rPr>
            </w:pPr>
            <w:r>
              <w:rPr>
                <w:rFonts w:hint="eastAsia" w:hAnsi="宋体"/>
              </w:rPr>
              <w:t>响应文件有效期为自磋商之日起算90个日历日</w:t>
            </w:r>
          </w:p>
        </w:tc>
      </w:tr>
      <w:tr w14:paraId="356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vAlign w:val="center"/>
          </w:tcPr>
          <w:p w14:paraId="4CE74E58">
            <w:pPr>
              <w:pStyle w:val="14"/>
              <w:numPr>
                <w:ilvl w:val="0"/>
                <w:numId w:val="3"/>
              </w:numPr>
              <w:spacing w:line="440" w:lineRule="exact"/>
              <w:ind w:left="284" w:right="-67" w:rightChars="-32"/>
              <w:jc w:val="center"/>
              <w:rPr>
                <w:rFonts w:hAnsi="宋体"/>
              </w:rPr>
            </w:pPr>
          </w:p>
        </w:tc>
        <w:tc>
          <w:tcPr>
            <w:tcW w:w="2618" w:type="dxa"/>
            <w:vAlign w:val="center"/>
          </w:tcPr>
          <w:p w14:paraId="22DB750B">
            <w:pPr>
              <w:pStyle w:val="14"/>
              <w:spacing w:line="440" w:lineRule="exact"/>
              <w:jc w:val="left"/>
              <w:rPr>
                <w:rFonts w:hAnsi="宋体"/>
              </w:rPr>
            </w:pPr>
            <w:r>
              <w:rPr>
                <w:rFonts w:hint="eastAsia" w:hAnsi="宋体"/>
              </w:rPr>
              <w:t>现场踏勘</w:t>
            </w:r>
          </w:p>
        </w:tc>
        <w:tc>
          <w:tcPr>
            <w:tcW w:w="5953" w:type="dxa"/>
            <w:vAlign w:val="center"/>
          </w:tcPr>
          <w:p w14:paraId="07905A3F">
            <w:pPr>
              <w:pStyle w:val="14"/>
              <w:spacing w:line="440" w:lineRule="exact"/>
              <w:jc w:val="left"/>
              <w:rPr>
                <w:rFonts w:hAnsi="宋体"/>
              </w:rPr>
            </w:pPr>
            <w:r>
              <w:rPr>
                <w:rFonts w:hint="eastAsia" w:hAnsi="宋体"/>
              </w:rPr>
              <w:t>是否组织踏勘：</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组织/</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不组织</w:t>
            </w:r>
          </w:p>
        </w:tc>
      </w:tr>
      <w:tr w14:paraId="44B5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vAlign w:val="center"/>
          </w:tcPr>
          <w:p w14:paraId="76042486">
            <w:pPr>
              <w:pStyle w:val="14"/>
              <w:numPr>
                <w:ilvl w:val="0"/>
                <w:numId w:val="3"/>
              </w:numPr>
              <w:spacing w:line="440" w:lineRule="exact"/>
              <w:ind w:left="284" w:right="-67" w:rightChars="-32"/>
              <w:jc w:val="center"/>
              <w:rPr>
                <w:rFonts w:hAnsi="宋体"/>
              </w:rPr>
            </w:pPr>
          </w:p>
        </w:tc>
        <w:tc>
          <w:tcPr>
            <w:tcW w:w="2618" w:type="dxa"/>
            <w:vMerge w:val="restart"/>
            <w:vAlign w:val="center"/>
          </w:tcPr>
          <w:p w14:paraId="638940C5">
            <w:pPr>
              <w:pStyle w:val="14"/>
              <w:spacing w:line="440" w:lineRule="exact"/>
              <w:jc w:val="left"/>
              <w:rPr>
                <w:rFonts w:hAnsi="宋体"/>
              </w:rPr>
            </w:pPr>
            <w:r>
              <w:rPr>
                <w:rFonts w:hint="eastAsia" w:hAnsi="宋体"/>
              </w:rPr>
              <w:t>支持中小企业</w:t>
            </w:r>
          </w:p>
        </w:tc>
        <w:tc>
          <w:tcPr>
            <w:tcW w:w="5953" w:type="dxa"/>
            <w:vAlign w:val="center"/>
          </w:tcPr>
          <w:p w14:paraId="32B146B2">
            <w:pPr>
              <w:pStyle w:val="14"/>
              <w:spacing w:line="440" w:lineRule="exact"/>
              <w:jc w:val="left"/>
              <w:rPr>
                <w:rFonts w:hAnsi="宋体" w:cs="Times New Roman"/>
              </w:rPr>
            </w:pPr>
            <w:r>
              <w:rPr>
                <w:rFonts w:hint="eastAsia" w:hAnsi="宋体" w:cs="Times New Roman"/>
              </w:rPr>
              <w:t>本项目是否为专门面向中小企业采购项目：</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是/</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否</w:t>
            </w:r>
          </w:p>
        </w:tc>
      </w:tr>
      <w:tr w14:paraId="43A0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15" w:type="dxa"/>
            <w:vMerge w:val="continue"/>
            <w:vAlign w:val="center"/>
          </w:tcPr>
          <w:p w14:paraId="0B259FAA">
            <w:pPr>
              <w:pStyle w:val="14"/>
              <w:spacing w:line="440" w:lineRule="exact"/>
              <w:ind w:left="284" w:right="-67" w:rightChars="-32"/>
              <w:jc w:val="center"/>
              <w:rPr>
                <w:rFonts w:hAnsi="宋体"/>
              </w:rPr>
            </w:pPr>
          </w:p>
        </w:tc>
        <w:tc>
          <w:tcPr>
            <w:tcW w:w="2618" w:type="dxa"/>
            <w:vMerge w:val="continue"/>
            <w:vAlign w:val="center"/>
          </w:tcPr>
          <w:p w14:paraId="410E3484">
            <w:pPr>
              <w:pStyle w:val="14"/>
              <w:spacing w:line="440" w:lineRule="exact"/>
              <w:jc w:val="left"/>
              <w:rPr>
                <w:rFonts w:hAnsi="宋体"/>
              </w:rPr>
            </w:pPr>
          </w:p>
        </w:tc>
        <w:tc>
          <w:tcPr>
            <w:tcW w:w="5953" w:type="dxa"/>
            <w:vAlign w:val="center"/>
          </w:tcPr>
          <w:p w14:paraId="7310323B">
            <w:pPr>
              <w:pStyle w:val="14"/>
              <w:spacing w:line="440" w:lineRule="exact"/>
              <w:jc w:val="left"/>
              <w:rPr>
                <w:rFonts w:hAnsi="宋体"/>
              </w:rPr>
            </w:pPr>
            <w:r>
              <w:rPr>
                <w:rFonts w:hint="eastAsia" w:hAnsi="宋体"/>
              </w:rPr>
              <w:t>非专门面向中小企业采购项目</w:t>
            </w:r>
            <w:r>
              <w:rPr>
                <w:rFonts w:hAnsi="宋体"/>
              </w:rPr>
              <w:t>(</w:t>
            </w:r>
            <w:r>
              <w:rPr>
                <w:rFonts w:hint="eastAsia" w:hAnsi="宋体"/>
              </w:rPr>
              <w:t>价格扣除</w:t>
            </w:r>
            <w:r>
              <w:rPr>
                <w:rFonts w:hAnsi="宋体"/>
              </w:rPr>
              <w:t>)</w:t>
            </w:r>
            <w:r>
              <w:rPr>
                <w:rFonts w:hint="eastAsia" w:hAnsi="宋体"/>
              </w:rPr>
              <w:t>：</w:t>
            </w:r>
          </w:p>
          <w:p w14:paraId="29EDE5CB">
            <w:pPr>
              <w:pStyle w:val="14"/>
              <w:spacing w:line="440" w:lineRule="exact"/>
              <w:jc w:val="left"/>
              <w:rPr>
                <w:rFonts w:hAnsi="宋体" w:cs="Times New Roman"/>
              </w:rPr>
            </w:pPr>
            <w:r>
              <w:rPr>
                <w:rFonts w:hint="eastAsia" w:hAnsi="宋体" w:cs="Times New Roman"/>
              </w:rPr>
              <w:t>对小型和微型企业产品的价格给予10</w:t>
            </w:r>
            <w:r>
              <w:rPr>
                <w:rFonts w:hAnsi="宋体" w:cs="Times New Roman"/>
              </w:rPr>
              <w:t>%</w:t>
            </w:r>
            <w:r>
              <w:rPr>
                <w:rFonts w:hint="eastAsia" w:hAnsi="宋体" w:cs="Times New Roman"/>
              </w:rPr>
              <w:t>～2</w:t>
            </w:r>
            <w:r>
              <w:rPr>
                <w:rFonts w:hAnsi="宋体" w:cs="Times New Roman"/>
              </w:rPr>
              <w:t>0%</w:t>
            </w:r>
            <w:r>
              <w:rPr>
                <w:rFonts w:hint="eastAsia" w:hAnsi="宋体" w:cs="Times New Roman"/>
              </w:rPr>
              <w:t>的扣除，用扣除后的价格参与评审。本项目的扣除比例为：扣除10</w:t>
            </w:r>
            <w:r>
              <w:rPr>
                <w:rFonts w:hAnsi="宋体" w:cs="Times New Roman"/>
              </w:rPr>
              <w:t>%</w:t>
            </w:r>
            <w:r>
              <w:rPr>
                <w:rFonts w:hint="eastAsia" w:hAnsi="宋体" w:cs="Times New Roman"/>
              </w:rPr>
              <w:t>。</w:t>
            </w:r>
          </w:p>
        </w:tc>
      </w:tr>
      <w:tr w14:paraId="6DBB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5" w:type="dxa"/>
            <w:vMerge w:val="continue"/>
            <w:vAlign w:val="center"/>
          </w:tcPr>
          <w:p w14:paraId="037996A6">
            <w:pPr>
              <w:pStyle w:val="14"/>
              <w:spacing w:line="440" w:lineRule="exact"/>
              <w:ind w:left="284" w:right="-67" w:rightChars="-32"/>
              <w:jc w:val="center"/>
              <w:rPr>
                <w:rFonts w:hAnsi="宋体"/>
              </w:rPr>
            </w:pPr>
          </w:p>
        </w:tc>
        <w:tc>
          <w:tcPr>
            <w:tcW w:w="2618" w:type="dxa"/>
            <w:vMerge w:val="continue"/>
            <w:vAlign w:val="center"/>
          </w:tcPr>
          <w:p w14:paraId="0A88AA0B">
            <w:pPr>
              <w:pStyle w:val="14"/>
              <w:spacing w:line="440" w:lineRule="exact"/>
              <w:jc w:val="left"/>
              <w:rPr>
                <w:rFonts w:hAnsi="宋体"/>
              </w:rPr>
            </w:pPr>
          </w:p>
        </w:tc>
        <w:tc>
          <w:tcPr>
            <w:tcW w:w="5953" w:type="dxa"/>
            <w:vAlign w:val="center"/>
          </w:tcPr>
          <w:p w14:paraId="7E6BFCBF">
            <w:pPr>
              <w:pStyle w:val="14"/>
              <w:spacing w:line="440" w:lineRule="exact"/>
              <w:jc w:val="left"/>
              <w:rPr>
                <w:rFonts w:hAnsi="宋体" w:cs="Times New Roman"/>
              </w:rPr>
            </w:pPr>
            <w:r>
              <w:rPr>
                <w:rFonts w:hint="eastAsia" w:hAnsi="宋体" w:cs="Times New Roman"/>
              </w:rPr>
              <w:t>采购标的对应的中小企业划分标准所属行业：</w:t>
            </w:r>
          </w:p>
          <w:p w14:paraId="599E52BE">
            <w:pPr>
              <w:pStyle w:val="14"/>
              <w:spacing w:line="440" w:lineRule="exact"/>
              <w:jc w:val="left"/>
              <w:rPr>
                <w:rFonts w:hAnsi="宋体" w:cs="Times New Roman"/>
              </w:rPr>
            </w:pPr>
            <w:r>
              <w:rPr>
                <w:rFonts w:hint="eastAsia" w:hAnsi="宋体" w:cs="Times New Roman"/>
              </w:rPr>
              <w:t>软件和信息技术服务业</w:t>
            </w:r>
          </w:p>
        </w:tc>
      </w:tr>
      <w:tr w14:paraId="57B8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5" w:type="dxa"/>
            <w:vAlign w:val="center"/>
          </w:tcPr>
          <w:p w14:paraId="7F50BF5A">
            <w:pPr>
              <w:pStyle w:val="14"/>
              <w:numPr>
                <w:ilvl w:val="0"/>
                <w:numId w:val="3"/>
              </w:numPr>
              <w:spacing w:line="440" w:lineRule="exact"/>
              <w:ind w:left="284" w:right="-67" w:rightChars="-32"/>
              <w:jc w:val="center"/>
              <w:rPr>
                <w:rFonts w:hAnsi="宋体"/>
              </w:rPr>
            </w:pPr>
          </w:p>
        </w:tc>
        <w:tc>
          <w:tcPr>
            <w:tcW w:w="2618" w:type="dxa"/>
            <w:vAlign w:val="center"/>
          </w:tcPr>
          <w:p w14:paraId="1645A582">
            <w:pPr>
              <w:pStyle w:val="14"/>
              <w:spacing w:line="440" w:lineRule="exact"/>
              <w:jc w:val="left"/>
              <w:rPr>
                <w:rFonts w:hAnsi="宋体"/>
              </w:rPr>
            </w:pPr>
            <w:r>
              <w:rPr>
                <w:rFonts w:hint="eastAsia" w:hAnsi="宋体"/>
              </w:rPr>
              <w:t>支持监狱企业</w:t>
            </w:r>
          </w:p>
        </w:tc>
        <w:tc>
          <w:tcPr>
            <w:tcW w:w="5953" w:type="dxa"/>
            <w:vAlign w:val="center"/>
          </w:tcPr>
          <w:p w14:paraId="517B9979">
            <w:pPr>
              <w:pStyle w:val="14"/>
              <w:spacing w:line="440" w:lineRule="exact"/>
              <w:jc w:val="left"/>
              <w:rPr>
                <w:rFonts w:hAnsi="宋体" w:cs="Times New Roman"/>
              </w:rPr>
            </w:pPr>
            <w:r>
              <w:rPr>
                <w:rFonts w:hint="eastAsia" w:hAnsi="宋体" w:cs="Times New Roman"/>
              </w:rPr>
              <w:t>非专门面向监狱企业采购项目(价格扣除)：监狱企业可视同小微企业在价格评审时给予10%～20%的扣除，用扣除后的价格参与评审。本项目的扣除比例为：扣除10%，但应满足下列条件：</w:t>
            </w:r>
          </w:p>
          <w:p w14:paraId="57B81E90">
            <w:pPr>
              <w:pStyle w:val="14"/>
              <w:spacing w:line="440" w:lineRule="exact"/>
              <w:jc w:val="left"/>
              <w:rPr>
                <w:rFonts w:hAnsi="宋体"/>
              </w:rPr>
            </w:pPr>
            <w:r>
              <w:rPr>
                <w:rFonts w:hint="eastAsia" w:hAnsi="宋体" w:cs="Times New Roman"/>
              </w:rPr>
              <w:t>监狱企业须提供由省级以上监狱管理局、戒毒管理局（含新疆生产建设兵团）出具的属于监狱企业的证明文件，否则不予认定。</w:t>
            </w:r>
          </w:p>
        </w:tc>
      </w:tr>
      <w:tr w14:paraId="7F7F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5" w:type="dxa"/>
            <w:vAlign w:val="center"/>
          </w:tcPr>
          <w:p w14:paraId="50D541FF">
            <w:pPr>
              <w:pStyle w:val="14"/>
              <w:numPr>
                <w:ilvl w:val="0"/>
                <w:numId w:val="3"/>
              </w:numPr>
              <w:spacing w:line="440" w:lineRule="exact"/>
              <w:ind w:left="284" w:right="-67" w:rightChars="-32"/>
              <w:jc w:val="center"/>
              <w:rPr>
                <w:rFonts w:hAnsi="宋体"/>
              </w:rPr>
            </w:pPr>
          </w:p>
        </w:tc>
        <w:tc>
          <w:tcPr>
            <w:tcW w:w="2618" w:type="dxa"/>
            <w:vAlign w:val="center"/>
          </w:tcPr>
          <w:p w14:paraId="5CC4C5D4">
            <w:pPr>
              <w:pStyle w:val="14"/>
              <w:spacing w:line="440" w:lineRule="exact"/>
              <w:jc w:val="left"/>
              <w:rPr>
                <w:rFonts w:hAnsi="宋体"/>
              </w:rPr>
            </w:pPr>
            <w:r>
              <w:rPr>
                <w:rFonts w:hint="eastAsia" w:hAnsi="宋体"/>
              </w:rPr>
              <w:t>支持残疾人福利性单位</w:t>
            </w:r>
          </w:p>
        </w:tc>
        <w:tc>
          <w:tcPr>
            <w:tcW w:w="5953" w:type="dxa"/>
            <w:vAlign w:val="center"/>
          </w:tcPr>
          <w:p w14:paraId="4AD33037">
            <w:pPr>
              <w:pStyle w:val="14"/>
              <w:spacing w:line="440" w:lineRule="exact"/>
              <w:jc w:val="left"/>
              <w:rPr>
                <w:rFonts w:hAnsi="宋体"/>
              </w:rPr>
            </w:pPr>
            <w:r>
              <w:rPr>
                <w:rFonts w:hint="eastAsia" w:hAnsi="宋体"/>
              </w:rPr>
              <w:t>非专门面向残疾人福利性单位采购项目</w:t>
            </w:r>
            <w:r>
              <w:rPr>
                <w:rFonts w:hAnsi="宋体"/>
              </w:rPr>
              <w:t>(</w:t>
            </w:r>
            <w:r>
              <w:rPr>
                <w:rFonts w:hint="eastAsia" w:hAnsi="宋体"/>
              </w:rPr>
              <w:t>价格扣除</w:t>
            </w:r>
            <w:r>
              <w:rPr>
                <w:rFonts w:hAnsi="宋体"/>
              </w:rPr>
              <w:t>)</w:t>
            </w:r>
            <w:r>
              <w:rPr>
                <w:rFonts w:hint="eastAsia" w:hAnsi="宋体"/>
              </w:rPr>
              <w:t>：</w:t>
            </w:r>
          </w:p>
          <w:p w14:paraId="7B87B90A">
            <w:pPr>
              <w:pStyle w:val="14"/>
              <w:spacing w:line="440" w:lineRule="exact"/>
              <w:jc w:val="left"/>
              <w:rPr>
                <w:rFonts w:hAnsi="宋体"/>
              </w:rPr>
            </w:pPr>
            <w:r>
              <w:rPr>
                <w:rFonts w:hint="eastAsia" w:hAnsi="宋体"/>
              </w:rPr>
              <w:t>残疾人福利性单位可视同小微企业在价格评审时给予</w:t>
            </w:r>
            <w:r>
              <w:rPr>
                <w:rFonts w:hAnsi="宋体"/>
              </w:rPr>
              <w:t>10%</w:t>
            </w:r>
            <w:r>
              <w:rPr>
                <w:rFonts w:hint="eastAsia" w:hAnsi="宋体"/>
              </w:rPr>
              <w:t>～</w:t>
            </w:r>
            <w:r>
              <w:rPr>
                <w:rFonts w:hAnsi="宋体"/>
              </w:rPr>
              <w:t>20%</w:t>
            </w:r>
            <w:r>
              <w:rPr>
                <w:rFonts w:hint="eastAsia" w:hAnsi="宋体"/>
              </w:rPr>
              <w:t>的扣除，用扣除后的价格参与评审。</w:t>
            </w:r>
          </w:p>
          <w:p w14:paraId="4C8EB7D5">
            <w:pPr>
              <w:pStyle w:val="14"/>
              <w:spacing w:line="440" w:lineRule="exact"/>
              <w:jc w:val="left"/>
              <w:rPr>
                <w:rFonts w:hAnsi="宋体"/>
              </w:rPr>
            </w:pPr>
            <w:r>
              <w:rPr>
                <w:rFonts w:hint="eastAsia" w:hAnsi="宋体"/>
              </w:rPr>
              <w:t>本项目的扣除比例为：扣除</w:t>
            </w:r>
            <w:r>
              <w:rPr>
                <w:rFonts w:hAnsi="宋体"/>
              </w:rPr>
              <w:t>10</w:t>
            </w:r>
            <w:r>
              <w:rPr>
                <w:rFonts w:hint="eastAsia" w:hAnsi="宋体"/>
              </w:rPr>
              <w:t>%；但应满足下列条件：</w:t>
            </w:r>
          </w:p>
          <w:p w14:paraId="4CF7B29E">
            <w:pPr>
              <w:pStyle w:val="14"/>
              <w:spacing w:line="440" w:lineRule="exact"/>
              <w:jc w:val="left"/>
              <w:rPr>
                <w:rFonts w:hAnsi="宋体"/>
              </w:rPr>
            </w:pPr>
            <w:r>
              <w:rPr>
                <w:rFonts w:hint="eastAsia" w:hAnsi="宋体"/>
              </w:rPr>
              <w:t>残疾人福利性单位应符合《财政部、民政部、中国残疾人联合会关于促进残疾人就业政府采购政策的通知》（财库[2017]141号）文件规定，并提供《残疾人福利性单位声明函》。</w:t>
            </w:r>
          </w:p>
        </w:tc>
      </w:tr>
      <w:tr w14:paraId="06C5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367E8F54">
            <w:pPr>
              <w:pStyle w:val="14"/>
              <w:numPr>
                <w:ilvl w:val="0"/>
                <w:numId w:val="3"/>
              </w:numPr>
              <w:spacing w:line="440" w:lineRule="exact"/>
              <w:ind w:left="284" w:right="-67" w:rightChars="-32"/>
              <w:jc w:val="center"/>
              <w:rPr>
                <w:rFonts w:hAnsi="宋体"/>
              </w:rPr>
            </w:pPr>
          </w:p>
        </w:tc>
        <w:tc>
          <w:tcPr>
            <w:tcW w:w="2618" w:type="dxa"/>
            <w:vAlign w:val="center"/>
          </w:tcPr>
          <w:p w14:paraId="2B53E6D1">
            <w:pPr>
              <w:pStyle w:val="14"/>
              <w:spacing w:line="440" w:lineRule="exact"/>
              <w:jc w:val="left"/>
              <w:rPr>
                <w:rFonts w:hAnsi="宋体"/>
              </w:rPr>
            </w:pPr>
            <w:r>
              <w:rPr>
                <w:rFonts w:hint="eastAsia" w:hAnsi="宋体"/>
              </w:rPr>
              <w:t>不重复享受价格扣除政策的情形</w:t>
            </w:r>
          </w:p>
        </w:tc>
        <w:tc>
          <w:tcPr>
            <w:tcW w:w="5953" w:type="dxa"/>
            <w:vAlign w:val="center"/>
          </w:tcPr>
          <w:p w14:paraId="32005A4E">
            <w:pPr>
              <w:pStyle w:val="14"/>
              <w:spacing w:line="440" w:lineRule="exact"/>
              <w:jc w:val="left"/>
              <w:rPr>
                <w:rFonts w:hAnsi="宋体"/>
              </w:rPr>
            </w:pPr>
            <w:r>
              <w:rPr>
                <w:rFonts w:hint="eastAsia" w:hAnsi="宋体"/>
              </w:rPr>
              <w:t>监狱企业、残疾人福利性单位属于小型、微型企业的，不重复享受政策。</w:t>
            </w:r>
          </w:p>
        </w:tc>
      </w:tr>
      <w:tr w14:paraId="6A3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vAlign w:val="center"/>
          </w:tcPr>
          <w:p w14:paraId="415410F2">
            <w:pPr>
              <w:pStyle w:val="14"/>
              <w:numPr>
                <w:ilvl w:val="0"/>
                <w:numId w:val="3"/>
              </w:numPr>
              <w:spacing w:line="440" w:lineRule="exact"/>
              <w:ind w:left="284" w:right="-67" w:rightChars="-32"/>
              <w:jc w:val="center"/>
              <w:rPr>
                <w:rFonts w:hAnsi="宋体"/>
              </w:rPr>
            </w:pPr>
          </w:p>
        </w:tc>
        <w:tc>
          <w:tcPr>
            <w:tcW w:w="2618" w:type="dxa"/>
            <w:vAlign w:val="center"/>
          </w:tcPr>
          <w:p w14:paraId="646B9625">
            <w:pPr>
              <w:pStyle w:val="14"/>
              <w:spacing w:line="440" w:lineRule="exact"/>
              <w:jc w:val="left"/>
              <w:rPr>
                <w:rFonts w:hAnsi="宋体"/>
              </w:rPr>
            </w:pPr>
            <w:r>
              <w:rPr>
                <w:rFonts w:hint="eastAsia" w:hAnsi="宋体"/>
              </w:rPr>
              <w:t>递交响应文件的截止时间和地点</w:t>
            </w:r>
          </w:p>
        </w:tc>
        <w:tc>
          <w:tcPr>
            <w:tcW w:w="5953" w:type="dxa"/>
            <w:vAlign w:val="center"/>
          </w:tcPr>
          <w:p w14:paraId="5AB942F5">
            <w:pPr>
              <w:widowControl/>
              <w:spacing w:line="440" w:lineRule="exact"/>
              <w:jc w:val="left"/>
              <w:rPr>
                <w:rFonts w:ascii="宋体" w:hAnsi="宋体" w:cs="Helvetica"/>
                <w:kern w:val="0"/>
                <w:szCs w:val="21"/>
                <w:highlight w:val="none"/>
              </w:rPr>
            </w:pPr>
            <w:r>
              <w:rPr>
                <w:rFonts w:hint="eastAsia" w:ascii="宋体" w:hAnsi="宋体" w:cs="Helvetica"/>
                <w:kern w:val="0"/>
                <w:szCs w:val="21"/>
                <w:highlight w:val="none"/>
              </w:rPr>
              <w:t>1.时间：202</w:t>
            </w:r>
            <w:r>
              <w:rPr>
                <w:rFonts w:hint="eastAsia" w:ascii="宋体" w:hAnsi="宋体" w:cs="Helvetica"/>
                <w:kern w:val="0"/>
                <w:szCs w:val="21"/>
                <w:highlight w:val="none"/>
                <w:lang w:val="en-US" w:eastAsia="zh-CN"/>
              </w:rPr>
              <w:t>5</w:t>
            </w:r>
            <w:r>
              <w:rPr>
                <w:rFonts w:hint="eastAsia" w:ascii="宋体" w:hAnsi="宋体" w:cs="Helvetica"/>
                <w:kern w:val="0"/>
                <w:szCs w:val="21"/>
                <w:highlight w:val="none"/>
              </w:rPr>
              <w:t>-</w:t>
            </w:r>
            <w:r>
              <w:rPr>
                <w:rFonts w:ascii="宋体" w:hAnsi="宋体" w:cs="Helvetica"/>
                <w:kern w:val="0"/>
                <w:szCs w:val="21"/>
                <w:highlight w:val="none"/>
              </w:rPr>
              <w:t>0</w:t>
            </w:r>
            <w:r>
              <w:rPr>
                <w:rFonts w:hint="eastAsia" w:ascii="宋体" w:hAnsi="宋体" w:cs="Helvetica"/>
                <w:kern w:val="0"/>
                <w:szCs w:val="21"/>
                <w:highlight w:val="none"/>
                <w:lang w:val="en-US" w:eastAsia="zh-CN"/>
              </w:rPr>
              <w:t>7</w:t>
            </w:r>
            <w:r>
              <w:rPr>
                <w:rFonts w:hint="eastAsia" w:ascii="宋体" w:hAnsi="宋体" w:cs="Helvetica"/>
                <w:kern w:val="0"/>
                <w:szCs w:val="21"/>
                <w:highlight w:val="none"/>
              </w:rPr>
              <w:t>-</w:t>
            </w:r>
            <w:r>
              <w:rPr>
                <w:rFonts w:hint="eastAsia" w:ascii="宋体" w:hAnsi="宋体" w:cs="Helvetica"/>
                <w:kern w:val="0"/>
                <w:szCs w:val="21"/>
                <w:highlight w:val="none"/>
                <w:lang w:val="en-US" w:eastAsia="zh-CN"/>
              </w:rPr>
              <w:t>14</w:t>
            </w:r>
            <w:r>
              <w:rPr>
                <w:rFonts w:hint="eastAsia" w:ascii="宋体" w:hAnsi="宋体" w:cs="Helvetica"/>
                <w:kern w:val="0"/>
                <w:szCs w:val="21"/>
                <w:highlight w:val="none"/>
              </w:rPr>
              <w:t xml:space="preserve"> </w:t>
            </w:r>
            <w:r>
              <w:rPr>
                <w:rFonts w:hint="eastAsia" w:ascii="宋体" w:hAnsi="宋体" w:cs="Helvetica"/>
                <w:kern w:val="0"/>
                <w:szCs w:val="21"/>
                <w:highlight w:val="none"/>
                <w:lang w:val="en-US" w:eastAsia="zh-CN"/>
              </w:rPr>
              <w:t>09</w:t>
            </w:r>
            <w:r>
              <w:rPr>
                <w:rFonts w:hint="eastAsia" w:ascii="宋体" w:hAnsi="宋体" w:cs="Helvetica"/>
                <w:kern w:val="0"/>
                <w:szCs w:val="21"/>
                <w:highlight w:val="none"/>
              </w:rPr>
              <w:t>:</w:t>
            </w:r>
            <w:r>
              <w:rPr>
                <w:rFonts w:hint="eastAsia" w:ascii="宋体" w:hAnsi="宋体" w:cs="Helvetica"/>
                <w:kern w:val="0"/>
                <w:szCs w:val="21"/>
                <w:highlight w:val="none"/>
                <w:lang w:val="en-US" w:eastAsia="zh-CN"/>
              </w:rPr>
              <w:t>30</w:t>
            </w:r>
            <w:r>
              <w:rPr>
                <w:rFonts w:hint="eastAsia" w:ascii="宋体" w:hAnsi="宋体" w:cs="Helvetica"/>
                <w:kern w:val="0"/>
                <w:szCs w:val="21"/>
                <w:highlight w:val="none"/>
              </w:rPr>
              <w:t>:00</w:t>
            </w:r>
          </w:p>
          <w:p w14:paraId="7B542A01">
            <w:pPr>
              <w:pStyle w:val="14"/>
              <w:spacing w:line="440" w:lineRule="exact"/>
              <w:jc w:val="left"/>
              <w:rPr>
                <w:rFonts w:hAnsi="宋体"/>
                <w:highlight w:val="none"/>
              </w:rPr>
            </w:pPr>
            <w:r>
              <w:rPr>
                <w:rFonts w:hint="eastAsia" w:hAnsi="宋体" w:cs="Helvetica"/>
                <w:kern w:val="0"/>
                <w:highlight w:val="none"/>
              </w:rPr>
              <w:t>2.地点：</w:t>
            </w:r>
            <w:r>
              <w:rPr>
                <w:rFonts w:hint="eastAsia" w:hAnsi="宋体"/>
                <w:highlight w:val="none"/>
              </w:rPr>
              <w:t>陕西省西安市高新区丈八一路1号汇鑫中心D座2206室陕西德勤招标有限公司第一会议室</w:t>
            </w:r>
          </w:p>
        </w:tc>
      </w:tr>
      <w:tr w14:paraId="1637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vAlign w:val="center"/>
          </w:tcPr>
          <w:p w14:paraId="191DE188">
            <w:pPr>
              <w:pStyle w:val="14"/>
              <w:numPr>
                <w:ilvl w:val="0"/>
                <w:numId w:val="3"/>
              </w:numPr>
              <w:spacing w:line="440" w:lineRule="exact"/>
              <w:ind w:left="284" w:right="-67" w:rightChars="-32"/>
              <w:jc w:val="center"/>
              <w:rPr>
                <w:rFonts w:hAnsi="宋体"/>
              </w:rPr>
            </w:pPr>
          </w:p>
        </w:tc>
        <w:tc>
          <w:tcPr>
            <w:tcW w:w="2618" w:type="dxa"/>
            <w:vAlign w:val="center"/>
          </w:tcPr>
          <w:p w14:paraId="21A5AD6E">
            <w:pPr>
              <w:pStyle w:val="14"/>
              <w:spacing w:line="440" w:lineRule="exact"/>
              <w:jc w:val="left"/>
              <w:rPr>
                <w:rFonts w:hAnsi="宋体"/>
              </w:rPr>
            </w:pPr>
            <w:r>
              <w:rPr>
                <w:rFonts w:hint="eastAsia" w:hAnsi="宋体"/>
              </w:rPr>
              <w:t>磋商时间和地点</w:t>
            </w:r>
          </w:p>
        </w:tc>
        <w:tc>
          <w:tcPr>
            <w:tcW w:w="5953" w:type="dxa"/>
            <w:vAlign w:val="center"/>
          </w:tcPr>
          <w:p w14:paraId="213F75E4">
            <w:pPr>
              <w:widowControl/>
              <w:spacing w:line="440" w:lineRule="exact"/>
              <w:jc w:val="left"/>
              <w:rPr>
                <w:rFonts w:ascii="宋体" w:hAnsi="宋体" w:cs="Helvetica"/>
                <w:kern w:val="0"/>
                <w:szCs w:val="21"/>
                <w:highlight w:val="none"/>
              </w:rPr>
            </w:pPr>
            <w:r>
              <w:rPr>
                <w:rFonts w:hint="eastAsia" w:ascii="宋体" w:hAnsi="宋体" w:cs="Helvetica"/>
                <w:kern w:val="0"/>
                <w:szCs w:val="21"/>
                <w:highlight w:val="none"/>
              </w:rPr>
              <w:t>1.时间：202</w:t>
            </w:r>
            <w:r>
              <w:rPr>
                <w:rFonts w:hint="eastAsia" w:ascii="宋体" w:hAnsi="宋体" w:cs="Helvetica"/>
                <w:kern w:val="0"/>
                <w:szCs w:val="21"/>
                <w:highlight w:val="none"/>
                <w:lang w:val="en-US" w:eastAsia="zh-CN"/>
              </w:rPr>
              <w:t>5</w:t>
            </w:r>
            <w:r>
              <w:rPr>
                <w:rFonts w:hint="eastAsia" w:ascii="宋体" w:hAnsi="宋体" w:cs="Helvetica"/>
                <w:kern w:val="0"/>
                <w:szCs w:val="21"/>
                <w:highlight w:val="none"/>
              </w:rPr>
              <w:t>-</w:t>
            </w:r>
            <w:r>
              <w:rPr>
                <w:rFonts w:ascii="宋体" w:hAnsi="宋体" w:cs="Helvetica"/>
                <w:kern w:val="0"/>
                <w:szCs w:val="21"/>
                <w:highlight w:val="none"/>
              </w:rPr>
              <w:t>0</w:t>
            </w:r>
            <w:r>
              <w:rPr>
                <w:rFonts w:hint="eastAsia" w:ascii="宋体" w:hAnsi="宋体" w:cs="Helvetica"/>
                <w:kern w:val="0"/>
                <w:szCs w:val="21"/>
                <w:highlight w:val="none"/>
                <w:lang w:val="en-US" w:eastAsia="zh-CN"/>
              </w:rPr>
              <w:t>7</w:t>
            </w:r>
            <w:r>
              <w:rPr>
                <w:rFonts w:hint="eastAsia" w:ascii="宋体" w:hAnsi="宋体" w:cs="Helvetica"/>
                <w:kern w:val="0"/>
                <w:szCs w:val="21"/>
                <w:highlight w:val="none"/>
              </w:rPr>
              <w:t>-</w:t>
            </w:r>
            <w:r>
              <w:rPr>
                <w:rFonts w:hint="eastAsia" w:ascii="宋体" w:hAnsi="宋体" w:cs="Helvetica"/>
                <w:kern w:val="0"/>
                <w:szCs w:val="21"/>
                <w:highlight w:val="none"/>
                <w:lang w:val="en-US" w:eastAsia="zh-CN"/>
              </w:rPr>
              <w:t>14</w:t>
            </w:r>
            <w:r>
              <w:rPr>
                <w:rFonts w:hint="eastAsia" w:ascii="宋体" w:hAnsi="宋体" w:cs="Helvetica"/>
                <w:kern w:val="0"/>
                <w:szCs w:val="21"/>
                <w:highlight w:val="none"/>
              </w:rPr>
              <w:t xml:space="preserve"> </w:t>
            </w:r>
            <w:r>
              <w:rPr>
                <w:rFonts w:hint="eastAsia" w:ascii="宋体" w:hAnsi="宋体" w:cs="Helvetica"/>
                <w:kern w:val="0"/>
                <w:szCs w:val="21"/>
                <w:highlight w:val="none"/>
                <w:lang w:val="en-US" w:eastAsia="zh-CN"/>
              </w:rPr>
              <w:t>09</w:t>
            </w:r>
            <w:r>
              <w:rPr>
                <w:rFonts w:hint="eastAsia" w:ascii="宋体" w:hAnsi="宋体" w:cs="Helvetica"/>
                <w:kern w:val="0"/>
                <w:szCs w:val="21"/>
                <w:highlight w:val="none"/>
              </w:rPr>
              <w:t>:</w:t>
            </w:r>
            <w:r>
              <w:rPr>
                <w:rFonts w:hint="eastAsia" w:ascii="宋体" w:hAnsi="宋体" w:cs="Helvetica"/>
                <w:kern w:val="0"/>
                <w:szCs w:val="21"/>
                <w:highlight w:val="none"/>
                <w:lang w:val="en-US" w:eastAsia="zh-CN"/>
              </w:rPr>
              <w:t>30</w:t>
            </w:r>
            <w:r>
              <w:rPr>
                <w:rFonts w:hint="eastAsia" w:ascii="宋体" w:hAnsi="宋体" w:cs="Helvetica"/>
                <w:kern w:val="0"/>
                <w:szCs w:val="21"/>
                <w:highlight w:val="none"/>
              </w:rPr>
              <w:t>:00</w:t>
            </w:r>
          </w:p>
          <w:p w14:paraId="1E755E3C">
            <w:pPr>
              <w:pStyle w:val="14"/>
              <w:spacing w:line="440" w:lineRule="exact"/>
              <w:jc w:val="left"/>
              <w:rPr>
                <w:rFonts w:hAnsi="宋体"/>
                <w:highlight w:val="none"/>
              </w:rPr>
            </w:pPr>
            <w:r>
              <w:rPr>
                <w:rFonts w:hint="eastAsia" w:hAnsi="宋体" w:cs="Helvetica"/>
                <w:kern w:val="0"/>
                <w:highlight w:val="none"/>
              </w:rPr>
              <w:t>2.地点：</w:t>
            </w:r>
            <w:r>
              <w:rPr>
                <w:rFonts w:hint="eastAsia" w:hAnsi="宋体"/>
                <w:highlight w:val="none"/>
              </w:rPr>
              <w:t>陕西省西安市高新区丈八一路1号汇鑫中心D座2206室陕西德勤</w:t>
            </w:r>
            <w:bookmarkStart w:id="138" w:name="_GoBack"/>
            <w:bookmarkEnd w:id="138"/>
            <w:r>
              <w:rPr>
                <w:rFonts w:hint="eastAsia" w:hAnsi="宋体"/>
                <w:highlight w:val="none"/>
              </w:rPr>
              <w:t>招标有限公司第一会议室</w:t>
            </w:r>
          </w:p>
        </w:tc>
      </w:tr>
      <w:tr w14:paraId="4944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5" w:type="dxa"/>
            <w:vAlign w:val="center"/>
          </w:tcPr>
          <w:p w14:paraId="70F22790">
            <w:pPr>
              <w:pStyle w:val="14"/>
              <w:numPr>
                <w:ilvl w:val="0"/>
                <w:numId w:val="3"/>
              </w:numPr>
              <w:spacing w:line="440" w:lineRule="exact"/>
              <w:ind w:left="284" w:right="-67" w:rightChars="-32"/>
              <w:jc w:val="center"/>
              <w:rPr>
                <w:rFonts w:hAnsi="宋体"/>
              </w:rPr>
            </w:pPr>
          </w:p>
        </w:tc>
        <w:tc>
          <w:tcPr>
            <w:tcW w:w="2618" w:type="dxa"/>
            <w:vAlign w:val="center"/>
          </w:tcPr>
          <w:p w14:paraId="408CE3F1">
            <w:pPr>
              <w:pStyle w:val="14"/>
              <w:spacing w:line="440" w:lineRule="exact"/>
              <w:jc w:val="left"/>
              <w:rPr>
                <w:rFonts w:hAnsi="宋体"/>
              </w:rPr>
            </w:pPr>
            <w:r>
              <w:rPr>
                <w:rFonts w:hint="eastAsia" w:hAnsi="宋体"/>
              </w:rPr>
              <w:t>磋商保证金</w:t>
            </w:r>
          </w:p>
        </w:tc>
        <w:tc>
          <w:tcPr>
            <w:tcW w:w="5953" w:type="dxa"/>
            <w:vAlign w:val="center"/>
          </w:tcPr>
          <w:p w14:paraId="42C5D388">
            <w:pPr>
              <w:kinsoku w:val="0"/>
              <w:spacing w:line="440" w:lineRule="exact"/>
              <w:rPr>
                <w:rFonts w:ascii="宋体" w:hAnsi="宋体"/>
                <w:szCs w:val="21"/>
                <w:highlight w:val="none"/>
              </w:rPr>
            </w:pPr>
            <w:r>
              <w:rPr>
                <w:rFonts w:hint="eastAsia" w:ascii="宋体" w:hAnsi="宋体"/>
                <w:szCs w:val="21"/>
                <w:highlight w:val="none"/>
              </w:rPr>
              <w:t>1.本次磋商活动须交纳保证金为：</w:t>
            </w:r>
          </w:p>
          <w:p w14:paraId="574DFEBA">
            <w:pPr>
              <w:kinsoku w:val="0"/>
              <w:spacing w:line="440" w:lineRule="exact"/>
              <w:ind w:firstLine="422" w:firstLineChars="200"/>
              <w:rPr>
                <w:rFonts w:ascii="宋体" w:hAnsi="宋体"/>
                <w:b/>
                <w:bCs/>
                <w:szCs w:val="21"/>
                <w:highlight w:val="none"/>
              </w:rPr>
            </w:pPr>
            <w:r>
              <w:rPr>
                <w:rFonts w:hint="eastAsia" w:ascii="宋体" w:hAnsi="宋体"/>
                <w:b/>
                <w:bCs/>
                <w:szCs w:val="21"/>
                <w:highlight w:val="none"/>
              </w:rPr>
              <w:t>陆仟元整（6000.00元）</w:t>
            </w:r>
          </w:p>
          <w:p w14:paraId="5BFE16E1">
            <w:pPr>
              <w:kinsoku w:val="0"/>
              <w:spacing w:line="440" w:lineRule="exact"/>
              <w:rPr>
                <w:rFonts w:ascii="宋体" w:hAnsi="宋体"/>
                <w:szCs w:val="21"/>
                <w:highlight w:val="none"/>
              </w:rPr>
            </w:pPr>
            <w:r>
              <w:rPr>
                <w:rFonts w:ascii="宋体" w:hAnsi="宋体"/>
                <w:szCs w:val="21"/>
                <w:highlight w:val="none"/>
              </w:rPr>
              <w:t>2</w:t>
            </w:r>
            <w:r>
              <w:rPr>
                <w:rFonts w:hint="eastAsia" w:ascii="宋体" w:hAnsi="宋体"/>
                <w:szCs w:val="21"/>
                <w:highlight w:val="none"/>
              </w:rPr>
              <w:t>.磋商</w:t>
            </w:r>
            <w:r>
              <w:rPr>
                <w:rFonts w:ascii="宋体" w:hAnsi="宋体"/>
                <w:szCs w:val="21"/>
                <w:highlight w:val="none"/>
              </w:rPr>
              <w:t>保证金应</w:t>
            </w:r>
            <w:r>
              <w:rPr>
                <w:rFonts w:hint="eastAsia" w:ascii="宋体" w:hAnsi="宋体"/>
                <w:szCs w:val="21"/>
                <w:highlight w:val="none"/>
              </w:rPr>
              <w:t>为</w:t>
            </w:r>
            <w:r>
              <w:rPr>
                <w:rFonts w:ascii="宋体" w:hAnsi="宋体"/>
                <w:szCs w:val="21"/>
                <w:highlight w:val="none"/>
              </w:rPr>
              <w:t>人民币，可采用下列任何一种形式支付</w:t>
            </w:r>
            <w:r>
              <w:rPr>
                <w:rFonts w:hint="eastAsia" w:ascii="宋体" w:hAnsi="宋体"/>
                <w:szCs w:val="21"/>
                <w:highlight w:val="none"/>
              </w:rPr>
              <w:t>：银行转账、支票、汇票、本票、保函等非现金形式交纳或提交保证金。</w:t>
            </w:r>
          </w:p>
          <w:p w14:paraId="3763BA96">
            <w:pPr>
              <w:spacing w:line="440" w:lineRule="exact"/>
              <w:rPr>
                <w:rFonts w:ascii="宋体" w:hAnsi="宋体"/>
                <w:szCs w:val="21"/>
                <w:highlight w:val="none"/>
              </w:rPr>
            </w:pPr>
            <w:r>
              <w:rPr>
                <w:rFonts w:hint="eastAsia" w:ascii="宋体" w:hAnsi="宋体"/>
                <w:szCs w:val="21"/>
                <w:highlight w:val="none"/>
              </w:rPr>
              <w:t>3.保证金汇款账号：</w:t>
            </w:r>
          </w:p>
          <w:p w14:paraId="56E83477">
            <w:pPr>
              <w:kinsoku w:val="0"/>
              <w:spacing w:line="440" w:lineRule="exact"/>
              <w:rPr>
                <w:rFonts w:ascii="宋体" w:hAnsi="宋体"/>
                <w:szCs w:val="21"/>
                <w:highlight w:val="none"/>
              </w:rPr>
            </w:pPr>
            <w:r>
              <w:rPr>
                <w:rFonts w:hint="eastAsia" w:ascii="宋体" w:hAnsi="宋体"/>
                <w:szCs w:val="21"/>
                <w:highlight w:val="none"/>
              </w:rPr>
              <w:t>户    名：陕西德勤招标有限公司</w:t>
            </w:r>
          </w:p>
          <w:p w14:paraId="62F4A234">
            <w:pPr>
              <w:kinsoku w:val="0"/>
              <w:spacing w:line="440" w:lineRule="exact"/>
              <w:rPr>
                <w:rFonts w:ascii="宋体" w:hAnsi="宋体"/>
                <w:szCs w:val="21"/>
                <w:highlight w:val="none"/>
              </w:rPr>
            </w:pPr>
            <w:r>
              <w:rPr>
                <w:rFonts w:hint="eastAsia" w:ascii="宋体" w:hAnsi="宋体"/>
                <w:szCs w:val="21"/>
                <w:highlight w:val="none"/>
              </w:rPr>
              <w:t>开户银行：光大银行西安丈八东路支行</w:t>
            </w:r>
          </w:p>
          <w:p w14:paraId="5BC8F479">
            <w:pPr>
              <w:pStyle w:val="14"/>
              <w:spacing w:line="440" w:lineRule="exact"/>
              <w:jc w:val="left"/>
              <w:rPr>
                <w:rFonts w:hAnsi="宋体"/>
                <w:highlight w:val="none"/>
              </w:rPr>
            </w:pPr>
            <w:r>
              <w:rPr>
                <w:rFonts w:hint="eastAsia" w:cs="Helvetica"/>
                <w:highlight w:val="none"/>
              </w:rPr>
              <w:t>账 号：52880188000131444</w:t>
            </w:r>
          </w:p>
          <w:p w14:paraId="2ABB899A">
            <w:pPr>
              <w:pStyle w:val="14"/>
              <w:spacing w:line="440" w:lineRule="exact"/>
              <w:jc w:val="left"/>
              <w:rPr>
                <w:rFonts w:hAnsi="宋体"/>
                <w:highlight w:val="none"/>
              </w:rPr>
            </w:pPr>
            <w:r>
              <w:rPr>
                <w:rFonts w:hint="eastAsia" w:hAnsi="宋体"/>
                <w:highlight w:val="none"/>
              </w:rPr>
              <w:t>4.磋商保证金到账（保函提交）截止时间与磋商截止时间一致</w:t>
            </w:r>
            <w:r>
              <w:rPr>
                <w:rFonts w:hAnsi="宋体"/>
                <w:highlight w:val="none"/>
              </w:rPr>
              <w:t>。</w:t>
            </w:r>
          </w:p>
          <w:p w14:paraId="683D4D47">
            <w:pPr>
              <w:pStyle w:val="14"/>
              <w:spacing w:line="440" w:lineRule="exact"/>
              <w:jc w:val="left"/>
              <w:rPr>
                <w:rFonts w:hAnsi="宋体"/>
                <w:b/>
                <w:bCs/>
                <w:highlight w:val="none"/>
              </w:rPr>
            </w:pPr>
            <w:r>
              <w:rPr>
                <w:rFonts w:hint="eastAsia" w:hAnsi="宋体"/>
                <w:b/>
                <w:bCs/>
                <w:highlight w:val="none"/>
              </w:rPr>
              <w:t>（温馨提示：由于转账当天不一定能够到账，为避免因保证金未到账或延迟到账而导致响应文件被拒绝，建议至少提前1个工作日到账；如提交保函，建议至少提前一个工作日将保函正本送至采购代理机构（如提供电子保函，应将电子保函发送至代理机构指定邮箱deqinjxm@126.com），保函须由财政部门认可的政府采购专业担保机构出具。）</w:t>
            </w:r>
          </w:p>
          <w:p w14:paraId="02587BAE">
            <w:pPr>
              <w:pStyle w:val="14"/>
              <w:spacing w:line="440" w:lineRule="exact"/>
              <w:jc w:val="left"/>
              <w:rPr>
                <w:rFonts w:hAnsi="宋体"/>
                <w:b/>
                <w:highlight w:val="none"/>
              </w:rPr>
            </w:pPr>
            <w:r>
              <w:rPr>
                <w:rFonts w:hint="eastAsia" w:hAnsi="宋体"/>
                <w:b/>
                <w:highlight w:val="none"/>
              </w:rPr>
              <w:t>备注：</w:t>
            </w:r>
          </w:p>
          <w:p w14:paraId="650AFE9A">
            <w:pPr>
              <w:pStyle w:val="14"/>
              <w:spacing w:line="440" w:lineRule="exact"/>
              <w:jc w:val="left"/>
              <w:rPr>
                <w:rFonts w:hAnsi="宋体"/>
                <w:b/>
                <w:highlight w:val="none"/>
              </w:rPr>
            </w:pPr>
            <w:r>
              <w:rPr>
                <w:rFonts w:hint="eastAsia" w:hAnsi="宋体"/>
                <w:b/>
                <w:highlight w:val="none"/>
              </w:rPr>
              <w:t>1.磋商保证金以供应商名称汇款,如以个人汇款，视为无效。</w:t>
            </w:r>
          </w:p>
          <w:p w14:paraId="480DB9CD">
            <w:pPr>
              <w:pStyle w:val="14"/>
              <w:spacing w:line="440" w:lineRule="exact"/>
              <w:jc w:val="left"/>
              <w:rPr>
                <w:rFonts w:hAnsi="宋体"/>
                <w:b/>
                <w:highlight w:val="none"/>
              </w:rPr>
            </w:pPr>
            <w:r>
              <w:rPr>
                <w:rFonts w:hint="eastAsia" w:hAnsi="宋体"/>
                <w:b/>
                <w:highlight w:val="none"/>
              </w:rPr>
              <w:t>2.保证金交纳凭证/保函须标明项目编号。</w:t>
            </w:r>
          </w:p>
          <w:p w14:paraId="22275DD0">
            <w:pPr>
              <w:pStyle w:val="14"/>
              <w:spacing w:line="440" w:lineRule="exact"/>
              <w:jc w:val="left"/>
              <w:rPr>
                <w:rFonts w:hAnsi="宋体"/>
                <w:b/>
                <w:highlight w:val="none"/>
              </w:rPr>
            </w:pPr>
            <w:r>
              <w:rPr>
                <w:rFonts w:hint="eastAsia" w:hAnsi="宋体"/>
                <w:b/>
                <w:highlight w:val="none"/>
              </w:rPr>
              <w:t>3.供应商未交纳、未足额交纳或未按规定时间交纳保证金（保函）的，将被视为自动放弃磋商权利。</w:t>
            </w:r>
          </w:p>
          <w:p w14:paraId="7388565F">
            <w:pPr>
              <w:pStyle w:val="14"/>
              <w:spacing w:line="440" w:lineRule="exact"/>
              <w:jc w:val="left"/>
              <w:rPr>
                <w:rFonts w:hAnsi="宋体"/>
                <w:b/>
                <w:highlight w:val="none"/>
                <w:u w:val="single"/>
              </w:rPr>
            </w:pPr>
            <w:r>
              <w:rPr>
                <w:rFonts w:hint="eastAsia" w:hAnsi="宋体"/>
                <w:b/>
                <w:highlight w:val="none"/>
              </w:rPr>
              <w:t>4.磋商保证金的交付单位和供应商的名称必须一致，否则将视为磋商无效。</w:t>
            </w:r>
          </w:p>
        </w:tc>
      </w:tr>
      <w:tr w14:paraId="666A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15" w:type="dxa"/>
            <w:vAlign w:val="center"/>
          </w:tcPr>
          <w:p w14:paraId="0891118E">
            <w:pPr>
              <w:pStyle w:val="14"/>
              <w:numPr>
                <w:ilvl w:val="0"/>
                <w:numId w:val="3"/>
              </w:numPr>
              <w:spacing w:line="440" w:lineRule="exact"/>
              <w:ind w:left="284" w:right="-67" w:rightChars="-32"/>
              <w:jc w:val="center"/>
              <w:rPr>
                <w:rFonts w:hAnsi="宋体"/>
              </w:rPr>
            </w:pPr>
          </w:p>
        </w:tc>
        <w:tc>
          <w:tcPr>
            <w:tcW w:w="2618" w:type="dxa"/>
            <w:vAlign w:val="center"/>
          </w:tcPr>
          <w:p w14:paraId="4E092619">
            <w:pPr>
              <w:pStyle w:val="14"/>
              <w:spacing w:line="440" w:lineRule="exact"/>
              <w:jc w:val="left"/>
              <w:rPr>
                <w:rFonts w:hAnsi="宋体"/>
              </w:rPr>
            </w:pPr>
            <w:r>
              <w:rPr>
                <w:rFonts w:hint="eastAsia" w:hAnsi="宋体"/>
              </w:rPr>
              <w:t>响应文件份数</w:t>
            </w:r>
          </w:p>
        </w:tc>
        <w:tc>
          <w:tcPr>
            <w:tcW w:w="5953" w:type="dxa"/>
            <w:vAlign w:val="center"/>
          </w:tcPr>
          <w:p w14:paraId="787817D0">
            <w:pPr>
              <w:pStyle w:val="14"/>
              <w:spacing w:line="440" w:lineRule="exact"/>
              <w:jc w:val="left"/>
              <w:rPr>
                <w:rFonts w:hAnsi="宋体"/>
              </w:rPr>
            </w:pPr>
            <w:r>
              <w:rPr>
                <w:rFonts w:hint="eastAsia" w:hAnsi="宋体"/>
              </w:rPr>
              <w:t>本次磋商需提交响应文件：</w:t>
            </w:r>
            <w:r>
              <w:rPr>
                <w:rFonts w:hAnsi="宋体"/>
              </w:rPr>
              <w:t>正本壹份，副本</w:t>
            </w:r>
            <w:r>
              <w:rPr>
                <w:rFonts w:hint="eastAsia" w:hAnsi="宋体"/>
              </w:rPr>
              <w:t>贰</w:t>
            </w:r>
            <w:r>
              <w:rPr>
                <w:rFonts w:hAnsi="宋体"/>
              </w:rPr>
              <w:t>份</w:t>
            </w:r>
            <w:r>
              <w:rPr>
                <w:rFonts w:hint="eastAsia" w:hAnsi="宋体"/>
              </w:rPr>
              <w:t>（副本可以为正本的复印件），电子版壹份（用U盘拷贝）。电子版响应文件提供响应文件正本的word版本及P</w:t>
            </w:r>
            <w:r>
              <w:rPr>
                <w:rFonts w:hAnsi="宋体"/>
              </w:rPr>
              <w:t>DF</w:t>
            </w:r>
            <w:r>
              <w:rPr>
                <w:rFonts w:hint="eastAsia" w:hAnsi="宋体"/>
              </w:rPr>
              <w:t>版本（P</w:t>
            </w:r>
            <w:r>
              <w:rPr>
                <w:rFonts w:hAnsi="宋体"/>
              </w:rPr>
              <w:t>DF</w:t>
            </w:r>
            <w:r>
              <w:rPr>
                <w:rFonts w:hint="eastAsia" w:hAnsi="宋体"/>
              </w:rPr>
              <w:t>文件为完整签字、盖章的正本扫描件）。响应文件的正本和所有的副本均须打印或用不褪色的蓝（黑）墨水填写，注明“正本”“副本”字样。统一胶装、编码，在每一页的正下方清楚标明共几页、第几页等字样。</w:t>
            </w:r>
          </w:p>
        </w:tc>
      </w:tr>
      <w:tr w14:paraId="360F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5" w:type="dxa"/>
            <w:vAlign w:val="center"/>
          </w:tcPr>
          <w:p w14:paraId="4D7B7447">
            <w:pPr>
              <w:pStyle w:val="14"/>
              <w:numPr>
                <w:ilvl w:val="0"/>
                <w:numId w:val="3"/>
              </w:numPr>
              <w:spacing w:line="440" w:lineRule="exact"/>
              <w:ind w:left="284" w:right="-67" w:rightChars="-32"/>
              <w:jc w:val="center"/>
              <w:rPr>
                <w:rFonts w:hAnsi="宋体"/>
              </w:rPr>
            </w:pPr>
          </w:p>
        </w:tc>
        <w:tc>
          <w:tcPr>
            <w:tcW w:w="2618" w:type="dxa"/>
            <w:vAlign w:val="center"/>
          </w:tcPr>
          <w:p w14:paraId="60C952A2">
            <w:pPr>
              <w:pStyle w:val="14"/>
              <w:spacing w:line="440" w:lineRule="exact"/>
              <w:jc w:val="left"/>
              <w:rPr>
                <w:rFonts w:hAnsi="宋体"/>
              </w:rPr>
            </w:pPr>
            <w:r>
              <w:rPr>
                <w:rFonts w:hint="eastAsia" w:hAnsi="宋体"/>
              </w:rPr>
              <w:t>提供服务的时间、地点等</w:t>
            </w:r>
          </w:p>
        </w:tc>
        <w:tc>
          <w:tcPr>
            <w:tcW w:w="5953" w:type="dxa"/>
            <w:vAlign w:val="center"/>
          </w:tcPr>
          <w:p w14:paraId="457F9ED0">
            <w:pPr>
              <w:pStyle w:val="14"/>
              <w:spacing w:line="440" w:lineRule="exact"/>
              <w:jc w:val="left"/>
              <w:rPr>
                <w:rFonts w:hint="eastAsia" w:hAnsi="宋体"/>
                <w:highlight w:val="none"/>
              </w:rPr>
            </w:pPr>
            <w:r>
              <w:rPr>
                <w:rFonts w:hint="eastAsia" w:hAnsi="宋体"/>
                <w:highlight w:val="none"/>
              </w:rPr>
              <w:t>1.服务期限：自合同签订之日起一年</w:t>
            </w:r>
          </w:p>
          <w:p w14:paraId="541612C6">
            <w:pPr>
              <w:pStyle w:val="14"/>
              <w:spacing w:line="440" w:lineRule="exact"/>
              <w:jc w:val="left"/>
              <w:rPr>
                <w:rFonts w:hAnsi="宋体"/>
                <w:highlight w:val="none"/>
              </w:rPr>
            </w:pPr>
            <w:r>
              <w:rPr>
                <w:rFonts w:hint="eastAsia" w:hAnsi="宋体"/>
                <w:highlight w:val="none"/>
              </w:rPr>
              <w:t>2.服务地点：采购人指定地点</w:t>
            </w:r>
          </w:p>
        </w:tc>
      </w:tr>
      <w:tr w14:paraId="46D7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5" w:type="dxa"/>
            <w:vAlign w:val="center"/>
          </w:tcPr>
          <w:p w14:paraId="17C1A0AE">
            <w:pPr>
              <w:pStyle w:val="14"/>
              <w:numPr>
                <w:ilvl w:val="0"/>
                <w:numId w:val="3"/>
              </w:numPr>
              <w:spacing w:line="440" w:lineRule="exact"/>
              <w:ind w:left="284" w:right="-67" w:rightChars="-32"/>
              <w:jc w:val="center"/>
              <w:rPr>
                <w:rFonts w:hAnsi="宋体"/>
              </w:rPr>
            </w:pPr>
          </w:p>
        </w:tc>
        <w:tc>
          <w:tcPr>
            <w:tcW w:w="2618" w:type="dxa"/>
            <w:vAlign w:val="center"/>
          </w:tcPr>
          <w:p w14:paraId="772DFA46">
            <w:pPr>
              <w:pStyle w:val="14"/>
              <w:spacing w:line="440" w:lineRule="exact"/>
              <w:jc w:val="left"/>
              <w:rPr>
                <w:rFonts w:hAnsi="宋体"/>
              </w:rPr>
            </w:pPr>
            <w:r>
              <w:rPr>
                <w:rFonts w:hint="eastAsia" w:hAnsi="宋体"/>
              </w:rPr>
              <w:t>结算方式</w:t>
            </w:r>
          </w:p>
        </w:tc>
        <w:tc>
          <w:tcPr>
            <w:tcW w:w="5953" w:type="dxa"/>
            <w:vAlign w:val="center"/>
          </w:tcPr>
          <w:p w14:paraId="74C3BDF9">
            <w:pPr>
              <w:tabs>
                <w:tab w:val="left" w:pos="840"/>
              </w:tabs>
              <w:spacing w:line="440" w:lineRule="exact"/>
              <w:rPr>
                <w:rFonts w:ascii="宋体" w:hAnsi="宋体"/>
                <w:szCs w:val="21"/>
                <w:highlight w:val="none"/>
              </w:rPr>
            </w:pPr>
            <w:r>
              <w:rPr>
                <w:rFonts w:hint="eastAsia" w:ascii="宋体" w:hAnsi="宋体"/>
                <w:szCs w:val="21"/>
                <w:highlight w:val="none"/>
              </w:rPr>
              <w:t>1.结算单位：采购人结算，在付款前，必须开具全额发票给采购人。</w:t>
            </w:r>
          </w:p>
          <w:p w14:paraId="10BAE1D1">
            <w:pPr>
              <w:spacing w:line="440" w:lineRule="exact"/>
              <w:rPr>
                <w:rFonts w:ascii="宋体" w:hAnsi="宋体"/>
                <w:szCs w:val="21"/>
                <w:highlight w:val="none"/>
              </w:rPr>
            </w:pPr>
            <w:r>
              <w:rPr>
                <w:rFonts w:hint="eastAsia" w:ascii="宋体" w:hAnsi="宋体"/>
                <w:szCs w:val="21"/>
                <w:highlight w:val="none"/>
              </w:rPr>
              <w:t>2.付款方式：合同签订后一次性支付合同总价款的100%。</w:t>
            </w:r>
          </w:p>
        </w:tc>
      </w:tr>
      <w:tr w14:paraId="08DA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30A83187">
            <w:pPr>
              <w:pStyle w:val="14"/>
              <w:numPr>
                <w:ilvl w:val="0"/>
                <w:numId w:val="3"/>
              </w:numPr>
              <w:spacing w:line="440" w:lineRule="exact"/>
              <w:ind w:left="284" w:right="-67" w:rightChars="-32"/>
              <w:jc w:val="center"/>
              <w:rPr>
                <w:rFonts w:hAnsi="宋体"/>
              </w:rPr>
            </w:pPr>
          </w:p>
        </w:tc>
        <w:tc>
          <w:tcPr>
            <w:tcW w:w="2618" w:type="dxa"/>
            <w:vAlign w:val="center"/>
          </w:tcPr>
          <w:p w14:paraId="01EDA991">
            <w:pPr>
              <w:pStyle w:val="14"/>
              <w:spacing w:line="440" w:lineRule="exact"/>
              <w:jc w:val="left"/>
              <w:rPr>
                <w:rFonts w:hAnsi="宋体"/>
              </w:rPr>
            </w:pPr>
            <w:r>
              <w:rPr>
                <w:rFonts w:hint="eastAsia" w:hAnsi="宋体"/>
              </w:rPr>
              <w:t>履约保证金</w:t>
            </w:r>
          </w:p>
        </w:tc>
        <w:tc>
          <w:tcPr>
            <w:tcW w:w="5953" w:type="dxa"/>
            <w:vAlign w:val="center"/>
          </w:tcPr>
          <w:p w14:paraId="4107AFF6">
            <w:pPr>
              <w:pStyle w:val="14"/>
              <w:spacing w:line="440" w:lineRule="exact"/>
              <w:jc w:val="left"/>
              <w:rPr>
                <w:rFonts w:hAnsi="宋体" w:cs="宋体-18030"/>
                <w:bCs/>
              </w:rPr>
            </w:pPr>
            <w:r>
              <w:rPr>
                <w:rFonts w:hint="eastAsia" w:hAnsi="宋体"/>
              </w:rPr>
              <w:t>是否要求提供履约保证金：□是/</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否</w:t>
            </w:r>
          </w:p>
        </w:tc>
      </w:tr>
      <w:tr w14:paraId="206A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15FF5C54">
            <w:pPr>
              <w:pStyle w:val="14"/>
              <w:numPr>
                <w:ilvl w:val="0"/>
                <w:numId w:val="3"/>
              </w:numPr>
              <w:spacing w:line="440" w:lineRule="exact"/>
              <w:ind w:left="284" w:right="-67" w:rightChars="-32"/>
              <w:jc w:val="center"/>
              <w:rPr>
                <w:rFonts w:hAnsi="宋体"/>
              </w:rPr>
            </w:pPr>
          </w:p>
        </w:tc>
        <w:tc>
          <w:tcPr>
            <w:tcW w:w="2618" w:type="dxa"/>
            <w:vAlign w:val="center"/>
          </w:tcPr>
          <w:p w14:paraId="35393D06">
            <w:pPr>
              <w:pStyle w:val="14"/>
              <w:spacing w:line="440" w:lineRule="exact"/>
              <w:jc w:val="left"/>
              <w:rPr>
                <w:rFonts w:hAnsi="宋体"/>
              </w:rPr>
            </w:pPr>
            <w:r>
              <w:rPr>
                <w:rFonts w:hint="eastAsia" w:hAnsi="宋体"/>
              </w:rPr>
              <w:t>成交服务费</w:t>
            </w:r>
          </w:p>
        </w:tc>
        <w:tc>
          <w:tcPr>
            <w:tcW w:w="5953" w:type="dxa"/>
            <w:vAlign w:val="center"/>
          </w:tcPr>
          <w:p w14:paraId="546C9BAE">
            <w:pPr>
              <w:spacing w:line="440" w:lineRule="exact"/>
              <w:rPr>
                <w:szCs w:val="21"/>
              </w:rPr>
            </w:pPr>
            <w:r>
              <w:rPr>
                <w:rFonts w:hint="eastAsia" w:ascii="宋体" w:hAnsi="宋体"/>
                <w:kern w:val="28"/>
                <w:szCs w:val="21"/>
              </w:rPr>
              <w:t>采购代理服务费</w:t>
            </w:r>
            <w:r>
              <w:rPr>
                <w:rFonts w:hint="eastAsia"/>
                <w:szCs w:val="21"/>
              </w:rPr>
              <w:t>按约定由成交供应商支付。</w:t>
            </w:r>
          </w:p>
          <w:p w14:paraId="73B4D499">
            <w:pPr>
              <w:spacing w:line="440" w:lineRule="exact"/>
              <w:rPr>
                <w:rFonts w:ascii="宋体" w:hAnsi="宋体"/>
                <w:szCs w:val="21"/>
              </w:rPr>
            </w:pPr>
            <w:bookmarkStart w:id="12" w:name="_Toc438"/>
            <w:r>
              <w:rPr>
                <w:rFonts w:hint="eastAsia" w:ascii="宋体" w:hAnsi="宋体"/>
                <w:szCs w:val="21"/>
              </w:rPr>
              <w:t>采购代理服务费按以下标准计取：</w:t>
            </w:r>
            <w:bookmarkEnd w:id="12"/>
          </w:p>
          <w:p w14:paraId="46291437">
            <w:pPr>
              <w:spacing w:line="440" w:lineRule="exact"/>
              <w:rPr>
                <w:rFonts w:ascii="宋体" w:hAnsi="宋体"/>
                <w:szCs w:val="21"/>
              </w:rPr>
            </w:pPr>
            <w:r>
              <w:rPr>
                <w:rFonts w:hint="eastAsia" w:ascii="宋体" w:hAnsi="宋体"/>
                <w:szCs w:val="21"/>
              </w:rPr>
              <w:t>按照国家发展计划委制定的《招标代理服务收费管理暂行办法》（计价格[2002]1980号）及国家发展改革委办公厅制定的《关于招标代理服务收费有关问题的通知》（发改办价格[2003]857号）等相关规定下浮20%收取费用。</w:t>
            </w:r>
          </w:p>
        </w:tc>
      </w:tr>
      <w:tr w14:paraId="70A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29452BAF">
            <w:pPr>
              <w:pStyle w:val="14"/>
              <w:numPr>
                <w:ilvl w:val="0"/>
                <w:numId w:val="3"/>
              </w:numPr>
              <w:spacing w:line="440" w:lineRule="exact"/>
              <w:ind w:left="284" w:right="-67" w:rightChars="-32"/>
              <w:jc w:val="center"/>
              <w:rPr>
                <w:rFonts w:hAnsi="宋体"/>
              </w:rPr>
            </w:pPr>
          </w:p>
        </w:tc>
        <w:tc>
          <w:tcPr>
            <w:tcW w:w="2618" w:type="dxa"/>
            <w:vAlign w:val="center"/>
          </w:tcPr>
          <w:p w14:paraId="40EC0CC3">
            <w:pPr>
              <w:pStyle w:val="14"/>
              <w:spacing w:line="440" w:lineRule="exact"/>
              <w:jc w:val="left"/>
              <w:rPr>
                <w:rFonts w:ascii="仿宋" w:hAnsi="仿宋"/>
              </w:rPr>
            </w:pPr>
            <w:r>
              <w:rPr>
                <w:rFonts w:hint="eastAsia" w:ascii="仿宋" w:hAnsi="仿宋"/>
              </w:rPr>
              <w:t>其他</w:t>
            </w:r>
          </w:p>
        </w:tc>
        <w:tc>
          <w:tcPr>
            <w:tcW w:w="5953" w:type="dxa"/>
            <w:vAlign w:val="center"/>
          </w:tcPr>
          <w:p w14:paraId="77F832F3">
            <w:pPr>
              <w:pStyle w:val="14"/>
              <w:spacing w:line="440" w:lineRule="exact"/>
              <w:jc w:val="left"/>
              <w:rPr>
                <w:rFonts w:ascii="仿宋" w:hAnsi="仿宋"/>
              </w:rPr>
            </w:pPr>
            <w:r>
              <w:rPr>
                <w:rFonts w:hint="eastAsia" w:ascii="仿宋" w:hAnsi="仿宋"/>
              </w:rPr>
              <w:t>正文与前附表表述不一致时，以供应商须知前附表为准。</w:t>
            </w:r>
          </w:p>
        </w:tc>
      </w:tr>
    </w:tbl>
    <w:p w14:paraId="74D0D001">
      <w:pPr>
        <w:tabs>
          <w:tab w:val="left" w:pos="240"/>
        </w:tabs>
        <w:spacing w:line="480" w:lineRule="exact"/>
        <w:ind w:left="-120" w:leftChars="-57"/>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供应商须知正文</w:t>
      </w:r>
    </w:p>
    <w:p w14:paraId="6864B43E">
      <w:pPr>
        <w:tabs>
          <w:tab w:val="left" w:pos="240"/>
        </w:tabs>
        <w:spacing w:line="480" w:lineRule="exact"/>
        <w:ind w:left="-120" w:leftChars="-57" w:firstLine="482" w:firstLineChars="200"/>
        <w:rPr>
          <w:rFonts w:ascii="宋体" w:hAnsi="宋体"/>
          <w:b/>
          <w:sz w:val="24"/>
        </w:rPr>
      </w:pPr>
      <w:r>
        <w:rPr>
          <w:rFonts w:hint="eastAsia" w:ascii="宋体" w:hAnsi="宋体"/>
          <w:b/>
          <w:sz w:val="24"/>
        </w:rPr>
        <w:t>一、总则</w:t>
      </w:r>
    </w:p>
    <w:p w14:paraId="06B6FA02">
      <w:pPr>
        <w:tabs>
          <w:tab w:val="left" w:pos="240"/>
        </w:tabs>
        <w:spacing w:line="480" w:lineRule="exact"/>
        <w:ind w:left="-120" w:leftChars="-57" w:firstLine="482" w:firstLineChars="200"/>
        <w:rPr>
          <w:rFonts w:ascii="宋体" w:hAnsi="宋体"/>
          <w:b/>
          <w:sz w:val="24"/>
        </w:rPr>
      </w:pPr>
      <w:r>
        <w:rPr>
          <w:rFonts w:hint="eastAsia" w:ascii="宋体" w:hAnsi="宋体"/>
          <w:b/>
          <w:sz w:val="24"/>
        </w:rPr>
        <w:t>1.名词解释</w:t>
      </w:r>
    </w:p>
    <w:p w14:paraId="628CF579">
      <w:pPr>
        <w:tabs>
          <w:tab w:val="left" w:pos="240"/>
        </w:tabs>
        <w:spacing w:line="360" w:lineRule="auto"/>
        <w:ind w:left="-120" w:leftChars="-57" w:firstLine="480" w:firstLineChars="200"/>
        <w:rPr>
          <w:rFonts w:ascii="宋体" w:hAnsi="宋体"/>
          <w:sz w:val="24"/>
        </w:rPr>
      </w:pPr>
      <w:r>
        <w:rPr>
          <w:rFonts w:hint="eastAsia" w:ascii="宋体" w:hAnsi="宋体"/>
          <w:sz w:val="24"/>
        </w:rPr>
        <w:t>1.1采购人：陕西省卫生健康信息中心</w:t>
      </w:r>
    </w:p>
    <w:p w14:paraId="4D6392B1">
      <w:pPr>
        <w:tabs>
          <w:tab w:val="left" w:pos="240"/>
        </w:tabs>
        <w:spacing w:line="360" w:lineRule="auto"/>
        <w:ind w:left="-120" w:leftChars="-57" w:firstLine="480" w:firstLineChars="200"/>
        <w:rPr>
          <w:rFonts w:ascii="宋体" w:hAnsi="宋体"/>
          <w:sz w:val="24"/>
        </w:rPr>
      </w:pPr>
      <w:r>
        <w:rPr>
          <w:rFonts w:hint="eastAsia" w:ascii="宋体" w:hAnsi="宋体"/>
          <w:sz w:val="24"/>
        </w:rPr>
        <w:t>1.2监督机构：采购人相关监督部门</w:t>
      </w:r>
    </w:p>
    <w:p w14:paraId="178DEB00">
      <w:pPr>
        <w:tabs>
          <w:tab w:val="left" w:pos="240"/>
        </w:tabs>
        <w:spacing w:line="360" w:lineRule="auto"/>
        <w:ind w:left="-120" w:leftChars="-57" w:firstLine="480" w:firstLineChars="200"/>
        <w:rPr>
          <w:rFonts w:ascii="宋体" w:hAnsi="宋体"/>
          <w:sz w:val="24"/>
        </w:rPr>
      </w:pPr>
      <w:r>
        <w:rPr>
          <w:rFonts w:hint="eastAsia" w:ascii="宋体" w:hAnsi="宋体"/>
          <w:sz w:val="24"/>
        </w:rPr>
        <w:t>1.3采购代理机构：陕西德勤招标有限公司</w:t>
      </w:r>
    </w:p>
    <w:p w14:paraId="78CC4448">
      <w:pPr>
        <w:tabs>
          <w:tab w:val="left" w:pos="240"/>
        </w:tabs>
        <w:spacing w:line="360" w:lineRule="auto"/>
        <w:ind w:left="-120" w:leftChars="-57" w:firstLine="480" w:firstLineChars="200"/>
        <w:rPr>
          <w:rFonts w:ascii="宋体" w:hAnsi="宋体"/>
          <w:sz w:val="24"/>
        </w:rPr>
      </w:pPr>
      <w:r>
        <w:rPr>
          <w:rFonts w:hint="eastAsia" w:ascii="宋体" w:hAnsi="宋体"/>
          <w:sz w:val="24"/>
        </w:rPr>
        <w:t>1.4供应商：满足本次磋商要求具有相应资格和完成项目能力的供应商</w:t>
      </w:r>
    </w:p>
    <w:p w14:paraId="7CC323C7">
      <w:pPr>
        <w:tabs>
          <w:tab w:val="left" w:pos="240"/>
        </w:tabs>
        <w:spacing w:line="360" w:lineRule="auto"/>
        <w:ind w:left="-120" w:leftChars="-57" w:firstLine="480" w:firstLineChars="200"/>
        <w:rPr>
          <w:rFonts w:ascii="宋体" w:hAnsi="宋体"/>
          <w:sz w:val="24"/>
        </w:rPr>
      </w:pPr>
      <w:r>
        <w:rPr>
          <w:rFonts w:hint="eastAsia" w:ascii="宋体" w:hAnsi="宋体"/>
          <w:sz w:val="24"/>
        </w:rPr>
        <w:t>1.5磋商文件：磋商文件与响应文件的统称</w:t>
      </w:r>
    </w:p>
    <w:p w14:paraId="42F62352">
      <w:pPr>
        <w:tabs>
          <w:tab w:val="left" w:pos="240"/>
        </w:tabs>
        <w:spacing w:line="480" w:lineRule="exact"/>
        <w:ind w:left="-120" w:leftChars="-57" w:firstLine="482" w:firstLineChars="200"/>
        <w:rPr>
          <w:rFonts w:ascii="宋体" w:hAnsi="宋体"/>
          <w:b/>
          <w:sz w:val="24"/>
        </w:rPr>
      </w:pPr>
      <w:r>
        <w:rPr>
          <w:rFonts w:hint="eastAsia" w:ascii="宋体" w:hAnsi="宋体"/>
          <w:b/>
          <w:sz w:val="24"/>
        </w:rPr>
        <w:t>二、供应商</w:t>
      </w:r>
    </w:p>
    <w:p w14:paraId="69CBA067">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2.合格供应商</w:t>
      </w:r>
    </w:p>
    <w:p w14:paraId="61EF3062">
      <w:pPr>
        <w:tabs>
          <w:tab w:val="left" w:pos="240"/>
        </w:tabs>
        <w:spacing w:line="360" w:lineRule="auto"/>
        <w:ind w:left="-120" w:leftChars="-57" w:firstLine="480" w:firstLineChars="200"/>
        <w:rPr>
          <w:rFonts w:ascii="宋体" w:hAnsi="宋体"/>
          <w:sz w:val="24"/>
        </w:rPr>
      </w:pPr>
      <w:r>
        <w:rPr>
          <w:rFonts w:hint="eastAsia" w:ascii="宋体" w:hAnsi="宋体"/>
          <w:sz w:val="24"/>
        </w:rPr>
        <w:t>2.1具有独立承担民事责任的能力</w:t>
      </w:r>
    </w:p>
    <w:p w14:paraId="58CB5E5A">
      <w:pPr>
        <w:tabs>
          <w:tab w:val="left" w:pos="240"/>
        </w:tabs>
        <w:spacing w:line="360" w:lineRule="auto"/>
        <w:ind w:left="-120" w:leftChars="-57" w:firstLine="480" w:firstLineChars="200"/>
        <w:rPr>
          <w:rFonts w:ascii="宋体" w:hAnsi="宋体"/>
          <w:sz w:val="24"/>
        </w:rPr>
      </w:pPr>
      <w:r>
        <w:rPr>
          <w:rFonts w:hint="eastAsia" w:ascii="宋体" w:hAnsi="宋体"/>
          <w:sz w:val="24"/>
        </w:rPr>
        <w:t>2.2具有良好的商业信誉和健全的财务会计制度</w:t>
      </w:r>
    </w:p>
    <w:p w14:paraId="7D520713">
      <w:pPr>
        <w:tabs>
          <w:tab w:val="left" w:pos="240"/>
        </w:tabs>
        <w:spacing w:line="360" w:lineRule="auto"/>
        <w:ind w:left="-120" w:leftChars="-57" w:firstLine="480" w:firstLineChars="200"/>
        <w:rPr>
          <w:rFonts w:ascii="宋体" w:hAnsi="宋体"/>
          <w:sz w:val="24"/>
        </w:rPr>
      </w:pPr>
      <w:r>
        <w:rPr>
          <w:rFonts w:hint="eastAsia" w:ascii="宋体" w:hAnsi="宋体"/>
          <w:sz w:val="24"/>
        </w:rPr>
        <w:t>2.3具有履行合同所必需的产品和专业技术能力</w:t>
      </w:r>
    </w:p>
    <w:p w14:paraId="6555B730">
      <w:pPr>
        <w:tabs>
          <w:tab w:val="left" w:pos="240"/>
        </w:tabs>
        <w:spacing w:line="360" w:lineRule="auto"/>
        <w:ind w:left="-120" w:leftChars="-57" w:firstLine="480" w:firstLineChars="200"/>
        <w:rPr>
          <w:rFonts w:ascii="宋体" w:hAnsi="宋体"/>
          <w:sz w:val="24"/>
        </w:rPr>
      </w:pPr>
      <w:r>
        <w:rPr>
          <w:rFonts w:hint="eastAsia" w:ascii="宋体" w:hAnsi="宋体"/>
          <w:sz w:val="24"/>
        </w:rPr>
        <w:t>2.4有依法缴纳税收和社会保障资金的良好记录</w:t>
      </w:r>
    </w:p>
    <w:p w14:paraId="39F1AE8D">
      <w:pPr>
        <w:tabs>
          <w:tab w:val="left" w:pos="240"/>
        </w:tabs>
        <w:spacing w:line="360" w:lineRule="auto"/>
        <w:ind w:left="-120" w:leftChars="-57" w:firstLine="480" w:firstLineChars="200"/>
        <w:rPr>
          <w:rFonts w:ascii="宋体" w:hAnsi="宋体"/>
          <w:sz w:val="24"/>
        </w:rPr>
      </w:pPr>
      <w:r>
        <w:rPr>
          <w:rFonts w:hint="eastAsia" w:ascii="宋体" w:hAnsi="宋体"/>
          <w:sz w:val="24"/>
        </w:rPr>
        <w:t>2.5参加政府采购活动前三年内，在经营活动中没有重大违法记录</w:t>
      </w:r>
    </w:p>
    <w:p w14:paraId="2418EF1B">
      <w:pPr>
        <w:tabs>
          <w:tab w:val="left" w:pos="240"/>
        </w:tabs>
        <w:spacing w:line="360" w:lineRule="auto"/>
        <w:ind w:left="-120" w:leftChars="-57" w:firstLine="480" w:firstLineChars="200"/>
        <w:rPr>
          <w:rFonts w:ascii="宋体" w:hAnsi="宋体"/>
          <w:sz w:val="24"/>
        </w:rPr>
      </w:pPr>
      <w:r>
        <w:rPr>
          <w:rFonts w:hint="eastAsia" w:ascii="宋体" w:hAnsi="宋体"/>
          <w:sz w:val="24"/>
        </w:rPr>
        <w:t>2.6法律、行政法规规定的其他条件</w:t>
      </w:r>
    </w:p>
    <w:p w14:paraId="26AB782B">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3.供应商信用记录查询</w:t>
      </w:r>
    </w:p>
    <w:p w14:paraId="38E939AB">
      <w:pPr>
        <w:tabs>
          <w:tab w:val="left" w:pos="240"/>
        </w:tabs>
        <w:spacing w:line="360" w:lineRule="auto"/>
        <w:ind w:left="-120" w:leftChars="-57" w:firstLine="480" w:firstLineChars="200"/>
        <w:rPr>
          <w:rFonts w:ascii="宋体" w:hAnsi="宋体"/>
          <w:sz w:val="24"/>
        </w:rPr>
      </w:pPr>
      <w:r>
        <w:rPr>
          <w:rFonts w:hint="eastAsia" w:ascii="宋体" w:hAnsi="宋体"/>
          <w:sz w:val="24"/>
        </w:rPr>
        <w:t>对列入“信用中国”网站(</w:t>
      </w:r>
      <w:r>
        <w:fldChar w:fldCharType="begin"/>
      </w:r>
      <w:r>
        <w:instrText xml:space="preserve"> HYPERLINK "http://www.creditchina.gov.cn/" </w:instrText>
      </w:r>
      <w: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)“记录失信被执行人或税收违法黑名单或政府采购严重违法失信行为”记录名单；中国政府采购网(</w:t>
      </w:r>
      <w:r>
        <w:fldChar w:fldCharType="begin"/>
      </w:r>
      <w:r>
        <w:instrText xml:space="preserve"> HYPERLINK "http://www.ccgp.gov.cn/" </w:instrText>
      </w:r>
      <w: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)“政府采购严重违法失信行为信息记录”的单位，应当拒绝参与政府采购活动，以采购人或采购代理机构开标现场查询结果为准。</w:t>
      </w:r>
    </w:p>
    <w:p w14:paraId="154DAE4C">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4.磋商委托</w:t>
      </w:r>
    </w:p>
    <w:p w14:paraId="14BD2742">
      <w:pPr>
        <w:tabs>
          <w:tab w:val="left" w:pos="240"/>
        </w:tabs>
        <w:spacing w:line="360" w:lineRule="auto"/>
        <w:ind w:left="-120" w:leftChars="-57" w:firstLine="480" w:firstLineChars="200"/>
        <w:rPr>
          <w:rFonts w:ascii="宋体" w:hAnsi="宋体"/>
          <w:sz w:val="24"/>
        </w:rPr>
      </w:pPr>
      <w:r>
        <w:rPr>
          <w:rFonts w:hint="eastAsia" w:ascii="宋体" w:hAnsi="宋体"/>
          <w:sz w:val="24"/>
        </w:rPr>
        <w:t>如供应商代表不是法定代表人，须持有《法定代表人授权书》（原件）。</w:t>
      </w:r>
    </w:p>
    <w:p w14:paraId="33E8866A">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5.磋商费用</w:t>
      </w:r>
    </w:p>
    <w:p w14:paraId="675EFCFF">
      <w:pPr>
        <w:tabs>
          <w:tab w:val="left" w:pos="240"/>
        </w:tabs>
        <w:spacing w:line="360" w:lineRule="auto"/>
        <w:ind w:left="-120" w:leftChars="-57" w:firstLine="480" w:firstLineChars="200"/>
        <w:rPr>
          <w:rFonts w:ascii="宋体" w:hAnsi="宋体"/>
          <w:sz w:val="24"/>
        </w:rPr>
      </w:pPr>
      <w:r>
        <w:rPr>
          <w:rFonts w:hint="eastAsia" w:ascii="宋体" w:hAnsi="宋体"/>
          <w:sz w:val="24"/>
        </w:rPr>
        <w:t>无论磋商结果如何，供应商自行承担参加磋商相关的全部费用。</w:t>
      </w:r>
    </w:p>
    <w:p w14:paraId="50BA37AF">
      <w:pPr>
        <w:tabs>
          <w:tab w:val="left" w:pos="240"/>
        </w:tabs>
        <w:spacing w:line="360" w:lineRule="auto"/>
        <w:ind w:left="-120" w:leftChars="-57" w:firstLine="482" w:firstLineChars="200"/>
        <w:rPr>
          <w:rFonts w:ascii="宋体" w:hAnsi="宋体"/>
          <w:sz w:val="24"/>
        </w:rPr>
      </w:pPr>
      <w:r>
        <w:rPr>
          <w:rFonts w:hint="eastAsia" w:ascii="宋体" w:hAnsi="宋体"/>
          <w:b/>
          <w:bCs/>
          <w:sz w:val="24"/>
        </w:rPr>
        <w:t>三、磋商文件</w:t>
      </w:r>
    </w:p>
    <w:p w14:paraId="19FBF2F2">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6.磋商文件</w:t>
      </w:r>
    </w:p>
    <w:p w14:paraId="3F44F79F">
      <w:pPr>
        <w:tabs>
          <w:tab w:val="left" w:pos="240"/>
        </w:tabs>
        <w:spacing w:line="360" w:lineRule="auto"/>
        <w:ind w:left="-120" w:leftChars="-57" w:firstLine="480" w:firstLineChars="200"/>
        <w:rPr>
          <w:rFonts w:ascii="宋体" w:hAnsi="宋体"/>
          <w:sz w:val="24"/>
        </w:rPr>
      </w:pPr>
      <w:r>
        <w:rPr>
          <w:rFonts w:hint="eastAsia" w:ascii="宋体" w:hAnsi="宋体"/>
          <w:sz w:val="24"/>
        </w:rPr>
        <w:t>6.1磋商文件由磋商文件总目录所列内容组成；供应商应详细阅读磋商文件中所有的事项、条款和规范要求,在响应文件中对磋商文件的各方面都应做出实质性的响应，按照磋商文件的要求提交全部资料。</w:t>
      </w:r>
    </w:p>
    <w:p w14:paraId="47621E21">
      <w:pPr>
        <w:tabs>
          <w:tab w:val="left" w:pos="240"/>
        </w:tabs>
        <w:spacing w:line="360" w:lineRule="auto"/>
        <w:ind w:left="-120" w:leftChars="-57" w:firstLine="480" w:firstLineChars="200"/>
        <w:rPr>
          <w:rFonts w:ascii="宋体" w:hAnsi="宋体"/>
          <w:sz w:val="24"/>
        </w:rPr>
      </w:pPr>
      <w:bookmarkStart w:id="13" w:name="_Toc3633"/>
      <w:r>
        <w:rPr>
          <w:rFonts w:hint="eastAsia" w:ascii="宋体" w:hAnsi="宋体"/>
          <w:sz w:val="24"/>
        </w:rPr>
        <w:t>6.2适用范围</w:t>
      </w:r>
      <w:bookmarkEnd w:id="13"/>
    </w:p>
    <w:p w14:paraId="310615B0">
      <w:pPr>
        <w:tabs>
          <w:tab w:val="left" w:pos="240"/>
        </w:tabs>
        <w:spacing w:line="360" w:lineRule="auto"/>
        <w:ind w:left="-120" w:leftChars="-57" w:firstLine="480" w:firstLineChars="200"/>
        <w:rPr>
          <w:rFonts w:ascii="宋体" w:hAnsi="宋体"/>
          <w:sz w:val="24"/>
        </w:rPr>
      </w:pPr>
      <w:r>
        <w:rPr>
          <w:rFonts w:hint="eastAsia" w:ascii="宋体" w:hAnsi="宋体"/>
          <w:sz w:val="24"/>
        </w:rPr>
        <w:t>本次磋商依据采购人的采购计划，仅适用于本磋商文件中所叙述的项目。</w:t>
      </w:r>
    </w:p>
    <w:p w14:paraId="46A69AEE">
      <w:pPr>
        <w:tabs>
          <w:tab w:val="left" w:pos="240"/>
        </w:tabs>
        <w:spacing w:line="360" w:lineRule="auto"/>
        <w:ind w:left="-120" w:leftChars="-57" w:firstLine="480" w:firstLineChars="200"/>
        <w:rPr>
          <w:rFonts w:ascii="宋体" w:hAnsi="宋体"/>
          <w:sz w:val="24"/>
        </w:rPr>
      </w:pPr>
      <w:r>
        <w:rPr>
          <w:rFonts w:hint="eastAsia" w:ascii="宋体" w:hAnsi="宋体"/>
          <w:sz w:val="24"/>
        </w:rPr>
        <w:t>6.3磋商文件的购买：磋商公告发布后，供应商应从采购代理机构购买磋商文件，供应商自行转让或复制的磋商文件视为无效磋商文件；磋商文件一经售出，一律不退，仅作为本次磋商使用。</w:t>
      </w:r>
    </w:p>
    <w:p w14:paraId="3640BE3D">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7.磋商文件的澄清及修改</w:t>
      </w:r>
    </w:p>
    <w:p w14:paraId="2733CBA6">
      <w:pPr>
        <w:tabs>
          <w:tab w:val="left" w:pos="240"/>
        </w:tabs>
        <w:spacing w:line="360" w:lineRule="auto"/>
        <w:ind w:left="-120" w:leftChars="-57" w:firstLine="480" w:firstLineChars="200"/>
        <w:rPr>
          <w:rFonts w:ascii="宋体" w:hAnsi="宋体"/>
          <w:sz w:val="24"/>
        </w:rPr>
      </w:pPr>
      <w:r>
        <w:rPr>
          <w:rFonts w:hint="eastAsia" w:ascii="宋体" w:hAnsi="宋体"/>
          <w:sz w:val="24"/>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sz w:val="24"/>
          <w:lang w:val="zh-CN"/>
        </w:rPr>
        <w:t>并对供应商具有约束力。供应商在收到上述通知后，</w:t>
      </w:r>
      <w:r>
        <w:rPr>
          <w:rFonts w:hint="eastAsia" w:ascii="宋体" w:hAnsi="宋体"/>
          <w:sz w:val="24"/>
        </w:rPr>
        <w:t>应当立即以书面形式向采购代理机构确认；不足五日的，采购代理机构应当顺延提交首次响应文件截止时间。</w:t>
      </w:r>
    </w:p>
    <w:p w14:paraId="675B825F">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8.质疑提出与答复</w:t>
      </w:r>
    </w:p>
    <w:p w14:paraId="3BCD5038">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8.1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55F9816F">
      <w:pPr>
        <w:tabs>
          <w:tab w:val="left" w:pos="240"/>
        </w:tabs>
        <w:spacing w:line="360" w:lineRule="auto"/>
        <w:ind w:left="-120" w:leftChars="-57" w:firstLine="480" w:firstLineChars="200"/>
        <w:rPr>
          <w:rFonts w:ascii="宋体" w:hAnsi="宋体"/>
          <w:sz w:val="24"/>
        </w:rPr>
      </w:pPr>
      <w:r>
        <w:rPr>
          <w:rFonts w:hint="eastAsia" w:ascii="宋体" w:hAnsi="宋体"/>
          <w:sz w:val="24"/>
        </w:rPr>
        <w:t>8.2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1124B2B9">
      <w:pPr>
        <w:tabs>
          <w:tab w:val="left" w:pos="240"/>
        </w:tabs>
        <w:spacing w:line="360" w:lineRule="auto"/>
        <w:ind w:left="-120" w:leftChars="-57" w:firstLine="480" w:firstLineChars="200"/>
        <w:rPr>
          <w:rFonts w:ascii="宋体" w:hAnsi="宋体"/>
          <w:sz w:val="24"/>
        </w:rPr>
      </w:pPr>
      <w:r>
        <w:rPr>
          <w:rFonts w:hint="eastAsia" w:ascii="宋体" w:hAnsi="宋体"/>
          <w:sz w:val="24"/>
        </w:rPr>
        <w:t>质疑函应当包括下列内容：</w:t>
      </w:r>
    </w:p>
    <w:p w14:paraId="52639BC3">
      <w:pPr>
        <w:tabs>
          <w:tab w:val="left" w:pos="240"/>
        </w:tabs>
        <w:spacing w:line="360" w:lineRule="auto"/>
        <w:ind w:left="-120" w:leftChars="-57" w:firstLine="420" w:firstLineChars="200"/>
        <w:rPr>
          <w:rFonts w:ascii="宋体" w:hAnsi="宋体"/>
          <w:szCs w:val="21"/>
        </w:rPr>
      </w:pPr>
      <w:r>
        <w:rPr>
          <w:rFonts w:hint="eastAsia" w:ascii="宋体" w:hAnsi="宋体"/>
          <w:szCs w:val="21"/>
        </w:rPr>
        <w:t>1.供应商的姓名或者名称、地址、邮编、联系人及联系电话；</w:t>
      </w:r>
    </w:p>
    <w:p w14:paraId="1D6644A9">
      <w:pPr>
        <w:tabs>
          <w:tab w:val="left" w:pos="240"/>
        </w:tabs>
        <w:spacing w:line="360" w:lineRule="auto"/>
        <w:ind w:left="-120" w:leftChars="-57" w:firstLine="420" w:firstLineChars="200"/>
        <w:rPr>
          <w:rFonts w:ascii="宋体" w:hAnsi="宋体"/>
          <w:szCs w:val="21"/>
        </w:rPr>
      </w:pPr>
      <w:r>
        <w:rPr>
          <w:rFonts w:hint="eastAsia" w:ascii="宋体" w:hAnsi="宋体"/>
          <w:szCs w:val="21"/>
        </w:rPr>
        <w:t>2.质疑项目的名称、编号；</w:t>
      </w:r>
    </w:p>
    <w:p w14:paraId="332A2E00">
      <w:pPr>
        <w:tabs>
          <w:tab w:val="left" w:pos="240"/>
        </w:tabs>
        <w:spacing w:line="360" w:lineRule="auto"/>
        <w:ind w:left="-120" w:leftChars="-57" w:firstLine="420" w:firstLineChars="200"/>
        <w:rPr>
          <w:rFonts w:ascii="宋体" w:hAnsi="宋体"/>
          <w:szCs w:val="21"/>
        </w:rPr>
      </w:pPr>
      <w:r>
        <w:rPr>
          <w:rFonts w:hint="eastAsia" w:ascii="宋体" w:hAnsi="宋体"/>
          <w:szCs w:val="21"/>
        </w:rPr>
        <w:t>3.具体、明确的质疑事项和与质疑事项相关的请求；</w:t>
      </w:r>
    </w:p>
    <w:p w14:paraId="37272D75">
      <w:pPr>
        <w:tabs>
          <w:tab w:val="left" w:pos="240"/>
        </w:tabs>
        <w:spacing w:line="360" w:lineRule="auto"/>
        <w:ind w:left="-120" w:leftChars="-57" w:firstLine="420" w:firstLineChars="200"/>
        <w:rPr>
          <w:rFonts w:ascii="宋体" w:hAnsi="宋体"/>
          <w:szCs w:val="21"/>
        </w:rPr>
      </w:pPr>
      <w:r>
        <w:rPr>
          <w:rFonts w:hint="eastAsia" w:ascii="宋体" w:hAnsi="宋体"/>
          <w:szCs w:val="21"/>
        </w:rPr>
        <w:t>4.事实依据；</w:t>
      </w:r>
    </w:p>
    <w:p w14:paraId="62550AC3">
      <w:pPr>
        <w:tabs>
          <w:tab w:val="left" w:pos="240"/>
        </w:tabs>
        <w:spacing w:line="360" w:lineRule="auto"/>
        <w:ind w:left="-120" w:leftChars="-57" w:firstLine="420" w:firstLineChars="200"/>
        <w:rPr>
          <w:rFonts w:ascii="宋体" w:hAnsi="宋体"/>
          <w:szCs w:val="21"/>
        </w:rPr>
      </w:pPr>
      <w:r>
        <w:rPr>
          <w:rFonts w:hint="eastAsia" w:ascii="宋体" w:hAnsi="宋体"/>
          <w:szCs w:val="21"/>
        </w:rPr>
        <w:t>5.必要的法律依据；</w:t>
      </w:r>
    </w:p>
    <w:p w14:paraId="010DEB85">
      <w:pPr>
        <w:tabs>
          <w:tab w:val="left" w:pos="240"/>
        </w:tabs>
        <w:spacing w:line="360" w:lineRule="auto"/>
        <w:ind w:left="-120" w:leftChars="-57" w:firstLine="420" w:firstLineChars="200"/>
        <w:rPr>
          <w:rFonts w:ascii="宋体" w:hAnsi="宋体"/>
          <w:szCs w:val="21"/>
        </w:rPr>
      </w:pPr>
      <w:r>
        <w:rPr>
          <w:rFonts w:hint="eastAsia" w:ascii="宋体" w:hAnsi="宋体"/>
          <w:szCs w:val="21"/>
        </w:rPr>
        <w:t xml:space="preserve">6.提出质疑的日期。 </w:t>
      </w:r>
    </w:p>
    <w:p w14:paraId="545BDC8A">
      <w:pPr>
        <w:tabs>
          <w:tab w:val="left" w:pos="240"/>
        </w:tabs>
        <w:spacing w:line="360" w:lineRule="auto"/>
        <w:ind w:left="-120" w:leftChars="-57" w:firstLine="422" w:firstLineChars="200"/>
        <w:rPr>
          <w:rFonts w:ascii="宋体" w:hAnsi="宋体"/>
          <w:b/>
          <w:bCs/>
          <w:sz w:val="24"/>
        </w:rPr>
      </w:pPr>
      <w:r>
        <w:rPr>
          <w:rFonts w:hint="eastAsia" w:ascii="宋体" w:hAnsi="宋体"/>
          <w:b/>
          <w:bCs/>
          <w:szCs w:val="21"/>
        </w:rPr>
        <w:t>备注：供应商须在法定质疑期内一次性提出针对同一采购程序环节的质疑。</w:t>
      </w:r>
    </w:p>
    <w:p w14:paraId="18024CE8">
      <w:pPr>
        <w:tabs>
          <w:tab w:val="left" w:pos="240"/>
        </w:tabs>
        <w:spacing w:line="360" w:lineRule="auto"/>
        <w:ind w:left="-120" w:leftChars="-57" w:firstLine="480" w:firstLineChars="200"/>
        <w:rPr>
          <w:rFonts w:ascii="宋体" w:hAnsi="宋体"/>
          <w:sz w:val="24"/>
        </w:rPr>
      </w:pPr>
      <w:r>
        <w:rPr>
          <w:rFonts w:hint="eastAsia" w:ascii="宋体" w:hAnsi="宋体"/>
          <w:sz w:val="24"/>
        </w:rPr>
        <w:t>8.3质疑有以下情形之一的，采购代理机构不予受理：</w:t>
      </w:r>
    </w:p>
    <w:p w14:paraId="5D314FA4">
      <w:pPr>
        <w:tabs>
          <w:tab w:val="left" w:pos="240"/>
        </w:tabs>
        <w:spacing w:line="360" w:lineRule="auto"/>
        <w:ind w:left="-120" w:leftChars="-57" w:firstLine="420" w:firstLineChars="200"/>
        <w:rPr>
          <w:rFonts w:ascii="宋体" w:hAnsi="宋体"/>
          <w:szCs w:val="21"/>
        </w:rPr>
      </w:pPr>
      <w:r>
        <w:rPr>
          <w:rFonts w:hint="eastAsia" w:ascii="宋体" w:hAnsi="宋体"/>
          <w:szCs w:val="21"/>
        </w:rPr>
        <w:t>1.未按规定程序和渠道提出质疑的；</w:t>
      </w:r>
    </w:p>
    <w:p w14:paraId="0F67EDF9">
      <w:pPr>
        <w:tabs>
          <w:tab w:val="left" w:pos="240"/>
        </w:tabs>
        <w:spacing w:line="360" w:lineRule="auto"/>
        <w:ind w:left="-120" w:leftChars="-57" w:firstLine="420" w:firstLineChars="200"/>
        <w:rPr>
          <w:rFonts w:ascii="宋体" w:hAnsi="宋体"/>
          <w:szCs w:val="21"/>
        </w:rPr>
      </w:pPr>
      <w:r>
        <w:rPr>
          <w:rFonts w:hint="eastAsia" w:ascii="宋体" w:hAnsi="宋体"/>
          <w:szCs w:val="21"/>
        </w:rPr>
        <w:t xml:space="preserve">2.超过法定质疑期限的； </w:t>
      </w:r>
    </w:p>
    <w:p w14:paraId="29523D0D">
      <w:pPr>
        <w:tabs>
          <w:tab w:val="left" w:pos="240"/>
        </w:tabs>
        <w:spacing w:line="360" w:lineRule="auto"/>
        <w:ind w:left="-120" w:leftChars="-57" w:firstLine="420" w:firstLineChars="200"/>
        <w:rPr>
          <w:rFonts w:ascii="宋体" w:hAnsi="宋体"/>
          <w:szCs w:val="21"/>
        </w:rPr>
      </w:pPr>
      <w:r>
        <w:rPr>
          <w:rFonts w:hint="eastAsia" w:ascii="宋体" w:hAnsi="宋体"/>
          <w:szCs w:val="21"/>
        </w:rPr>
        <w:t>3.书面质疑的形式和内容不符合上述要求的；</w:t>
      </w:r>
    </w:p>
    <w:p w14:paraId="0A82A3CD">
      <w:pPr>
        <w:tabs>
          <w:tab w:val="left" w:pos="240"/>
        </w:tabs>
        <w:spacing w:line="360" w:lineRule="auto"/>
        <w:ind w:left="-120" w:leftChars="-57" w:firstLine="420" w:firstLineChars="200"/>
        <w:rPr>
          <w:rFonts w:ascii="宋体" w:hAnsi="宋体"/>
          <w:szCs w:val="21"/>
        </w:rPr>
      </w:pPr>
      <w:r>
        <w:rPr>
          <w:rFonts w:hint="eastAsia" w:ascii="宋体" w:hAnsi="宋体"/>
          <w:szCs w:val="21"/>
        </w:rPr>
        <w:t xml:space="preserve">4.提出的质疑事项已经明确答复的； </w:t>
      </w:r>
    </w:p>
    <w:p w14:paraId="7035179D">
      <w:pPr>
        <w:tabs>
          <w:tab w:val="left" w:pos="240"/>
        </w:tabs>
        <w:spacing w:line="360" w:lineRule="auto"/>
        <w:ind w:left="-120" w:leftChars="-57" w:firstLine="420" w:firstLineChars="200"/>
        <w:rPr>
          <w:rFonts w:ascii="宋体" w:hAnsi="宋体"/>
          <w:szCs w:val="21"/>
        </w:rPr>
      </w:pPr>
      <w:r>
        <w:rPr>
          <w:rFonts w:hint="eastAsia" w:ascii="宋体" w:hAnsi="宋体"/>
          <w:szCs w:val="21"/>
        </w:rPr>
        <w:t>5.法律法规规定的其他不予受理的条件。</w:t>
      </w:r>
    </w:p>
    <w:p w14:paraId="5D5F2D94">
      <w:pPr>
        <w:tabs>
          <w:tab w:val="left" w:pos="240"/>
        </w:tabs>
        <w:spacing w:line="360" w:lineRule="auto"/>
        <w:ind w:left="-120" w:leftChars="-57" w:firstLine="480" w:firstLineChars="200"/>
        <w:rPr>
          <w:rFonts w:ascii="宋体" w:hAnsi="宋体"/>
          <w:sz w:val="24"/>
        </w:rPr>
      </w:pPr>
      <w:r>
        <w:rPr>
          <w:rFonts w:hint="eastAsia" w:ascii="宋体" w:hAnsi="宋体"/>
          <w:sz w:val="24"/>
        </w:rPr>
        <w:t>8.4采购代理机构应当在收到质疑函后七个工作日内做出书面答复。答复内容同时通知与处理结果有关的供应商，但答复内容不得涉及供应商的商业秘密。</w:t>
      </w:r>
    </w:p>
    <w:p w14:paraId="05921298">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9.磋商的处理依据</w:t>
      </w:r>
    </w:p>
    <w:p w14:paraId="652C01C7">
      <w:pPr>
        <w:tabs>
          <w:tab w:val="left" w:pos="240"/>
        </w:tabs>
        <w:spacing w:line="360" w:lineRule="auto"/>
        <w:ind w:left="-120" w:leftChars="-57" w:firstLine="480" w:firstLineChars="200"/>
        <w:rPr>
          <w:rFonts w:ascii="宋体" w:hAnsi="宋体"/>
          <w:sz w:val="24"/>
        </w:rPr>
      </w:pPr>
      <w:r>
        <w:rPr>
          <w:rFonts w:hint="eastAsia" w:ascii="宋体" w:hAnsi="宋体"/>
          <w:sz w:val="24"/>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58F117ED">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10.解释权归属</w:t>
      </w:r>
    </w:p>
    <w:p w14:paraId="2824EF31">
      <w:pPr>
        <w:spacing w:line="360" w:lineRule="auto"/>
        <w:ind w:firstLine="480" w:firstLineChars="200"/>
        <w:rPr>
          <w:rFonts w:ascii="宋体" w:hAnsi="宋体"/>
          <w:sz w:val="24"/>
        </w:rPr>
      </w:pPr>
      <w:r>
        <w:rPr>
          <w:rFonts w:hint="eastAsia" w:ascii="宋体" w:hAnsi="宋体"/>
          <w:sz w:val="24"/>
        </w:rPr>
        <w:t>本磋商文件的解释权归采购代理机构。</w:t>
      </w:r>
    </w:p>
    <w:p w14:paraId="25A253C0">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四、磋商要求</w:t>
      </w:r>
    </w:p>
    <w:p w14:paraId="6F70FAA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11.磋商内容</w:t>
      </w:r>
    </w:p>
    <w:p w14:paraId="4FAD26B5">
      <w:pPr>
        <w:tabs>
          <w:tab w:val="left" w:pos="240"/>
        </w:tabs>
        <w:spacing w:line="360" w:lineRule="auto"/>
        <w:ind w:left="-120" w:leftChars="-57" w:firstLine="480" w:firstLineChars="200"/>
        <w:rPr>
          <w:rFonts w:ascii="宋体" w:hAnsi="宋体"/>
          <w:sz w:val="24"/>
        </w:rPr>
      </w:pPr>
      <w:r>
        <w:rPr>
          <w:rFonts w:hint="eastAsia" w:ascii="宋体" w:hAnsi="宋体"/>
          <w:sz w:val="24"/>
        </w:rPr>
        <w:t>本次磋商为：</w:t>
      </w:r>
      <w:r>
        <w:rPr>
          <w:rFonts w:hint="eastAsia" w:ascii="宋体" w:hAnsi="宋体"/>
          <w:sz w:val="24"/>
          <w:lang w:eastAsia="zh-CN"/>
        </w:rPr>
        <w:t>省级信息安全系统运维项目采购</w:t>
      </w:r>
      <w:r>
        <w:rPr>
          <w:rFonts w:hint="eastAsia" w:ascii="宋体" w:hAnsi="宋体"/>
          <w:sz w:val="24"/>
        </w:rPr>
        <w:t>。供应商可根据自身的资格情况和经营范围对本项目进行磋商，不得将其子目再行分解或只响应其中的一部分内容，否则磋商无效；开标、阅标、磋商、成交、签订合同均以项目为单位进行。</w:t>
      </w:r>
    </w:p>
    <w:p w14:paraId="6A9A4B50">
      <w:pPr>
        <w:tabs>
          <w:tab w:val="left" w:pos="240"/>
        </w:tabs>
        <w:spacing w:line="360" w:lineRule="auto"/>
        <w:ind w:left="-120" w:leftChars="-57" w:firstLine="482" w:firstLineChars="200"/>
        <w:rPr>
          <w:rFonts w:ascii="宋体" w:hAnsi="宋体"/>
          <w:sz w:val="24"/>
        </w:rPr>
      </w:pPr>
      <w:r>
        <w:rPr>
          <w:rFonts w:hint="eastAsia" w:ascii="宋体" w:hAnsi="宋体"/>
          <w:b/>
          <w:bCs/>
          <w:sz w:val="24"/>
        </w:rPr>
        <w:t>12.供应商资格条件：</w:t>
      </w:r>
      <w:r>
        <w:rPr>
          <w:rFonts w:hint="eastAsia" w:ascii="宋体" w:hAnsi="宋体"/>
          <w:sz w:val="24"/>
        </w:rPr>
        <w:t>应当符合供应商须知前附表中规定的资格条件。</w:t>
      </w:r>
    </w:p>
    <w:p w14:paraId="501D3CA4">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13.响应文件的编制</w:t>
      </w:r>
    </w:p>
    <w:p w14:paraId="1E277503">
      <w:pPr>
        <w:tabs>
          <w:tab w:val="left" w:pos="240"/>
        </w:tabs>
        <w:spacing w:line="360" w:lineRule="auto"/>
        <w:ind w:left="-120" w:leftChars="-57" w:firstLine="480" w:firstLineChars="200"/>
        <w:rPr>
          <w:rFonts w:ascii="宋体" w:hAnsi="宋体"/>
          <w:sz w:val="24"/>
        </w:rPr>
      </w:pPr>
      <w:r>
        <w:rPr>
          <w:rFonts w:hint="eastAsia" w:ascii="宋体" w:hAnsi="宋体"/>
          <w:sz w:val="24"/>
        </w:rPr>
        <w:t>响应文件以磋商文件的内容和要求编制，并对磋商文件做出实质性响应；具体内容包括</w:t>
      </w:r>
    </w:p>
    <w:p w14:paraId="10AC2903">
      <w:pPr>
        <w:tabs>
          <w:tab w:val="left" w:pos="240"/>
        </w:tabs>
        <w:spacing w:line="360" w:lineRule="auto"/>
        <w:ind w:left="-120" w:leftChars="-57" w:firstLine="480" w:firstLineChars="200"/>
        <w:rPr>
          <w:rFonts w:ascii="宋体" w:hAnsi="宋体"/>
          <w:sz w:val="24"/>
        </w:rPr>
      </w:pPr>
      <w:r>
        <w:rPr>
          <w:rFonts w:hint="eastAsia" w:ascii="宋体" w:hAnsi="宋体"/>
          <w:sz w:val="24"/>
        </w:rPr>
        <w:t>13.1按要求出具的资格条件证明文件；</w:t>
      </w:r>
    </w:p>
    <w:p w14:paraId="624783A5">
      <w:pPr>
        <w:tabs>
          <w:tab w:val="left" w:pos="240"/>
        </w:tabs>
        <w:spacing w:line="360" w:lineRule="auto"/>
        <w:ind w:left="-120" w:leftChars="-57" w:firstLine="480" w:firstLineChars="200"/>
        <w:rPr>
          <w:rFonts w:ascii="宋体" w:hAnsi="宋体"/>
          <w:sz w:val="24"/>
        </w:rPr>
      </w:pPr>
      <w:r>
        <w:rPr>
          <w:rFonts w:hint="eastAsia" w:ascii="宋体" w:hAnsi="宋体"/>
          <w:sz w:val="24"/>
        </w:rPr>
        <w:t>13.2按要求出具的符合性证明文件；</w:t>
      </w:r>
    </w:p>
    <w:p w14:paraId="77A21572">
      <w:pPr>
        <w:tabs>
          <w:tab w:val="left" w:pos="240"/>
        </w:tabs>
        <w:spacing w:line="360" w:lineRule="auto"/>
        <w:ind w:left="-120" w:leftChars="-57" w:firstLine="480" w:firstLineChars="200"/>
        <w:rPr>
          <w:rFonts w:ascii="宋体" w:hAnsi="宋体"/>
          <w:sz w:val="24"/>
        </w:rPr>
      </w:pPr>
      <w:r>
        <w:rPr>
          <w:rFonts w:hint="eastAsia" w:ascii="宋体" w:hAnsi="宋体"/>
          <w:sz w:val="24"/>
        </w:rPr>
        <w:t>13.3供应商的响应方案；</w:t>
      </w:r>
    </w:p>
    <w:p w14:paraId="16C7F1B4">
      <w:pPr>
        <w:tabs>
          <w:tab w:val="left" w:pos="240"/>
        </w:tabs>
        <w:spacing w:line="360" w:lineRule="auto"/>
        <w:ind w:left="-120" w:leftChars="-57" w:firstLine="480" w:firstLineChars="200"/>
        <w:rPr>
          <w:rFonts w:ascii="宋体" w:hAnsi="宋体"/>
          <w:sz w:val="24"/>
        </w:rPr>
      </w:pPr>
      <w:r>
        <w:rPr>
          <w:rFonts w:hint="eastAsia" w:ascii="宋体" w:hAnsi="宋体"/>
          <w:sz w:val="24"/>
        </w:rPr>
        <w:t>13.4其他附件。</w:t>
      </w:r>
    </w:p>
    <w:p w14:paraId="59A0F13B">
      <w:pPr>
        <w:numPr>
          <w:ilvl w:val="0"/>
          <w:numId w:val="4"/>
        </w:numPr>
        <w:tabs>
          <w:tab w:val="left" w:pos="240"/>
          <w:tab w:val="clear" w:pos="312"/>
        </w:tabs>
        <w:spacing w:line="360" w:lineRule="auto"/>
        <w:ind w:left="-120" w:leftChars="-57" w:firstLine="482" w:firstLineChars="200"/>
        <w:rPr>
          <w:rFonts w:ascii="宋体" w:hAnsi="宋体"/>
          <w:sz w:val="24"/>
        </w:rPr>
      </w:pPr>
      <w:r>
        <w:rPr>
          <w:rFonts w:hint="eastAsia" w:ascii="宋体" w:hAnsi="宋体"/>
          <w:b/>
          <w:bCs/>
          <w:sz w:val="24"/>
        </w:rPr>
        <w:t>响应报价</w:t>
      </w:r>
    </w:p>
    <w:p w14:paraId="32D0401B">
      <w:pPr>
        <w:tabs>
          <w:tab w:val="left" w:pos="240"/>
        </w:tabs>
        <w:spacing w:line="360" w:lineRule="auto"/>
        <w:ind w:left="-120" w:leftChars="-57" w:firstLine="480" w:firstLineChars="200"/>
        <w:rPr>
          <w:rFonts w:ascii="宋体" w:hAnsi="宋体"/>
          <w:sz w:val="24"/>
        </w:rPr>
      </w:pPr>
      <w:r>
        <w:rPr>
          <w:rFonts w:hint="eastAsia" w:ascii="宋体" w:hAnsi="宋体"/>
          <w:sz w:val="24"/>
        </w:rPr>
        <w:t>14.1响应报价是指供应商响应采购项目要求的全部工作内容的价格体现，包括完成采购内容所需的直接费、间接费、利润、税金及其它相关的一切费用。以磋商文件的内容和要求作为响应依据。</w:t>
      </w:r>
    </w:p>
    <w:p w14:paraId="00005CB7">
      <w:pPr>
        <w:tabs>
          <w:tab w:val="left" w:pos="240"/>
        </w:tabs>
        <w:spacing w:line="360" w:lineRule="auto"/>
        <w:ind w:left="-120" w:leftChars="-57" w:firstLine="480" w:firstLineChars="200"/>
        <w:rPr>
          <w:rFonts w:ascii="宋体" w:hAnsi="宋体"/>
          <w:sz w:val="24"/>
        </w:rPr>
      </w:pPr>
      <w:r>
        <w:rPr>
          <w:rFonts w:hint="eastAsia" w:ascii="宋体" w:hAnsi="宋体"/>
          <w:sz w:val="24"/>
        </w:rPr>
        <w:t>14.2供应商应在响应文件中的响应报价表上，标明响应报价；任何有选择的报价不予接受；</w:t>
      </w:r>
    </w:p>
    <w:p w14:paraId="77D5C155">
      <w:pPr>
        <w:tabs>
          <w:tab w:val="left" w:pos="240"/>
        </w:tabs>
        <w:spacing w:line="360" w:lineRule="auto"/>
        <w:ind w:left="-120" w:leftChars="-57" w:firstLine="480" w:firstLineChars="200"/>
        <w:rPr>
          <w:rFonts w:ascii="宋体" w:hAnsi="宋体"/>
          <w:sz w:val="24"/>
        </w:rPr>
      </w:pPr>
      <w:r>
        <w:rPr>
          <w:rFonts w:hint="eastAsia" w:ascii="宋体" w:hAnsi="宋体"/>
          <w:sz w:val="24"/>
        </w:rPr>
        <w:t>14.3磋商货币：人民币；单位：元（最多保留到小数点后两位）；</w:t>
      </w:r>
    </w:p>
    <w:p w14:paraId="60A223CC">
      <w:pPr>
        <w:tabs>
          <w:tab w:val="left" w:pos="240"/>
        </w:tabs>
        <w:spacing w:line="360" w:lineRule="auto"/>
        <w:ind w:left="-120" w:leftChars="-57" w:firstLine="480" w:firstLineChars="200"/>
        <w:rPr>
          <w:rFonts w:ascii="宋体" w:hAnsi="宋体"/>
          <w:sz w:val="24"/>
        </w:rPr>
      </w:pPr>
      <w:r>
        <w:rPr>
          <w:rFonts w:hint="eastAsia" w:ascii="宋体" w:hAnsi="宋体"/>
          <w:sz w:val="24"/>
        </w:rPr>
        <w:t>14.4响应报价表应有供应商公章及法定代表人或被授权人的签字；</w:t>
      </w:r>
    </w:p>
    <w:p w14:paraId="22C9A265">
      <w:pPr>
        <w:tabs>
          <w:tab w:val="left" w:pos="240"/>
        </w:tabs>
        <w:spacing w:line="360" w:lineRule="auto"/>
        <w:ind w:left="-120" w:leftChars="-57" w:firstLine="480" w:firstLineChars="200"/>
        <w:rPr>
          <w:rFonts w:ascii="宋体" w:hAnsi="宋体"/>
          <w:sz w:val="24"/>
        </w:rPr>
      </w:pPr>
      <w:r>
        <w:rPr>
          <w:rFonts w:hint="eastAsia" w:ascii="宋体" w:hAnsi="宋体"/>
          <w:sz w:val="24"/>
        </w:rPr>
        <w:t>14.5磋商文件中的响应报价表为一次报价，供应商磋商现场提交的二次报价为最终报价。</w:t>
      </w:r>
    </w:p>
    <w:p w14:paraId="3C5A4C03">
      <w:pPr>
        <w:tabs>
          <w:tab w:val="left" w:pos="240"/>
        </w:tabs>
        <w:spacing w:line="360" w:lineRule="auto"/>
        <w:ind w:left="-120" w:leftChars="-57" w:firstLine="480" w:firstLineChars="200"/>
        <w:rPr>
          <w:rFonts w:ascii="宋体" w:hAnsi="宋体"/>
          <w:sz w:val="24"/>
        </w:rPr>
      </w:pPr>
      <w:r>
        <w:rPr>
          <w:rFonts w:hint="eastAsia" w:ascii="宋体" w:hAnsi="宋体"/>
          <w:sz w:val="24"/>
        </w:rPr>
        <w:t>14.6合同价格：经磋商小组确认的某一供应商的最终报价，在合同执行过程中是固定不变的，不受外汇汇率及市场价格变化的影响；</w:t>
      </w:r>
    </w:p>
    <w:p w14:paraId="3BEE6AD0">
      <w:pPr>
        <w:tabs>
          <w:tab w:val="left" w:pos="240"/>
        </w:tabs>
        <w:spacing w:line="360" w:lineRule="auto"/>
        <w:ind w:left="-120" w:leftChars="-57" w:firstLine="480" w:firstLineChars="200"/>
        <w:rPr>
          <w:rFonts w:ascii="宋体" w:hAnsi="宋体"/>
          <w:sz w:val="24"/>
        </w:rPr>
      </w:pPr>
      <w:r>
        <w:rPr>
          <w:rFonts w:hint="eastAsia" w:ascii="宋体" w:hAnsi="宋体"/>
          <w:sz w:val="24"/>
        </w:rPr>
        <w:t>14.7凡因供应商对磋商文件阅读不深、理解不透、误解、疏漏、或因市场行情了解不清造成的后果和风险均由供应商自负；</w:t>
      </w:r>
    </w:p>
    <w:p w14:paraId="5B2DB724">
      <w:pPr>
        <w:tabs>
          <w:tab w:val="left" w:pos="240"/>
        </w:tabs>
        <w:spacing w:line="360" w:lineRule="auto"/>
        <w:ind w:left="-120" w:leftChars="-57" w:firstLine="480" w:firstLineChars="200"/>
        <w:rPr>
          <w:rFonts w:ascii="宋体" w:hAnsi="宋体"/>
          <w:sz w:val="24"/>
        </w:rPr>
      </w:pPr>
      <w:r>
        <w:rPr>
          <w:rFonts w:hint="eastAsia" w:ascii="宋体" w:hAnsi="宋体"/>
          <w:sz w:val="24"/>
        </w:rPr>
        <w:t>14.8最低报价不是成交的唯一依据；</w:t>
      </w:r>
    </w:p>
    <w:p w14:paraId="1CC3E8C1">
      <w:pPr>
        <w:tabs>
          <w:tab w:val="left" w:pos="240"/>
        </w:tabs>
        <w:spacing w:line="360" w:lineRule="auto"/>
        <w:ind w:left="-120" w:leftChars="-57" w:firstLine="480" w:firstLineChars="200"/>
        <w:rPr>
          <w:rFonts w:ascii="宋体" w:hAnsi="宋体"/>
          <w:sz w:val="24"/>
        </w:rPr>
      </w:pPr>
      <w:r>
        <w:rPr>
          <w:rFonts w:hint="eastAsia" w:ascii="宋体" w:hAnsi="宋体"/>
          <w:sz w:val="24"/>
        </w:rPr>
        <w:t>14.9供应商不得以低于成本的报价参加磋商。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响应处理。</w:t>
      </w:r>
    </w:p>
    <w:p w14:paraId="24A73655">
      <w:pPr>
        <w:spacing w:line="360" w:lineRule="auto"/>
        <w:ind w:firstLine="482" w:firstLineChars="200"/>
        <w:rPr>
          <w:rFonts w:ascii="宋体" w:hAnsi="宋体"/>
          <w:b/>
          <w:bCs/>
          <w:sz w:val="24"/>
        </w:rPr>
      </w:pPr>
      <w:r>
        <w:rPr>
          <w:rFonts w:hint="eastAsia" w:ascii="宋体" w:hAnsi="宋体"/>
          <w:b/>
          <w:bCs/>
          <w:sz w:val="24"/>
        </w:rPr>
        <w:t>14.10供应商对响应项目只允许有一个报价，不接受超过磋商文件中规定的预算金额的报价、可变动性报价，否则视为无效响应。</w:t>
      </w:r>
    </w:p>
    <w:p w14:paraId="2E5C5242">
      <w:pPr>
        <w:tabs>
          <w:tab w:val="left" w:pos="240"/>
        </w:tabs>
        <w:spacing w:line="360" w:lineRule="auto"/>
        <w:ind w:left="-120" w:leftChars="-57" w:firstLine="482" w:firstLineChars="200"/>
        <w:rPr>
          <w:rFonts w:ascii="宋体" w:hAnsi="宋体"/>
          <w:sz w:val="24"/>
        </w:rPr>
      </w:pPr>
      <w:r>
        <w:rPr>
          <w:rFonts w:hint="eastAsia" w:ascii="宋体" w:hAnsi="宋体"/>
          <w:b/>
          <w:bCs/>
          <w:sz w:val="24"/>
        </w:rPr>
        <w:t>15.磋商保证金</w:t>
      </w:r>
    </w:p>
    <w:p w14:paraId="2EB0FA16">
      <w:pPr>
        <w:tabs>
          <w:tab w:val="left" w:pos="240"/>
        </w:tabs>
        <w:spacing w:line="360" w:lineRule="auto"/>
        <w:ind w:left="-120" w:leftChars="-57" w:firstLine="480" w:firstLineChars="200"/>
        <w:rPr>
          <w:rFonts w:ascii="宋体" w:hAnsi="宋体"/>
          <w:sz w:val="24"/>
        </w:rPr>
      </w:pPr>
      <w:r>
        <w:rPr>
          <w:rFonts w:hint="eastAsia" w:ascii="宋体" w:hAnsi="宋体"/>
          <w:sz w:val="24"/>
        </w:rPr>
        <w:t>磋商保证金的交纳详见供应商须知前附表中规定的要求。</w:t>
      </w:r>
    </w:p>
    <w:p w14:paraId="02DF6894">
      <w:pPr>
        <w:tabs>
          <w:tab w:val="left" w:pos="240"/>
        </w:tabs>
        <w:spacing w:line="360" w:lineRule="auto"/>
        <w:ind w:left="-120" w:leftChars="-57" w:firstLine="480" w:firstLineChars="200"/>
        <w:rPr>
          <w:rFonts w:ascii="宋体" w:hAnsi="宋体"/>
          <w:sz w:val="24"/>
        </w:rPr>
      </w:pPr>
      <w:r>
        <w:rPr>
          <w:rFonts w:hint="eastAsia" w:ascii="宋体" w:hAnsi="宋体"/>
          <w:sz w:val="24"/>
        </w:rPr>
        <w:t>15.1磋商保证金退还：</w:t>
      </w:r>
    </w:p>
    <w:p w14:paraId="143C9716">
      <w:pPr>
        <w:tabs>
          <w:tab w:val="left" w:pos="240"/>
        </w:tabs>
        <w:spacing w:line="360" w:lineRule="auto"/>
        <w:ind w:left="-120" w:leftChars="-57" w:firstLine="480" w:firstLineChars="200"/>
        <w:rPr>
          <w:rFonts w:ascii="宋体" w:hAnsi="宋体"/>
          <w:sz w:val="24"/>
        </w:rPr>
      </w:pPr>
      <w:r>
        <w:rPr>
          <w:rFonts w:hint="eastAsia" w:ascii="宋体" w:hAnsi="宋体"/>
          <w:sz w:val="24"/>
        </w:rPr>
        <w:t>15.1.1未成交供应商：自成交通知书发出之日起5个工作日内退还未成交供应商的磋商保证金，无需亲自前来办理；</w:t>
      </w:r>
    </w:p>
    <w:p w14:paraId="66A90817">
      <w:pPr>
        <w:tabs>
          <w:tab w:val="left" w:pos="240"/>
        </w:tabs>
        <w:spacing w:line="360" w:lineRule="auto"/>
        <w:ind w:left="-120" w:leftChars="-57" w:firstLine="480" w:firstLineChars="200"/>
        <w:rPr>
          <w:rFonts w:ascii="宋体" w:hAnsi="宋体"/>
          <w:sz w:val="24"/>
        </w:rPr>
      </w:pPr>
      <w:r>
        <w:rPr>
          <w:rFonts w:hint="eastAsia" w:ascii="宋体" w:hAnsi="宋体"/>
          <w:sz w:val="24"/>
        </w:rPr>
        <w:t>15.1.2成交供应商：自采购合同签订之日起5个工作日内退还成交供应商的磋商保证金。（须携带合同原件、合同复印件（加盖单位鲜章）各一份，同时将合同扫描件发送至联系人邮箱），但因成交供应商自身原因导致无法及时退还的除外。</w:t>
      </w:r>
    </w:p>
    <w:p w14:paraId="180FD014">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15.2服务费缴纳：领取成交通知书前，成交供应商须缴纳足额的成交服务费（支付方式：银行转账或现金）。</w:t>
      </w:r>
    </w:p>
    <w:p w14:paraId="6FE9132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成交服务费查询请联系：029-81169855</w:t>
      </w:r>
    </w:p>
    <w:p w14:paraId="4A81C14F">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15.3有下列情况之一的，采购代理机构不予退还其交纳的磋商保证金；情节严重的，由财政部门将其列入不良行为记录名单，在一至三年内禁止参加政府采购活动，并予以通报； </w:t>
      </w:r>
    </w:p>
    <w:p w14:paraId="465C1AC3">
      <w:pPr>
        <w:tabs>
          <w:tab w:val="left" w:pos="240"/>
        </w:tabs>
        <w:spacing w:line="360" w:lineRule="auto"/>
        <w:ind w:left="-120" w:leftChars="-57" w:firstLine="480" w:firstLineChars="200"/>
        <w:rPr>
          <w:rFonts w:ascii="宋体" w:hAnsi="宋体"/>
          <w:sz w:val="24"/>
        </w:rPr>
      </w:pPr>
      <w:r>
        <w:rPr>
          <w:rFonts w:hint="eastAsia" w:ascii="宋体" w:hAnsi="宋体"/>
          <w:sz w:val="24"/>
        </w:rPr>
        <w:t>15.3.1磋商后在磋商文件规定的响应有效期间，供应商撤回其响应文件的；</w:t>
      </w:r>
    </w:p>
    <w:p w14:paraId="015C15A2">
      <w:pPr>
        <w:tabs>
          <w:tab w:val="left" w:pos="240"/>
        </w:tabs>
        <w:spacing w:line="360" w:lineRule="auto"/>
        <w:ind w:left="-120" w:leftChars="-57" w:firstLine="480" w:firstLineChars="200"/>
        <w:rPr>
          <w:rFonts w:ascii="宋体" w:hAnsi="宋体"/>
          <w:sz w:val="24"/>
        </w:rPr>
      </w:pPr>
      <w:r>
        <w:rPr>
          <w:rFonts w:hint="eastAsia" w:ascii="宋体" w:hAnsi="宋体"/>
          <w:sz w:val="24"/>
        </w:rPr>
        <w:t>15.3.2成交供应商无正当理由不与采购人签订合同的；</w:t>
      </w:r>
    </w:p>
    <w:p w14:paraId="3EA1CD91">
      <w:pPr>
        <w:tabs>
          <w:tab w:val="left" w:pos="240"/>
        </w:tabs>
        <w:spacing w:line="360" w:lineRule="auto"/>
        <w:ind w:left="-120" w:leftChars="-57" w:firstLine="480" w:firstLineChars="200"/>
        <w:rPr>
          <w:rFonts w:ascii="宋体" w:hAnsi="宋体"/>
          <w:sz w:val="24"/>
        </w:rPr>
      </w:pPr>
      <w:r>
        <w:rPr>
          <w:rFonts w:hint="eastAsia" w:ascii="宋体" w:hAnsi="宋体"/>
          <w:sz w:val="24"/>
        </w:rPr>
        <w:t>15.3.3成交供应商将成交项目转让给他人，或者在响应文件中未说明，且未经采购人同意，将成交项目分包给他人的；</w:t>
      </w:r>
    </w:p>
    <w:p w14:paraId="74750D9D">
      <w:pPr>
        <w:tabs>
          <w:tab w:val="left" w:pos="240"/>
        </w:tabs>
        <w:spacing w:line="360" w:lineRule="auto"/>
        <w:ind w:left="-120" w:leftChars="-57" w:firstLine="480" w:firstLineChars="200"/>
        <w:rPr>
          <w:rFonts w:ascii="宋体" w:hAnsi="宋体"/>
          <w:sz w:val="24"/>
        </w:rPr>
      </w:pPr>
      <w:r>
        <w:rPr>
          <w:rFonts w:hint="eastAsia" w:ascii="宋体" w:hAnsi="宋体"/>
          <w:sz w:val="24"/>
        </w:rPr>
        <w:t>15.3.4成交供应商拒绝履行合同义务的；</w:t>
      </w:r>
    </w:p>
    <w:p w14:paraId="5AB3AA61">
      <w:pPr>
        <w:tabs>
          <w:tab w:val="left" w:pos="240"/>
        </w:tabs>
        <w:spacing w:line="360" w:lineRule="auto"/>
        <w:ind w:left="-120" w:leftChars="-57" w:firstLine="480" w:firstLineChars="200"/>
        <w:rPr>
          <w:rFonts w:ascii="宋体" w:hAnsi="宋体"/>
          <w:sz w:val="24"/>
        </w:rPr>
      </w:pPr>
      <w:r>
        <w:rPr>
          <w:rFonts w:hint="eastAsia" w:ascii="宋体" w:hAnsi="宋体"/>
          <w:sz w:val="24"/>
        </w:rPr>
        <w:t>15.3.5成交供应商未按时缴付成交服务费的；</w:t>
      </w:r>
    </w:p>
    <w:p w14:paraId="7F5DA2FC">
      <w:pPr>
        <w:tabs>
          <w:tab w:val="left" w:pos="240"/>
        </w:tabs>
        <w:spacing w:line="360" w:lineRule="auto"/>
        <w:ind w:left="-120" w:leftChars="-57" w:firstLine="480" w:firstLineChars="200"/>
        <w:rPr>
          <w:rFonts w:ascii="宋体" w:hAnsi="宋体"/>
          <w:sz w:val="24"/>
        </w:rPr>
      </w:pPr>
      <w:r>
        <w:rPr>
          <w:rFonts w:hint="eastAsia" w:ascii="宋体" w:hAnsi="宋体"/>
          <w:sz w:val="24"/>
        </w:rPr>
        <w:t>15.3.6由于成交供应商的原因导致成交无效的。</w:t>
      </w:r>
    </w:p>
    <w:p w14:paraId="3EE6D4EF">
      <w:pPr>
        <w:tabs>
          <w:tab w:val="left" w:pos="240"/>
        </w:tabs>
        <w:spacing w:line="360" w:lineRule="auto"/>
        <w:ind w:left="-120" w:leftChars="-57" w:firstLine="480" w:firstLineChars="200"/>
        <w:rPr>
          <w:rFonts w:ascii="宋体" w:hAnsi="宋体"/>
          <w:sz w:val="24"/>
        </w:rPr>
      </w:pPr>
      <w:r>
        <w:rPr>
          <w:rFonts w:hint="eastAsia" w:ascii="宋体" w:hAnsi="宋体"/>
          <w:sz w:val="24"/>
        </w:rPr>
        <w:t>15.4政府采购信用担保及信用融资政策</w:t>
      </w:r>
    </w:p>
    <w:p w14:paraId="0A07156B">
      <w:pPr>
        <w:tabs>
          <w:tab w:val="left" w:pos="240"/>
        </w:tabs>
        <w:spacing w:line="360" w:lineRule="auto"/>
        <w:ind w:left="-120" w:leftChars="-57" w:firstLine="480" w:firstLineChars="200"/>
        <w:rPr>
          <w:rFonts w:ascii="宋体" w:hAnsi="宋体"/>
          <w:sz w:val="24"/>
        </w:rPr>
      </w:pPr>
      <w:r>
        <w:rPr>
          <w:rFonts w:hint="eastAsia" w:ascii="宋体" w:hAnsi="宋体"/>
          <w:sz w:val="24"/>
        </w:rPr>
        <w:t>支持和促进中小企业发展，进一步发挥政府采购政策功能作用，有效缓解中小企业融资难、融资贵问题，根据《政府采购促进中小企业发展管理办法》（财库〔2020〕46号）及陕西省财政厅关于印发《陕西省中小企业政府采购信用融资办法》陕财办采〔2018〕23号规定，有需要的供应商可自行决定是否参加，并按信用融资办法的相关程序申请办理。</w:t>
      </w:r>
    </w:p>
    <w:p w14:paraId="5E2C46AF">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16.响应文件的有效期</w:t>
      </w:r>
    </w:p>
    <w:p w14:paraId="483131D1">
      <w:pPr>
        <w:tabs>
          <w:tab w:val="left" w:pos="240"/>
        </w:tabs>
        <w:spacing w:line="360" w:lineRule="auto"/>
        <w:ind w:left="-120" w:leftChars="-57" w:firstLine="480" w:firstLineChars="200"/>
        <w:rPr>
          <w:rFonts w:ascii="宋体" w:hAnsi="宋体"/>
          <w:sz w:val="24"/>
        </w:rPr>
      </w:pPr>
      <w:r>
        <w:rPr>
          <w:rFonts w:hint="eastAsia" w:ascii="宋体" w:hAnsi="宋体"/>
          <w:sz w:val="24"/>
        </w:rPr>
        <w:t>响应文件有效期为自磋商之日起算90个日历日；响应文件无有效期或有效期短于磋商文件规定的有效期，按无效响应文件处理。成交供应商的响应文件有效期延长至合同执行完毕。</w:t>
      </w:r>
    </w:p>
    <w:p w14:paraId="3219E3F7">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17.响应文件的签署及规定</w:t>
      </w:r>
    </w:p>
    <w:p w14:paraId="6BF9931C">
      <w:pPr>
        <w:tabs>
          <w:tab w:val="left" w:pos="240"/>
        </w:tabs>
        <w:spacing w:line="360" w:lineRule="auto"/>
        <w:ind w:left="-120" w:leftChars="-57" w:firstLine="480" w:firstLineChars="200"/>
        <w:rPr>
          <w:rFonts w:ascii="宋体" w:hAnsi="宋体"/>
          <w:sz w:val="24"/>
        </w:rPr>
      </w:pPr>
      <w:r>
        <w:rPr>
          <w:rFonts w:hint="eastAsia" w:ascii="宋体" w:hAnsi="宋体"/>
          <w:sz w:val="24"/>
        </w:rPr>
        <w:t>17.1供应商须依据磋商文件内容和响应文件的要求编制响应文件；</w:t>
      </w:r>
    </w:p>
    <w:p w14:paraId="38241DE4">
      <w:pPr>
        <w:tabs>
          <w:tab w:val="left" w:pos="240"/>
        </w:tabs>
        <w:spacing w:line="360" w:lineRule="auto"/>
        <w:ind w:left="-120" w:leftChars="-57" w:firstLine="480" w:firstLineChars="200"/>
        <w:rPr>
          <w:rFonts w:ascii="宋体" w:hAnsi="宋体"/>
          <w:sz w:val="24"/>
        </w:rPr>
      </w:pPr>
      <w:r>
        <w:rPr>
          <w:rFonts w:hint="eastAsia" w:ascii="宋体" w:hAnsi="宋体"/>
          <w:sz w:val="24"/>
        </w:rPr>
        <w:t>17.2本次磋商需提交的响应文件详见供应商须知前附表中规定的要求。</w:t>
      </w:r>
    </w:p>
    <w:p w14:paraId="318D008C">
      <w:pPr>
        <w:tabs>
          <w:tab w:val="left" w:pos="240"/>
        </w:tabs>
        <w:spacing w:line="360" w:lineRule="auto"/>
        <w:ind w:left="-120" w:leftChars="-57" w:firstLine="480" w:firstLineChars="200"/>
        <w:rPr>
          <w:rFonts w:ascii="宋体" w:hAnsi="宋体"/>
          <w:sz w:val="24"/>
        </w:rPr>
      </w:pPr>
      <w:r>
        <w:rPr>
          <w:rFonts w:hint="eastAsia" w:ascii="宋体" w:hAnsi="宋体"/>
          <w:sz w:val="24"/>
        </w:rPr>
        <w:t>17.3供应商在响应文件中指定的页面落款处，必须按磋商文件要求加盖公章或签字；</w:t>
      </w:r>
    </w:p>
    <w:p w14:paraId="3391B003">
      <w:pPr>
        <w:tabs>
          <w:tab w:val="left" w:pos="240"/>
        </w:tabs>
        <w:spacing w:line="360" w:lineRule="auto"/>
        <w:ind w:left="-120" w:leftChars="-57" w:firstLine="480" w:firstLineChars="200"/>
        <w:rPr>
          <w:rFonts w:ascii="宋体" w:hAnsi="宋体"/>
          <w:sz w:val="24"/>
        </w:rPr>
      </w:pPr>
      <w:r>
        <w:rPr>
          <w:rFonts w:hint="eastAsia" w:ascii="宋体" w:hAnsi="宋体"/>
          <w:sz w:val="24"/>
        </w:rPr>
        <w:t>17.4供应商名称应填写全称，同时加盖公章；</w:t>
      </w:r>
    </w:p>
    <w:p w14:paraId="2D107295">
      <w:pPr>
        <w:tabs>
          <w:tab w:val="left" w:pos="240"/>
        </w:tabs>
        <w:spacing w:line="360" w:lineRule="auto"/>
        <w:ind w:left="-120" w:leftChars="-57" w:firstLine="480" w:firstLineChars="200"/>
        <w:rPr>
          <w:rFonts w:ascii="宋体" w:hAnsi="宋体"/>
          <w:sz w:val="24"/>
        </w:rPr>
      </w:pPr>
      <w:r>
        <w:rPr>
          <w:rFonts w:hint="eastAsia" w:ascii="宋体" w:hAnsi="宋体"/>
          <w:sz w:val="24"/>
        </w:rPr>
        <w:t>17.5响应文件的任何行间插字、涂改和增删，必须由法定代表人或被授权人在改动处旁签字方为有效；</w:t>
      </w:r>
    </w:p>
    <w:p w14:paraId="60582025">
      <w:pPr>
        <w:tabs>
          <w:tab w:val="left" w:pos="240"/>
        </w:tabs>
        <w:spacing w:line="360" w:lineRule="auto"/>
        <w:ind w:left="-120" w:leftChars="-57" w:firstLine="480" w:firstLineChars="200"/>
        <w:rPr>
          <w:rFonts w:ascii="宋体" w:hAnsi="宋体"/>
          <w:sz w:val="24"/>
        </w:rPr>
      </w:pPr>
      <w:r>
        <w:rPr>
          <w:rFonts w:hint="eastAsia" w:ascii="宋体" w:hAnsi="宋体"/>
          <w:sz w:val="24"/>
        </w:rPr>
        <w:t>17.6响应文件因字迹潦草或表达不清所引起的后果由供应商负责。</w:t>
      </w:r>
    </w:p>
    <w:p w14:paraId="22EC806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17.7为倡导节约用纸，规范响应文件编制，文件应采用双面打印或复印，为避免个别供应商过于追求文件厚度而采用二号等超大号字体、超大字间距及行距等：</w:t>
      </w:r>
    </w:p>
    <w:p w14:paraId="47DE1A08">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17.7.1响应文件（除特殊规格的图纸外）统一按照A4规格纸张制作；</w:t>
      </w:r>
    </w:p>
    <w:p w14:paraId="7E2DD841">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17.7.2建议正文字体大小采用小四或不超过四号字体编制、小标题字体大小合理设置；</w:t>
      </w:r>
    </w:p>
    <w:p w14:paraId="54F9CAF0">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17.7.3合理设置段落间距，建议正文行距不超过2倍、段前段后不超过1行。</w:t>
      </w:r>
    </w:p>
    <w:p w14:paraId="28BE44A4">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17.7.4响应文件超过200页应编制书脊，书脊内容包括但不限于项目编号+供应商名称。</w:t>
      </w:r>
    </w:p>
    <w:p w14:paraId="068A2EB3">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18.文字要求</w:t>
      </w:r>
    </w:p>
    <w:p w14:paraId="525DF17D">
      <w:pPr>
        <w:tabs>
          <w:tab w:val="left" w:pos="240"/>
        </w:tabs>
        <w:spacing w:line="360" w:lineRule="auto"/>
        <w:ind w:left="-120" w:leftChars="-57" w:firstLine="480" w:firstLineChars="200"/>
        <w:rPr>
          <w:rFonts w:ascii="宋体" w:hAnsi="宋体"/>
          <w:sz w:val="24"/>
        </w:rPr>
      </w:pPr>
      <w:r>
        <w:rPr>
          <w:rFonts w:hint="eastAsia" w:ascii="宋体" w:hAnsi="宋体"/>
          <w:sz w:val="24"/>
        </w:rPr>
        <w:t>本次磋商只接受简体中文文字的响应文件。</w:t>
      </w:r>
    </w:p>
    <w:p w14:paraId="692773CC">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五、响应文件封装、递交</w:t>
      </w:r>
    </w:p>
    <w:p w14:paraId="36B3B4B6">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19.响应文件的封装及标记</w:t>
      </w:r>
    </w:p>
    <w:p w14:paraId="2EA946FD">
      <w:pPr>
        <w:tabs>
          <w:tab w:val="left" w:pos="240"/>
        </w:tabs>
        <w:spacing w:line="360" w:lineRule="auto"/>
        <w:ind w:left="-120" w:leftChars="-57" w:firstLine="480" w:firstLineChars="200"/>
        <w:rPr>
          <w:rFonts w:ascii="宋体" w:hAnsi="宋体"/>
          <w:sz w:val="24"/>
        </w:rPr>
      </w:pPr>
      <w:r>
        <w:rPr>
          <w:rFonts w:hint="eastAsia" w:ascii="宋体" w:hAnsi="宋体"/>
          <w:sz w:val="24"/>
        </w:rPr>
        <w:t>19.1响应文件封装：</w:t>
      </w:r>
    </w:p>
    <w:p w14:paraId="2AB6730C">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19.1.1供应商应将响应文件的正本、副本、电子版响应文件，用单独的封袋分装密封（封袋不得有破损），在封袋上标明“正本”、“副本”及“电子版响应文件”字样，封袋正面要粘贴标识并加盖供应商公章。响应文件正本中的法人授权书须为原件，其他资格条件证明文件为复印件加盖供应商公章；响应文件副本可以为正本的复印件； </w:t>
      </w:r>
    </w:p>
    <w:p w14:paraId="1C5D5E9E">
      <w:pPr>
        <w:tabs>
          <w:tab w:val="left" w:pos="240"/>
        </w:tabs>
        <w:spacing w:line="360" w:lineRule="auto"/>
        <w:ind w:left="-120" w:leftChars="-57" w:firstLine="480" w:firstLineChars="200"/>
        <w:rPr>
          <w:rFonts w:ascii="宋体" w:hAnsi="宋体"/>
          <w:sz w:val="24"/>
        </w:rPr>
      </w:pPr>
      <w:r>
        <w:rPr>
          <w:rFonts w:hint="eastAsia" w:ascii="宋体" w:hAnsi="宋体"/>
          <w:sz w:val="24"/>
        </w:rPr>
        <w:t>19.1.2封袋正面标识式样（参见格式）。</w:t>
      </w:r>
    </w:p>
    <w:p w14:paraId="056387DC">
      <w:pPr>
        <w:tabs>
          <w:tab w:val="left" w:pos="240"/>
        </w:tabs>
        <w:spacing w:line="360" w:lineRule="auto"/>
        <w:ind w:left="-120" w:leftChars="-57" w:firstLine="480" w:firstLineChars="200"/>
        <w:rPr>
          <w:rFonts w:ascii="宋体" w:hAnsi="宋体"/>
          <w:sz w:val="24"/>
        </w:rPr>
      </w:pPr>
      <w:r>
        <w:rPr>
          <w:rFonts w:hint="eastAsia" w:ascii="宋体" w:hAnsi="宋体"/>
          <w:sz w:val="24"/>
        </w:rPr>
        <w:t>19.2如果供应商未按上述要求密封及加写标记的响应文件、误投、过早启封的响应文件，采购代理机构将拒绝接收，并退回供应商。采购代理机构对响应文件的误投和提前启封概不负责。</w:t>
      </w:r>
    </w:p>
    <w:p w14:paraId="7F535936">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20.响应文件递交</w:t>
      </w:r>
    </w:p>
    <w:p w14:paraId="783E2F9E">
      <w:pPr>
        <w:tabs>
          <w:tab w:val="left" w:pos="240"/>
        </w:tabs>
        <w:spacing w:line="360" w:lineRule="auto"/>
        <w:ind w:left="-120" w:leftChars="-57" w:firstLine="480" w:firstLineChars="200"/>
        <w:rPr>
          <w:rFonts w:ascii="宋体" w:hAnsi="宋体"/>
          <w:sz w:val="24"/>
        </w:rPr>
      </w:pPr>
      <w:r>
        <w:rPr>
          <w:rFonts w:hint="eastAsia" w:ascii="宋体" w:hAnsi="宋体"/>
          <w:sz w:val="24"/>
        </w:rPr>
        <w:t>20.1供应商必须在磋商文件规定的时间和地点，将全部响应文件递交至磋商现场；</w:t>
      </w:r>
    </w:p>
    <w:p w14:paraId="21E3D0E3">
      <w:pPr>
        <w:tabs>
          <w:tab w:val="left" w:pos="240"/>
        </w:tabs>
        <w:spacing w:line="360" w:lineRule="auto"/>
        <w:ind w:left="-120" w:leftChars="-57" w:firstLine="480" w:firstLineChars="200"/>
        <w:rPr>
          <w:rFonts w:ascii="宋体" w:hAnsi="宋体"/>
          <w:sz w:val="24"/>
        </w:rPr>
      </w:pPr>
      <w:r>
        <w:rPr>
          <w:rFonts w:hint="eastAsia" w:ascii="宋体" w:hAnsi="宋体"/>
          <w:sz w:val="24"/>
        </w:rPr>
        <w:t>20.2采购代理机构项目负责人在磋商文件规定的响应文件递交截止时间前，只负责响应文件的接收、清点、造册登记工作，并请法定代表人或被授权人签字确认，对其有效性不负任何责任；</w:t>
      </w:r>
    </w:p>
    <w:p w14:paraId="600368B4">
      <w:pPr>
        <w:tabs>
          <w:tab w:val="left" w:pos="240"/>
        </w:tabs>
        <w:spacing w:line="360" w:lineRule="auto"/>
        <w:ind w:left="-120" w:leftChars="-57" w:firstLine="480" w:firstLineChars="200"/>
        <w:rPr>
          <w:rFonts w:ascii="宋体" w:hAnsi="宋体"/>
          <w:sz w:val="24"/>
        </w:rPr>
      </w:pPr>
      <w:r>
        <w:rPr>
          <w:rFonts w:hint="eastAsia" w:ascii="宋体" w:hAnsi="宋体"/>
          <w:sz w:val="24"/>
        </w:rPr>
        <w:t>20.3采购代理机构在宣布递交响应文件时间截止之后，拒绝接收任何人送达、递交的响应文件；</w:t>
      </w:r>
    </w:p>
    <w:p w14:paraId="142B58F4">
      <w:pPr>
        <w:tabs>
          <w:tab w:val="left" w:pos="240"/>
        </w:tabs>
        <w:spacing w:line="360" w:lineRule="auto"/>
        <w:ind w:left="-120" w:leftChars="-57" w:firstLine="480" w:firstLineChars="200"/>
        <w:rPr>
          <w:rFonts w:ascii="宋体" w:hAnsi="宋体"/>
          <w:sz w:val="24"/>
        </w:rPr>
      </w:pPr>
      <w:r>
        <w:rPr>
          <w:rFonts w:hint="eastAsia" w:ascii="宋体" w:hAnsi="宋体"/>
          <w:sz w:val="24"/>
        </w:rPr>
        <w:t>20.4无论供应商成交与否或者废标，其响应文件恕不退还。</w:t>
      </w:r>
    </w:p>
    <w:p w14:paraId="5431BB10">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21.响应文件截止时间</w:t>
      </w:r>
    </w:p>
    <w:p w14:paraId="1CAC195D">
      <w:pPr>
        <w:tabs>
          <w:tab w:val="left" w:pos="240"/>
        </w:tabs>
        <w:spacing w:line="360" w:lineRule="auto"/>
        <w:ind w:left="-120" w:leftChars="-57" w:firstLine="480" w:firstLineChars="200"/>
        <w:rPr>
          <w:rFonts w:ascii="宋体" w:hAnsi="宋体"/>
          <w:sz w:val="24"/>
        </w:rPr>
      </w:pPr>
      <w:r>
        <w:rPr>
          <w:rFonts w:hint="eastAsia" w:ascii="宋体" w:hAnsi="宋体"/>
          <w:sz w:val="24"/>
        </w:rPr>
        <w:t>21.1供应商必须在磋商文件规定的递交截止时间之前递交响应文件，采购代理机构在截止时间后拒绝接收任何响应文件。</w:t>
      </w:r>
    </w:p>
    <w:p w14:paraId="2507AAA1">
      <w:pPr>
        <w:tabs>
          <w:tab w:val="left" w:pos="240"/>
        </w:tabs>
        <w:spacing w:line="360" w:lineRule="auto"/>
        <w:ind w:left="-120" w:leftChars="-57" w:firstLine="480" w:firstLineChars="200"/>
        <w:rPr>
          <w:rFonts w:ascii="宋体" w:hAnsi="宋体"/>
          <w:sz w:val="24"/>
        </w:rPr>
      </w:pPr>
      <w:r>
        <w:rPr>
          <w:rFonts w:hint="eastAsia" w:ascii="宋体" w:hAnsi="宋体"/>
          <w:sz w:val="24"/>
        </w:rPr>
        <w:t>21.2采购代理机构因采购人推迟磋商截止时间时，应以书面的形式，通知所有供应商；在这种情况下，采购代理机构和供应商的权利和义务将受到新的截止期的约束。</w:t>
      </w:r>
    </w:p>
    <w:p w14:paraId="31EF3E97">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22.响应文件的修改和撤回</w:t>
      </w:r>
    </w:p>
    <w:p w14:paraId="7F3F3F6F">
      <w:pPr>
        <w:tabs>
          <w:tab w:val="left" w:pos="240"/>
        </w:tabs>
        <w:spacing w:line="360" w:lineRule="auto"/>
        <w:ind w:left="-120" w:leftChars="-57" w:firstLine="480" w:firstLineChars="200"/>
        <w:rPr>
          <w:rFonts w:ascii="宋体" w:hAnsi="宋体"/>
          <w:sz w:val="24"/>
        </w:rPr>
      </w:pPr>
      <w:r>
        <w:rPr>
          <w:rFonts w:hint="eastAsia" w:ascii="宋体" w:hAnsi="宋体"/>
          <w:sz w:val="24"/>
        </w:rPr>
        <w:t>22.1响应文件递交后，如果供应商提出书面修改和撤回响应文件要求，在截止时间前以书面形式送达采购代理机构；</w:t>
      </w:r>
    </w:p>
    <w:p w14:paraId="003717B5">
      <w:pPr>
        <w:tabs>
          <w:tab w:val="left" w:pos="240"/>
        </w:tabs>
        <w:spacing w:line="360" w:lineRule="auto"/>
        <w:ind w:left="-120" w:leftChars="-57" w:firstLine="480" w:firstLineChars="200"/>
        <w:rPr>
          <w:rFonts w:ascii="宋体" w:hAnsi="宋体"/>
          <w:sz w:val="24"/>
        </w:rPr>
      </w:pPr>
      <w:r>
        <w:rPr>
          <w:rFonts w:hint="eastAsia" w:ascii="宋体" w:hAnsi="宋体"/>
          <w:sz w:val="24"/>
        </w:rPr>
        <w:t>22.2供应商修改响应文件的书面材料，须密封送达采购代理机构，修改或补充的内容应按磋商文件要求签署、盖章、密封、标记，并作为响应文件的组成部分；</w:t>
      </w:r>
    </w:p>
    <w:p w14:paraId="035D64F0">
      <w:pPr>
        <w:tabs>
          <w:tab w:val="left" w:pos="240"/>
        </w:tabs>
        <w:spacing w:line="360" w:lineRule="auto"/>
        <w:ind w:left="-120" w:leftChars="-57" w:firstLine="480" w:firstLineChars="200"/>
        <w:rPr>
          <w:rFonts w:ascii="宋体" w:hAnsi="宋体"/>
          <w:sz w:val="24"/>
        </w:rPr>
      </w:pPr>
      <w:r>
        <w:rPr>
          <w:rFonts w:hint="eastAsia" w:ascii="宋体" w:hAnsi="宋体"/>
          <w:sz w:val="24"/>
        </w:rPr>
        <w:t>22.3撤回响应文件应以书面的形式通知采购代理机构。采取书面形式撤回磋商响应文件，随后必须补充有法定代表人或被授权人签署的要求撤回磋商响应文件的正式文件；撤回磋商响应文件的时间以送达采购代理机构到达日期为准；</w:t>
      </w:r>
    </w:p>
    <w:p w14:paraId="20FEE8D5">
      <w:pPr>
        <w:tabs>
          <w:tab w:val="left" w:pos="240"/>
        </w:tabs>
        <w:spacing w:line="360" w:lineRule="auto"/>
        <w:ind w:left="-120" w:leftChars="-57" w:firstLine="480" w:firstLineChars="200"/>
        <w:rPr>
          <w:rFonts w:ascii="宋体" w:hAnsi="宋体"/>
          <w:sz w:val="24"/>
        </w:rPr>
      </w:pPr>
      <w:r>
        <w:rPr>
          <w:rFonts w:hint="eastAsia" w:ascii="宋体" w:hAnsi="宋体"/>
          <w:sz w:val="24"/>
        </w:rPr>
        <w:t>22.4在磋商截止时间后到磋商文件规定的磋商有效期满之间的这段时间内，供应商不得撤回其响应文件；</w:t>
      </w:r>
    </w:p>
    <w:p w14:paraId="579BA28E">
      <w:pPr>
        <w:tabs>
          <w:tab w:val="left" w:pos="240"/>
        </w:tabs>
        <w:spacing w:line="360" w:lineRule="auto"/>
        <w:ind w:left="-120" w:leftChars="-57" w:firstLine="480" w:firstLineChars="200"/>
        <w:rPr>
          <w:rFonts w:ascii="宋体" w:hAnsi="宋体"/>
          <w:sz w:val="24"/>
        </w:rPr>
      </w:pPr>
      <w:r>
        <w:rPr>
          <w:rFonts w:hint="eastAsia" w:ascii="宋体" w:hAnsi="宋体"/>
          <w:sz w:val="24"/>
        </w:rPr>
        <w:t>22.5供应商在响应文件递交截止时间后，不得对其响应文件做任何修改。</w:t>
      </w:r>
    </w:p>
    <w:p w14:paraId="78EBF50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六、磋商、澄清、成交</w:t>
      </w:r>
    </w:p>
    <w:p w14:paraId="49A5A2E7">
      <w:pPr>
        <w:tabs>
          <w:tab w:val="left" w:pos="240"/>
        </w:tabs>
        <w:spacing w:line="360" w:lineRule="auto"/>
        <w:ind w:left="-120" w:leftChars="-57" w:firstLine="482" w:firstLineChars="200"/>
        <w:rPr>
          <w:rFonts w:ascii="宋体" w:hAnsi="宋体"/>
          <w:sz w:val="24"/>
        </w:rPr>
      </w:pPr>
      <w:r>
        <w:rPr>
          <w:rFonts w:hint="eastAsia" w:ascii="宋体" w:hAnsi="宋体"/>
          <w:b/>
          <w:bCs/>
          <w:sz w:val="24"/>
          <w:u w:val="single"/>
        </w:rPr>
        <w:t>详见磋商文件第四部分。</w:t>
      </w:r>
    </w:p>
    <w:p w14:paraId="095AE38F">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七、签订合同</w:t>
      </w:r>
    </w:p>
    <w:p w14:paraId="5749BB27">
      <w:pPr>
        <w:tabs>
          <w:tab w:val="left" w:pos="240"/>
        </w:tabs>
        <w:spacing w:line="360" w:lineRule="auto"/>
        <w:ind w:left="-120" w:leftChars="-57" w:firstLine="480" w:firstLineChars="200"/>
        <w:rPr>
          <w:rFonts w:ascii="宋体" w:hAnsi="宋体"/>
          <w:sz w:val="24"/>
        </w:rPr>
      </w:pPr>
      <w:r>
        <w:rPr>
          <w:rFonts w:hint="eastAsia" w:ascii="宋体" w:hAnsi="宋体"/>
          <w:sz w:val="24"/>
        </w:rPr>
        <w:t>23.磋商文件、磋商文件的修改、补充文件,成交供应商的响应文件、补充或修改的文件及澄清或承诺文件等，均为双方签订《合同》的组成部分,并与《合同》一并作为本磋商文件所列采购项目的互补性法律文件,与《合同》具有同等法律效力。</w:t>
      </w:r>
    </w:p>
    <w:p w14:paraId="5B3EAFD0">
      <w:pPr>
        <w:tabs>
          <w:tab w:val="left" w:pos="240"/>
        </w:tabs>
        <w:spacing w:line="360" w:lineRule="auto"/>
        <w:ind w:left="-120" w:leftChars="-57" w:firstLine="480" w:firstLineChars="200"/>
        <w:rPr>
          <w:rFonts w:ascii="宋体" w:hAnsi="宋体"/>
          <w:sz w:val="24"/>
        </w:rPr>
      </w:pPr>
      <w:r>
        <w:rPr>
          <w:rFonts w:hint="eastAsia" w:ascii="宋体" w:hAnsi="宋体"/>
          <w:sz w:val="24"/>
        </w:rPr>
        <w:t>24.采购人和成交供应商应当自成交通知书发出之日起30个日历日内,根据磋商文件确定的事项和成交供应商的响应文件,参照本磋商文件《合同范本》订立书面合同。合同的标的、价款、质量、履行期限等主要条款应当与磋商文件和成交供应商的响应文件内容一致。 采购人或成交供应商不得拒绝或拖延与另一方签订合同,采购人和成交供应商不得再行订立背离磋商文件、响应文件实质性内容的其他协议或其他附加条件。</w:t>
      </w:r>
    </w:p>
    <w:p w14:paraId="10C42AC1">
      <w:pPr>
        <w:tabs>
          <w:tab w:val="left" w:pos="240"/>
        </w:tabs>
        <w:spacing w:line="360" w:lineRule="auto"/>
        <w:ind w:left="-120" w:leftChars="-57" w:firstLine="480" w:firstLineChars="200"/>
        <w:rPr>
          <w:rFonts w:ascii="宋体" w:hAnsi="宋体"/>
          <w:sz w:val="24"/>
        </w:rPr>
      </w:pPr>
      <w:r>
        <w:rPr>
          <w:rFonts w:hint="eastAsia" w:ascii="宋体" w:hAnsi="宋体"/>
          <w:sz w:val="24"/>
        </w:rPr>
        <w:t>25.政府采购合同履行中，采购人需追加与合同标的相同的货物、工程或者服务的，在不改变合同其他条款的前提下，可以根据相关政策法规与成交供应商协商签订补充合同。</w:t>
      </w:r>
    </w:p>
    <w:p w14:paraId="6AB9E8EE">
      <w:pPr>
        <w:tabs>
          <w:tab w:val="left" w:pos="240"/>
        </w:tabs>
        <w:spacing w:line="360" w:lineRule="auto"/>
        <w:ind w:left="-120" w:leftChars="-57" w:firstLine="480" w:firstLineChars="200"/>
        <w:rPr>
          <w:rFonts w:ascii="宋体" w:hAnsi="宋体"/>
          <w:sz w:val="24"/>
        </w:rPr>
      </w:pPr>
      <w:r>
        <w:rPr>
          <w:rFonts w:hint="eastAsia" w:ascii="宋体" w:hAnsi="宋体"/>
          <w:sz w:val="24"/>
        </w:rPr>
        <w:t>26.成交供应商无正当理由拒签合同的,或接到成交通知书后在规定的时间内,借故拖延、拒签合同者,采购人取消其成交资格,其磋商保证金不予退还；给采购人造成的损失超过磋商保证金数额的, 成交供应商还应当对超过部分予以赔偿。同时报请政府采购监督机构通报全省,取消其进入政府采购市场的资格,并按规定予以处罚。</w:t>
      </w:r>
    </w:p>
    <w:p w14:paraId="60023C5D">
      <w:pPr>
        <w:tabs>
          <w:tab w:val="left" w:pos="240"/>
        </w:tabs>
        <w:spacing w:line="360" w:lineRule="auto"/>
        <w:ind w:left="-120" w:leftChars="-57" w:firstLine="480" w:firstLineChars="200"/>
        <w:rPr>
          <w:rFonts w:ascii="宋体" w:hAnsi="宋体"/>
          <w:sz w:val="24"/>
        </w:rPr>
      </w:pPr>
      <w:r>
        <w:rPr>
          <w:rFonts w:hint="eastAsia" w:ascii="宋体" w:hAnsi="宋体"/>
          <w:sz w:val="24"/>
        </w:rPr>
        <w:t>发出成交通知书后,采购人无正当理由拒签合同，给成交供应商造成损失的,应当赔偿损失。</w:t>
      </w:r>
    </w:p>
    <w:p w14:paraId="10B69BE0">
      <w:pPr>
        <w:tabs>
          <w:tab w:val="left" w:pos="240"/>
        </w:tabs>
        <w:spacing w:line="360" w:lineRule="auto"/>
        <w:ind w:left="-120" w:leftChars="-57" w:firstLine="480" w:firstLineChars="200"/>
        <w:rPr>
          <w:rFonts w:ascii="宋体" w:hAnsi="宋体"/>
          <w:sz w:val="24"/>
        </w:rPr>
      </w:pPr>
      <w:r>
        <w:rPr>
          <w:rFonts w:hint="eastAsia" w:ascii="宋体" w:hAnsi="宋体"/>
          <w:sz w:val="24"/>
        </w:rPr>
        <w:t>逾期未签订合同,按照有关法律规定承担相应的法律责任。</w:t>
      </w:r>
    </w:p>
    <w:p w14:paraId="46251CF8">
      <w:pPr>
        <w:tabs>
          <w:tab w:val="left" w:pos="240"/>
        </w:tabs>
        <w:spacing w:line="360" w:lineRule="auto"/>
        <w:ind w:left="-120" w:leftChars="-57" w:firstLine="480" w:firstLineChars="200"/>
        <w:rPr>
          <w:rFonts w:ascii="宋体" w:hAnsi="宋体"/>
          <w:sz w:val="24"/>
        </w:rPr>
      </w:pPr>
      <w:r>
        <w:rPr>
          <w:rFonts w:hint="eastAsia" w:ascii="宋体" w:hAnsi="宋体"/>
          <w:sz w:val="24"/>
        </w:rPr>
        <w:t>27.成交供应商应当按照合同约定履行义务，完成成交的项目。成交供应商不得向他人转让成交的项目。</w:t>
      </w:r>
    </w:p>
    <w:p w14:paraId="1CB9BDA8">
      <w:pPr>
        <w:tabs>
          <w:tab w:val="left" w:pos="240"/>
        </w:tabs>
        <w:spacing w:line="360" w:lineRule="auto"/>
        <w:ind w:left="-120" w:leftChars="-57" w:firstLine="480" w:firstLineChars="200"/>
        <w:rPr>
          <w:rFonts w:ascii="宋体" w:hAnsi="宋体"/>
          <w:sz w:val="24"/>
        </w:rPr>
      </w:pPr>
      <w:r>
        <w:rPr>
          <w:rFonts w:hint="eastAsia" w:ascii="宋体" w:hAnsi="宋体"/>
          <w:sz w:val="24"/>
        </w:rPr>
        <w:t>28.根据需要，采购代理机构可会同采购人负责监督、协调和处理履约过程中出现的问题；</w:t>
      </w:r>
    </w:p>
    <w:p w14:paraId="06360EC3">
      <w:pPr>
        <w:tabs>
          <w:tab w:val="left" w:pos="240"/>
        </w:tabs>
        <w:spacing w:line="360" w:lineRule="auto"/>
        <w:ind w:left="-120" w:leftChars="-57" w:firstLine="480" w:firstLineChars="200"/>
        <w:rPr>
          <w:rFonts w:ascii="宋体" w:hAnsi="宋体"/>
          <w:sz w:val="24"/>
        </w:rPr>
      </w:pPr>
      <w:r>
        <w:rPr>
          <w:rFonts w:hint="eastAsia" w:ascii="宋体" w:hAnsi="宋体"/>
          <w:sz w:val="24"/>
        </w:rPr>
        <w:t>29.政府采购管理部门在合同履行期间以及履行期后，可以随时检查项目的执行情况，对采购标准、采购内容进行调查核实，并对发现的问题进行处理。</w:t>
      </w:r>
    </w:p>
    <w:p w14:paraId="005A76BF">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八、成交服务费</w:t>
      </w:r>
    </w:p>
    <w:p w14:paraId="3DD06B4E">
      <w:pPr>
        <w:tabs>
          <w:tab w:val="left" w:pos="240"/>
        </w:tabs>
        <w:spacing w:line="360" w:lineRule="auto"/>
        <w:ind w:left="-120" w:leftChars="-57" w:firstLine="480" w:firstLineChars="200"/>
        <w:rPr>
          <w:rFonts w:ascii="宋体" w:hAnsi="宋体"/>
          <w:sz w:val="24"/>
        </w:rPr>
      </w:pPr>
      <w:r>
        <w:rPr>
          <w:rFonts w:hint="eastAsia" w:ascii="宋体" w:hAnsi="宋体"/>
          <w:sz w:val="24"/>
        </w:rPr>
        <w:t>成交服务费缴纳详见供应商须知前附表中规定的要求。</w:t>
      </w:r>
    </w:p>
    <w:p w14:paraId="0B74FCA0">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九、特殊情况处理</w:t>
      </w:r>
    </w:p>
    <w:p w14:paraId="082DDA05">
      <w:pPr>
        <w:tabs>
          <w:tab w:val="left" w:pos="240"/>
        </w:tabs>
        <w:spacing w:line="360" w:lineRule="auto"/>
        <w:ind w:left="-120" w:leftChars="-57" w:firstLine="480" w:firstLineChars="200"/>
        <w:rPr>
          <w:rFonts w:ascii="宋体" w:hAnsi="宋体"/>
          <w:sz w:val="24"/>
        </w:rPr>
      </w:pPr>
      <w:r>
        <w:rPr>
          <w:rFonts w:hint="eastAsia" w:ascii="宋体" w:hAnsi="宋体"/>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DCDF3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十、其它事项</w:t>
      </w:r>
    </w:p>
    <w:p w14:paraId="2BC59E01">
      <w:pPr>
        <w:tabs>
          <w:tab w:val="left" w:pos="240"/>
        </w:tabs>
        <w:spacing w:line="360" w:lineRule="auto"/>
        <w:ind w:left="-120" w:leftChars="-57" w:firstLine="480" w:firstLineChars="200"/>
        <w:rPr>
          <w:rFonts w:ascii="宋体" w:hAnsi="宋体"/>
          <w:sz w:val="24"/>
        </w:rPr>
      </w:pPr>
      <w:r>
        <w:rPr>
          <w:rFonts w:hint="eastAsia" w:ascii="宋体" w:hAnsi="宋体"/>
          <w:sz w:val="24"/>
        </w:rPr>
        <w:t>30.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7500E612">
      <w:pPr>
        <w:spacing w:line="360" w:lineRule="auto"/>
        <w:ind w:firstLine="480" w:firstLineChars="200"/>
        <w:rPr>
          <w:rFonts w:ascii="宋体" w:hAnsi="宋体"/>
          <w:sz w:val="24"/>
        </w:rPr>
      </w:pPr>
      <w:r>
        <w:rPr>
          <w:rFonts w:hint="eastAsia" w:ascii="宋体" w:hAnsi="宋体"/>
          <w:sz w:val="24"/>
        </w:rPr>
        <w:t>31.其他未尽事宜，按照《中华人民共和国政府采购法》、《中华人民共和国政府采购法实施条例》等法律法规的有关条款执行。</w:t>
      </w:r>
    </w:p>
    <w:p w14:paraId="44FD0798">
      <w:pPr>
        <w:rPr>
          <w:rFonts w:ascii="宋体" w:hAnsi="宋体"/>
          <w:sz w:val="24"/>
        </w:rPr>
      </w:pPr>
      <w:r>
        <w:rPr>
          <w:rFonts w:hint="eastAsia" w:ascii="宋体" w:hAnsi="宋体"/>
          <w:sz w:val="24"/>
        </w:rPr>
        <w:br w:type="page"/>
      </w:r>
    </w:p>
    <w:bookmarkEnd w:id="10"/>
    <w:p w14:paraId="26666A6B">
      <w:pPr>
        <w:spacing w:before="114" w:line="225" w:lineRule="auto"/>
        <w:ind w:left="122"/>
        <w:rPr>
          <w:rStyle w:val="45"/>
          <w:rFonts w:ascii="黑体" w:hAnsi="黑体" w:eastAsia="黑体" w:cs="黑体"/>
          <w:sz w:val="32"/>
          <w:szCs w:val="32"/>
        </w:rPr>
      </w:pPr>
    </w:p>
    <w:p w14:paraId="0FF9AFA4">
      <w:pPr>
        <w:spacing w:before="114" w:line="225" w:lineRule="auto"/>
        <w:ind w:left="122"/>
        <w:rPr>
          <w:rStyle w:val="45"/>
          <w:rFonts w:ascii="黑体" w:hAnsi="黑体" w:eastAsia="黑体" w:cs="黑体"/>
          <w:sz w:val="32"/>
          <w:szCs w:val="32"/>
        </w:rPr>
      </w:pPr>
    </w:p>
    <w:p w14:paraId="0A378ABD">
      <w:pPr>
        <w:spacing w:before="114" w:line="225" w:lineRule="auto"/>
        <w:ind w:left="122"/>
        <w:rPr>
          <w:rStyle w:val="45"/>
          <w:rFonts w:ascii="黑体" w:hAnsi="黑体" w:eastAsia="黑体" w:cs="黑体"/>
          <w:sz w:val="32"/>
          <w:szCs w:val="32"/>
        </w:rPr>
      </w:pPr>
    </w:p>
    <w:p w14:paraId="6A2C5B65">
      <w:pPr>
        <w:spacing w:before="114" w:line="225" w:lineRule="auto"/>
        <w:ind w:left="122"/>
        <w:rPr>
          <w:rStyle w:val="45"/>
          <w:rFonts w:ascii="黑体" w:hAnsi="黑体" w:eastAsia="黑体" w:cs="黑体"/>
          <w:sz w:val="32"/>
          <w:szCs w:val="32"/>
        </w:rPr>
      </w:pPr>
    </w:p>
    <w:p w14:paraId="21914E57">
      <w:pPr>
        <w:spacing w:before="114" w:line="225" w:lineRule="auto"/>
        <w:ind w:left="122"/>
        <w:rPr>
          <w:rStyle w:val="45"/>
          <w:rFonts w:ascii="黑体" w:hAnsi="黑体" w:eastAsia="黑体" w:cs="黑体"/>
          <w:sz w:val="32"/>
          <w:szCs w:val="32"/>
        </w:rPr>
      </w:pPr>
    </w:p>
    <w:p w14:paraId="30390176">
      <w:pPr>
        <w:spacing w:before="114" w:line="225" w:lineRule="auto"/>
        <w:ind w:left="122"/>
        <w:rPr>
          <w:rStyle w:val="45"/>
          <w:rFonts w:ascii="黑体" w:hAnsi="黑体" w:eastAsia="黑体" w:cs="黑体"/>
          <w:sz w:val="32"/>
          <w:szCs w:val="32"/>
        </w:rPr>
      </w:pPr>
    </w:p>
    <w:p w14:paraId="74778C7A">
      <w:pPr>
        <w:spacing w:before="114" w:line="225" w:lineRule="auto"/>
        <w:ind w:left="122"/>
        <w:rPr>
          <w:rStyle w:val="45"/>
          <w:rFonts w:ascii="黑体" w:hAnsi="黑体" w:eastAsia="黑体" w:cs="黑体"/>
          <w:sz w:val="32"/>
          <w:szCs w:val="32"/>
        </w:rPr>
      </w:pPr>
    </w:p>
    <w:p w14:paraId="32A69AD2">
      <w:pPr>
        <w:spacing w:before="114" w:line="225" w:lineRule="auto"/>
        <w:ind w:left="122"/>
        <w:rPr>
          <w:rStyle w:val="45"/>
          <w:rFonts w:ascii="黑体" w:hAnsi="黑体" w:eastAsia="黑体" w:cs="黑体"/>
          <w:sz w:val="32"/>
          <w:szCs w:val="32"/>
        </w:rPr>
      </w:pPr>
    </w:p>
    <w:p w14:paraId="2DCE5019">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四</w:t>
      </w:r>
      <w:r>
        <w:rPr>
          <w:rFonts w:ascii="宋体" w:hAnsi="宋体"/>
          <w:b/>
          <w:bCs/>
          <w:spacing w:val="7"/>
          <w:sz w:val="52"/>
          <w:szCs w:val="52"/>
        </w:rPr>
        <w:t>部分</w:t>
      </w:r>
    </w:p>
    <w:p w14:paraId="51FE968E">
      <w:pPr>
        <w:spacing w:before="113" w:line="224" w:lineRule="auto"/>
        <w:ind w:right="420"/>
        <w:jc w:val="right"/>
        <w:rPr>
          <w:rFonts w:ascii="宋体" w:hAnsi="宋体"/>
          <w:b/>
          <w:bCs/>
          <w:sz w:val="52"/>
          <w:szCs w:val="52"/>
        </w:rPr>
      </w:pPr>
      <w:r>
        <w:rPr>
          <w:b/>
          <w:bCs/>
          <w:sz w:val="52"/>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6432;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LNZxWHtAQAA3QMAAA4AAABkcnMvZTJvRG9jLnhtbK1TzW4TMRC+&#10;I/EOlu9kN61S6CqbHhrKBUEk6ANMbG/Wkv/kcbPJS/ACSNzgxJE7b0N5DMbekEK55MAevOP5+Tzf&#10;5/H8amcN26qI2ruWTyc1Z8oJL7XbtPz2/c2zF5xhAifBeKdavlfIrxZPn8yH0Kgz33sjVWQE4rAZ&#10;Qsv7lEJTVSh6ZQEnPihHwc5HC4m2cVPJCAOhW1Od1fVFNfgoQ/RCIZJ3OQb5ATGeAui7Tgu19OLO&#10;KpdG1KgMJKKEvQ7IF6XbrlMive06VImZlhPTVFY6hOx1XqvFHJpNhNBrcWgBTmnhEScL2tGhR6gl&#10;JGB3Uf8DZbWIHn2XJsLbaiRSFCEW0/qRNu96CKpwIakxHEXH/wcr3mxXkWlJk3DOmQNLN37/8duP&#10;D59/fv9E6/3XL4wiJNMQsKHsa7eKhx2GVcycd120+U9s2K5Iuz9Kq3aJCXLOnk9ndU2qC4pdnM8y&#10;YvVQGiKmV8pblo2WG+0yb2hg+xrTmPo7JbuNYwN1fFnPMiLQFHZ0+2TaQEzQbUoxeqPljTYml2Dc&#10;rK9NZFvIk1C+Qw9/peVTloD9mFdCOQ2aXoF86SRL+0ASOXoaPPdgleTMKHpJ2SqZCbQ5JZPoG0cq&#10;ZGFHKbO19nJfFC5+uvWi02FC81j9uS/VD69y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xDnP&#10;0wAAAAgBAAAPAAAAAAAAAAEAIAAAACIAAABkcnMvZG93bnJldi54bWxQSwECFAAUAAAACACHTuJA&#10;s1nFYe0BAADdAwAADgAAAAAAAAABACAAAAAiAQAAZHJzL2Uyb0RvYy54bWxQSwUGAAAAAAYABgBZ&#10;AQAAgQUAAAAA&#10;">
                <v:fill on="f" focussize="0,0"/>
                <v:stroke weight="1.5pt" color="#000000" joinstyle="round"/>
                <v:imagedata o:title=""/>
                <o:lock v:ext="edit" aspectratio="f"/>
              </v:line>
            </w:pict>
          </mc:Fallback>
        </mc:AlternateContent>
      </w:r>
    </w:p>
    <w:p w14:paraId="0F104BE1">
      <w:pPr>
        <w:spacing w:before="113" w:line="224" w:lineRule="auto"/>
        <w:ind w:right="420"/>
        <w:jc w:val="right"/>
        <w:rPr>
          <w:rFonts w:ascii="宋体" w:hAnsi="宋体"/>
          <w:b/>
          <w:bCs/>
          <w:sz w:val="35"/>
          <w:szCs w:val="35"/>
        </w:rPr>
      </w:pPr>
      <w:r>
        <w:rPr>
          <w:rFonts w:hint="eastAsia" w:ascii="宋体" w:hAnsi="宋体"/>
          <w:b/>
          <w:bCs/>
          <w:spacing w:val="7"/>
          <w:sz w:val="52"/>
          <w:szCs w:val="52"/>
        </w:rPr>
        <w:t>磋商、澄清、成交</w:t>
      </w:r>
    </w:p>
    <w:p w14:paraId="01B32030">
      <w:pPr>
        <w:rPr>
          <w:rFonts w:ascii="黑体" w:hAnsi="黑体" w:eastAsia="黑体" w:cs="黑体"/>
          <w:sz w:val="32"/>
          <w:szCs w:val="32"/>
        </w:rPr>
      </w:pPr>
      <w:r>
        <w:rPr>
          <w:rFonts w:hint="eastAsia" w:ascii="黑体" w:hAnsi="黑体" w:eastAsia="黑体" w:cs="黑体"/>
          <w:sz w:val="32"/>
          <w:szCs w:val="32"/>
        </w:rPr>
        <w:br w:type="page"/>
      </w:r>
    </w:p>
    <w:p w14:paraId="49E56927">
      <w:pPr>
        <w:spacing w:line="360" w:lineRule="auto"/>
        <w:jc w:val="center"/>
        <w:outlineLvl w:val="0"/>
        <w:rPr>
          <w:rFonts w:ascii="黑体" w:hAnsi="黑体" w:eastAsia="黑体" w:cs="黑体"/>
          <w:b/>
          <w:bCs/>
          <w:sz w:val="32"/>
          <w:szCs w:val="32"/>
        </w:rPr>
      </w:pPr>
      <w:bookmarkStart w:id="14" w:name="_Toc9935"/>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磋商、澄清、成交</w:t>
      </w:r>
      <w:bookmarkEnd w:id="14"/>
    </w:p>
    <w:p w14:paraId="22FD7028">
      <w:pPr>
        <w:tabs>
          <w:tab w:val="left" w:pos="240"/>
        </w:tabs>
        <w:spacing w:line="360" w:lineRule="auto"/>
        <w:ind w:left="-120" w:leftChars="-57" w:firstLine="482" w:firstLineChars="200"/>
        <w:rPr>
          <w:rFonts w:ascii="宋体" w:hAnsi="宋体"/>
          <w:sz w:val="24"/>
        </w:rPr>
      </w:pPr>
      <w:r>
        <w:rPr>
          <w:rFonts w:hint="eastAsia" w:ascii="宋体" w:hAnsi="宋体"/>
          <w:b/>
          <w:bCs/>
          <w:sz w:val="24"/>
        </w:rPr>
        <w:t>1.磋商</w:t>
      </w:r>
      <w:r>
        <w:rPr>
          <w:rFonts w:hint="eastAsia" w:ascii="宋体" w:hAnsi="宋体"/>
          <w:sz w:val="24"/>
        </w:rPr>
        <w:tab/>
      </w:r>
    </w:p>
    <w:p w14:paraId="66FDC3F4">
      <w:pPr>
        <w:tabs>
          <w:tab w:val="left" w:pos="240"/>
        </w:tabs>
        <w:spacing w:line="360" w:lineRule="auto"/>
        <w:ind w:left="-120" w:leftChars="-57" w:firstLine="480" w:firstLineChars="200"/>
        <w:rPr>
          <w:rFonts w:ascii="宋体" w:hAnsi="宋体"/>
          <w:sz w:val="24"/>
        </w:rPr>
      </w:pPr>
      <w:r>
        <w:rPr>
          <w:rFonts w:hint="eastAsia" w:ascii="宋体" w:hAnsi="宋体"/>
          <w:sz w:val="24"/>
        </w:rPr>
        <w:t>1.1采购代理机构按磋商文件规定的时间、地点组织磋商会议。</w:t>
      </w:r>
    </w:p>
    <w:p w14:paraId="1E2CBCEE">
      <w:pPr>
        <w:tabs>
          <w:tab w:val="left" w:pos="240"/>
        </w:tabs>
        <w:spacing w:line="360" w:lineRule="auto"/>
        <w:ind w:left="-120" w:leftChars="-57" w:firstLine="480" w:firstLineChars="200"/>
        <w:rPr>
          <w:rFonts w:ascii="宋体" w:hAnsi="宋体"/>
          <w:sz w:val="24"/>
        </w:rPr>
      </w:pPr>
      <w:r>
        <w:rPr>
          <w:rFonts w:hint="eastAsia" w:ascii="宋体" w:hAnsi="宋体"/>
          <w:sz w:val="24"/>
        </w:rPr>
        <w:t>1.2磋商大会由采购代理机构主持，采购人参会人员、供应商代表及有关工作人员参加，参加磋商的人员应签名报到，以证明其出席。</w:t>
      </w:r>
    </w:p>
    <w:p w14:paraId="5FCB6116">
      <w:pPr>
        <w:tabs>
          <w:tab w:val="left" w:pos="240"/>
        </w:tabs>
        <w:spacing w:line="360" w:lineRule="auto"/>
        <w:ind w:left="-120" w:leftChars="-57" w:firstLine="480" w:firstLineChars="200"/>
        <w:rPr>
          <w:rFonts w:ascii="宋体" w:hAnsi="宋体"/>
          <w:sz w:val="24"/>
        </w:rPr>
      </w:pPr>
      <w:r>
        <w:rPr>
          <w:rFonts w:hint="eastAsia" w:ascii="宋体" w:hAnsi="宋体"/>
          <w:sz w:val="24"/>
        </w:rPr>
        <w:t>1.3由供应商或者其推选的代表检查响应文件的密封情况。</w:t>
      </w:r>
    </w:p>
    <w:p w14:paraId="4C6E00C0">
      <w:pPr>
        <w:spacing w:line="360" w:lineRule="auto"/>
        <w:ind w:firstLine="360" w:firstLineChars="150"/>
        <w:rPr>
          <w:rFonts w:ascii="宋体" w:hAnsi="宋体"/>
          <w:sz w:val="24"/>
        </w:rPr>
      </w:pPr>
      <w:r>
        <w:rPr>
          <w:rFonts w:hint="eastAsia" w:ascii="宋体" w:hAnsi="宋体"/>
          <w:sz w:val="24"/>
        </w:rPr>
        <w:t>1.4查验响应文件密封情况，确认无误后拆封，由采购代理机构工作人员负责将供应商的名称、磋商价格和磋商文件中规定的其他内容进行记录，签字确认后并存档备案。</w:t>
      </w:r>
    </w:p>
    <w:p w14:paraId="0F55AA02">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2.磋商小组组成与职责</w:t>
      </w:r>
    </w:p>
    <w:p w14:paraId="10D199C7">
      <w:pPr>
        <w:tabs>
          <w:tab w:val="left" w:pos="240"/>
        </w:tabs>
        <w:spacing w:line="360" w:lineRule="auto"/>
        <w:ind w:left="-120" w:leftChars="-57" w:firstLine="480" w:firstLineChars="200"/>
        <w:rPr>
          <w:rFonts w:ascii="宋体" w:hAnsi="宋体"/>
          <w:sz w:val="24"/>
        </w:rPr>
      </w:pPr>
      <w:r>
        <w:rPr>
          <w:rFonts w:hint="eastAsia" w:ascii="宋体" w:hAnsi="宋体"/>
          <w:sz w:val="24"/>
        </w:rPr>
        <w:t>为确保磋商工作公开、公平、公正，依法成立磋商小组。磋商小组由采购人代表及评审专家组成，成员人数为3人及以上单数，其中评审专家不少于磋商小组成员总数的三分之二，专家名单由有关人员在财政部门设立的政府采购评审专家库中随机抽取，磋商小组成员应当遵守并履行下列责任和义务：</w:t>
      </w:r>
    </w:p>
    <w:p w14:paraId="22F8C7AF">
      <w:pPr>
        <w:tabs>
          <w:tab w:val="left" w:pos="240"/>
        </w:tabs>
        <w:spacing w:line="360" w:lineRule="auto"/>
        <w:ind w:left="-120" w:leftChars="-57" w:firstLine="480" w:firstLineChars="200"/>
        <w:rPr>
          <w:rFonts w:ascii="宋体" w:hAnsi="宋体"/>
          <w:sz w:val="24"/>
        </w:rPr>
      </w:pPr>
      <w:r>
        <w:rPr>
          <w:rFonts w:hint="eastAsia" w:ascii="宋体" w:hAnsi="宋体"/>
          <w:sz w:val="24"/>
        </w:rPr>
        <w:t>2.1要严格遵守政府采购相关法律制度，依法履行各自职责，公正、客观、审慎地组织和参与评审工作；</w:t>
      </w:r>
    </w:p>
    <w:p w14:paraId="0E71BAFF">
      <w:pPr>
        <w:tabs>
          <w:tab w:val="left" w:pos="240"/>
        </w:tabs>
        <w:spacing w:line="360" w:lineRule="auto"/>
        <w:ind w:left="-120" w:leftChars="-57" w:firstLine="480" w:firstLineChars="200"/>
        <w:rPr>
          <w:rFonts w:ascii="宋体" w:hAnsi="宋体"/>
          <w:sz w:val="24"/>
        </w:rPr>
      </w:pPr>
      <w:r>
        <w:rPr>
          <w:rFonts w:hint="eastAsia" w:ascii="宋体" w:hAnsi="宋体"/>
          <w:sz w:val="24"/>
        </w:rPr>
        <w:t>2.2审查、评价响应文件是否符合磋商文件的商务、技术等实质性要求；</w:t>
      </w:r>
    </w:p>
    <w:p w14:paraId="2368565E">
      <w:pPr>
        <w:tabs>
          <w:tab w:val="left" w:pos="240"/>
        </w:tabs>
        <w:spacing w:line="360" w:lineRule="auto"/>
        <w:ind w:left="-120" w:leftChars="-57" w:firstLine="480" w:firstLineChars="200"/>
        <w:rPr>
          <w:rFonts w:ascii="宋体" w:hAnsi="宋体"/>
          <w:sz w:val="24"/>
        </w:rPr>
      </w:pPr>
      <w:r>
        <w:rPr>
          <w:rFonts w:hint="eastAsia" w:ascii="宋体" w:hAnsi="宋体"/>
          <w:sz w:val="24"/>
        </w:rPr>
        <w:t>2.3要求供应商对响应文件有关事项作出澄清或说明；</w:t>
      </w:r>
    </w:p>
    <w:p w14:paraId="15BDC5CC">
      <w:pPr>
        <w:tabs>
          <w:tab w:val="left" w:pos="240"/>
        </w:tabs>
        <w:spacing w:line="360" w:lineRule="auto"/>
        <w:ind w:left="-120" w:leftChars="-57" w:firstLine="480" w:firstLineChars="200"/>
        <w:rPr>
          <w:rFonts w:ascii="宋体" w:hAnsi="宋体"/>
          <w:sz w:val="24"/>
        </w:rPr>
      </w:pPr>
      <w:r>
        <w:rPr>
          <w:rFonts w:hint="eastAsia" w:ascii="宋体" w:hAnsi="宋体"/>
          <w:sz w:val="24"/>
        </w:rPr>
        <w:t>2.4按磋商文件规定的评审方法和标准，对响应文件进行比较和评价；对供应商的客观评分项的评分应当一致；</w:t>
      </w:r>
    </w:p>
    <w:p w14:paraId="1ECDD108">
      <w:pPr>
        <w:tabs>
          <w:tab w:val="left" w:pos="240"/>
        </w:tabs>
        <w:spacing w:line="360" w:lineRule="auto"/>
        <w:ind w:left="-120" w:leftChars="-57" w:firstLine="480" w:firstLineChars="200"/>
        <w:rPr>
          <w:rFonts w:ascii="宋体" w:hAnsi="宋体"/>
          <w:sz w:val="24"/>
        </w:rPr>
      </w:pPr>
      <w:r>
        <w:rPr>
          <w:rFonts w:hint="eastAsia" w:ascii="宋体" w:hAnsi="宋体"/>
          <w:sz w:val="24"/>
        </w:rPr>
        <w:t>2.5要依法独立评审，按照磋商文件的要求和评标标准进行评标，推荐成交候选人名单，对评审意见承担个人责任；</w:t>
      </w:r>
    </w:p>
    <w:p w14:paraId="577EB3EB">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2.6对需要共同认定的事项存在争议的，按照少数服从多数的原则做出结论。持不同意见的磋商小组成员应当在评审报告上签署不同意见并说明理由，否则视为同意； </w:t>
      </w:r>
    </w:p>
    <w:p w14:paraId="69B7188D">
      <w:pPr>
        <w:tabs>
          <w:tab w:val="left" w:pos="240"/>
        </w:tabs>
        <w:spacing w:line="360" w:lineRule="auto"/>
        <w:ind w:left="-120" w:leftChars="-57" w:firstLine="480" w:firstLineChars="200"/>
        <w:rPr>
          <w:rFonts w:ascii="宋体" w:hAnsi="宋体"/>
          <w:sz w:val="24"/>
        </w:rPr>
      </w:pPr>
      <w:r>
        <w:rPr>
          <w:rFonts w:hint="eastAsia" w:ascii="宋体" w:hAnsi="宋体"/>
          <w:sz w:val="24"/>
        </w:rPr>
        <w:t>2.7对评审情况以及在评审过程中获悉的国家秘密、商业秘密负有保密责任；</w:t>
      </w:r>
    </w:p>
    <w:p w14:paraId="74479E3F">
      <w:pPr>
        <w:tabs>
          <w:tab w:val="left" w:pos="240"/>
        </w:tabs>
        <w:spacing w:line="360" w:lineRule="auto"/>
        <w:ind w:left="-120" w:leftChars="-57" w:firstLine="480" w:firstLineChars="200"/>
        <w:rPr>
          <w:rFonts w:ascii="宋体" w:hAnsi="宋体"/>
          <w:sz w:val="24"/>
        </w:rPr>
      </w:pPr>
      <w:r>
        <w:rPr>
          <w:rFonts w:hint="eastAsia" w:ascii="宋体" w:hAnsi="宋体"/>
          <w:sz w:val="24"/>
        </w:rPr>
        <w:t>2.8向采购人、采购代理机构或者有关部门报告评审中发现的违法行为；</w:t>
      </w:r>
    </w:p>
    <w:p w14:paraId="1EAEC12F">
      <w:pPr>
        <w:tabs>
          <w:tab w:val="left" w:pos="240"/>
        </w:tabs>
        <w:spacing w:line="360" w:lineRule="auto"/>
        <w:ind w:left="-120" w:leftChars="-57" w:firstLine="480" w:firstLineChars="200"/>
        <w:rPr>
          <w:rFonts w:ascii="宋体" w:hAnsi="宋体"/>
          <w:sz w:val="24"/>
        </w:rPr>
      </w:pPr>
      <w:r>
        <w:rPr>
          <w:rFonts w:hint="eastAsia" w:ascii="宋体" w:hAnsi="宋体"/>
          <w:sz w:val="24"/>
        </w:rPr>
        <w:t>2.9配合采购人、采购代理机构答复供应商提出的质疑；</w:t>
      </w:r>
    </w:p>
    <w:p w14:paraId="7038FD6E">
      <w:pPr>
        <w:spacing w:line="360" w:lineRule="auto"/>
        <w:ind w:firstLine="360" w:firstLineChars="150"/>
        <w:rPr>
          <w:rFonts w:ascii="宋体" w:hAnsi="宋体"/>
          <w:sz w:val="24"/>
        </w:rPr>
      </w:pPr>
      <w:r>
        <w:rPr>
          <w:rFonts w:hint="eastAsia" w:ascii="宋体" w:hAnsi="宋体"/>
          <w:sz w:val="24"/>
        </w:rPr>
        <w:t>2.10配合财政部门处理投诉工作。</w:t>
      </w:r>
    </w:p>
    <w:p w14:paraId="33C9EC05">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3.响应文件的初审</w:t>
      </w:r>
    </w:p>
    <w:p w14:paraId="2E792CF2">
      <w:pPr>
        <w:tabs>
          <w:tab w:val="left" w:pos="240"/>
        </w:tabs>
        <w:spacing w:line="360" w:lineRule="auto"/>
        <w:ind w:left="-120" w:leftChars="-57" w:firstLine="480" w:firstLineChars="200"/>
        <w:rPr>
          <w:rFonts w:ascii="宋体" w:hAnsi="宋体"/>
          <w:sz w:val="24"/>
        </w:rPr>
      </w:pPr>
      <w:r>
        <w:rPr>
          <w:rFonts w:hint="eastAsia" w:ascii="宋体" w:hAnsi="宋体"/>
          <w:sz w:val="24"/>
        </w:rPr>
        <w:t>3.1初审分为资格性审查和符合性审查。</w:t>
      </w:r>
    </w:p>
    <w:p w14:paraId="37ED32C9">
      <w:pPr>
        <w:tabs>
          <w:tab w:val="left" w:pos="240"/>
        </w:tabs>
        <w:spacing w:line="360" w:lineRule="auto"/>
        <w:ind w:left="-120" w:leftChars="-57" w:firstLine="480" w:firstLineChars="200"/>
        <w:rPr>
          <w:rFonts w:ascii="宋体" w:hAnsi="宋体"/>
          <w:sz w:val="24"/>
        </w:rPr>
      </w:pPr>
      <w:r>
        <w:rPr>
          <w:rFonts w:hint="eastAsia" w:ascii="宋体" w:hAnsi="宋体"/>
          <w:sz w:val="24"/>
        </w:rPr>
        <w:t>3.2资格性审查：依据磋商文件的规定，对供应商的资格证明文件进行审查，以确定供应商是否具备磋商资格。</w:t>
      </w:r>
    </w:p>
    <w:p w14:paraId="5A7A1E6D">
      <w:pPr>
        <w:tabs>
          <w:tab w:val="left" w:pos="240"/>
        </w:tabs>
        <w:spacing w:line="360" w:lineRule="auto"/>
        <w:ind w:left="-120" w:leftChars="-57" w:firstLine="480" w:firstLineChars="200"/>
        <w:rPr>
          <w:rFonts w:ascii="宋体" w:hAnsi="宋体"/>
          <w:sz w:val="24"/>
        </w:rPr>
      </w:pPr>
      <w:r>
        <w:rPr>
          <w:rFonts w:hint="eastAsia" w:ascii="宋体" w:hAnsi="宋体"/>
          <w:sz w:val="24"/>
        </w:rPr>
        <w:t>3.3符合性审查：依据磋商文件规定，从响应文件的有效性、完整性和对磋商文件的响应程度进行审查。</w:t>
      </w:r>
    </w:p>
    <w:p w14:paraId="05FF9BEA">
      <w:pPr>
        <w:tabs>
          <w:tab w:val="left" w:pos="240"/>
        </w:tabs>
        <w:spacing w:line="360" w:lineRule="auto"/>
        <w:ind w:left="-120" w:leftChars="-57" w:firstLine="480" w:firstLineChars="200"/>
        <w:rPr>
          <w:rFonts w:ascii="宋体" w:hAnsi="宋体"/>
          <w:sz w:val="24"/>
        </w:rPr>
      </w:pPr>
      <w:r>
        <w:rPr>
          <w:rFonts w:hint="eastAsia" w:ascii="宋体" w:hAnsi="宋体"/>
          <w:sz w:val="24"/>
        </w:rPr>
        <w:t>3.4磋商时，响应文件中出现下列情况，修正原则为：</w:t>
      </w:r>
    </w:p>
    <w:p w14:paraId="30CCDE15">
      <w:pPr>
        <w:tabs>
          <w:tab w:val="left" w:pos="240"/>
        </w:tabs>
        <w:spacing w:line="360" w:lineRule="auto"/>
        <w:ind w:left="-120" w:leftChars="-57" w:firstLine="480" w:firstLineChars="200"/>
        <w:rPr>
          <w:rFonts w:ascii="宋体" w:hAnsi="宋体"/>
          <w:sz w:val="24"/>
        </w:rPr>
      </w:pPr>
      <w:r>
        <w:rPr>
          <w:rFonts w:hint="eastAsia" w:ascii="宋体" w:hAnsi="宋体"/>
          <w:sz w:val="24"/>
        </w:rPr>
        <w:t>3.4.1响应文件中响应报价表内容与响应文件中相应内容不一致的，以响应报价表为准；</w:t>
      </w:r>
    </w:p>
    <w:p w14:paraId="603D35A6">
      <w:pPr>
        <w:tabs>
          <w:tab w:val="left" w:pos="240"/>
        </w:tabs>
        <w:spacing w:line="360" w:lineRule="auto"/>
        <w:ind w:left="-120" w:leftChars="-57" w:firstLine="480" w:firstLineChars="200"/>
        <w:rPr>
          <w:rFonts w:ascii="宋体" w:hAnsi="宋体"/>
          <w:sz w:val="24"/>
        </w:rPr>
      </w:pPr>
      <w:r>
        <w:rPr>
          <w:rFonts w:hint="eastAsia" w:ascii="宋体" w:hAnsi="宋体"/>
          <w:sz w:val="24"/>
        </w:rPr>
        <w:t>3.4.2大写金额和小写金额不一致的，以大写金额为准；</w:t>
      </w:r>
    </w:p>
    <w:p w14:paraId="5DB53685">
      <w:pPr>
        <w:tabs>
          <w:tab w:val="left" w:pos="240"/>
        </w:tabs>
        <w:spacing w:line="360" w:lineRule="auto"/>
        <w:ind w:left="-120" w:leftChars="-57" w:firstLine="480" w:firstLineChars="200"/>
        <w:rPr>
          <w:rFonts w:ascii="宋体" w:hAnsi="宋体"/>
          <w:sz w:val="24"/>
        </w:rPr>
      </w:pPr>
      <w:r>
        <w:rPr>
          <w:rFonts w:hint="eastAsia" w:ascii="宋体" w:hAnsi="宋体"/>
          <w:sz w:val="24"/>
        </w:rPr>
        <w:t>3.4.3单价金额小数点或者百分比有明显错位的，以响应报价表的总价为准，并修改单价；</w:t>
      </w:r>
    </w:p>
    <w:p w14:paraId="39D1624B">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3.4.4总价金额与按单价汇总金额不一致的，以单价金额计算结果为准； </w:t>
      </w:r>
    </w:p>
    <w:p w14:paraId="60C04E65">
      <w:pPr>
        <w:tabs>
          <w:tab w:val="left" w:pos="240"/>
        </w:tabs>
        <w:spacing w:line="360" w:lineRule="auto"/>
        <w:ind w:left="-120" w:leftChars="-57" w:firstLine="480" w:firstLineChars="200"/>
        <w:rPr>
          <w:rFonts w:ascii="宋体" w:hAnsi="宋体"/>
          <w:sz w:val="24"/>
        </w:rPr>
      </w:pPr>
      <w:r>
        <w:rPr>
          <w:rFonts w:hint="eastAsia" w:ascii="宋体" w:hAnsi="宋体"/>
          <w:sz w:val="24"/>
        </w:rPr>
        <w:t>3.4.5响应文件正本与副本不一致的，以正本为准；</w:t>
      </w:r>
    </w:p>
    <w:p w14:paraId="4D8606F6">
      <w:pPr>
        <w:tabs>
          <w:tab w:val="left" w:pos="240"/>
        </w:tabs>
        <w:spacing w:line="360" w:lineRule="auto"/>
        <w:ind w:left="-120" w:leftChars="-57" w:firstLine="480" w:firstLineChars="200"/>
        <w:rPr>
          <w:rFonts w:ascii="宋体" w:hAnsi="宋体"/>
          <w:sz w:val="24"/>
        </w:rPr>
      </w:pPr>
      <w:r>
        <w:rPr>
          <w:rFonts w:hint="eastAsia" w:ascii="宋体" w:hAnsi="宋体"/>
          <w:sz w:val="24"/>
        </w:rPr>
        <w:t>3.4.6多处内容交叉不符的，以磋商小组评审结果为准；</w:t>
      </w:r>
    </w:p>
    <w:p w14:paraId="00786D97">
      <w:pPr>
        <w:tabs>
          <w:tab w:val="left" w:pos="240"/>
        </w:tabs>
        <w:spacing w:line="360" w:lineRule="auto"/>
        <w:ind w:left="-120" w:leftChars="-57" w:firstLine="480" w:firstLineChars="200"/>
        <w:rPr>
          <w:rFonts w:ascii="宋体" w:hAnsi="宋体"/>
          <w:sz w:val="24"/>
        </w:rPr>
      </w:pPr>
      <w:r>
        <w:rPr>
          <w:rFonts w:hint="eastAsia" w:ascii="宋体" w:hAnsi="宋体"/>
          <w:sz w:val="24"/>
        </w:rPr>
        <w:t>3.4.7文字与图表不符的，以文字为准。</w:t>
      </w:r>
    </w:p>
    <w:p w14:paraId="2BAA0398">
      <w:pPr>
        <w:tabs>
          <w:tab w:val="left" w:pos="240"/>
        </w:tabs>
        <w:spacing w:line="360" w:lineRule="auto"/>
        <w:ind w:left="-120" w:leftChars="-57" w:firstLine="480" w:firstLineChars="200"/>
        <w:rPr>
          <w:rFonts w:ascii="宋体" w:hAnsi="宋体"/>
          <w:sz w:val="24"/>
        </w:rPr>
      </w:pPr>
      <w:r>
        <w:rPr>
          <w:rFonts w:hint="eastAsia" w:ascii="宋体" w:hAnsi="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1D3B685">
      <w:pPr>
        <w:spacing w:line="360" w:lineRule="auto"/>
        <w:ind w:firstLine="360" w:firstLineChars="150"/>
        <w:rPr>
          <w:rFonts w:ascii="宋体" w:hAnsi="宋体"/>
          <w:sz w:val="24"/>
        </w:rPr>
      </w:pPr>
      <w:r>
        <w:rPr>
          <w:rFonts w:hint="eastAsia" w:ascii="宋体" w:hAnsi="宋体"/>
          <w:sz w:val="24"/>
        </w:rPr>
        <w:t>3.5磋商开始后，直到向成交供应商授予合同为止，凡审查、澄清、评价和比较磋商的有关资料及被授标意见等内容，磋商小组成员均不得向供应商及与磋商无关的其他人透露。</w:t>
      </w:r>
    </w:p>
    <w:p w14:paraId="48E98A05">
      <w:pPr>
        <w:tabs>
          <w:tab w:val="left" w:pos="240"/>
        </w:tabs>
        <w:spacing w:line="360" w:lineRule="auto"/>
        <w:ind w:left="-120" w:leftChars="-57" w:firstLine="482" w:firstLineChars="200"/>
        <w:rPr>
          <w:rFonts w:ascii="宋体" w:hAnsi="宋体"/>
          <w:sz w:val="24"/>
        </w:rPr>
      </w:pPr>
      <w:r>
        <w:rPr>
          <w:rFonts w:hint="eastAsia" w:ascii="宋体" w:hAnsi="宋体"/>
          <w:b/>
          <w:bCs/>
          <w:sz w:val="24"/>
        </w:rPr>
        <w:t>4.出现下列情况之一者（但不限于），按无效文件处理：</w:t>
      </w:r>
    </w:p>
    <w:p w14:paraId="706A8343">
      <w:pPr>
        <w:tabs>
          <w:tab w:val="left" w:pos="240"/>
        </w:tabs>
        <w:spacing w:line="360" w:lineRule="auto"/>
        <w:ind w:left="-120" w:leftChars="-57" w:firstLine="480" w:firstLineChars="200"/>
        <w:rPr>
          <w:rFonts w:ascii="宋体" w:hAnsi="宋体"/>
          <w:sz w:val="24"/>
        </w:rPr>
      </w:pPr>
      <w:r>
        <w:rPr>
          <w:rFonts w:hint="eastAsia" w:ascii="宋体" w:hAnsi="宋体"/>
          <w:sz w:val="24"/>
        </w:rPr>
        <w:t>4.1供应商的响应报价超过采购预算的；</w:t>
      </w:r>
    </w:p>
    <w:p w14:paraId="2C7155B9">
      <w:pPr>
        <w:tabs>
          <w:tab w:val="left" w:pos="240"/>
        </w:tabs>
        <w:spacing w:line="360" w:lineRule="auto"/>
        <w:ind w:left="-120" w:leftChars="-57" w:firstLine="480" w:firstLineChars="200"/>
        <w:rPr>
          <w:rFonts w:ascii="宋体" w:hAnsi="宋体"/>
          <w:sz w:val="24"/>
        </w:rPr>
      </w:pPr>
      <w:r>
        <w:rPr>
          <w:rFonts w:hint="eastAsia" w:ascii="宋体" w:hAnsi="宋体"/>
          <w:sz w:val="24"/>
        </w:rPr>
        <w:t>4.2供应商未经过正常渠道购买磋商文件，或供应商名称与购买磋商文件时登记的供应商名称不符的；</w:t>
      </w:r>
    </w:p>
    <w:p w14:paraId="5A9D83A4">
      <w:pPr>
        <w:tabs>
          <w:tab w:val="left" w:pos="240"/>
        </w:tabs>
        <w:spacing w:line="360" w:lineRule="auto"/>
        <w:ind w:left="-120" w:leftChars="-57" w:firstLine="480" w:firstLineChars="200"/>
        <w:rPr>
          <w:rFonts w:ascii="宋体" w:hAnsi="宋体"/>
          <w:sz w:val="24"/>
        </w:rPr>
      </w:pPr>
      <w:r>
        <w:rPr>
          <w:rFonts w:hint="eastAsia" w:ascii="宋体" w:hAnsi="宋体"/>
          <w:sz w:val="24"/>
        </w:rPr>
        <w:t>4.3不同供应商单位负责人为同一人或者存在控股、管理关系的；</w:t>
      </w:r>
    </w:p>
    <w:p w14:paraId="4C9F368A">
      <w:pPr>
        <w:tabs>
          <w:tab w:val="left" w:pos="240"/>
        </w:tabs>
        <w:spacing w:line="360" w:lineRule="auto"/>
        <w:ind w:left="-120" w:leftChars="-57" w:firstLine="480" w:firstLineChars="200"/>
        <w:rPr>
          <w:rFonts w:ascii="宋体" w:hAnsi="宋体"/>
          <w:sz w:val="24"/>
        </w:rPr>
      </w:pPr>
      <w:r>
        <w:rPr>
          <w:rFonts w:hint="eastAsia" w:ascii="宋体" w:hAnsi="宋体"/>
          <w:sz w:val="24"/>
        </w:rPr>
        <w:t>4.4响应文件的有效性和符合性不符合要求的；</w:t>
      </w:r>
    </w:p>
    <w:p w14:paraId="76AD3C68">
      <w:pPr>
        <w:tabs>
          <w:tab w:val="left" w:pos="240"/>
        </w:tabs>
        <w:spacing w:line="360" w:lineRule="auto"/>
        <w:ind w:left="-120" w:leftChars="-57" w:firstLine="480" w:firstLineChars="200"/>
        <w:rPr>
          <w:rFonts w:ascii="宋体" w:hAnsi="宋体"/>
          <w:sz w:val="24"/>
        </w:rPr>
      </w:pPr>
      <w:r>
        <w:rPr>
          <w:rFonts w:hint="eastAsia" w:ascii="宋体" w:hAnsi="宋体"/>
          <w:sz w:val="24"/>
        </w:rPr>
        <w:t>4.5实质性内容不满足或未响应的；</w:t>
      </w:r>
    </w:p>
    <w:p w14:paraId="07290B01">
      <w:pPr>
        <w:tabs>
          <w:tab w:val="left" w:pos="240"/>
        </w:tabs>
        <w:spacing w:line="360" w:lineRule="auto"/>
        <w:ind w:left="-120" w:leftChars="-57" w:firstLine="480" w:firstLineChars="200"/>
        <w:rPr>
          <w:rFonts w:ascii="宋体" w:hAnsi="宋体"/>
          <w:sz w:val="24"/>
        </w:rPr>
      </w:pPr>
      <w:r>
        <w:rPr>
          <w:rFonts w:hint="eastAsia" w:ascii="宋体" w:hAnsi="宋体"/>
          <w:sz w:val="24"/>
        </w:rPr>
        <w:t>4.6响应文件未按磋商文件要求的数量、计量单位、报价货币及签字盖章的；</w:t>
      </w:r>
    </w:p>
    <w:p w14:paraId="7937FD04">
      <w:pPr>
        <w:tabs>
          <w:tab w:val="left" w:pos="240"/>
        </w:tabs>
        <w:spacing w:line="360" w:lineRule="auto"/>
        <w:ind w:left="-120" w:leftChars="-57" w:firstLine="480" w:firstLineChars="200"/>
        <w:rPr>
          <w:rFonts w:ascii="宋体" w:hAnsi="宋体"/>
          <w:sz w:val="24"/>
        </w:rPr>
      </w:pPr>
      <w:r>
        <w:rPr>
          <w:rFonts w:hint="eastAsia" w:ascii="宋体" w:hAnsi="宋体"/>
          <w:sz w:val="24"/>
        </w:rPr>
        <w:t>4.7无磋商有效期或有效期达不到磋商文件要求的；</w:t>
      </w:r>
    </w:p>
    <w:p w14:paraId="1F5E2E61">
      <w:pPr>
        <w:tabs>
          <w:tab w:val="left" w:pos="240"/>
        </w:tabs>
        <w:spacing w:line="360" w:lineRule="auto"/>
        <w:ind w:left="-120" w:leftChars="-57" w:firstLine="480" w:firstLineChars="200"/>
        <w:rPr>
          <w:rFonts w:ascii="宋体" w:hAnsi="宋体"/>
          <w:sz w:val="24"/>
        </w:rPr>
      </w:pPr>
      <w:r>
        <w:rPr>
          <w:rFonts w:hint="eastAsia" w:ascii="宋体" w:hAnsi="宋体"/>
          <w:sz w:val="24"/>
        </w:rPr>
        <w:t>4.8供应商针对同一项目递交两份或多份内容不同的响应文件，未书面声明哪一份是有效的或出现选择性报价的；</w:t>
      </w:r>
    </w:p>
    <w:p w14:paraId="24BB2BB3">
      <w:pPr>
        <w:tabs>
          <w:tab w:val="left" w:pos="240"/>
        </w:tabs>
        <w:spacing w:line="360" w:lineRule="auto"/>
        <w:ind w:left="-120" w:leftChars="-57" w:firstLine="480" w:firstLineChars="200"/>
        <w:rPr>
          <w:rFonts w:ascii="宋体" w:hAnsi="宋体"/>
          <w:sz w:val="24"/>
        </w:rPr>
      </w:pPr>
      <w:r>
        <w:rPr>
          <w:rFonts w:hint="eastAsia" w:ascii="宋体" w:hAnsi="宋体"/>
          <w:sz w:val="24"/>
        </w:rPr>
        <w:t>4.9供应商有串通投标、弄虚作假（包括但不限于虚假资质、虚假证明、虚假应答等）、行贿等违法行为的；</w:t>
      </w:r>
    </w:p>
    <w:p w14:paraId="14814977">
      <w:pPr>
        <w:tabs>
          <w:tab w:val="left" w:pos="240"/>
        </w:tabs>
        <w:spacing w:line="360" w:lineRule="auto"/>
        <w:ind w:left="-120" w:leftChars="-57" w:firstLine="480" w:firstLineChars="200"/>
        <w:rPr>
          <w:rFonts w:ascii="宋体" w:hAnsi="宋体"/>
          <w:sz w:val="24"/>
        </w:rPr>
      </w:pPr>
      <w:r>
        <w:rPr>
          <w:rFonts w:hint="eastAsia" w:ascii="宋体" w:hAnsi="宋体"/>
          <w:sz w:val="24"/>
        </w:rPr>
        <w:t>4.10响应文件附加了采购人难以接受的条件或条款的；</w:t>
      </w:r>
    </w:p>
    <w:p w14:paraId="052D84CE">
      <w:pPr>
        <w:tabs>
          <w:tab w:val="left" w:pos="240"/>
        </w:tabs>
        <w:spacing w:line="360" w:lineRule="auto"/>
        <w:ind w:left="-120" w:leftChars="-57" w:firstLine="480" w:firstLineChars="200"/>
        <w:rPr>
          <w:rFonts w:ascii="宋体" w:hAnsi="宋体"/>
          <w:sz w:val="24"/>
        </w:rPr>
      </w:pPr>
      <w:r>
        <w:rPr>
          <w:rFonts w:hint="eastAsia" w:ascii="宋体" w:hAnsi="宋体"/>
          <w:sz w:val="24"/>
        </w:rPr>
        <w:t>4.11在政府采购或其他重大项目履约过程中有不良记录，未能按期履约的；</w:t>
      </w:r>
    </w:p>
    <w:p w14:paraId="5ACBA975">
      <w:pPr>
        <w:tabs>
          <w:tab w:val="left" w:pos="240"/>
        </w:tabs>
        <w:spacing w:line="360" w:lineRule="auto"/>
        <w:ind w:left="-120" w:leftChars="-57" w:firstLine="480" w:firstLineChars="200"/>
        <w:rPr>
          <w:rFonts w:ascii="宋体" w:hAnsi="宋体"/>
          <w:sz w:val="24"/>
        </w:rPr>
      </w:pPr>
      <w:r>
        <w:rPr>
          <w:rFonts w:hint="eastAsia" w:ascii="宋体" w:hAnsi="宋体"/>
          <w:sz w:val="24"/>
        </w:rPr>
        <w:t>4.12响应报价与市场价格偏离较大、低于成本、形成不正当竞争的；</w:t>
      </w:r>
    </w:p>
    <w:p w14:paraId="759B5707">
      <w:pPr>
        <w:tabs>
          <w:tab w:val="left" w:pos="240"/>
        </w:tabs>
        <w:spacing w:line="360" w:lineRule="auto"/>
        <w:ind w:left="-120" w:leftChars="-57" w:firstLine="480" w:firstLineChars="200"/>
        <w:rPr>
          <w:rFonts w:ascii="宋体" w:hAnsi="宋体"/>
          <w:sz w:val="24"/>
        </w:rPr>
      </w:pPr>
      <w:r>
        <w:rPr>
          <w:rFonts w:hint="eastAsia" w:ascii="宋体" w:hAnsi="宋体"/>
          <w:sz w:val="24"/>
        </w:rPr>
        <w:t>4.13报价子目出现漏项或报价数量与要求不符的；</w:t>
      </w:r>
    </w:p>
    <w:p w14:paraId="4FEE4667">
      <w:pPr>
        <w:tabs>
          <w:tab w:val="left" w:pos="240"/>
        </w:tabs>
        <w:spacing w:line="360" w:lineRule="auto"/>
        <w:ind w:left="-120" w:leftChars="-57" w:firstLine="480" w:firstLineChars="200"/>
        <w:rPr>
          <w:rFonts w:ascii="宋体" w:hAnsi="宋体"/>
          <w:sz w:val="24"/>
        </w:rPr>
      </w:pPr>
      <w:r>
        <w:rPr>
          <w:rFonts w:hint="eastAsia" w:ascii="宋体" w:hAnsi="宋体"/>
          <w:sz w:val="24"/>
        </w:rPr>
        <w:t>4.14响应产品的技术参数、性能指标与磋商文件要求出现重大负偏差的；</w:t>
      </w:r>
    </w:p>
    <w:p w14:paraId="6F318142">
      <w:pPr>
        <w:tabs>
          <w:tab w:val="left" w:pos="240"/>
        </w:tabs>
        <w:spacing w:line="360" w:lineRule="auto"/>
        <w:ind w:left="-120" w:leftChars="-57" w:firstLine="480" w:firstLineChars="200"/>
        <w:rPr>
          <w:rFonts w:ascii="宋体" w:hAnsi="宋体"/>
          <w:sz w:val="24"/>
        </w:rPr>
      </w:pPr>
      <w:r>
        <w:rPr>
          <w:rFonts w:hint="eastAsia" w:ascii="宋体" w:hAnsi="宋体"/>
          <w:sz w:val="24"/>
        </w:rPr>
        <w:t>4.15响应文件未实质性响应磋商文件要求的；</w:t>
      </w:r>
    </w:p>
    <w:p w14:paraId="654ACE66">
      <w:pPr>
        <w:spacing w:line="360" w:lineRule="auto"/>
        <w:ind w:firstLine="360" w:firstLineChars="150"/>
        <w:rPr>
          <w:rFonts w:ascii="宋体" w:hAnsi="宋体"/>
          <w:sz w:val="24"/>
        </w:rPr>
      </w:pPr>
      <w:r>
        <w:rPr>
          <w:rFonts w:hint="eastAsia" w:ascii="宋体" w:hAnsi="宋体"/>
          <w:sz w:val="24"/>
        </w:rPr>
        <w:t>4.16提供虚假技术性能指标的。</w:t>
      </w:r>
    </w:p>
    <w:p w14:paraId="5A6ECBF3">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5.有下列情形之一的，视为供应商串通投标，磋商小组应当认定其响应文件无效：</w:t>
      </w:r>
    </w:p>
    <w:p w14:paraId="60B693A3">
      <w:pPr>
        <w:tabs>
          <w:tab w:val="left" w:pos="240"/>
        </w:tabs>
        <w:spacing w:line="360" w:lineRule="auto"/>
        <w:ind w:left="-120" w:leftChars="-57" w:firstLine="480" w:firstLineChars="200"/>
        <w:rPr>
          <w:rFonts w:ascii="宋体" w:hAnsi="宋体"/>
          <w:sz w:val="24"/>
        </w:rPr>
      </w:pPr>
      <w:r>
        <w:rPr>
          <w:rFonts w:hint="eastAsia" w:ascii="宋体" w:hAnsi="宋体"/>
          <w:sz w:val="24"/>
        </w:rPr>
        <w:t>5.1不同供应商的响应文件由同一单位或者个人编制；</w:t>
      </w:r>
    </w:p>
    <w:p w14:paraId="76685A2C">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5.2不同供应商委托同一单位或者个人办理磋商事宜； </w:t>
      </w:r>
    </w:p>
    <w:p w14:paraId="360A6908">
      <w:pPr>
        <w:tabs>
          <w:tab w:val="left" w:pos="240"/>
        </w:tabs>
        <w:spacing w:line="360" w:lineRule="auto"/>
        <w:ind w:left="-120" w:leftChars="-57" w:firstLine="480" w:firstLineChars="200"/>
        <w:rPr>
          <w:rFonts w:ascii="宋体" w:hAnsi="宋体"/>
          <w:sz w:val="24"/>
        </w:rPr>
      </w:pPr>
      <w:r>
        <w:rPr>
          <w:rFonts w:hint="eastAsia" w:ascii="宋体" w:hAnsi="宋体"/>
          <w:sz w:val="24"/>
        </w:rPr>
        <w:t>5.3不同供应商的响应文件载明的项目管理成员或者联系人员为同一人；</w:t>
      </w:r>
    </w:p>
    <w:p w14:paraId="522039E2">
      <w:pPr>
        <w:tabs>
          <w:tab w:val="left" w:pos="240"/>
        </w:tabs>
        <w:spacing w:line="360" w:lineRule="auto"/>
        <w:ind w:left="-120" w:leftChars="-57" w:firstLine="480" w:firstLineChars="200"/>
        <w:rPr>
          <w:rFonts w:ascii="宋体" w:hAnsi="宋体"/>
          <w:sz w:val="24"/>
        </w:rPr>
      </w:pPr>
      <w:r>
        <w:rPr>
          <w:rFonts w:hint="eastAsia" w:ascii="宋体" w:hAnsi="宋体"/>
          <w:sz w:val="24"/>
        </w:rPr>
        <w:t>5.4不同供应商的响应文件异常一致或者响应报价呈规律性差异；</w:t>
      </w:r>
    </w:p>
    <w:p w14:paraId="7250D8D4">
      <w:pPr>
        <w:tabs>
          <w:tab w:val="left" w:pos="240"/>
        </w:tabs>
        <w:spacing w:line="360" w:lineRule="auto"/>
        <w:ind w:left="-120" w:leftChars="-57" w:firstLine="480" w:firstLineChars="200"/>
        <w:rPr>
          <w:rFonts w:ascii="宋体" w:hAnsi="宋体"/>
          <w:sz w:val="24"/>
        </w:rPr>
      </w:pPr>
      <w:r>
        <w:rPr>
          <w:rFonts w:hint="eastAsia" w:ascii="宋体" w:hAnsi="宋体"/>
          <w:sz w:val="24"/>
        </w:rPr>
        <w:t>5.5不同供应商的响应文件相互混装；</w:t>
      </w:r>
    </w:p>
    <w:p w14:paraId="06E53BE8">
      <w:pPr>
        <w:spacing w:line="360" w:lineRule="auto"/>
        <w:ind w:firstLine="360" w:firstLineChars="150"/>
        <w:rPr>
          <w:rFonts w:ascii="宋体" w:hAnsi="宋体"/>
          <w:sz w:val="24"/>
        </w:rPr>
      </w:pPr>
      <w:r>
        <w:rPr>
          <w:rFonts w:hint="eastAsia" w:ascii="宋体" w:hAnsi="宋体"/>
          <w:sz w:val="24"/>
        </w:rPr>
        <w:t>5.6不同供应商的磋商保证金从同一单位或者个人的账户转出。</w:t>
      </w:r>
    </w:p>
    <w:p w14:paraId="2227F183">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6.澄清</w:t>
      </w:r>
    </w:p>
    <w:p w14:paraId="1F46FFE1">
      <w:pPr>
        <w:spacing w:line="360" w:lineRule="auto"/>
        <w:ind w:firstLine="360" w:firstLineChars="150"/>
        <w:rPr>
          <w:rFonts w:ascii="宋体" w:hAnsi="宋体"/>
          <w:sz w:val="24"/>
        </w:rPr>
      </w:pPr>
      <w:r>
        <w:rPr>
          <w:rFonts w:hint="eastAsia" w:ascii="宋体" w:hAnsi="宋体"/>
          <w:sz w:val="24"/>
        </w:rPr>
        <w:t>6.1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E3CF3C">
      <w:pPr>
        <w:spacing w:line="360" w:lineRule="auto"/>
        <w:ind w:firstLine="360" w:firstLineChars="150"/>
        <w:rPr>
          <w:rFonts w:ascii="宋体" w:hAnsi="宋体"/>
          <w:sz w:val="24"/>
        </w:rPr>
      </w:pPr>
      <w:r>
        <w:rPr>
          <w:rFonts w:hint="eastAsia" w:ascii="宋体" w:hAnsi="宋体"/>
          <w:sz w:val="24"/>
        </w:rPr>
        <w:t>6.2实质性内容包括但不限于：服务期限、付款方式、主要技术指标等。</w:t>
      </w:r>
    </w:p>
    <w:p w14:paraId="71E2A931">
      <w:pPr>
        <w:tabs>
          <w:tab w:val="left" w:pos="240"/>
        </w:tabs>
        <w:spacing w:line="360" w:lineRule="auto"/>
        <w:ind w:left="-120" w:leftChars="-57" w:firstLine="480" w:firstLineChars="200"/>
        <w:rPr>
          <w:rFonts w:ascii="宋体" w:hAnsi="宋体"/>
          <w:sz w:val="24"/>
        </w:rPr>
      </w:pPr>
      <w:r>
        <w:rPr>
          <w:rFonts w:hint="eastAsia" w:ascii="宋体" w:hAnsi="宋体"/>
          <w:sz w:val="24"/>
        </w:rPr>
        <w:t>6.3磋商小组要求供应商澄清、说明或者更正响应文件应当以书面形式作出，并由其法定代表人或被授权人签字。</w:t>
      </w:r>
    </w:p>
    <w:p w14:paraId="5AEE7441">
      <w:pPr>
        <w:spacing w:line="360" w:lineRule="auto"/>
        <w:ind w:firstLine="360" w:firstLineChars="150"/>
        <w:rPr>
          <w:rFonts w:ascii="宋体" w:hAnsi="宋体"/>
          <w:sz w:val="24"/>
        </w:rPr>
      </w:pPr>
      <w:r>
        <w:rPr>
          <w:rFonts w:hint="eastAsia" w:ascii="宋体" w:hAnsi="宋体"/>
          <w:sz w:val="24"/>
        </w:rPr>
        <w:t>6.4在磋商过程中，磋商小组可以根据磋商文件和磋商情况实质性变动采购需求中的技术、服务要求以及合同草案条款，但不得变动磋商文件中的其他内容。实质性变动的内容，须经采购人代表确认。</w:t>
      </w:r>
    </w:p>
    <w:p w14:paraId="2E50EFE4">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7.评审方法及内容</w:t>
      </w:r>
    </w:p>
    <w:p w14:paraId="1F129DB6">
      <w:pPr>
        <w:tabs>
          <w:tab w:val="left" w:pos="240"/>
        </w:tabs>
        <w:spacing w:line="360" w:lineRule="auto"/>
        <w:ind w:left="-120" w:leftChars="-57" w:firstLine="480" w:firstLineChars="200"/>
        <w:rPr>
          <w:rFonts w:ascii="宋体" w:hAnsi="宋体"/>
          <w:sz w:val="24"/>
        </w:rPr>
      </w:pPr>
      <w:r>
        <w:rPr>
          <w:rFonts w:hint="eastAsia" w:ascii="宋体" w:hAnsi="宋体"/>
          <w:sz w:val="24"/>
        </w:rPr>
        <w:t>7.1按照磋商文件规定的评审方法和标准，对资格性审查和符合性审查合格的响应文件进行商务和技术评审，综合比较和评价，最低报价不是成交的唯一依据。</w:t>
      </w:r>
    </w:p>
    <w:p w14:paraId="07EBD79F">
      <w:pPr>
        <w:spacing w:line="360" w:lineRule="auto"/>
        <w:ind w:firstLine="360" w:firstLineChars="150"/>
        <w:rPr>
          <w:rFonts w:ascii="宋体" w:hAnsi="宋体"/>
          <w:sz w:val="24"/>
        </w:rPr>
      </w:pPr>
      <w:r>
        <w:rPr>
          <w:rFonts w:hint="eastAsia" w:ascii="宋体" w:hAnsi="宋体"/>
          <w:sz w:val="24"/>
        </w:rPr>
        <w:t>7.2最终报价：二次报价为最终报价，在满足磋商文件所有实质性要求前提下，提交最终报价。如采购需求没有实质性变化，各供应商的二次报价不得超过一次报价，否则，按无效文件处理。各分项报价以最终报价降价标准同比例下浮。</w:t>
      </w:r>
    </w:p>
    <w:p w14:paraId="011F41CE">
      <w:pPr>
        <w:spacing w:line="360" w:lineRule="auto"/>
        <w:ind w:firstLine="360" w:firstLineChars="150"/>
        <w:rPr>
          <w:rFonts w:ascii="宋体" w:hAnsi="宋体"/>
          <w:sz w:val="24"/>
        </w:rPr>
      </w:pPr>
      <w:r>
        <w:rPr>
          <w:rFonts w:hint="eastAsia" w:ascii="宋体" w:hAnsi="宋体"/>
          <w:sz w:val="24"/>
        </w:rPr>
        <w:t>7.3采用综合评分法：磋商小组根据《评审要素及分值一览表》进行综合比较，独立评审、自主打分，按最后得分由高到低汇总排序，以项目为单位推荐三名成交候选供应商；磋商小组根据磋商结果写出磋商报告。如果磋商小组出现对磋商结果有不同意见的，应当按照少数服从多数的原则作出结论。持不同意见的磋商小组成员应当在报告上签署不同意见及理由。磋商小组拒绝在磋商意见中签字又不书面说明其不同意见和理由的，视为同意磋商结果。</w:t>
      </w:r>
    </w:p>
    <w:p w14:paraId="6FF30965">
      <w:pPr>
        <w:spacing w:line="360" w:lineRule="auto"/>
        <w:ind w:firstLine="481"/>
        <w:jc w:val="left"/>
        <w:rPr>
          <w:rFonts w:ascii="宋体" w:hAnsi="宋体"/>
          <w:sz w:val="24"/>
        </w:rPr>
      </w:pPr>
      <w:r>
        <w:rPr>
          <w:rFonts w:hint="eastAsia" w:ascii="宋体" w:hAnsi="宋体"/>
          <w:sz w:val="24"/>
        </w:rPr>
        <w:t>7.4成交候选人推荐：将各有效供应商按其评审总得分由高到低顺序排列，排名第一的供应商为第一成交候选人，排名第二的供应商为第二成交候选人，以此类推。</w:t>
      </w:r>
    </w:p>
    <w:p w14:paraId="54BCB3D4">
      <w:pPr>
        <w:spacing w:line="360" w:lineRule="auto"/>
        <w:ind w:firstLine="360" w:firstLineChars="150"/>
        <w:rPr>
          <w:rFonts w:ascii="宋体" w:hAnsi="宋体"/>
          <w:sz w:val="24"/>
        </w:rPr>
      </w:pPr>
      <w:r>
        <w:rPr>
          <w:rFonts w:hint="eastAsia" w:ascii="宋体" w:hAnsi="宋体"/>
          <w:sz w:val="24"/>
        </w:rPr>
        <w:t>评审总得分相同的，按下列顺序比较确定：（1）响应报价（由低到高）；（2）技术评分（由高到低），如以上都相同的，名次由磋商小组抽签确定。</w:t>
      </w:r>
    </w:p>
    <w:p w14:paraId="66E80E3C">
      <w:pPr>
        <w:spacing w:line="360" w:lineRule="auto"/>
        <w:ind w:firstLine="360" w:firstLineChars="150"/>
        <w:rPr>
          <w:rFonts w:ascii="宋体" w:hAnsi="宋体"/>
          <w:sz w:val="24"/>
        </w:rPr>
      </w:pPr>
      <w:r>
        <w:rPr>
          <w:rFonts w:hint="eastAsia" w:ascii="宋体" w:hAnsi="宋体"/>
          <w:sz w:val="24"/>
        </w:rPr>
        <w:t>7.5磋商小组须对畸高、畸低的重大差异评分进行复核或书面说明理由。</w:t>
      </w:r>
    </w:p>
    <w:p w14:paraId="63946AFE">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8.其他事项说明：（落实的相关政策）</w:t>
      </w:r>
    </w:p>
    <w:p w14:paraId="275DF226">
      <w:pPr>
        <w:tabs>
          <w:tab w:val="left" w:pos="240"/>
        </w:tabs>
        <w:spacing w:line="360" w:lineRule="auto"/>
        <w:ind w:left="-120" w:leftChars="-57" w:firstLine="480" w:firstLineChars="200"/>
        <w:rPr>
          <w:rFonts w:ascii="宋体" w:hAnsi="宋体"/>
          <w:sz w:val="24"/>
        </w:rPr>
      </w:pPr>
      <w:r>
        <w:rPr>
          <w:rFonts w:hint="eastAsia" w:ascii="宋体" w:hAnsi="宋体"/>
          <w:sz w:val="24"/>
        </w:rPr>
        <w:t xml:space="preserve">采购项目需要落实的政府采购政策：依据《中华人民共和国政府采购法》、《中华人民共和国政府采购法实施条例》和《政府采购竞争性磋商采购方式管理暂行办法》的有关规定，落实政府采购政策。 </w:t>
      </w:r>
    </w:p>
    <w:p w14:paraId="412BFA42">
      <w:pPr>
        <w:spacing w:line="360" w:lineRule="auto"/>
        <w:ind w:firstLine="360" w:firstLineChars="150"/>
        <w:rPr>
          <w:rFonts w:ascii="宋体" w:hAnsi="宋体"/>
          <w:sz w:val="24"/>
        </w:rPr>
      </w:pPr>
      <w:r>
        <w:rPr>
          <w:rFonts w:hint="eastAsia" w:ascii="宋体" w:hAnsi="宋体"/>
          <w:sz w:val="24"/>
        </w:rPr>
        <w:t>8.1《政府采购促进中小企业发展管理办法》的通知--财库〔2020〕46号</w:t>
      </w:r>
    </w:p>
    <w:p w14:paraId="4E355151">
      <w:pPr>
        <w:spacing w:line="360" w:lineRule="auto"/>
        <w:ind w:firstLine="360" w:firstLineChars="150"/>
        <w:rPr>
          <w:rFonts w:ascii="宋体" w:hAnsi="宋体"/>
          <w:sz w:val="24"/>
        </w:rPr>
      </w:pPr>
      <w:r>
        <w:rPr>
          <w:rFonts w:hint="eastAsia" w:ascii="宋体" w:hAnsi="宋体"/>
          <w:sz w:val="24"/>
        </w:rPr>
        <w:t xml:space="preserve">8.2财政部司法部关于政府采购支持监狱企业发展有关问题的通知--财库[2014]68号 </w:t>
      </w:r>
    </w:p>
    <w:p w14:paraId="656E16DC">
      <w:pPr>
        <w:spacing w:line="360" w:lineRule="auto"/>
        <w:ind w:firstLine="360" w:firstLineChars="150"/>
        <w:rPr>
          <w:rFonts w:ascii="宋体" w:hAnsi="宋体"/>
          <w:sz w:val="24"/>
        </w:rPr>
      </w:pPr>
      <w:r>
        <w:rPr>
          <w:rFonts w:hint="eastAsia" w:ascii="宋体" w:hAnsi="宋体"/>
          <w:sz w:val="24"/>
        </w:rPr>
        <w:t>监狱、戒毒企业视同小微企业，享受政府采购相关政策；监狱和戒毒企业须提供由省级以上监狱管理局、戒毒管理局(含新疆生产建设兵团)出具的属于监狱企业的证明文件。</w:t>
      </w:r>
    </w:p>
    <w:p w14:paraId="431EDAC5">
      <w:pPr>
        <w:spacing w:line="360" w:lineRule="auto"/>
        <w:ind w:firstLine="360" w:firstLineChars="150"/>
        <w:rPr>
          <w:rFonts w:ascii="宋体" w:hAnsi="宋体"/>
          <w:sz w:val="24"/>
        </w:rPr>
      </w:pPr>
      <w:r>
        <w:rPr>
          <w:rFonts w:hint="eastAsia" w:ascii="宋体" w:hAnsi="宋体"/>
          <w:sz w:val="24"/>
        </w:rPr>
        <w:t>8.3《财政部 发展改革委 生态环境部 市场监管总局关于调整优化节能产品 环境标志产品政府采购执行机制的通知》（财库〔2019〕9号）</w:t>
      </w:r>
    </w:p>
    <w:p w14:paraId="6F4D0F0F">
      <w:pPr>
        <w:spacing w:line="360" w:lineRule="auto"/>
        <w:ind w:firstLine="360" w:firstLineChars="150"/>
        <w:rPr>
          <w:rFonts w:ascii="宋体" w:hAnsi="宋体"/>
          <w:sz w:val="24"/>
        </w:rPr>
      </w:pPr>
      <w:r>
        <w:rPr>
          <w:rFonts w:hint="eastAsia" w:ascii="宋体" w:hAnsi="宋体"/>
          <w:sz w:val="24"/>
        </w:rPr>
        <w:t>8.4《关于促进残疾人就业政府采购政策的通知》财库[2017]141号</w:t>
      </w:r>
    </w:p>
    <w:p w14:paraId="2E0554FE">
      <w:pPr>
        <w:spacing w:line="360" w:lineRule="auto"/>
        <w:ind w:firstLine="360" w:firstLineChars="150"/>
        <w:rPr>
          <w:rFonts w:ascii="宋体" w:hAnsi="宋体"/>
          <w:sz w:val="24"/>
        </w:rPr>
      </w:pPr>
      <w:r>
        <w:rPr>
          <w:rFonts w:hint="eastAsia" w:ascii="宋体" w:hAnsi="宋体"/>
          <w:sz w:val="24"/>
        </w:rPr>
        <w:t>根据《财政部 民政部 中国残疾人联合会关于促进残疾人就业政府采购政策的通知》（财库〔2017〕，符合条件的残疾人福利性单位在参加政府采购活动时，应当提供本通知规定的《残疾人福利性单位声明函》（见响应文件格式），并对声明的真实性负责。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F36E8E4">
      <w:pPr>
        <w:spacing w:line="360" w:lineRule="auto"/>
        <w:ind w:firstLine="360" w:firstLineChars="150"/>
        <w:rPr>
          <w:rFonts w:ascii="宋体" w:hAnsi="宋体"/>
          <w:sz w:val="24"/>
        </w:rPr>
      </w:pPr>
      <w:r>
        <w:rPr>
          <w:rFonts w:hint="eastAsia" w:ascii="宋体" w:hAnsi="宋体"/>
          <w:sz w:val="24"/>
        </w:rPr>
        <w:t>8.5《陕西省财政厅关于加快推进我省中小企业政府采购信用融资工作的通知》（陕财办采〔2020〕15 号）</w:t>
      </w:r>
    </w:p>
    <w:p w14:paraId="6147B5FA">
      <w:pPr>
        <w:spacing w:line="360" w:lineRule="auto"/>
        <w:ind w:firstLine="360" w:firstLineChars="150"/>
        <w:rPr>
          <w:rFonts w:ascii="宋体" w:hAnsi="宋体"/>
          <w:sz w:val="24"/>
        </w:rPr>
      </w:pPr>
      <w:r>
        <w:rPr>
          <w:rFonts w:hint="eastAsia" w:ascii="宋体" w:hAnsi="宋体"/>
          <w:sz w:val="24"/>
        </w:rPr>
        <w:t>8.6《陕西省中小企业政府采购信用融资办法》陕财办采〔2018〕23号</w:t>
      </w:r>
    </w:p>
    <w:p w14:paraId="5F54462A">
      <w:pPr>
        <w:tabs>
          <w:tab w:val="left" w:pos="240"/>
        </w:tabs>
        <w:spacing w:line="360" w:lineRule="auto"/>
        <w:ind w:left="-120" w:leftChars="-57" w:firstLine="482" w:firstLineChars="200"/>
        <w:rPr>
          <w:rFonts w:ascii="宋体" w:hAnsi="宋体"/>
          <w:b/>
          <w:bCs/>
          <w:sz w:val="24"/>
        </w:rPr>
      </w:pPr>
      <w:r>
        <w:rPr>
          <w:rFonts w:hint="eastAsia" w:ascii="宋体" w:hAnsi="宋体"/>
          <w:b/>
          <w:bCs/>
          <w:sz w:val="24"/>
        </w:rPr>
        <w:t>9.成交</w:t>
      </w:r>
    </w:p>
    <w:p w14:paraId="3F403C45">
      <w:pPr>
        <w:tabs>
          <w:tab w:val="left" w:pos="240"/>
        </w:tabs>
        <w:spacing w:line="360" w:lineRule="auto"/>
        <w:ind w:left="-120" w:leftChars="-57" w:firstLine="480" w:firstLineChars="200"/>
        <w:rPr>
          <w:rFonts w:ascii="宋体" w:hAnsi="宋体"/>
          <w:sz w:val="24"/>
        </w:rPr>
      </w:pPr>
      <w:r>
        <w:rPr>
          <w:rFonts w:hint="eastAsia" w:ascii="宋体" w:hAnsi="宋体"/>
          <w:sz w:val="24"/>
        </w:rPr>
        <w:t>9.1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7E541F34">
      <w:pPr>
        <w:spacing w:line="360" w:lineRule="auto"/>
        <w:ind w:firstLine="360" w:firstLineChars="150"/>
        <w:rPr>
          <w:rFonts w:ascii="宋体" w:hAnsi="宋体" w:cs="Helvetica"/>
          <w:kern w:val="0"/>
          <w:sz w:val="24"/>
        </w:rPr>
      </w:pPr>
      <w:r>
        <w:rPr>
          <w:rFonts w:hint="eastAsia" w:ascii="宋体" w:hAnsi="宋体"/>
          <w:sz w:val="24"/>
        </w:rPr>
        <w:t>9.2采购代理机构收到采购人“成交复函”后，二个工作日内在财政部门指定的政府采购信息媒体上发布公告，公示期无异议后，向成交供应商发出“成交通知书”。</w:t>
      </w:r>
    </w:p>
    <w:p w14:paraId="44452EAB">
      <w:pPr>
        <w:rPr>
          <w:rFonts w:ascii="宋体" w:hAnsi="宋体"/>
          <w:sz w:val="24"/>
        </w:rPr>
      </w:pPr>
      <w:r>
        <w:rPr>
          <w:rFonts w:hint="eastAsia" w:ascii="宋体" w:hAnsi="宋体"/>
          <w:sz w:val="24"/>
        </w:rPr>
        <w:br w:type="page"/>
      </w:r>
    </w:p>
    <w:p w14:paraId="37E0A9F3">
      <w:pPr>
        <w:outlineLvl w:val="1"/>
        <w:rPr>
          <w:rFonts w:ascii="华文仿宋" w:eastAsia="黑体" w:cs="Times New Roman"/>
          <w:sz w:val="28"/>
          <w:szCs w:val="28"/>
        </w:rPr>
      </w:pPr>
      <w:bookmarkStart w:id="15" w:name="_Toc4165"/>
      <w:bookmarkStart w:id="16" w:name="_Toc22273"/>
      <w:r>
        <w:rPr>
          <w:rFonts w:hint="eastAsia" w:ascii="宋体" w:hAnsi="宋体" w:cs="Calibri"/>
          <w:b/>
          <w:sz w:val="24"/>
          <w:szCs w:val="21"/>
        </w:rPr>
        <w:t>附表一：资格审查表</w:t>
      </w:r>
      <w:bookmarkEnd w:id="15"/>
      <w:bookmarkEnd w:id="16"/>
    </w:p>
    <w:p w14:paraId="1DC18C20">
      <w:pPr>
        <w:spacing w:line="500" w:lineRule="exact"/>
        <w:jc w:val="center"/>
        <w:rPr>
          <w:rFonts w:ascii="华文仿宋" w:cs="Times New Roman"/>
          <w:b/>
          <w:bCs/>
        </w:rPr>
      </w:pPr>
      <w:r>
        <w:rPr>
          <w:rFonts w:hint="eastAsia" w:ascii="华文仿宋" w:hAnsi="华文仿宋" w:cs="华文仿宋"/>
          <w:b/>
          <w:bCs/>
          <w:sz w:val="32"/>
          <w:szCs w:val="32"/>
        </w:rPr>
        <w:t>资格审查表</w:t>
      </w:r>
    </w:p>
    <w:tbl>
      <w:tblPr>
        <w:tblStyle w:val="2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1152"/>
      </w:tblGrid>
      <w:tr w14:paraId="1A26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75E1728">
            <w:pPr>
              <w:jc w:val="center"/>
              <w:rPr>
                <w:rFonts w:ascii="宋体" w:hAnsi="宋体"/>
                <w:b/>
                <w:bCs/>
                <w:szCs w:val="21"/>
              </w:rPr>
            </w:pPr>
            <w:bookmarkStart w:id="17" w:name="_Toc16965"/>
            <w:bookmarkStart w:id="18" w:name="_Toc14358"/>
            <w:bookmarkStart w:id="19" w:name="_Toc26027"/>
            <w:bookmarkStart w:id="20" w:name="_Toc29773"/>
            <w:bookmarkStart w:id="21" w:name="_Toc2712"/>
            <w:bookmarkStart w:id="22" w:name="_Toc8359"/>
            <w:bookmarkStart w:id="23" w:name="_Toc2809"/>
            <w:bookmarkStart w:id="24" w:name="_Toc25181"/>
            <w:bookmarkStart w:id="25" w:name="_Toc32718"/>
            <w:bookmarkStart w:id="26" w:name="_Toc1559"/>
            <w:bookmarkStart w:id="27" w:name="_Toc1691"/>
            <w:bookmarkStart w:id="28" w:name="_Toc22969"/>
            <w:bookmarkStart w:id="29" w:name="_Toc3725"/>
            <w:bookmarkStart w:id="30" w:name="_Toc18735"/>
            <w:bookmarkStart w:id="31" w:name="_Toc28947"/>
            <w:bookmarkStart w:id="32" w:name="_Toc27374"/>
            <w:bookmarkStart w:id="33" w:name="_Toc5945"/>
            <w:bookmarkStart w:id="34" w:name="_Toc3753"/>
            <w:bookmarkStart w:id="35" w:name="_Toc22102"/>
            <w:bookmarkStart w:id="36" w:name="_Toc25093"/>
            <w:bookmarkStart w:id="37" w:name="_Toc28896"/>
            <w:bookmarkStart w:id="38" w:name="_Toc3842"/>
            <w:r>
              <w:rPr>
                <w:rFonts w:hint="eastAsia" w:ascii="宋体" w:hAnsi="宋体"/>
                <w:b/>
                <w:bCs/>
                <w:szCs w:val="21"/>
              </w:rPr>
              <w:t>序号</w:t>
            </w:r>
          </w:p>
        </w:tc>
        <w:tc>
          <w:tcPr>
            <w:tcW w:w="1866" w:type="dxa"/>
            <w:noWrap/>
            <w:vAlign w:val="center"/>
          </w:tcPr>
          <w:p w14:paraId="50063AA1">
            <w:pPr>
              <w:jc w:val="center"/>
              <w:rPr>
                <w:rFonts w:ascii="宋体" w:hAnsi="宋体"/>
                <w:b/>
                <w:bCs/>
                <w:kern w:val="28"/>
                <w:szCs w:val="21"/>
              </w:rPr>
            </w:pPr>
            <w:r>
              <w:rPr>
                <w:rFonts w:hint="eastAsia" w:ascii="宋体" w:hAnsi="宋体"/>
                <w:b/>
                <w:bCs/>
                <w:kern w:val="28"/>
                <w:szCs w:val="21"/>
              </w:rPr>
              <w:t>资格审查项</w:t>
            </w:r>
          </w:p>
        </w:tc>
        <w:tc>
          <w:tcPr>
            <w:tcW w:w="4583" w:type="dxa"/>
            <w:noWrap/>
            <w:vAlign w:val="center"/>
          </w:tcPr>
          <w:p w14:paraId="41D62836">
            <w:pPr>
              <w:jc w:val="center"/>
              <w:rPr>
                <w:rFonts w:ascii="宋体" w:hAnsi="宋体"/>
                <w:b/>
                <w:bCs/>
                <w:kern w:val="28"/>
                <w:szCs w:val="21"/>
              </w:rPr>
            </w:pPr>
            <w:r>
              <w:rPr>
                <w:rFonts w:hint="eastAsia" w:ascii="宋体" w:hAnsi="宋体"/>
                <w:b/>
                <w:bCs/>
                <w:kern w:val="28"/>
                <w:szCs w:val="21"/>
              </w:rPr>
              <w:t>通过条件</w:t>
            </w:r>
          </w:p>
        </w:tc>
        <w:tc>
          <w:tcPr>
            <w:tcW w:w="1152" w:type="dxa"/>
            <w:noWrap/>
            <w:vAlign w:val="center"/>
          </w:tcPr>
          <w:p w14:paraId="2CF718B1">
            <w:pPr>
              <w:jc w:val="center"/>
              <w:rPr>
                <w:rFonts w:ascii="宋体" w:hAnsi="宋体"/>
                <w:b/>
                <w:bCs/>
                <w:szCs w:val="21"/>
              </w:rPr>
            </w:pPr>
            <w:r>
              <w:rPr>
                <w:rFonts w:hint="eastAsia" w:ascii="宋体" w:hAnsi="宋体"/>
                <w:b/>
                <w:bCs/>
                <w:kern w:val="28"/>
                <w:szCs w:val="21"/>
              </w:rPr>
              <w:t>备注</w:t>
            </w:r>
          </w:p>
        </w:tc>
      </w:tr>
      <w:tr w14:paraId="3ED9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E94F603">
            <w:pPr>
              <w:jc w:val="center"/>
              <w:rPr>
                <w:rFonts w:ascii="宋体" w:hAnsi="宋体"/>
                <w:szCs w:val="21"/>
              </w:rPr>
            </w:pPr>
            <w:r>
              <w:rPr>
                <w:rFonts w:hint="eastAsia" w:ascii="宋体" w:hAnsi="宋体"/>
                <w:szCs w:val="21"/>
              </w:rPr>
              <w:t>1</w:t>
            </w:r>
          </w:p>
        </w:tc>
        <w:tc>
          <w:tcPr>
            <w:tcW w:w="1866" w:type="dxa"/>
            <w:noWrap/>
            <w:vAlign w:val="center"/>
          </w:tcPr>
          <w:p w14:paraId="3F35AD1B">
            <w:pPr>
              <w:jc w:val="center"/>
              <w:rPr>
                <w:rFonts w:ascii="宋体" w:hAnsi="宋体"/>
                <w:kern w:val="28"/>
                <w:szCs w:val="21"/>
              </w:rPr>
            </w:pPr>
            <w:r>
              <w:rPr>
                <w:rFonts w:hint="eastAsia" w:ascii="宋体" w:hAnsi="宋体"/>
                <w:kern w:val="28"/>
                <w:szCs w:val="21"/>
              </w:rPr>
              <w:t>营业执照等主体资格证明文件</w:t>
            </w:r>
          </w:p>
        </w:tc>
        <w:tc>
          <w:tcPr>
            <w:tcW w:w="4583" w:type="dxa"/>
            <w:noWrap/>
            <w:vAlign w:val="center"/>
          </w:tcPr>
          <w:p w14:paraId="5A0AC42A">
            <w:pPr>
              <w:rPr>
                <w:rFonts w:ascii="宋体" w:hAnsi="宋体"/>
                <w:kern w:val="28"/>
                <w:szCs w:val="21"/>
              </w:rPr>
            </w:pPr>
            <w:r>
              <w:rPr>
                <w:rFonts w:hint="eastAsia" w:ascii="宋体" w:hAnsi="宋体"/>
                <w:kern w:val="28"/>
                <w:szCs w:val="21"/>
              </w:rPr>
              <w:t>提供有效存续的企业营业执照（副本）/事业单位法人证书/专业服务机构执业许可证/民办非企业单位登记证书等主体资格证明文件，自然人投标提供其身份证明文件。</w:t>
            </w:r>
          </w:p>
        </w:tc>
        <w:tc>
          <w:tcPr>
            <w:tcW w:w="1152" w:type="dxa"/>
            <w:noWrap/>
            <w:vAlign w:val="center"/>
          </w:tcPr>
          <w:p w14:paraId="75313A64">
            <w:pPr>
              <w:rPr>
                <w:rFonts w:ascii="宋体" w:hAnsi="宋体"/>
                <w:b/>
                <w:bCs/>
                <w:szCs w:val="21"/>
              </w:rPr>
            </w:pPr>
          </w:p>
        </w:tc>
      </w:tr>
      <w:tr w14:paraId="62C4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516941E">
            <w:pPr>
              <w:jc w:val="center"/>
              <w:rPr>
                <w:rFonts w:ascii="宋体" w:hAnsi="宋体"/>
                <w:szCs w:val="21"/>
              </w:rPr>
            </w:pPr>
            <w:r>
              <w:rPr>
                <w:rFonts w:hint="eastAsia" w:ascii="宋体" w:hAnsi="宋体"/>
                <w:szCs w:val="21"/>
              </w:rPr>
              <w:t>2</w:t>
            </w:r>
          </w:p>
        </w:tc>
        <w:tc>
          <w:tcPr>
            <w:tcW w:w="1866" w:type="dxa"/>
            <w:noWrap/>
            <w:vAlign w:val="center"/>
          </w:tcPr>
          <w:p w14:paraId="6259B220">
            <w:pPr>
              <w:jc w:val="center"/>
              <w:rPr>
                <w:rFonts w:ascii="宋体" w:hAnsi="宋体"/>
                <w:kern w:val="28"/>
                <w:szCs w:val="21"/>
              </w:rPr>
            </w:pPr>
            <w:r>
              <w:rPr>
                <w:rFonts w:hint="eastAsia" w:ascii="宋体" w:hAnsi="宋体"/>
                <w:kern w:val="28"/>
                <w:szCs w:val="21"/>
              </w:rPr>
              <w:t>财务状况报告</w:t>
            </w:r>
          </w:p>
        </w:tc>
        <w:tc>
          <w:tcPr>
            <w:tcW w:w="4583" w:type="dxa"/>
            <w:noWrap/>
            <w:vAlign w:val="center"/>
          </w:tcPr>
          <w:p w14:paraId="73FF6C4B">
            <w:pPr>
              <w:rPr>
                <w:rFonts w:ascii="宋体" w:hAnsi="宋体"/>
                <w:kern w:val="28"/>
                <w:szCs w:val="21"/>
              </w:rPr>
            </w:pPr>
            <w:r>
              <w:rPr>
                <w:rFonts w:hint="eastAsia" w:ascii="宋体" w:hAnsi="宋体"/>
                <w:kern w:val="28"/>
                <w:szCs w:val="21"/>
              </w:rPr>
              <w:t>提供</w:t>
            </w:r>
            <w:r>
              <w:rPr>
                <w:rFonts w:hint="eastAsia" w:ascii="宋体" w:hAnsi="宋体"/>
                <w:kern w:val="28"/>
                <w:szCs w:val="21"/>
                <w:lang w:eastAsia="zh-CN"/>
              </w:rPr>
              <w:t>2024年</w:t>
            </w:r>
            <w:r>
              <w:rPr>
                <w:rFonts w:hint="eastAsia" w:ascii="宋体" w:hAnsi="宋体"/>
                <w:kern w:val="28"/>
                <w:szCs w:val="21"/>
              </w:rPr>
              <w:t>度经审计的财务报告（成立时间至提交响应文件截止时间不足一年的可提供成立后任意时段的资产负债表），或其递交响应文件截止之日前三个月内基本开户银行出具的资信证明（以上</w:t>
            </w:r>
            <w:r>
              <w:rPr>
                <w:rFonts w:hint="eastAsia" w:ascii="宋体" w:hAnsi="宋体"/>
                <w:kern w:val="28"/>
                <w:szCs w:val="21"/>
                <w:lang w:val="en-US" w:eastAsia="zh-CN"/>
              </w:rPr>
              <w:t>两</w:t>
            </w:r>
            <w:r>
              <w:rPr>
                <w:rFonts w:hint="eastAsia" w:ascii="宋体" w:hAnsi="宋体"/>
                <w:kern w:val="28"/>
                <w:szCs w:val="21"/>
              </w:rPr>
              <w:t>种形式的资料提供任何一种即可）。</w:t>
            </w:r>
          </w:p>
        </w:tc>
        <w:tc>
          <w:tcPr>
            <w:tcW w:w="1152" w:type="dxa"/>
            <w:noWrap/>
            <w:vAlign w:val="center"/>
          </w:tcPr>
          <w:p w14:paraId="02E37FD2">
            <w:pPr>
              <w:rPr>
                <w:rFonts w:ascii="宋体" w:hAnsi="宋体"/>
                <w:b/>
                <w:bCs/>
                <w:szCs w:val="21"/>
              </w:rPr>
            </w:pPr>
          </w:p>
        </w:tc>
      </w:tr>
      <w:tr w14:paraId="519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F2E40B3">
            <w:pPr>
              <w:jc w:val="center"/>
              <w:rPr>
                <w:rFonts w:ascii="宋体" w:hAnsi="宋体"/>
                <w:szCs w:val="21"/>
              </w:rPr>
            </w:pPr>
            <w:r>
              <w:rPr>
                <w:rFonts w:hint="eastAsia" w:ascii="宋体" w:hAnsi="宋体"/>
                <w:szCs w:val="21"/>
              </w:rPr>
              <w:t>3</w:t>
            </w:r>
          </w:p>
        </w:tc>
        <w:tc>
          <w:tcPr>
            <w:tcW w:w="1866" w:type="dxa"/>
            <w:noWrap/>
            <w:vAlign w:val="center"/>
          </w:tcPr>
          <w:p w14:paraId="16583908">
            <w:pPr>
              <w:jc w:val="center"/>
              <w:rPr>
                <w:rFonts w:ascii="宋体" w:hAnsi="宋体"/>
                <w:kern w:val="28"/>
                <w:szCs w:val="21"/>
              </w:rPr>
            </w:pPr>
            <w:r>
              <w:rPr>
                <w:rFonts w:hint="eastAsia" w:ascii="宋体" w:hAnsi="宋体"/>
                <w:kern w:val="28"/>
                <w:szCs w:val="21"/>
              </w:rPr>
              <w:t>书面声明</w:t>
            </w:r>
          </w:p>
        </w:tc>
        <w:tc>
          <w:tcPr>
            <w:tcW w:w="4583" w:type="dxa"/>
            <w:noWrap/>
            <w:vAlign w:val="center"/>
          </w:tcPr>
          <w:p w14:paraId="109E15C7">
            <w:pPr>
              <w:rPr>
                <w:rFonts w:ascii="宋体" w:hAnsi="宋体"/>
                <w:kern w:val="28"/>
                <w:szCs w:val="21"/>
              </w:rPr>
            </w:pPr>
            <w:r>
              <w:rPr>
                <w:rFonts w:hint="eastAsia" w:ascii="宋体" w:hAnsi="宋体"/>
                <w:kern w:val="28"/>
                <w:szCs w:val="21"/>
              </w:rPr>
              <w:t>提供书面声明，包括声明具有履行合同所必需的设备和专业技术能力。</w:t>
            </w:r>
          </w:p>
        </w:tc>
        <w:tc>
          <w:tcPr>
            <w:tcW w:w="1152" w:type="dxa"/>
            <w:noWrap/>
            <w:vAlign w:val="center"/>
          </w:tcPr>
          <w:p w14:paraId="6D625B30">
            <w:pPr>
              <w:rPr>
                <w:rFonts w:ascii="宋体" w:hAnsi="宋体"/>
                <w:b/>
                <w:bCs/>
                <w:szCs w:val="21"/>
              </w:rPr>
            </w:pPr>
          </w:p>
        </w:tc>
      </w:tr>
      <w:tr w14:paraId="1DC3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CD4F241">
            <w:pPr>
              <w:jc w:val="center"/>
              <w:rPr>
                <w:rFonts w:ascii="宋体" w:hAnsi="宋体"/>
                <w:szCs w:val="21"/>
              </w:rPr>
            </w:pPr>
            <w:r>
              <w:rPr>
                <w:rFonts w:hint="eastAsia" w:ascii="宋体" w:hAnsi="宋体"/>
                <w:szCs w:val="21"/>
              </w:rPr>
              <w:t>4</w:t>
            </w:r>
          </w:p>
        </w:tc>
        <w:tc>
          <w:tcPr>
            <w:tcW w:w="1866" w:type="dxa"/>
            <w:noWrap/>
            <w:vAlign w:val="center"/>
          </w:tcPr>
          <w:p w14:paraId="0307E2E5">
            <w:pPr>
              <w:jc w:val="center"/>
              <w:rPr>
                <w:rFonts w:ascii="宋体" w:hAnsi="宋体"/>
                <w:kern w:val="28"/>
                <w:szCs w:val="21"/>
              </w:rPr>
            </w:pPr>
            <w:r>
              <w:rPr>
                <w:rFonts w:hint="eastAsia" w:ascii="宋体" w:hAnsi="宋体"/>
                <w:kern w:val="28"/>
                <w:szCs w:val="21"/>
              </w:rPr>
              <w:t>社保缴纳证明</w:t>
            </w:r>
          </w:p>
        </w:tc>
        <w:tc>
          <w:tcPr>
            <w:tcW w:w="4583" w:type="dxa"/>
            <w:noWrap/>
            <w:vAlign w:val="center"/>
          </w:tcPr>
          <w:p w14:paraId="362660E8">
            <w:pPr>
              <w:rPr>
                <w:rFonts w:ascii="宋体" w:hAnsi="宋体"/>
                <w:kern w:val="28"/>
                <w:szCs w:val="21"/>
              </w:rPr>
            </w:pPr>
            <w:r>
              <w:rPr>
                <w:rFonts w:hint="eastAsia" w:ascii="宋体" w:hAnsi="宋体"/>
                <w:kern w:val="28"/>
                <w:szCs w:val="21"/>
              </w:rPr>
              <w:t>提供递交响应文件截止之日前一年内任意一个月的社会保障资金缴存单据或社保机构开具的社会保险参保缴费情况证明。依法不需要缴纳社会保障资金的供应商应提供相关文件证明。</w:t>
            </w:r>
          </w:p>
        </w:tc>
        <w:tc>
          <w:tcPr>
            <w:tcW w:w="1152" w:type="dxa"/>
            <w:noWrap/>
            <w:vAlign w:val="center"/>
          </w:tcPr>
          <w:p w14:paraId="4EB812EC">
            <w:pPr>
              <w:rPr>
                <w:rFonts w:ascii="宋体" w:hAnsi="宋体"/>
                <w:b/>
                <w:bCs/>
                <w:szCs w:val="21"/>
              </w:rPr>
            </w:pPr>
          </w:p>
        </w:tc>
      </w:tr>
      <w:tr w14:paraId="1103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6848614">
            <w:pPr>
              <w:jc w:val="center"/>
              <w:rPr>
                <w:rFonts w:ascii="宋体" w:hAnsi="宋体"/>
                <w:szCs w:val="21"/>
              </w:rPr>
            </w:pPr>
            <w:r>
              <w:rPr>
                <w:rFonts w:hint="eastAsia" w:ascii="宋体" w:hAnsi="宋体"/>
                <w:szCs w:val="21"/>
              </w:rPr>
              <w:t>5</w:t>
            </w:r>
          </w:p>
        </w:tc>
        <w:tc>
          <w:tcPr>
            <w:tcW w:w="1866" w:type="dxa"/>
            <w:noWrap/>
            <w:vAlign w:val="center"/>
          </w:tcPr>
          <w:p w14:paraId="1722EB85">
            <w:pPr>
              <w:jc w:val="center"/>
              <w:rPr>
                <w:rFonts w:ascii="宋体" w:hAnsi="宋体"/>
                <w:kern w:val="28"/>
                <w:szCs w:val="21"/>
              </w:rPr>
            </w:pPr>
            <w:r>
              <w:rPr>
                <w:rFonts w:hint="eastAsia" w:ascii="宋体" w:hAnsi="宋体"/>
                <w:kern w:val="28"/>
                <w:szCs w:val="21"/>
              </w:rPr>
              <w:t>税收缴纳证明</w:t>
            </w:r>
          </w:p>
        </w:tc>
        <w:tc>
          <w:tcPr>
            <w:tcW w:w="4583" w:type="dxa"/>
            <w:noWrap/>
            <w:vAlign w:val="center"/>
          </w:tcPr>
          <w:p w14:paraId="035AF06E">
            <w:pPr>
              <w:rPr>
                <w:rFonts w:ascii="宋体" w:hAnsi="宋体"/>
                <w:kern w:val="28"/>
                <w:szCs w:val="21"/>
              </w:rPr>
            </w:pPr>
            <w:r>
              <w:rPr>
                <w:rFonts w:hint="eastAsia" w:ascii="宋体" w:hAnsi="宋体"/>
                <w:kern w:val="28"/>
                <w:szCs w:val="21"/>
              </w:rPr>
              <w:t>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tc>
        <w:tc>
          <w:tcPr>
            <w:tcW w:w="1152" w:type="dxa"/>
            <w:noWrap/>
            <w:vAlign w:val="center"/>
          </w:tcPr>
          <w:p w14:paraId="4E5EA5D1">
            <w:pPr>
              <w:rPr>
                <w:rFonts w:ascii="宋体" w:hAnsi="宋体"/>
                <w:b/>
                <w:bCs/>
                <w:szCs w:val="21"/>
              </w:rPr>
            </w:pPr>
          </w:p>
        </w:tc>
      </w:tr>
      <w:tr w14:paraId="6F45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3333821A">
            <w:pPr>
              <w:jc w:val="center"/>
              <w:rPr>
                <w:rFonts w:ascii="宋体" w:hAnsi="宋体"/>
                <w:szCs w:val="21"/>
              </w:rPr>
            </w:pPr>
            <w:r>
              <w:rPr>
                <w:rFonts w:hint="eastAsia" w:ascii="宋体" w:hAnsi="宋体"/>
                <w:szCs w:val="21"/>
              </w:rPr>
              <w:t>6</w:t>
            </w:r>
          </w:p>
        </w:tc>
        <w:tc>
          <w:tcPr>
            <w:tcW w:w="1866" w:type="dxa"/>
            <w:noWrap/>
            <w:vAlign w:val="center"/>
          </w:tcPr>
          <w:p w14:paraId="41B07CDD">
            <w:pPr>
              <w:jc w:val="center"/>
              <w:rPr>
                <w:rFonts w:ascii="宋体" w:hAnsi="宋体"/>
                <w:kern w:val="28"/>
                <w:szCs w:val="21"/>
              </w:rPr>
            </w:pPr>
            <w:r>
              <w:rPr>
                <w:rFonts w:hint="eastAsia" w:ascii="宋体" w:hAnsi="宋体" w:cs="Helvetica"/>
                <w:kern w:val="0"/>
                <w:szCs w:val="21"/>
              </w:rPr>
              <w:t>近三年无重大违法、违纪书面声明</w:t>
            </w:r>
          </w:p>
        </w:tc>
        <w:tc>
          <w:tcPr>
            <w:tcW w:w="4583" w:type="dxa"/>
            <w:noWrap/>
            <w:vAlign w:val="center"/>
          </w:tcPr>
          <w:p w14:paraId="4370CC6F">
            <w:pPr>
              <w:rPr>
                <w:rFonts w:ascii="宋体" w:hAnsi="宋体"/>
                <w:kern w:val="28"/>
                <w:szCs w:val="21"/>
              </w:rPr>
            </w:pPr>
            <w:r>
              <w:rPr>
                <w:rFonts w:hint="eastAsia" w:ascii="宋体" w:hAnsi="宋体"/>
                <w:kern w:val="28"/>
                <w:szCs w:val="21"/>
              </w:rPr>
              <w:t>提供《</w:t>
            </w:r>
            <w:r>
              <w:rPr>
                <w:rFonts w:hint="eastAsia" w:ascii="宋体" w:hAnsi="宋体" w:cs="Helvetica"/>
                <w:kern w:val="0"/>
                <w:szCs w:val="21"/>
              </w:rPr>
              <w:t>近三年无重大违法、违纪书面声明</w:t>
            </w:r>
            <w:r>
              <w:rPr>
                <w:rFonts w:hint="eastAsia" w:ascii="宋体" w:hAnsi="宋体"/>
                <w:kern w:val="28"/>
                <w:szCs w:val="21"/>
              </w:rPr>
              <w:t>》。</w:t>
            </w:r>
          </w:p>
        </w:tc>
        <w:tc>
          <w:tcPr>
            <w:tcW w:w="1152" w:type="dxa"/>
            <w:noWrap/>
            <w:vAlign w:val="center"/>
          </w:tcPr>
          <w:p w14:paraId="5974EC28">
            <w:pPr>
              <w:rPr>
                <w:rFonts w:ascii="宋体" w:hAnsi="宋体"/>
                <w:b/>
                <w:bCs/>
                <w:szCs w:val="21"/>
              </w:rPr>
            </w:pPr>
          </w:p>
        </w:tc>
      </w:tr>
      <w:tr w14:paraId="3F89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32" w:type="dxa"/>
            <w:noWrap/>
            <w:vAlign w:val="center"/>
          </w:tcPr>
          <w:p w14:paraId="656ACCC5">
            <w:pPr>
              <w:jc w:val="center"/>
              <w:rPr>
                <w:rFonts w:ascii="宋体" w:hAnsi="宋体"/>
                <w:szCs w:val="21"/>
              </w:rPr>
            </w:pPr>
            <w:r>
              <w:rPr>
                <w:rFonts w:hint="eastAsia" w:ascii="宋体" w:hAnsi="宋体"/>
                <w:szCs w:val="21"/>
              </w:rPr>
              <w:t>7</w:t>
            </w:r>
          </w:p>
        </w:tc>
        <w:tc>
          <w:tcPr>
            <w:tcW w:w="1866" w:type="dxa"/>
            <w:noWrap/>
            <w:vAlign w:val="center"/>
          </w:tcPr>
          <w:p w14:paraId="4080D566">
            <w:pPr>
              <w:jc w:val="center"/>
              <w:rPr>
                <w:rFonts w:ascii="宋体" w:hAnsi="宋体" w:cs="Helvetica"/>
                <w:kern w:val="0"/>
                <w:szCs w:val="21"/>
              </w:rPr>
            </w:pPr>
            <w:r>
              <w:rPr>
                <w:rFonts w:hint="eastAsia" w:ascii="宋体" w:hAnsi="宋体"/>
                <w:kern w:val="28"/>
                <w:szCs w:val="21"/>
              </w:rPr>
              <w:t>信用记录</w:t>
            </w:r>
          </w:p>
        </w:tc>
        <w:tc>
          <w:tcPr>
            <w:tcW w:w="4583" w:type="dxa"/>
            <w:noWrap/>
            <w:vAlign w:val="center"/>
          </w:tcPr>
          <w:p w14:paraId="6EBE698F">
            <w:pPr>
              <w:rPr>
                <w:rFonts w:ascii="宋体" w:hAnsi="宋体"/>
                <w:kern w:val="28"/>
                <w:szCs w:val="21"/>
              </w:rPr>
            </w:pPr>
            <w:r>
              <w:rPr>
                <w:rFonts w:hint="eastAsia" w:ascii="宋体" w:hAnsi="宋体"/>
                <w:kern w:val="28"/>
                <w:szCs w:val="21"/>
              </w:rPr>
              <w:t>供应商未被列入“信用中国”网站记录的“失信被执行人”或“</w:t>
            </w:r>
            <w:r>
              <w:rPr>
                <w:rFonts w:hint="eastAsia" w:ascii="宋体" w:hAnsi="宋体"/>
                <w:kern w:val="28"/>
                <w:szCs w:val="21"/>
                <w:lang w:eastAsia="zh-CN"/>
              </w:rPr>
              <w:t>重大税收违法失信主体</w:t>
            </w:r>
            <w:r>
              <w:rPr>
                <w:rFonts w:hint="eastAsia" w:ascii="宋体" w:hAnsi="宋体"/>
                <w:kern w:val="28"/>
                <w:szCs w:val="21"/>
              </w:rPr>
              <w:t>”名单；不处于“中国政府采购网”记录的“政府采购严重违法失信行为记录名单”中的禁止参加政府采购活动期间。（以采购人或采购代理机构开标当天查询结果为准）；</w:t>
            </w:r>
          </w:p>
        </w:tc>
        <w:tc>
          <w:tcPr>
            <w:tcW w:w="1152" w:type="dxa"/>
            <w:noWrap/>
            <w:vAlign w:val="center"/>
          </w:tcPr>
          <w:p w14:paraId="17C656A6">
            <w:pPr>
              <w:rPr>
                <w:rFonts w:ascii="宋体" w:hAnsi="宋体"/>
                <w:b/>
                <w:bCs/>
                <w:szCs w:val="21"/>
              </w:rPr>
            </w:pPr>
          </w:p>
        </w:tc>
      </w:tr>
      <w:tr w14:paraId="6CC4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8A76875">
            <w:pPr>
              <w:jc w:val="center"/>
              <w:rPr>
                <w:rFonts w:ascii="宋体" w:hAnsi="宋体"/>
                <w:bCs/>
                <w:szCs w:val="21"/>
              </w:rPr>
            </w:pPr>
            <w:r>
              <w:rPr>
                <w:rFonts w:hint="eastAsia" w:ascii="宋体" w:hAnsi="宋体"/>
                <w:szCs w:val="21"/>
              </w:rPr>
              <w:t>8</w:t>
            </w:r>
          </w:p>
        </w:tc>
        <w:tc>
          <w:tcPr>
            <w:tcW w:w="1866" w:type="dxa"/>
            <w:noWrap/>
            <w:vAlign w:val="center"/>
          </w:tcPr>
          <w:p w14:paraId="3CCCAAC8">
            <w:pPr>
              <w:jc w:val="center"/>
              <w:rPr>
                <w:rFonts w:ascii="宋体" w:hAnsi="宋体"/>
                <w:kern w:val="28"/>
                <w:szCs w:val="21"/>
              </w:rPr>
            </w:pPr>
            <w:r>
              <w:rPr>
                <w:rFonts w:hint="eastAsia" w:ascii="宋体" w:hAnsi="宋体"/>
                <w:kern w:val="28"/>
                <w:szCs w:val="21"/>
              </w:rPr>
              <w:t>控股管理关系</w:t>
            </w:r>
          </w:p>
        </w:tc>
        <w:tc>
          <w:tcPr>
            <w:tcW w:w="4583" w:type="dxa"/>
            <w:noWrap/>
            <w:vAlign w:val="center"/>
          </w:tcPr>
          <w:p w14:paraId="34FB4956">
            <w:pPr>
              <w:rPr>
                <w:rFonts w:ascii="宋体" w:hAnsi="宋体"/>
                <w:kern w:val="28"/>
                <w:szCs w:val="21"/>
              </w:rPr>
            </w:pPr>
            <w:r>
              <w:rPr>
                <w:rFonts w:hint="eastAsia" w:ascii="宋体" w:hAnsi="宋体"/>
                <w:kern w:val="28"/>
                <w:szCs w:val="21"/>
              </w:rPr>
              <w:t>提供直接控股和管理关系清单。若与其他供应商存在单位负责人为同一人或者存在直接控股、管理关系的，则响应无效。</w:t>
            </w:r>
          </w:p>
        </w:tc>
        <w:tc>
          <w:tcPr>
            <w:tcW w:w="1152" w:type="dxa"/>
            <w:noWrap/>
            <w:vAlign w:val="center"/>
          </w:tcPr>
          <w:p w14:paraId="77DD7697">
            <w:pPr>
              <w:rPr>
                <w:rFonts w:ascii="宋体" w:hAnsi="宋体"/>
                <w:b/>
                <w:bCs/>
                <w:szCs w:val="21"/>
              </w:rPr>
            </w:pPr>
          </w:p>
        </w:tc>
      </w:tr>
      <w:tr w14:paraId="6F10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18C6DBF3">
            <w:pPr>
              <w:jc w:val="center"/>
              <w:rPr>
                <w:rFonts w:ascii="宋体" w:hAnsi="宋体"/>
                <w:szCs w:val="21"/>
              </w:rPr>
            </w:pPr>
            <w:r>
              <w:rPr>
                <w:rFonts w:hint="eastAsia" w:ascii="宋体" w:hAnsi="宋体"/>
                <w:szCs w:val="21"/>
              </w:rPr>
              <w:t>9</w:t>
            </w:r>
          </w:p>
        </w:tc>
        <w:tc>
          <w:tcPr>
            <w:tcW w:w="1866" w:type="dxa"/>
            <w:noWrap/>
            <w:vAlign w:val="center"/>
          </w:tcPr>
          <w:p w14:paraId="43D2B104">
            <w:pPr>
              <w:jc w:val="center"/>
              <w:rPr>
                <w:rFonts w:ascii="宋体" w:hAnsi="宋体"/>
                <w:kern w:val="28"/>
                <w:szCs w:val="21"/>
              </w:rPr>
            </w:pPr>
            <w:r>
              <w:rPr>
                <w:rFonts w:hint="eastAsia" w:ascii="宋体" w:hAnsi="宋体"/>
                <w:kern w:val="28"/>
                <w:szCs w:val="21"/>
              </w:rPr>
              <w:t>法定代表人授权委托书</w:t>
            </w:r>
          </w:p>
        </w:tc>
        <w:tc>
          <w:tcPr>
            <w:tcW w:w="4583" w:type="dxa"/>
            <w:noWrap/>
            <w:vAlign w:val="center"/>
          </w:tcPr>
          <w:p w14:paraId="20D59FA4">
            <w:pPr>
              <w:rPr>
                <w:rFonts w:ascii="宋体" w:hAnsi="宋体"/>
                <w:kern w:val="28"/>
                <w:szCs w:val="21"/>
              </w:rPr>
            </w:pPr>
            <w:r>
              <w:rPr>
                <w:rFonts w:hint="eastAsia" w:ascii="宋体" w:hAnsi="宋体"/>
                <w:kern w:val="28"/>
                <w:szCs w:val="21"/>
              </w:rPr>
              <w:t>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14:paraId="1EFE2C41">
            <w:pPr>
              <w:rPr>
                <w:rFonts w:ascii="宋体" w:hAnsi="宋体"/>
                <w:kern w:val="28"/>
                <w:szCs w:val="21"/>
              </w:rPr>
            </w:pPr>
            <w:r>
              <w:rPr>
                <w:rFonts w:hint="eastAsia" w:ascii="宋体" w:hAnsi="宋体"/>
                <w:kern w:val="28"/>
                <w:szCs w:val="21"/>
              </w:rPr>
              <w:t>法人的分支机构参与磋商时，除提供《法定代表人授权委托书》外，还须同时提供法人给分支机构出具的授权书。</w:t>
            </w:r>
          </w:p>
        </w:tc>
        <w:tc>
          <w:tcPr>
            <w:tcW w:w="1152" w:type="dxa"/>
            <w:noWrap/>
            <w:vAlign w:val="center"/>
          </w:tcPr>
          <w:p w14:paraId="1FA90635">
            <w:pPr>
              <w:rPr>
                <w:rFonts w:ascii="宋体" w:hAnsi="宋体"/>
                <w:b/>
                <w:bCs/>
                <w:szCs w:val="21"/>
              </w:rPr>
            </w:pPr>
          </w:p>
        </w:tc>
      </w:tr>
      <w:tr w14:paraId="0C4C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A2826B5">
            <w:pPr>
              <w:jc w:val="center"/>
              <w:rPr>
                <w:rFonts w:ascii="宋体" w:hAnsi="宋体"/>
                <w:szCs w:val="21"/>
              </w:rPr>
            </w:pPr>
            <w:r>
              <w:rPr>
                <w:rFonts w:hint="eastAsia" w:ascii="宋体" w:hAnsi="宋体"/>
                <w:szCs w:val="21"/>
              </w:rPr>
              <w:t>10</w:t>
            </w:r>
          </w:p>
        </w:tc>
        <w:tc>
          <w:tcPr>
            <w:tcW w:w="1866" w:type="dxa"/>
            <w:noWrap/>
            <w:vAlign w:val="center"/>
          </w:tcPr>
          <w:p w14:paraId="16099D2E">
            <w:pPr>
              <w:jc w:val="center"/>
              <w:rPr>
                <w:rFonts w:ascii="宋体" w:hAnsi="宋体"/>
                <w:kern w:val="28"/>
                <w:szCs w:val="21"/>
              </w:rPr>
            </w:pPr>
            <w:r>
              <w:rPr>
                <w:rFonts w:hint="eastAsia" w:ascii="宋体" w:hAnsi="宋体"/>
                <w:kern w:val="28"/>
                <w:szCs w:val="21"/>
              </w:rPr>
              <w:t>本项目不接受联合体磋商，不允许分包</w:t>
            </w:r>
          </w:p>
        </w:tc>
        <w:tc>
          <w:tcPr>
            <w:tcW w:w="4583" w:type="dxa"/>
            <w:noWrap/>
            <w:vAlign w:val="center"/>
          </w:tcPr>
          <w:p w14:paraId="18B8B8B5">
            <w:pPr>
              <w:rPr>
                <w:rFonts w:ascii="宋体" w:hAnsi="宋体"/>
                <w:kern w:val="28"/>
                <w:szCs w:val="21"/>
              </w:rPr>
            </w:pPr>
            <w:r>
              <w:rPr>
                <w:rFonts w:hint="eastAsia" w:ascii="宋体" w:hAnsi="宋体"/>
                <w:kern w:val="28"/>
                <w:szCs w:val="21"/>
              </w:rPr>
              <w:t>供应商应提供《非联合体不分包磋商声明》，视为独立磋商，不分包。</w:t>
            </w:r>
          </w:p>
        </w:tc>
        <w:tc>
          <w:tcPr>
            <w:tcW w:w="1152" w:type="dxa"/>
            <w:noWrap/>
            <w:vAlign w:val="center"/>
          </w:tcPr>
          <w:p w14:paraId="4B9DC94B">
            <w:pPr>
              <w:rPr>
                <w:rFonts w:ascii="宋体" w:hAnsi="宋体"/>
                <w:b/>
                <w:bCs/>
                <w:szCs w:val="21"/>
              </w:rPr>
            </w:pPr>
          </w:p>
        </w:tc>
      </w:tr>
      <w:tr w14:paraId="256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3" w:type="dxa"/>
            <w:gridSpan w:val="4"/>
            <w:noWrap/>
            <w:vAlign w:val="center"/>
          </w:tcPr>
          <w:p w14:paraId="4CE389F3">
            <w:pPr>
              <w:pStyle w:val="14"/>
              <w:spacing w:line="440" w:lineRule="exact"/>
              <w:jc w:val="left"/>
              <w:rPr>
                <w:rFonts w:hAnsi="宋体"/>
              </w:rPr>
            </w:pPr>
            <w:r>
              <w:rPr>
                <w:rFonts w:hint="eastAsia" w:hAnsi="宋体"/>
              </w:rPr>
              <w:t>注：</w:t>
            </w:r>
          </w:p>
          <w:p w14:paraId="304D1D78">
            <w:pPr>
              <w:pStyle w:val="14"/>
              <w:spacing w:line="440" w:lineRule="exact"/>
              <w:jc w:val="left"/>
              <w:rPr>
                <w:rFonts w:hAnsi="宋体"/>
              </w:rPr>
            </w:pPr>
            <w:r>
              <w:rPr>
                <w:rFonts w:hint="eastAsia" w:hAnsi="宋体"/>
              </w:rPr>
              <w:t>1.除注明原件外，均为复印件加盖供应商公章；身份证原件须随响应文件一并递交。</w:t>
            </w:r>
          </w:p>
          <w:p w14:paraId="4386EC7F">
            <w:pPr>
              <w:pStyle w:val="14"/>
              <w:spacing w:line="440" w:lineRule="exact"/>
              <w:jc w:val="left"/>
              <w:rPr>
                <w:rFonts w:hAnsi="宋体"/>
              </w:rPr>
            </w:pPr>
            <w:r>
              <w:rPr>
                <w:rFonts w:hint="eastAsia" w:hAnsi="宋体"/>
              </w:rPr>
              <w:t>2.分支机构参与磋商时，响应文件中应附法人出具的授权书。法人只能授权一家分支机构参与磋商，且不能与分支机构同时参与磋商。分支机构须提供自己的资格要求证明文件。</w:t>
            </w:r>
          </w:p>
          <w:p w14:paraId="4ABAB79E">
            <w:pPr>
              <w:pStyle w:val="14"/>
              <w:spacing w:line="440" w:lineRule="exact"/>
              <w:jc w:val="left"/>
              <w:rPr>
                <w:rFonts w:hAnsi="宋体"/>
              </w:rPr>
            </w:pPr>
            <w:r>
              <w:rPr>
                <w:rFonts w:hint="eastAsia" w:hAnsi="宋体"/>
              </w:rPr>
              <w:t>3.事业单位法人参与磋商可不提供财务状况报告、社会保障资金缴纳证明及税收缴纳证明。</w:t>
            </w:r>
          </w:p>
          <w:p w14:paraId="6A95A731">
            <w:pPr>
              <w:pStyle w:val="14"/>
              <w:spacing w:line="440" w:lineRule="exact"/>
              <w:jc w:val="left"/>
              <w:rPr>
                <w:rFonts w:hAnsi="宋体"/>
              </w:rPr>
            </w:pPr>
            <w:r>
              <w:rPr>
                <w:rFonts w:hint="eastAsia" w:hAnsi="宋体"/>
              </w:rPr>
              <w:t>4.单位负责人为同一人或存在直接控股、管理关系的不同单位，不得同时参加本项目采购活动。</w:t>
            </w:r>
          </w:p>
          <w:p w14:paraId="242CBB51">
            <w:pPr>
              <w:rPr>
                <w:rFonts w:ascii="宋体" w:hAnsi="宋体"/>
                <w:b/>
                <w:bCs/>
                <w:szCs w:val="21"/>
              </w:rPr>
            </w:pPr>
            <w:r>
              <w:rPr>
                <w:rFonts w:hint="eastAsia" w:hAnsi="宋体"/>
                <w:szCs w:val="21"/>
              </w:rPr>
              <w:t>5.磋商文件中要求签字或盖章之处，非法人单位均参照执行。</w:t>
            </w:r>
          </w:p>
        </w:tc>
      </w:tr>
    </w:tbl>
    <w:p w14:paraId="3091F312">
      <w:pPr>
        <w:outlineLvl w:val="1"/>
        <w:rPr>
          <w:rFonts w:ascii="华文仿宋" w:eastAsia="黑体" w:cs="Times New Roman"/>
          <w:sz w:val="28"/>
          <w:szCs w:val="28"/>
        </w:rPr>
      </w:pPr>
      <w:r>
        <w:rPr>
          <w:rFonts w:hint="eastAsia" w:ascii="宋体" w:hAnsi="宋体" w:cs="Calibri"/>
          <w:b/>
          <w:sz w:val="24"/>
          <w:szCs w:val="21"/>
        </w:rPr>
        <w:br w:type="page"/>
      </w:r>
      <w:bookmarkStart w:id="39" w:name="_Toc1108"/>
      <w:bookmarkStart w:id="40" w:name="_Toc25136"/>
      <w:r>
        <w:rPr>
          <w:rFonts w:hint="eastAsia" w:ascii="宋体" w:hAnsi="宋体" w:cs="Calibri"/>
          <w:b/>
          <w:sz w:val="24"/>
          <w:szCs w:val="21"/>
        </w:rPr>
        <w:t>附表二：符合性审查</w:t>
      </w:r>
      <w:bookmarkEnd w:id="39"/>
      <w:bookmarkEnd w:id="40"/>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5E84A6FB">
      <w:pPr>
        <w:spacing w:line="500" w:lineRule="exact"/>
        <w:jc w:val="center"/>
        <w:rPr>
          <w:rFonts w:ascii="华文仿宋" w:hAnsi="华文仿宋" w:cs="华文仿宋"/>
          <w:b/>
          <w:bCs/>
          <w:sz w:val="32"/>
          <w:szCs w:val="32"/>
        </w:rPr>
      </w:pPr>
      <w:r>
        <w:rPr>
          <w:rFonts w:hint="eastAsia" w:ascii="华文仿宋" w:hAnsi="华文仿宋" w:cs="华文仿宋"/>
          <w:b/>
          <w:bCs/>
          <w:sz w:val="32"/>
          <w:szCs w:val="32"/>
        </w:rPr>
        <w:t>符合性审查表</w:t>
      </w:r>
    </w:p>
    <w:tbl>
      <w:tblPr>
        <w:tblStyle w:val="28"/>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460"/>
        <w:gridCol w:w="4200"/>
        <w:gridCol w:w="1159"/>
      </w:tblGrid>
      <w:tr w14:paraId="01E0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2026A7C5">
            <w:pPr>
              <w:spacing w:line="320" w:lineRule="exact"/>
              <w:jc w:val="center"/>
              <w:rPr>
                <w:rFonts w:ascii="宋体" w:hAnsi="宋体"/>
                <w:b/>
                <w:bCs/>
                <w:kern w:val="0"/>
                <w:szCs w:val="21"/>
              </w:rPr>
            </w:pPr>
            <w:bookmarkStart w:id="41" w:name="_Toc7872"/>
            <w:bookmarkStart w:id="42" w:name="_Toc2503"/>
            <w:bookmarkStart w:id="43" w:name="_Toc7523"/>
            <w:bookmarkStart w:id="44" w:name="_Toc1938"/>
            <w:bookmarkStart w:id="45" w:name="_Toc31415"/>
            <w:bookmarkStart w:id="46" w:name="_Toc18874"/>
            <w:bookmarkStart w:id="47" w:name="_Toc22846"/>
            <w:bookmarkStart w:id="48" w:name="_Toc32092"/>
            <w:bookmarkStart w:id="49" w:name="_Toc31150"/>
            <w:bookmarkStart w:id="50" w:name="_Toc11613"/>
            <w:bookmarkStart w:id="51" w:name="_Toc12596"/>
            <w:bookmarkStart w:id="52" w:name="_Toc32472"/>
            <w:bookmarkStart w:id="53" w:name="_Toc14948"/>
            <w:bookmarkStart w:id="54" w:name="_Toc13418"/>
            <w:bookmarkStart w:id="55" w:name="_Toc2387"/>
            <w:bookmarkStart w:id="56" w:name="_Toc20615"/>
            <w:bookmarkStart w:id="57" w:name="_Toc4245"/>
            <w:bookmarkStart w:id="58" w:name="_Toc21485"/>
            <w:r>
              <w:rPr>
                <w:rFonts w:hint="eastAsia" w:ascii="宋体" w:hAnsi="宋体"/>
                <w:b/>
                <w:bCs/>
                <w:kern w:val="0"/>
                <w:szCs w:val="21"/>
              </w:rPr>
              <w:t>序号</w:t>
            </w:r>
          </w:p>
        </w:tc>
        <w:tc>
          <w:tcPr>
            <w:tcW w:w="2460" w:type="dxa"/>
            <w:noWrap/>
            <w:vAlign w:val="center"/>
          </w:tcPr>
          <w:p w14:paraId="4F80BA59">
            <w:pPr>
              <w:spacing w:line="320" w:lineRule="exact"/>
              <w:jc w:val="center"/>
              <w:rPr>
                <w:rFonts w:ascii="宋体" w:hAnsi="宋体"/>
                <w:b/>
                <w:bCs/>
                <w:kern w:val="0"/>
                <w:szCs w:val="21"/>
              </w:rPr>
            </w:pPr>
            <w:r>
              <w:rPr>
                <w:rFonts w:hint="eastAsia" w:ascii="宋体" w:hAnsi="宋体"/>
                <w:b/>
                <w:bCs/>
                <w:kern w:val="0"/>
                <w:szCs w:val="21"/>
              </w:rPr>
              <w:t>符合性审查项</w:t>
            </w:r>
          </w:p>
        </w:tc>
        <w:tc>
          <w:tcPr>
            <w:tcW w:w="4200" w:type="dxa"/>
            <w:noWrap/>
            <w:vAlign w:val="center"/>
          </w:tcPr>
          <w:p w14:paraId="638AB25F">
            <w:pPr>
              <w:spacing w:line="320" w:lineRule="exact"/>
              <w:jc w:val="center"/>
              <w:rPr>
                <w:rFonts w:ascii="宋体" w:hAnsi="宋体"/>
                <w:b/>
                <w:bCs/>
                <w:kern w:val="0"/>
                <w:szCs w:val="21"/>
              </w:rPr>
            </w:pPr>
            <w:r>
              <w:rPr>
                <w:rFonts w:hint="eastAsia" w:ascii="宋体" w:hAnsi="宋体"/>
                <w:b/>
                <w:bCs/>
                <w:kern w:val="0"/>
                <w:szCs w:val="21"/>
              </w:rPr>
              <w:t>通过条件</w:t>
            </w:r>
          </w:p>
        </w:tc>
        <w:tc>
          <w:tcPr>
            <w:tcW w:w="1159" w:type="dxa"/>
            <w:noWrap/>
            <w:vAlign w:val="center"/>
          </w:tcPr>
          <w:p w14:paraId="2CDA1D28">
            <w:pPr>
              <w:spacing w:line="320" w:lineRule="exact"/>
              <w:jc w:val="center"/>
              <w:rPr>
                <w:rFonts w:ascii="宋体" w:hAnsi="宋体"/>
                <w:b/>
                <w:bCs/>
                <w:kern w:val="0"/>
                <w:szCs w:val="21"/>
              </w:rPr>
            </w:pPr>
            <w:r>
              <w:rPr>
                <w:rFonts w:hint="eastAsia" w:ascii="宋体" w:hAnsi="宋体"/>
                <w:b/>
                <w:bCs/>
                <w:kern w:val="28"/>
                <w:szCs w:val="21"/>
              </w:rPr>
              <w:t>备注</w:t>
            </w:r>
          </w:p>
        </w:tc>
      </w:tr>
      <w:tr w14:paraId="112E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noWrap/>
            <w:vAlign w:val="center"/>
          </w:tcPr>
          <w:p w14:paraId="26CC3355">
            <w:pPr>
              <w:spacing w:line="320" w:lineRule="exact"/>
              <w:jc w:val="center"/>
              <w:rPr>
                <w:rFonts w:ascii="宋体" w:hAnsi="宋体"/>
                <w:kern w:val="0"/>
                <w:szCs w:val="21"/>
              </w:rPr>
            </w:pPr>
            <w:r>
              <w:rPr>
                <w:rFonts w:hint="eastAsia" w:ascii="宋体" w:hAnsi="宋体"/>
                <w:kern w:val="0"/>
                <w:szCs w:val="21"/>
              </w:rPr>
              <w:t>1</w:t>
            </w:r>
          </w:p>
        </w:tc>
        <w:tc>
          <w:tcPr>
            <w:tcW w:w="2460" w:type="dxa"/>
            <w:noWrap/>
            <w:vAlign w:val="center"/>
          </w:tcPr>
          <w:p w14:paraId="3482F5A6">
            <w:pPr>
              <w:spacing w:line="320" w:lineRule="exact"/>
              <w:jc w:val="left"/>
              <w:rPr>
                <w:rFonts w:ascii="宋体" w:hAnsi="宋体"/>
                <w:kern w:val="0"/>
                <w:szCs w:val="21"/>
              </w:rPr>
            </w:pPr>
            <w:r>
              <w:rPr>
                <w:rFonts w:hint="eastAsia" w:ascii="宋体" w:hAnsi="宋体"/>
                <w:kern w:val="0"/>
                <w:szCs w:val="21"/>
              </w:rPr>
              <w:t>响应文件语言及有效期</w:t>
            </w:r>
          </w:p>
        </w:tc>
        <w:tc>
          <w:tcPr>
            <w:tcW w:w="4200" w:type="dxa"/>
            <w:noWrap/>
            <w:vAlign w:val="center"/>
          </w:tcPr>
          <w:p w14:paraId="4BD1F87E">
            <w:pPr>
              <w:spacing w:line="320" w:lineRule="exact"/>
              <w:jc w:val="left"/>
              <w:rPr>
                <w:rFonts w:ascii="宋体" w:hAnsi="宋体"/>
                <w:szCs w:val="21"/>
              </w:rPr>
            </w:pPr>
            <w:r>
              <w:rPr>
                <w:rFonts w:hint="eastAsia" w:ascii="宋体" w:hAnsi="宋体"/>
                <w:szCs w:val="21"/>
              </w:rPr>
              <w:t>响应文件语言及有效期符合磋商文件要求。</w:t>
            </w:r>
          </w:p>
        </w:tc>
        <w:tc>
          <w:tcPr>
            <w:tcW w:w="1159" w:type="dxa"/>
            <w:noWrap/>
            <w:vAlign w:val="center"/>
          </w:tcPr>
          <w:p w14:paraId="2CF203D8">
            <w:pPr>
              <w:spacing w:line="320" w:lineRule="exact"/>
              <w:jc w:val="center"/>
              <w:rPr>
                <w:rFonts w:ascii="宋体" w:hAnsi="宋体"/>
                <w:b/>
                <w:bCs/>
                <w:kern w:val="0"/>
                <w:szCs w:val="21"/>
              </w:rPr>
            </w:pPr>
          </w:p>
        </w:tc>
      </w:tr>
      <w:tr w14:paraId="5A4F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3" w:type="dxa"/>
            <w:noWrap/>
            <w:vAlign w:val="center"/>
          </w:tcPr>
          <w:p w14:paraId="5CAF49B2">
            <w:pPr>
              <w:spacing w:line="320" w:lineRule="exact"/>
              <w:jc w:val="center"/>
              <w:rPr>
                <w:rFonts w:ascii="宋体" w:hAnsi="宋体"/>
                <w:kern w:val="0"/>
                <w:szCs w:val="21"/>
              </w:rPr>
            </w:pPr>
            <w:r>
              <w:rPr>
                <w:rFonts w:hint="eastAsia" w:ascii="宋体" w:hAnsi="宋体"/>
                <w:kern w:val="0"/>
                <w:szCs w:val="21"/>
              </w:rPr>
              <w:t>2</w:t>
            </w:r>
          </w:p>
        </w:tc>
        <w:tc>
          <w:tcPr>
            <w:tcW w:w="2460" w:type="dxa"/>
            <w:noWrap/>
            <w:vAlign w:val="center"/>
          </w:tcPr>
          <w:p w14:paraId="15B87983">
            <w:pPr>
              <w:spacing w:line="320" w:lineRule="exact"/>
              <w:jc w:val="left"/>
              <w:rPr>
                <w:rFonts w:ascii="宋体" w:hAnsi="宋体"/>
                <w:kern w:val="0"/>
                <w:szCs w:val="21"/>
              </w:rPr>
            </w:pPr>
            <w:r>
              <w:rPr>
                <w:rFonts w:hint="eastAsia" w:ascii="宋体" w:hAnsi="宋体"/>
                <w:kern w:val="0"/>
                <w:szCs w:val="21"/>
              </w:rPr>
              <w:t>响应文件封面、响应函、法定代表人授权委托书三处的项目名称、项目编号</w:t>
            </w:r>
          </w:p>
        </w:tc>
        <w:tc>
          <w:tcPr>
            <w:tcW w:w="4200" w:type="dxa"/>
            <w:noWrap/>
            <w:vAlign w:val="center"/>
          </w:tcPr>
          <w:p w14:paraId="02052C21">
            <w:pPr>
              <w:spacing w:line="320" w:lineRule="exact"/>
              <w:jc w:val="left"/>
              <w:rPr>
                <w:rFonts w:ascii="宋体" w:hAnsi="宋体"/>
                <w:kern w:val="0"/>
                <w:szCs w:val="21"/>
              </w:rPr>
            </w:pPr>
            <w:r>
              <w:rPr>
                <w:rFonts w:hint="eastAsia" w:ascii="宋体" w:hAnsi="宋体"/>
                <w:kern w:val="0"/>
                <w:szCs w:val="21"/>
              </w:rPr>
              <w:t>三处均无遗漏，且与所投项目名称、项目编号一致。</w:t>
            </w:r>
          </w:p>
        </w:tc>
        <w:tc>
          <w:tcPr>
            <w:tcW w:w="1159" w:type="dxa"/>
            <w:noWrap/>
            <w:vAlign w:val="center"/>
          </w:tcPr>
          <w:p w14:paraId="3D5F5355">
            <w:pPr>
              <w:spacing w:line="320" w:lineRule="exact"/>
              <w:jc w:val="center"/>
              <w:rPr>
                <w:rFonts w:ascii="宋体" w:hAnsi="宋体"/>
                <w:b/>
                <w:bCs/>
                <w:kern w:val="0"/>
                <w:szCs w:val="21"/>
              </w:rPr>
            </w:pPr>
          </w:p>
        </w:tc>
      </w:tr>
      <w:tr w14:paraId="5127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9DE9FA7">
            <w:pPr>
              <w:spacing w:line="320" w:lineRule="exact"/>
              <w:jc w:val="center"/>
              <w:rPr>
                <w:rFonts w:ascii="宋体" w:hAnsi="宋体"/>
                <w:kern w:val="0"/>
                <w:szCs w:val="21"/>
              </w:rPr>
            </w:pPr>
            <w:r>
              <w:rPr>
                <w:rFonts w:hint="eastAsia" w:ascii="宋体" w:hAnsi="宋体"/>
                <w:kern w:val="0"/>
                <w:szCs w:val="21"/>
              </w:rPr>
              <w:t>3</w:t>
            </w:r>
          </w:p>
        </w:tc>
        <w:tc>
          <w:tcPr>
            <w:tcW w:w="2460" w:type="dxa"/>
            <w:noWrap/>
            <w:vAlign w:val="center"/>
          </w:tcPr>
          <w:p w14:paraId="3BBE3826">
            <w:pPr>
              <w:spacing w:line="320" w:lineRule="exact"/>
              <w:jc w:val="left"/>
              <w:rPr>
                <w:rFonts w:ascii="宋体" w:hAnsi="宋体"/>
                <w:kern w:val="0"/>
                <w:szCs w:val="21"/>
              </w:rPr>
            </w:pPr>
            <w:r>
              <w:rPr>
                <w:rFonts w:hint="eastAsia" w:ascii="宋体" w:hAnsi="宋体"/>
                <w:kern w:val="0"/>
                <w:szCs w:val="21"/>
              </w:rPr>
              <w:t>响应文件签署、盖章</w:t>
            </w:r>
          </w:p>
        </w:tc>
        <w:tc>
          <w:tcPr>
            <w:tcW w:w="4200" w:type="dxa"/>
            <w:noWrap/>
            <w:vAlign w:val="center"/>
          </w:tcPr>
          <w:p w14:paraId="737B873F">
            <w:pPr>
              <w:spacing w:line="320" w:lineRule="exact"/>
              <w:jc w:val="left"/>
              <w:rPr>
                <w:rFonts w:ascii="宋体" w:hAnsi="宋体"/>
                <w:kern w:val="0"/>
                <w:szCs w:val="21"/>
              </w:rPr>
            </w:pPr>
            <w:r>
              <w:rPr>
                <w:rFonts w:hint="eastAsia" w:ascii="宋体" w:hAnsi="宋体"/>
                <w:szCs w:val="21"/>
              </w:rPr>
              <w:t>均按磋商文件要求签字、盖章（评分标准中要求提供的证明材料除外）。</w:t>
            </w:r>
          </w:p>
        </w:tc>
        <w:tc>
          <w:tcPr>
            <w:tcW w:w="1159" w:type="dxa"/>
            <w:noWrap/>
            <w:vAlign w:val="center"/>
          </w:tcPr>
          <w:p w14:paraId="0187FA0F">
            <w:pPr>
              <w:spacing w:line="320" w:lineRule="exact"/>
              <w:jc w:val="center"/>
              <w:rPr>
                <w:rFonts w:ascii="宋体" w:hAnsi="宋体"/>
                <w:b/>
                <w:bCs/>
                <w:kern w:val="0"/>
                <w:szCs w:val="21"/>
              </w:rPr>
            </w:pPr>
          </w:p>
        </w:tc>
      </w:tr>
      <w:tr w14:paraId="19C0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3D99C079">
            <w:pPr>
              <w:spacing w:line="320" w:lineRule="exact"/>
              <w:jc w:val="center"/>
              <w:rPr>
                <w:rFonts w:ascii="宋体" w:hAnsi="宋体"/>
                <w:kern w:val="0"/>
                <w:szCs w:val="21"/>
              </w:rPr>
            </w:pPr>
            <w:r>
              <w:rPr>
                <w:rFonts w:hint="eastAsia" w:ascii="宋体" w:hAnsi="宋体"/>
                <w:kern w:val="0"/>
                <w:szCs w:val="21"/>
              </w:rPr>
              <w:t>4</w:t>
            </w:r>
          </w:p>
        </w:tc>
        <w:tc>
          <w:tcPr>
            <w:tcW w:w="2460" w:type="dxa"/>
            <w:noWrap/>
            <w:vAlign w:val="center"/>
          </w:tcPr>
          <w:p w14:paraId="621897C9">
            <w:pPr>
              <w:spacing w:line="320" w:lineRule="exact"/>
              <w:jc w:val="center"/>
              <w:rPr>
                <w:rFonts w:ascii="宋体" w:hAnsi="宋体"/>
                <w:kern w:val="0"/>
                <w:szCs w:val="21"/>
              </w:rPr>
            </w:pPr>
            <w:r>
              <w:rPr>
                <w:rFonts w:hint="eastAsia" w:ascii="宋体" w:hAnsi="宋体"/>
                <w:kern w:val="0"/>
                <w:szCs w:val="21"/>
              </w:rPr>
              <w:t>响应报价表</w:t>
            </w:r>
          </w:p>
        </w:tc>
        <w:tc>
          <w:tcPr>
            <w:tcW w:w="4200" w:type="dxa"/>
            <w:noWrap/>
            <w:vAlign w:val="center"/>
          </w:tcPr>
          <w:p w14:paraId="7E6E59F3">
            <w:pPr>
              <w:spacing w:line="320" w:lineRule="exact"/>
              <w:rPr>
                <w:rFonts w:ascii="宋体" w:hAnsi="宋体"/>
                <w:kern w:val="0"/>
                <w:szCs w:val="21"/>
              </w:rPr>
            </w:pPr>
            <w:r>
              <w:rPr>
                <w:rFonts w:hint="eastAsia" w:ascii="宋体" w:hAnsi="宋体"/>
                <w:kern w:val="0"/>
                <w:szCs w:val="21"/>
              </w:rPr>
              <w:t>（1）响应报价符合唯一性要求：</w:t>
            </w:r>
          </w:p>
          <w:p w14:paraId="325B4145">
            <w:pPr>
              <w:spacing w:line="320" w:lineRule="exact"/>
              <w:rPr>
                <w:rFonts w:ascii="宋体" w:hAnsi="宋体"/>
                <w:kern w:val="0"/>
                <w:szCs w:val="21"/>
              </w:rPr>
            </w:pPr>
            <w:r>
              <w:rPr>
                <w:rFonts w:hint="eastAsia" w:ascii="宋体" w:hAnsi="宋体"/>
                <w:kern w:val="0"/>
                <w:szCs w:val="21"/>
              </w:rPr>
              <w:t>（2）响应报价表填写符合要求；</w:t>
            </w:r>
          </w:p>
          <w:p w14:paraId="4DB47AEF">
            <w:pPr>
              <w:spacing w:line="320" w:lineRule="exact"/>
              <w:rPr>
                <w:rFonts w:ascii="宋体" w:hAnsi="宋体"/>
                <w:kern w:val="0"/>
                <w:szCs w:val="21"/>
              </w:rPr>
            </w:pPr>
            <w:r>
              <w:rPr>
                <w:rFonts w:hint="eastAsia" w:ascii="宋体" w:hAnsi="宋体"/>
                <w:kern w:val="0"/>
                <w:szCs w:val="21"/>
              </w:rPr>
              <w:t>（3）计量单位、报价货币均符合磋商文件要求；</w:t>
            </w:r>
          </w:p>
          <w:p w14:paraId="7280444E">
            <w:pPr>
              <w:spacing w:line="320" w:lineRule="exact"/>
              <w:jc w:val="left"/>
              <w:rPr>
                <w:rFonts w:ascii="宋体" w:hAnsi="宋体"/>
                <w:szCs w:val="21"/>
              </w:rPr>
            </w:pPr>
            <w:r>
              <w:rPr>
                <w:rFonts w:hint="eastAsia" w:ascii="宋体" w:hAnsi="宋体"/>
                <w:kern w:val="0"/>
                <w:szCs w:val="21"/>
              </w:rPr>
              <w:t>（4）未超出采购预算或磋商文件规定的最高限价。</w:t>
            </w:r>
          </w:p>
        </w:tc>
        <w:tc>
          <w:tcPr>
            <w:tcW w:w="1159" w:type="dxa"/>
            <w:noWrap/>
            <w:vAlign w:val="center"/>
          </w:tcPr>
          <w:p w14:paraId="1193DAC4">
            <w:pPr>
              <w:spacing w:line="320" w:lineRule="exact"/>
              <w:jc w:val="center"/>
              <w:rPr>
                <w:rFonts w:ascii="宋体" w:hAnsi="宋体"/>
                <w:b/>
                <w:bCs/>
                <w:kern w:val="0"/>
                <w:szCs w:val="21"/>
              </w:rPr>
            </w:pPr>
          </w:p>
        </w:tc>
      </w:tr>
      <w:tr w14:paraId="07AA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F161E4A">
            <w:pPr>
              <w:spacing w:line="320" w:lineRule="exact"/>
              <w:jc w:val="center"/>
              <w:rPr>
                <w:rFonts w:ascii="宋体" w:hAnsi="宋体"/>
                <w:kern w:val="0"/>
                <w:szCs w:val="21"/>
              </w:rPr>
            </w:pPr>
            <w:r>
              <w:rPr>
                <w:rFonts w:hint="eastAsia" w:ascii="宋体" w:hAnsi="宋体"/>
                <w:kern w:val="0"/>
                <w:szCs w:val="21"/>
              </w:rPr>
              <w:t>5</w:t>
            </w:r>
          </w:p>
        </w:tc>
        <w:tc>
          <w:tcPr>
            <w:tcW w:w="2460" w:type="dxa"/>
            <w:noWrap/>
            <w:vAlign w:val="center"/>
          </w:tcPr>
          <w:p w14:paraId="0659C06F">
            <w:pPr>
              <w:spacing w:line="360" w:lineRule="exact"/>
              <w:jc w:val="center"/>
              <w:rPr>
                <w:rFonts w:ascii="宋体" w:hAnsi="宋体"/>
                <w:szCs w:val="21"/>
              </w:rPr>
            </w:pPr>
            <w:r>
              <w:rPr>
                <w:rFonts w:hint="eastAsia" w:ascii="宋体" w:hAnsi="宋体"/>
                <w:szCs w:val="21"/>
              </w:rPr>
              <w:t>商务条款响应</w:t>
            </w:r>
          </w:p>
        </w:tc>
        <w:tc>
          <w:tcPr>
            <w:tcW w:w="4200" w:type="dxa"/>
            <w:noWrap/>
            <w:vAlign w:val="center"/>
          </w:tcPr>
          <w:p w14:paraId="63C0AF59">
            <w:pPr>
              <w:spacing w:line="360" w:lineRule="exact"/>
              <w:jc w:val="left"/>
              <w:rPr>
                <w:rFonts w:ascii="宋体" w:hAnsi="宋体"/>
                <w:szCs w:val="21"/>
              </w:rPr>
            </w:pPr>
            <w:r>
              <w:rPr>
                <w:rFonts w:hint="eastAsia" w:ascii="宋体" w:hAnsi="宋体"/>
                <w:szCs w:val="21"/>
              </w:rPr>
              <w:t>完全理解接受并签署磋商文件商务条款响应表。</w:t>
            </w:r>
          </w:p>
        </w:tc>
        <w:tc>
          <w:tcPr>
            <w:tcW w:w="1159" w:type="dxa"/>
            <w:noWrap/>
            <w:vAlign w:val="center"/>
          </w:tcPr>
          <w:p w14:paraId="4036D42F">
            <w:pPr>
              <w:spacing w:line="320" w:lineRule="exact"/>
              <w:jc w:val="center"/>
              <w:rPr>
                <w:rFonts w:ascii="宋体" w:hAnsi="宋体"/>
                <w:b/>
                <w:bCs/>
                <w:kern w:val="0"/>
                <w:szCs w:val="21"/>
              </w:rPr>
            </w:pPr>
          </w:p>
        </w:tc>
      </w:tr>
      <w:tr w14:paraId="522C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23E22AA6">
            <w:pPr>
              <w:spacing w:line="320" w:lineRule="exact"/>
              <w:jc w:val="center"/>
              <w:rPr>
                <w:rFonts w:ascii="宋体" w:hAnsi="宋体"/>
                <w:kern w:val="0"/>
                <w:szCs w:val="21"/>
              </w:rPr>
            </w:pPr>
            <w:r>
              <w:rPr>
                <w:rFonts w:hint="eastAsia" w:ascii="宋体" w:hAnsi="宋体"/>
                <w:kern w:val="0"/>
                <w:szCs w:val="21"/>
              </w:rPr>
              <w:t>6</w:t>
            </w:r>
          </w:p>
        </w:tc>
        <w:tc>
          <w:tcPr>
            <w:tcW w:w="2460" w:type="dxa"/>
            <w:noWrap/>
            <w:vAlign w:val="center"/>
          </w:tcPr>
          <w:p w14:paraId="038B84F0">
            <w:pPr>
              <w:spacing w:line="360" w:lineRule="exact"/>
              <w:jc w:val="center"/>
              <w:rPr>
                <w:rFonts w:ascii="宋体" w:hAnsi="宋体"/>
                <w:kern w:val="0"/>
                <w:szCs w:val="21"/>
              </w:rPr>
            </w:pPr>
            <w:r>
              <w:rPr>
                <w:rFonts w:hint="eastAsia" w:ascii="宋体" w:hAnsi="宋体"/>
                <w:szCs w:val="21"/>
              </w:rPr>
              <w:t>无其他磋商文件或法规明确规定响应无效的事项</w:t>
            </w:r>
          </w:p>
        </w:tc>
        <w:tc>
          <w:tcPr>
            <w:tcW w:w="4200" w:type="dxa"/>
            <w:noWrap/>
            <w:vAlign w:val="center"/>
          </w:tcPr>
          <w:p w14:paraId="66A771B6">
            <w:pPr>
              <w:spacing w:line="370" w:lineRule="exact"/>
              <w:jc w:val="left"/>
              <w:rPr>
                <w:rFonts w:ascii="宋体" w:hAnsi="宋体"/>
                <w:kern w:val="0"/>
                <w:szCs w:val="21"/>
              </w:rPr>
            </w:pPr>
            <w:r>
              <w:rPr>
                <w:rFonts w:hint="eastAsia" w:ascii="宋体" w:hAnsi="宋体"/>
                <w:szCs w:val="21"/>
              </w:rPr>
              <w:t>没有不符合磋商文件规定的被视为无效响应的其他条款。</w:t>
            </w:r>
          </w:p>
        </w:tc>
        <w:tc>
          <w:tcPr>
            <w:tcW w:w="1159" w:type="dxa"/>
            <w:noWrap/>
            <w:vAlign w:val="center"/>
          </w:tcPr>
          <w:p w14:paraId="7EF024D7">
            <w:pPr>
              <w:spacing w:line="320" w:lineRule="exact"/>
              <w:jc w:val="center"/>
              <w:rPr>
                <w:rFonts w:ascii="宋体" w:hAnsi="宋体"/>
                <w:b/>
                <w:bCs/>
                <w:kern w:val="0"/>
                <w:szCs w:val="21"/>
              </w:rPr>
            </w:pPr>
          </w:p>
        </w:tc>
      </w:tr>
    </w:tbl>
    <w:p w14:paraId="5418E667">
      <w:pPr>
        <w:pStyle w:val="8"/>
      </w:pPr>
    </w:p>
    <w:p w14:paraId="6EAD7014">
      <w:pPr>
        <w:outlineLvl w:val="1"/>
        <w:rPr>
          <w:rFonts w:ascii="华文仿宋" w:eastAsia="黑体" w:cs="Times New Roman"/>
          <w:sz w:val="28"/>
          <w:szCs w:val="28"/>
        </w:rPr>
      </w:pPr>
      <w:bookmarkStart w:id="59" w:name="_Toc13365"/>
      <w:bookmarkStart w:id="60" w:name="_Toc15518"/>
      <w:bookmarkStart w:id="61" w:name="_Toc27968"/>
      <w:bookmarkStart w:id="62" w:name="_Toc31427"/>
      <w:bookmarkStart w:id="63" w:name="_Toc16017"/>
      <w:r>
        <w:rPr>
          <w:rFonts w:hint="eastAsia" w:ascii="华文仿宋" w:hAnsi="华文仿宋" w:cs="华文仿宋"/>
          <w:sz w:val="28"/>
          <w:szCs w:val="28"/>
        </w:rPr>
        <w:br w:type="page"/>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4" w:name="_Toc28098"/>
      <w:bookmarkStart w:id="65" w:name="_Toc17295"/>
      <w:bookmarkStart w:id="66" w:name="_Toc18007"/>
      <w:bookmarkStart w:id="67" w:name="_Toc8963"/>
      <w:r>
        <w:rPr>
          <w:rFonts w:hint="eastAsia" w:ascii="宋体" w:hAnsi="宋体" w:cs="Calibri"/>
          <w:b/>
          <w:sz w:val="24"/>
          <w:szCs w:val="21"/>
        </w:rPr>
        <w:t>附表三：评审要素及分值一览表</w:t>
      </w:r>
      <w:bookmarkEnd w:id="64"/>
      <w:bookmarkEnd w:id="65"/>
    </w:p>
    <w:bookmarkEnd w:id="66"/>
    <w:bookmarkEnd w:id="67"/>
    <w:p w14:paraId="48EC13F0">
      <w:pPr>
        <w:spacing w:line="500" w:lineRule="exact"/>
        <w:jc w:val="center"/>
        <w:rPr>
          <w:rFonts w:ascii="华文仿宋" w:hAnsi="华文仿宋" w:cs="华文仿宋"/>
          <w:b/>
          <w:bCs/>
          <w:sz w:val="32"/>
          <w:szCs w:val="32"/>
        </w:rPr>
      </w:pPr>
      <w:r>
        <w:rPr>
          <w:rFonts w:hint="eastAsia" w:ascii="华文仿宋" w:hAnsi="华文仿宋" w:cs="华文仿宋"/>
          <w:b/>
          <w:bCs/>
          <w:sz w:val="32"/>
          <w:szCs w:val="32"/>
        </w:rPr>
        <w:t>评审要素及分值一览表</w:t>
      </w:r>
    </w:p>
    <w:tbl>
      <w:tblPr>
        <w:tblStyle w:val="28"/>
        <w:tblW w:w="8505" w:type="dxa"/>
        <w:jc w:val="center"/>
        <w:tblLayout w:type="fixed"/>
        <w:tblCellMar>
          <w:top w:w="0" w:type="dxa"/>
          <w:left w:w="108" w:type="dxa"/>
          <w:bottom w:w="0" w:type="dxa"/>
          <w:right w:w="108" w:type="dxa"/>
        </w:tblCellMar>
      </w:tblPr>
      <w:tblGrid>
        <w:gridCol w:w="1129"/>
        <w:gridCol w:w="1560"/>
        <w:gridCol w:w="5816"/>
      </w:tblGrid>
      <w:tr w14:paraId="736F25A8">
        <w:tblPrEx>
          <w:tblCellMar>
            <w:top w:w="0" w:type="dxa"/>
            <w:left w:w="108" w:type="dxa"/>
            <w:bottom w:w="0" w:type="dxa"/>
            <w:right w:w="108" w:type="dxa"/>
          </w:tblCellMar>
        </w:tblPrEx>
        <w:trPr>
          <w:trHeight w:val="52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39BC">
            <w:pPr>
              <w:widowControl/>
              <w:spacing w:line="276" w:lineRule="auto"/>
              <w:jc w:val="center"/>
              <w:textAlignment w:val="center"/>
              <w:rPr>
                <w:rFonts w:ascii="宋体" w:hAnsi="宋体"/>
                <w:b/>
                <w:bCs/>
                <w:color w:val="000000"/>
                <w:szCs w:val="21"/>
              </w:rPr>
            </w:pPr>
            <w:r>
              <w:rPr>
                <w:rFonts w:hint="eastAsia" w:ascii="宋体" w:hAnsi="宋体"/>
                <w:b/>
                <w:bCs/>
                <w:color w:val="000000"/>
                <w:kern w:val="0"/>
                <w:szCs w:val="21"/>
                <w:lang w:bidi="ar"/>
              </w:rPr>
              <w:t>评审内容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E4E6">
            <w:pPr>
              <w:widowControl/>
              <w:spacing w:line="276" w:lineRule="auto"/>
              <w:jc w:val="center"/>
              <w:textAlignment w:val="center"/>
              <w:rPr>
                <w:rFonts w:ascii="宋体" w:hAnsi="宋体"/>
                <w:b/>
                <w:bCs/>
                <w:color w:val="000000"/>
                <w:szCs w:val="21"/>
              </w:rPr>
            </w:pPr>
            <w:r>
              <w:rPr>
                <w:rFonts w:hint="eastAsia" w:ascii="宋体" w:hAnsi="宋体"/>
                <w:b/>
                <w:bCs/>
                <w:color w:val="000000"/>
                <w:kern w:val="0"/>
                <w:szCs w:val="21"/>
                <w:lang w:bidi="ar"/>
              </w:rPr>
              <w:t>分值</w:t>
            </w:r>
          </w:p>
        </w:tc>
        <w:tc>
          <w:tcPr>
            <w:tcW w:w="5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B51">
            <w:pPr>
              <w:widowControl/>
              <w:spacing w:line="276" w:lineRule="auto"/>
              <w:jc w:val="center"/>
              <w:textAlignment w:val="center"/>
              <w:rPr>
                <w:rFonts w:ascii="宋体" w:hAnsi="宋体"/>
                <w:b/>
                <w:bCs/>
                <w:color w:val="000000"/>
                <w:szCs w:val="21"/>
              </w:rPr>
            </w:pPr>
            <w:r>
              <w:rPr>
                <w:rFonts w:hint="eastAsia" w:ascii="宋体" w:hAnsi="宋体"/>
                <w:b/>
                <w:bCs/>
                <w:color w:val="000000"/>
                <w:kern w:val="0"/>
                <w:szCs w:val="21"/>
                <w:lang w:bidi="ar"/>
              </w:rPr>
              <w:t>评分原则与标准</w:t>
            </w:r>
          </w:p>
        </w:tc>
      </w:tr>
      <w:tr w14:paraId="2434F94C">
        <w:tblPrEx>
          <w:tblCellMar>
            <w:top w:w="0" w:type="dxa"/>
            <w:left w:w="108" w:type="dxa"/>
            <w:bottom w:w="0" w:type="dxa"/>
            <w:right w:w="108" w:type="dxa"/>
          </w:tblCellMar>
        </w:tblPrEx>
        <w:trPr>
          <w:trHeight w:val="1982" w:hRule="atLeast"/>
          <w:jc w:val="center"/>
        </w:trPr>
        <w:tc>
          <w:tcPr>
            <w:tcW w:w="11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1A7787">
            <w:pPr>
              <w:widowControl/>
              <w:spacing w:line="276" w:lineRule="auto"/>
              <w:jc w:val="center"/>
              <w:textAlignment w:val="center"/>
              <w:rPr>
                <w:rFonts w:ascii="宋体" w:hAnsi="宋体"/>
                <w:color w:val="000000"/>
                <w:szCs w:val="21"/>
              </w:rPr>
            </w:pPr>
            <w:r>
              <w:rPr>
                <w:rFonts w:hint="eastAsia" w:ascii="宋体" w:hAnsi="宋体"/>
                <w:color w:val="000000"/>
                <w:kern w:val="0"/>
                <w:szCs w:val="21"/>
                <w:lang w:bidi="ar"/>
              </w:rPr>
              <w:t>响应报价</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9AE429">
            <w:pPr>
              <w:widowControl/>
              <w:spacing w:line="276" w:lineRule="auto"/>
              <w:jc w:val="center"/>
              <w:textAlignment w:val="center"/>
              <w:rPr>
                <w:rFonts w:ascii="宋体" w:hAnsi="宋体"/>
                <w:color w:val="000000"/>
                <w:szCs w:val="21"/>
              </w:rPr>
            </w:pPr>
            <w:r>
              <w:rPr>
                <w:rFonts w:hint="eastAsia" w:ascii="宋体" w:hAnsi="宋体"/>
                <w:color w:val="000000"/>
                <w:kern w:val="0"/>
                <w:szCs w:val="21"/>
                <w:lang w:bidi="ar"/>
              </w:rPr>
              <w:t>10</w:t>
            </w:r>
          </w:p>
        </w:tc>
        <w:tc>
          <w:tcPr>
            <w:tcW w:w="5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4F0BEEB">
            <w:pPr>
              <w:spacing w:line="276" w:lineRule="auto"/>
              <w:rPr>
                <w:rFonts w:ascii="宋体" w:hAnsi="宋体"/>
                <w:szCs w:val="21"/>
                <w:lang w:val="zh-CN"/>
              </w:rPr>
            </w:pPr>
            <w:r>
              <w:rPr>
                <w:rFonts w:hint="eastAsia" w:ascii="宋体" w:hAnsi="宋体"/>
                <w:szCs w:val="21"/>
                <w:lang w:val="zh-CN"/>
              </w:rPr>
              <w:t>经初审合格的响应文件，其磋商报价为有效投标价；</w:t>
            </w:r>
            <w:r>
              <w:rPr>
                <w:rFonts w:ascii="宋体" w:hAnsi="宋体"/>
                <w:szCs w:val="21"/>
                <w:lang w:val="zh-CN"/>
              </w:rPr>
              <w:t>有效最低报价为基准价得10分</w:t>
            </w:r>
            <w:r>
              <w:rPr>
                <w:rFonts w:hint="eastAsia" w:ascii="宋体" w:hAnsi="宋体"/>
                <w:szCs w:val="21"/>
                <w:lang w:val="zh-CN"/>
              </w:rPr>
              <w:t>，价格分按照下列公式计算。</w:t>
            </w:r>
          </w:p>
          <w:p w14:paraId="19B0A211">
            <w:pPr>
              <w:spacing w:line="276" w:lineRule="auto"/>
              <w:rPr>
                <w:rFonts w:ascii="宋体" w:hAnsi="宋体"/>
                <w:szCs w:val="21"/>
              </w:rPr>
            </w:pPr>
            <w:r>
              <w:rPr>
                <w:rFonts w:hint="eastAsia" w:ascii="宋体" w:hAnsi="宋体"/>
                <w:szCs w:val="21"/>
                <w:lang w:val="zh-CN"/>
              </w:rPr>
              <w:t>磋商报价得分=(评标基准价／磋商报价)×</w:t>
            </w:r>
            <w:r>
              <w:rPr>
                <w:rFonts w:hint="eastAsia" w:ascii="宋体" w:hAnsi="宋体"/>
                <w:szCs w:val="21"/>
              </w:rPr>
              <w:t>10</w:t>
            </w:r>
          </w:p>
          <w:p w14:paraId="767DB5AA">
            <w:pPr>
              <w:spacing w:line="276" w:lineRule="auto"/>
              <w:rPr>
                <w:rFonts w:ascii="宋体" w:hAnsi="宋体"/>
                <w:szCs w:val="21"/>
              </w:rPr>
            </w:pPr>
            <w:r>
              <w:rPr>
                <w:rFonts w:hint="eastAsia" w:ascii="宋体" w:hAnsi="宋体"/>
                <w:szCs w:val="21"/>
              </w:rPr>
              <w:t>磋商报价不完整的，不进入评标标准价的计算，本项得</w:t>
            </w:r>
            <w:r>
              <w:rPr>
                <w:rFonts w:ascii="宋体" w:hAnsi="宋体"/>
                <w:szCs w:val="21"/>
              </w:rPr>
              <w:t>0分。</w:t>
            </w:r>
          </w:p>
          <w:p w14:paraId="514BFEAF">
            <w:pPr>
              <w:spacing w:line="276" w:lineRule="auto"/>
              <w:rPr>
                <w:rFonts w:ascii="宋体" w:hAnsi="宋体"/>
                <w:color w:val="000000"/>
                <w:szCs w:val="21"/>
              </w:rPr>
            </w:pPr>
            <w:r>
              <w:rPr>
                <w:rFonts w:hint="eastAsia" w:ascii="宋体" w:hAnsi="宋体"/>
                <w:szCs w:val="21"/>
                <w:lang w:val="zh-CN"/>
              </w:rPr>
              <w:t>符合磋商文件规定的小微企业、监狱企业、残疾人福利性单位优惠条件的供应商，价格给予</w:t>
            </w:r>
            <w:r>
              <w:rPr>
                <w:rFonts w:hint="eastAsia" w:ascii="宋体" w:hAnsi="宋体"/>
                <w:szCs w:val="21"/>
              </w:rPr>
              <w:t>10</w:t>
            </w:r>
            <w:r>
              <w:rPr>
                <w:rFonts w:hint="eastAsia" w:ascii="宋体" w:hAnsi="宋体"/>
                <w:szCs w:val="21"/>
                <w:lang w:val="zh-CN"/>
              </w:rPr>
              <w:t>%的扣除，用扣除后的价格参与评审。</w:t>
            </w:r>
          </w:p>
        </w:tc>
      </w:tr>
      <w:tr w14:paraId="6B301D02">
        <w:tblPrEx>
          <w:tblCellMar>
            <w:top w:w="0" w:type="dxa"/>
            <w:left w:w="108" w:type="dxa"/>
            <w:bottom w:w="0" w:type="dxa"/>
            <w:right w:w="108" w:type="dxa"/>
          </w:tblCellMar>
        </w:tblPrEx>
        <w:trPr>
          <w:trHeight w:val="90" w:hRule="atLeast"/>
          <w:jc w:val="center"/>
        </w:trPr>
        <w:tc>
          <w:tcPr>
            <w:tcW w:w="1129" w:type="dxa"/>
            <w:vMerge w:val="restart"/>
            <w:tcBorders>
              <w:top w:val="single" w:color="auto" w:sz="4" w:space="0"/>
              <w:left w:val="single" w:color="auto" w:sz="4" w:space="0"/>
              <w:right w:val="single" w:color="auto" w:sz="4" w:space="0"/>
            </w:tcBorders>
            <w:shd w:val="clear" w:color="auto" w:fill="auto"/>
            <w:noWrap/>
            <w:vAlign w:val="center"/>
          </w:tcPr>
          <w:p w14:paraId="13824C5A">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服务方案</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A855">
            <w:pPr>
              <w:widowControl/>
              <w:spacing w:line="276" w:lineRule="auto"/>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10</w:t>
            </w:r>
          </w:p>
        </w:tc>
        <w:tc>
          <w:tcPr>
            <w:tcW w:w="5816" w:type="dxa"/>
            <w:tcBorders>
              <w:top w:val="single" w:color="auto" w:sz="4" w:space="0"/>
              <w:left w:val="single" w:color="auto" w:sz="4" w:space="0"/>
              <w:bottom w:val="single" w:color="auto" w:sz="4" w:space="0"/>
              <w:right w:val="single" w:color="auto" w:sz="4" w:space="0"/>
            </w:tcBorders>
            <w:shd w:val="clear" w:color="auto" w:fill="auto"/>
            <w:vAlign w:val="center"/>
          </w:tcPr>
          <w:p w14:paraId="54FD48B4">
            <w:pPr>
              <w:widowControl/>
              <w:spacing w:line="276" w:lineRule="auto"/>
              <w:jc w:val="left"/>
              <w:textAlignment w:val="center"/>
              <w:rPr>
                <w:rFonts w:ascii="宋体" w:hAnsi="宋体"/>
                <w:color w:val="000000"/>
                <w:kern w:val="0"/>
                <w:szCs w:val="21"/>
                <w:lang w:bidi="ar"/>
              </w:rPr>
            </w:pPr>
            <w:r>
              <w:rPr>
                <w:rFonts w:hint="eastAsia" w:ascii="宋体" w:hAnsi="宋体"/>
                <w:szCs w:val="21"/>
              </w:rPr>
              <w:t>根据供应商提供针对本项目的驻场</w:t>
            </w:r>
            <w:r>
              <w:rPr>
                <w:rFonts w:hint="eastAsia" w:ascii="宋体" w:hAnsi="宋体"/>
                <w:color w:val="000000"/>
                <w:kern w:val="0"/>
                <w:szCs w:val="21"/>
                <w:lang w:bidi="ar"/>
              </w:rPr>
              <w:t>运维服务方案响应情况赋分。</w:t>
            </w:r>
          </w:p>
          <w:p w14:paraId="3A34EB48">
            <w:pPr>
              <w:spacing w:line="276" w:lineRule="auto"/>
              <w:rPr>
                <w:rFonts w:hint="eastAsia" w:ascii="宋体" w:hAnsi="宋体"/>
                <w:szCs w:val="21"/>
              </w:rPr>
            </w:pPr>
            <w:r>
              <w:rPr>
                <w:rFonts w:hint="eastAsia" w:ascii="宋体" w:hAnsi="宋体"/>
                <w:szCs w:val="21"/>
              </w:rPr>
              <w:t>1.方案详尽具体，科学合理，可实施性强得（7-10]分；</w:t>
            </w:r>
          </w:p>
          <w:p w14:paraId="14E8E628">
            <w:pPr>
              <w:spacing w:line="276" w:lineRule="auto"/>
              <w:rPr>
                <w:rFonts w:hint="eastAsia" w:ascii="宋体" w:hAnsi="宋体"/>
                <w:szCs w:val="21"/>
              </w:rPr>
            </w:pPr>
            <w:r>
              <w:rPr>
                <w:rFonts w:hint="eastAsia" w:ascii="宋体" w:hAnsi="宋体"/>
                <w:szCs w:val="21"/>
              </w:rPr>
              <w:t>2.方案科学合理，满足项目基本需求得（4-7]分；</w:t>
            </w:r>
          </w:p>
          <w:p w14:paraId="2653C56C">
            <w:pPr>
              <w:spacing w:line="276" w:lineRule="auto"/>
              <w:rPr>
                <w:rFonts w:ascii="宋体" w:hAnsi="宋体"/>
                <w:szCs w:val="21"/>
              </w:rPr>
            </w:pPr>
            <w:r>
              <w:rPr>
                <w:rFonts w:hint="eastAsia" w:ascii="宋体" w:hAnsi="宋体"/>
                <w:szCs w:val="21"/>
              </w:rPr>
              <w:t>3.方案简单，适用性一般的得[0-4]分。</w:t>
            </w:r>
          </w:p>
        </w:tc>
      </w:tr>
      <w:tr w14:paraId="732B247D">
        <w:tblPrEx>
          <w:tblCellMar>
            <w:top w:w="0" w:type="dxa"/>
            <w:left w:w="108" w:type="dxa"/>
            <w:bottom w:w="0" w:type="dxa"/>
            <w:right w:w="108" w:type="dxa"/>
          </w:tblCellMar>
        </w:tblPrEx>
        <w:trPr>
          <w:trHeight w:val="1419" w:hRule="atLeast"/>
          <w:jc w:val="center"/>
        </w:trPr>
        <w:tc>
          <w:tcPr>
            <w:tcW w:w="1129" w:type="dxa"/>
            <w:vMerge w:val="continue"/>
            <w:tcBorders>
              <w:left w:val="single" w:color="auto" w:sz="4" w:space="0"/>
              <w:right w:val="single" w:color="auto" w:sz="4" w:space="0"/>
            </w:tcBorders>
            <w:shd w:val="clear" w:color="auto" w:fill="auto"/>
            <w:noWrap/>
            <w:vAlign w:val="center"/>
          </w:tcPr>
          <w:p w14:paraId="1C96A0F0">
            <w:pPr>
              <w:widowControl/>
              <w:spacing w:line="276" w:lineRule="auto"/>
              <w:jc w:val="center"/>
              <w:textAlignment w:val="center"/>
              <w:rPr>
                <w:rFonts w:ascii="宋体" w:hAnsi="宋体"/>
                <w:color w:val="000000"/>
                <w:kern w:val="0"/>
                <w:szCs w:val="21"/>
                <w:lang w:bidi="ar"/>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1748A">
            <w:pPr>
              <w:widowControl/>
              <w:spacing w:line="276" w:lineRule="auto"/>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6</w:t>
            </w:r>
          </w:p>
        </w:tc>
        <w:tc>
          <w:tcPr>
            <w:tcW w:w="5816" w:type="dxa"/>
            <w:tcBorders>
              <w:top w:val="single" w:color="auto" w:sz="4" w:space="0"/>
              <w:left w:val="single" w:color="auto" w:sz="4" w:space="0"/>
              <w:bottom w:val="single" w:color="auto" w:sz="4" w:space="0"/>
              <w:right w:val="single" w:color="auto" w:sz="4" w:space="0"/>
            </w:tcBorders>
            <w:shd w:val="clear" w:color="auto" w:fill="auto"/>
            <w:vAlign w:val="center"/>
          </w:tcPr>
          <w:p w14:paraId="3BCB343F">
            <w:pPr>
              <w:widowControl/>
              <w:spacing w:line="276" w:lineRule="auto"/>
              <w:jc w:val="left"/>
              <w:textAlignment w:val="center"/>
              <w:rPr>
                <w:rFonts w:ascii="宋体" w:hAnsi="宋体"/>
                <w:szCs w:val="21"/>
              </w:rPr>
            </w:pPr>
            <w:r>
              <w:rPr>
                <w:rFonts w:hint="eastAsia" w:ascii="宋体" w:hAnsi="宋体"/>
                <w:szCs w:val="21"/>
              </w:rPr>
              <w:t>根据供应商提供针对本项目的漏洞扫描服务</w:t>
            </w:r>
            <w:r>
              <w:rPr>
                <w:rFonts w:hint="eastAsia" w:ascii="宋体" w:hAnsi="宋体"/>
                <w:kern w:val="0"/>
                <w:szCs w:val="21"/>
                <w:lang w:bidi="ar"/>
              </w:rPr>
              <w:t>方案响应情况赋分。</w:t>
            </w:r>
          </w:p>
          <w:p w14:paraId="1144BF5E">
            <w:pPr>
              <w:spacing w:line="276" w:lineRule="auto"/>
              <w:rPr>
                <w:rFonts w:hint="eastAsia" w:ascii="宋体" w:hAnsi="宋体"/>
                <w:szCs w:val="21"/>
              </w:rPr>
            </w:pPr>
            <w:r>
              <w:rPr>
                <w:rFonts w:hint="eastAsia" w:ascii="宋体" w:hAnsi="宋体"/>
                <w:szCs w:val="21"/>
              </w:rPr>
              <w:t>1.方案详尽具体，科学合理，可实施性强得（3-6]分；</w:t>
            </w:r>
          </w:p>
          <w:p w14:paraId="4643C585">
            <w:pPr>
              <w:spacing w:line="276" w:lineRule="auto"/>
              <w:rPr>
                <w:rFonts w:ascii="宋体" w:hAnsi="宋体"/>
                <w:szCs w:val="21"/>
              </w:rPr>
            </w:pPr>
            <w:r>
              <w:rPr>
                <w:rFonts w:hint="eastAsia" w:ascii="宋体" w:hAnsi="宋体"/>
                <w:szCs w:val="21"/>
              </w:rPr>
              <w:t>2.方案科学合理，满足项目基本需求得[0-3]分；</w:t>
            </w:r>
          </w:p>
        </w:tc>
      </w:tr>
      <w:tr w14:paraId="5438E1D4">
        <w:tblPrEx>
          <w:tblCellMar>
            <w:top w:w="0" w:type="dxa"/>
            <w:left w:w="108" w:type="dxa"/>
            <w:bottom w:w="0" w:type="dxa"/>
            <w:right w:w="108" w:type="dxa"/>
          </w:tblCellMar>
        </w:tblPrEx>
        <w:trPr>
          <w:trHeight w:val="1255" w:hRule="atLeast"/>
          <w:jc w:val="center"/>
        </w:trPr>
        <w:tc>
          <w:tcPr>
            <w:tcW w:w="1129" w:type="dxa"/>
            <w:vMerge w:val="continue"/>
            <w:tcBorders>
              <w:left w:val="single" w:color="auto" w:sz="4" w:space="0"/>
              <w:right w:val="single" w:color="auto" w:sz="4" w:space="0"/>
            </w:tcBorders>
            <w:shd w:val="clear" w:color="auto" w:fill="auto"/>
            <w:noWrap/>
            <w:vAlign w:val="center"/>
          </w:tcPr>
          <w:p w14:paraId="229C48B2">
            <w:pPr>
              <w:widowControl/>
              <w:spacing w:line="276" w:lineRule="auto"/>
              <w:jc w:val="center"/>
              <w:textAlignment w:val="center"/>
              <w:rPr>
                <w:rFonts w:ascii="宋体" w:hAnsi="宋体"/>
                <w:color w:val="000000"/>
                <w:kern w:val="0"/>
                <w:szCs w:val="21"/>
                <w:lang w:bidi="ar"/>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B2953">
            <w:pPr>
              <w:widowControl/>
              <w:spacing w:line="276" w:lineRule="auto"/>
              <w:jc w:val="center"/>
              <w:textAlignment w:val="center"/>
              <w:rPr>
                <w:rFonts w:hint="eastAsia" w:ascii="宋体" w:hAnsi="宋体" w:eastAsia="宋体"/>
                <w:color w:val="000000"/>
                <w:kern w:val="0"/>
                <w:szCs w:val="21"/>
                <w:lang w:eastAsia="zh-CN" w:bidi="ar"/>
              </w:rPr>
            </w:pPr>
            <w:r>
              <w:rPr>
                <w:rFonts w:hint="eastAsia" w:ascii="宋体" w:hAnsi="宋体"/>
                <w:color w:val="000000"/>
                <w:kern w:val="0"/>
                <w:szCs w:val="21"/>
                <w:lang w:val="en-US" w:eastAsia="zh-CN" w:bidi="ar"/>
              </w:rPr>
              <w:t>6</w:t>
            </w:r>
          </w:p>
        </w:tc>
        <w:tc>
          <w:tcPr>
            <w:tcW w:w="5816" w:type="dxa"/>
            <w:tcBorders>
              <w:top w:val="single" w:color="auto" w:sz="4" w:space="0"/>
              <w:left w:val="single" w:color="auto" w:sz="4" w:space="0"/>
              <w:bottom w:val="single" w:color="auto" w:sz="4" w:space="0"/>
              <w:right w:val="single" w:color="auto" w:sz="4" w:space="0"/>
            </w:tcBorders>
            <w:shd w:val="clear" w:color="auto" w:fill="auto"/>
            <w:vAlign w:val="center"/>
          </w:tcPr>
          <w:p w14:paraId="035F2B0E">
            <w:pPr>
              <w:spacing w:line="276" w:lineRule="auto"/>
              <w:rPr>
                <w:rFonts w:ascii="宋体" w:hAnsi="宋体"/>
                <w:color w:val="000000"/>
                <w:kern w:val="0"/>
                <w:szCs w:val="21"/>
                <w:lang w:bidi="ar"/>
              </w:rPr>
            </w:pPr>
            <w:r>
              <w:rPr>
                <w:rFonts w:hint="eastAsia" w:ascii="宋体" w:hAnsi="宋体"/>
                <w:szCs w:val="21"/>
              </w:rPr>
              <w:t>根据供应商提供针对本项目的</w:t>
            </w:r>
            <w:r>
              <w:rPr>
                <w:rFonts w:hint="eastAsia" w:ascii="宋体" w:hAnsi="宋体"/>
                <w:color w:val="000000"/>
                <w:kern w:val="0"/>
                <w:szCs w:val="21"/>
                <w:lang w:bidi="ar"/>
              </w:rPr>
              <w:t>应急管理服务方案响应情况赋分。</w:t>
            </w:r>
          </w:p>
          <w:p w14:paraId="06A58990">
            <w:pPr>
              <w:spacing w:line="276" w:lineRule="auto"/>
              <w:rPr>
                <w:rFonts w:ascii="宋体" w:hAnsi="宋体"/>
                <w:szCs w:val="21"/>
              </w:rPr>
            </w:pPr>
            <w:r>
              <w:rPr>
                <w:rFonts w:hint="eastAsia" w:ascii="宋体" w:hAnsi="宋体"/>
                <w:szCs w:val="21"/>
              </w:rPr>
              <w:t>1.方案详尽具体，科学合理，可实施性强得［4-6］分；</w:t>
            </w:r>
          </w:p>
          <w:p w14:paraId="5E63DC14">
            <w:pPr>
              <w:spacing w:line="276" w:lineRule="auto"/>
              <w:rPr>
                <w:rFonts w:ascii="宋体" w:hAnsi="宋体"/>
                <w:szCs w:val="21"/>
              </w:rPr>
            </w:pPr>
            <w:r>
              <w:rPr>
                <w:rFonts w:hint="eastAsia" w:ascii="宋体" w:hAnsi="宋体"/>
                <w:szCs w:val="21"/>
              </w:rPr>
              <w:t>2.方案适用，满足项目基本需求得［1-3］分；</w:t>
            </w:r>
          </w:p>
        </w:tc>
      </w:tr>
      <w:tr w14:paraId="546FA5F5">
        <w:tblPrEx>
          <w:tblCellMar>
            <w:top w:w="0" w:type="dxa"/>
            <w:left w:w="108" w:type="dxa"/>
            <w:bottom w:w="0" w:type="dxa"/>
            <w:right w:w="108" w:type="dxa"/>
          </w:tblCellMar>
        </w:tblPrEx>
        <w:trPr>
          <w:trHeight w:val="1784" w:hRule="atLeast"/>
          <w:jc w:val="center"/>
        </w:trPr>
        <w:tc>
          <w:tcPr>
            <w:tcW w:w="1129" w:type="dxa"/>
            <w:vMerge w:val="continue"/>
            <w:tcBorders>
              <w:left w:val="single" w:color="auto" w:sz="4" w:space="0"/>
              <w:right w:val="single" w:color="auto" w:sz="4" w:space="0"/>
            </w:tcBorders>
            <w:shd w:val="clear" w:color="auto" w:fill="auto"/>
            <w:noWrap/>
            <w:vAlign w:val="center"/>
          </w:tcPr>
          <w:p w14:paraId="5361F342">
            <w:pPr>
              <w:widowControl/>
              <w:spacing w:line="276" w:lineRule="auto"/>
              <w:jc w:val="center"/>
              <w:textAlignment w:val="center"/>
              <w:rPr>
                <w:rFonts w:ascii="宋体" w:hAnsi="宋体"/>
                <w:color w:val="000000"/>
                <w:kern w:val="0"/>
                <w:szCs w:val="21"/>
                <w:lang w:bidi="ar"/>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C7E13">
            <w:pPr>
              <w:widowControl/>
              <w:spacing w:line="276" w:lineRule="auto"/>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10</w:t>
            </w:r>
          </w:p>
        </w:tc>
        <w:tc>
          <w:tcPr>
            <w:tcW w:w="5816" w:type="dxa"/>
            <w:tcBorders>
              <w:top w:val="single" w:color="auto" w:sz="4" w:space="0"/>
              <w:left w:val="single" w:color="auto" w:sz="4" w:space="0"/>
              <w:bottom w:val="single" w:color="auto" w:sz="4" w:space="0"/>
              <w:right w:val="single" w:color="auto" w:sz="4" w:space="0"/>
            </w:tcBorders>
            <w:shd w:val="clear" w:color="auto" w:fill="auto"/>
            <w:vAlign w:val="center"/>
          </w:tcPr>
          <w:p w14:paraId="094123C5">
            <w:pPr>
              <w:spacing w:line="276" w:lineRule="auto"/>
              <w:rPr>
                <w:rFonts w:ascii="宋体" w:hAnsi="宋体"/>
                <w:color w:val="000000"/>
                <w:kern w:val="0"/>
                <w:szCs w:val="21"/>
                <w:lang w:bidi="ar"/>
              </w:rPr>
            </w:pPr>
            <w:r>
              <w:rPr>
                <w:rFonts w:hint="eastAsia" w:ascii="宋体" w:hAnsi="宋体"/>
                <w:szCs w:val="21"/>
              </w:rPr>
              <w:t>根据供应商提供针对本项目的重要时期保障服务</w:t>
            </w:r>
            <w:r>
              <w:rPr>
                <w:rFonts w:hint="eastAsia" w:ascii="宋体" w:hAnsi="宋体"/>
                <w:color w:val="000000"/>
                <w:kern w:val="0"/>
                <w:szCs w:val="21"/>
                <w:lang w:bidi="ar"/>
              </w:rPr>
              <w:t>方案响应情况赋分。</w:t>
            </w:r>
          </w:p>
          <w:p w14:paraId="0027BD5E">
            <w:pPr>
              <w:spacing w:line="276" w:lineRule="auto"/>
              <w:rPr>
                <w:rFonts w:hint="eastAsia" w:ascii="宋体" w:hAnsi="宋体"/>
                <w:szCs w:val="21"/>
              </w:rPr>
            </w:pPr>
            <w:r>
              <w:rPr>
                <w:rFonts w:hint="eastAsia" w:ascii="宋体" w:hAnsi="宋体"/>
                <w:szCs w:val="21"/>
              </w:rPr>
              <w:t>1.方案详尽具体，科学合理，可实施性强得（7-10]分；</w:t>
            </w:r>
          </w:p>
          <w:p w14:paraId="790769A8">
            <w:pPr>
              <w:spacing w:line="276" w:lineRule="auto"/>
              <w:rPr>
                <w:rFonts w:hint="eastAsia" w:ascii="宋体" w:hAnsi="宋体"/>
                <w:szCs w:val="21"/>
              </w:rPr>
            </w:pPr>
            <w:r>
              <w:rPr>
                <w:rFonts w:hint="eastAsia" w:ascii="宋体" w:hAnsi="宋体"/>
                <w:szCs w:val="21"/>
              </w:rPr>
              <w:t>2.方案科学合理，满足项目基本需求得（4-7]分；</w:t>
            </w:r>
          </w:p>
          <w:p w14:paraId="0D9EE4FE">
            <w:pPr>
              <w:spacing w:line="276" w:lineRule="auto"/>
              <w:rPr>
                <w:rFonts w:ascii="宋体" w:hAnsi="宋体"/>
                <w:szCs w:val="21"/>
              </w:rPr>
            </w:pPr>
            <w:r>
              <w:rPr>
                <w:rFonts w:hint="eastAsia" w:ascii="宋体" w:hAnsi="宋体"/>
                <w:szCs w:val="21"/>
              </w:rPr>
              <w:t>3.方案简单，适用性一般的得[0-4]分。</w:t>
            </w:r>
          </w:p>
        </w:tc>
      </w:tr>
      <w:tr w14:paraId="52921DE5">
        <w:tblPrEx>
          <w:tblCellMar>
            <w:top w:w="0" w:type="dxa"/>
            <w:left w:w="108" w:type="dxa"/>
            <w:bottom w:w="0" w:type="dxa"/>
            <w:right w:w="108" w:type="dxa"/>
          </w:tblCellMar>
        </w:tblPrEx>
        <w:trPr>
          <w:trHeight w:val="558" w:hRule="atLeast"/>
          <w:jc w:val="center"/>
        </w:trPr>
        <w:tc>
          <w:tcPr>
            <w:tcW w:w="1129" w:type="dxa"/>
            <w:tcBorders>
              <w:top w:val="single" w:color="000000" w:sz="4" w:space="0"/>
              <w:left w:val="single" w:color="000000" w:sz="4" w:space="0"/>
              <w:right w:val="single" w:color="000000" w:sz="4" w:space="0"/>
            </w:tcBorders>
            <w:shd w:val="clear" w:color="auto" w:fill="auto"/>
            <w:noWrap/>
            <w:vAlign w:val="center"/>
          </w:tcPr>
          <w:p w14:paraId="475FB0A7">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服务团队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3BD">
            <w:pPr>
              <w:widowControl/>
              <w:spacing w:line="276" w:lineRule="auto"/>
              <w:jc w:val="center"/>
              <w:textAlignment w:val="center"/>
              <w:rPr>
                <w:rFonts w:hint="eastAsia" w:ascii="宋体" w:hAnsi="宋体"/>
                <w:color w:val="000000"/>
                <w:kern w:val="0"/>
                <w:szCs w:val="21"/>
                <w:lang w:bidi="ar"/>
              </w:rPr>
            </w:pPr>
            <w:r>
              <w:rPr>
                <w:rFonts w:hint="eastAsia" w:ascii="宋体" w:hAnsi="宋体"/>
                <w:color w:val="000000"/>
                <w:kern w:val="0"/>
                <w:szCs w:val="21"/>
                <w:lang w:bidi="ar"/>
              </w:rPr>
              <w:t>10</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3DB0">
            <w:pPr>
              <w:spacing w:line="276" w:lineRule="auto"/>
              <w:rPr>
                <w:rFonts w:hint="eastAsia" w:ascii="宋体" w:hAnsi="宋体"/>
                <w:szCs w:val="21"/>
              </w:rPr>
            </w:pPr>
            <w:r>
              <w:rPr>
                <w:rFonts w:hint="eastAsia" w:ascii="宋体" w:hAnsi="宋体"/>
                <w:szCs w:val="21"/>
              </w:rPr>
              <w:t>根据供应商针对本项目的拟配备人员情况及供应商整体实力、团队的建设情况综合赋分。</w:t>
            </w:r>
          </w:p>
          <w:p w14:paraId="27E4A20C">
            <w:pPr>
              <w:spacing w:line="276" w:lineRule="auto"/>
              <w:rPr>
                <w:rFonts w:hint="eastAsia" w:ascii="宋体" w:hAnsi="宋体"/>
                <w:szCs w:val="21"/>
              </w:rPr>
            </w:pPr>
            <w:r>
              <w:rPr>
                <w:rFonts w:hint="eastAsia" w:ascii="宋体" w:hAnsi="宋体"/>
                <w:szCs w:val="21"/>
              </w:rPr>
              <w:t>1.项目人员完整，经验丰富、管理构架合理，完全满足项目需求得（7-10]分；</w:t>
            </w:r>
          </w:p>
          <w:p w14:paraId="3AAC85CF">
            <w:pPr>
              <w:spacing w:line="276" w:lineRule="auto"/>
              <w:rPr>
                <w:rFonts w:hint="eastAsia" w:ascii="宋体" w:hAnsi="宋体"/>
                <w:szCs w:val="21"/>
              </w:rPr>
            </w:pPr>
            <w:r>
              <w:rPr>
                <w:rFonts w:hint="eastAsia" w:ascii="宋体" w:hAnsi="宋体"/>
                <w:szCs w:val="21"/>
              </w:rPr>
              <w:t>2.人员信息完整，经验较丰富，配备情况基本能满足采购人要求得（4-7]分；</w:t>
            </w:r>
          </w:p>
          <w:p w14:paraId="22379F47">
            <w:pPr>
              <w:spacing w:line="276" w:lineRule="auto"/>
              <w:rPr>
                <w:rFonts w:ascii="宋体" w:hAnsi="宋体"/>
                <w:szCs w:val="21"/>
              </w:rPr>
            </w:pPr>
            <w:r>
              <w:rPr>
                <w:rFonts w:hint="eastAsia" w:ascii="宋体" w:hAnsi="宋体"/>
                <w:szCs w:val="21"/>
              </w:rPr>
              <w:t>3.人员配备基本完善，经验一般，得[0-4]分。</w:t>
            </w:r>
          </w:p>
          <w:p w14:paraId="23E10123">
            <w:pPr>
              <w:spacing w:line="276" w:lineRule="auto"/>
              <w:rPr>
                <w:rFonts w:ascii="宋体" w:hAnsi="宋体"/>
                <w:szCs w:val="21"/>
              </w:rPr>
            </w:pPr>
            <w:r>
              <w:rPr>
                <w:rFonts w:hint="eastAsia" w:ascii="宋体" w:hAnsi="宋体"/>
                <w:szCs w:val="21"/>
              </w:rPr>
              <w:t>（注：需提供学历证书、相关资格证书、简历、近半年内任一个月社保缴纳证明，人员工作经验以提供的学历证书毕业时间为准。）</w:t>
            </w:r>
          </w:p>
        </w:tc>
      </w:tr>
      <w:tr w14:paraId="45E84E3B">
        <w:tblPrEx>
          <w:tblCellMar>
            <w:top w:w="0" w:type="dxa"/>
            <w:left w:w="108" w:type="dxa"/>
            <w:bottom w:w="0" w:type="dxa"/>
            <w:right w:w="108" w:type="dxa"/>
          </w:tblCellMar>
        </w:tblPrEx>
        <w:trPr>
          <w:trHeight w:val="1808"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AFC5">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保密措施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C40">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6</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7AD2">
            <w:pPr>
              <w:spacing w:line="276" w:lineRule="auto"/>
              <w:rPr>
                <w:rFonts w:ascii="宋体" w:hAnsi="宋体" w:cs="Times New Roman"/>
                <w:szCs w:val="21"/>
              </w:rPr>
            </w:pPr>
            <w:r>
              <w:rPr>
                <w:rFonts w:hint="eastAsia" w:ascii="宋体" w:hAnsi="宋体" w:cs="Times New Roman"/>
                <w:szCs w:val="21"/>
              </w:rPr>
              <w:t>项目运维过程中的所有资料的管理有具体的保密措施，保密工作须专业、严密，全面确保数据及相关信息不泄密，执行采购人的安全管理规定。</w:t>
            </w:r>
          </w:p>
          <w:p w14:paraId="65F18A6C">
            <w:pPr>
              <w:spacing w:line="276" w:lineRule="auto"/>
              <w:rPr>
                <w:rFonts w:ascii="宋体" w:hAnsi="宋体" w:cs="Times New Roman"/>
                <w:szCs w:val="21"/>
              </w:rPr>
            </w:pPr>
            <w:r>
              <w:rPr>
                <w:rFonts w:hint="eastAsia" w:ascii="宋体" w:hAnsi="宋体" w:cs="Times New Roman"/>
                <w:szCs w:val="21"/>
              </w:rPr>
              <w:t>1.措施详尽具体，科学合理，可实施性强得［4-6］分；</w:t>
            </w:r>
          </w:p>
          <w:p w14:paraId="15EC3DAB">
            <w:pPr>
              <w:spacing w:line="276" w:lineRule="auto"/>
              <w:rPr>
                <w:rFonts w:ascii="宋体" w:hAnsi="宋体" w:cs="Times New Roman"/>
                <w:szCs w:val="21"/>
              </w:rPr>
            </w:pPr>
            <w:r>
              <w:rPr>
                <w:rFonts w:hint="eastAsia" w:ascii="宋体" w:hAnsi="宋体" w:cs="Times New Roman"/>
                <w:szCs w:val="21"/>
              </w:rPr>
              <w:t>2.措施简单，满足项目基本需求得［1-3］分；</w:t>
            </w:r>
          </w:p>
        </w:tc>
      </w:tr>
      <w:tr w14:paraId="21B2B16F">
        <w:tblPrEx>
          <w:tblCellMar>
            <w:top w:w="0" w:type="dxa"/>
            <w:left w:w="108" w:type="dxa"/>
            <w:bottom w:w="0" w:type="dxa"/>
            <w:right w:w="108" w:type="dxa"/>
          </w:tblCellMar>
        </w:tblPrEx>
        <w:trPr>
          <w:trHeight w:val="243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E5C">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服务质量保障</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128A">
            <w:pPr>
              <w:widowControl/>
              <w:spacing w:line="276" w:lineRule="auto"/>
              <w:jc w:val="center"/>
              <w:textAlignment w:val="center"/>
              <w:rPr>
                <w:rFonts w:hint="default" w:ascii="宋体" w:hAnsi="宋体" w:eastAsia="宋体"/>
                <w:color w:val="000000"/>
                <w:kern w:val="0"/>
                <w:szCs w:val="21"/>
                <w:lang w:val="en-US" w:eastAsia="zh-CN" w:bidi="ar"/>
              </w:rPr>
            </w:pPr>
            <w:r>
              <w:rPr>
                <w:rFonts w:hint="eastAsia" w:ascii="宋体" w:hAnsi="宋体"/>
                <w:color w:val="000000"/>
                <w:kern w:val="0"/>
                <w:szCs w:val="21"/>
                <w:lang w:val="en-US" w:eastAsia="zh-CN" w:bidi="ar"/>
              </w:rPr>
              <w:t>10</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9246">
            <w:pPr>
              <w:spacing w:line="276" w:lineRule="auto"/>
              <w:rPr>
                <w:rFonts w:hint="eastAsia" w:ascii="宋体" w:hAnsi="宋体" w:cs="Times New Roman"/>
                <w:szCs w:val="21"/>
              </w:rPr>
            </w:pPr>
            <w:r>
              <w:rPr>
                <w:rFonts w:hint="eastAsia" w:ascii="宋体" w:hAnsi="宋体" w:cs="Times New Roman"/>
                <w:szCs w:val="21"/>
                <w:lang w:val="en-US" w:eastAsia="zh-CN"/>
              </w:rPr>
              <w:t>根据供应商对本项目采购要求的符合</w:t>
            </w:r>
            <w:r>
              <w:rPr>
                <w:rFonts w:hint="eastAsia" w:ascii="宋体" w:hAnsi="宋体" w:cs="Times New Roman"/>
                <w:szCs w:val="21"/>
              </w:rPr>
              <w:t>程度赋分。结合项目特点，</w:t>
            </w:r>
            <w:r>
              <w:rPr>
                <w:rFonts w:hint="eastAsia" w:ascii="宋体" w:hAnsi="宋体" w:cs="Times New Roman"/>
                <w:szCs w:val="21"/>
                <w:lang w:val="en-US" w:eastAsia="zh-CN"/>
              </w:rPr>
              <w:t>需求</w:t>
            </w:r>
            <w:r>
              <w:rPr>
                <w:rFonts w:hint="eastAsia" w:ascii="宋体" w:hAnsi="宋体" w:cs="Times New Roman"/>
                <w:szCs w:val="21"/>
              </w:rPr>
              <w:t>目标明确，对影响本项目</w:t>
            </w:r>
            <w:r>
              <w:rPr>
                <w:rFonts w:hint="eastAsia" w:ascii="宋体" w:hAnsi="宋体" w:cs="Times New Roman"/>
                <w:szCs w:val="21"/>
                <w:lang w:val="en-US" w:eastAsia="zh-CN"/>
              </w:rPr>
              <w:t>质量</w:t>
            </w:r>
            <w:r>
              <w:rPr>
                <w:rFonts w:hint="eastAsia" w:ascii="宋体" w:hAnsi="宋体" w:cs="Times New Roman"/>
                <w:szCs w:val="21"/>
              </w:rPr>
              <w:t>的因素理解分析准确、考虑全面。</w:t>
            </w:r>
          </w:p>
          <w:p w14:paraId="6540B968">
            <w:pPr>
              <w:numPr>
                <w:ilvl w:val="0"/>
                <w:numId w:val="0"/>
              </w:numPr>
              <w:spacing w:line="276" w:lineRule="auto"/>
              <w:rPr>
                <w:rFonts w:hint="eastAsia" w:ascii="宋体" w:hAnsi="宋体" w:cs="Times New Roman"/>
                <w:szCs w:val="21"/>
              </w:rPr>
            </w:pPr>
            <w:r>
              <w:rPr>
                <w:rFonts w:hint="eastAsia" w:ascii="宋体" w:hAnsi="宋体" w:cs="Times New Roman"/>
                <w:szCs w:val="21"/>
                <w:lang w:val="en-US" w:eastAsia="zh-CN"/>
              </w:rPr>
              <w:t>1.需求响应明确</w:t>
            </w:r>
            <w:r>
              <w:rPr>
                <w:rFonts w:hint="eastAsia" w:ascii="宋体" w:hAnsi="宋体" w:cs="Times New Roman"/>
                <w:szCs w:val="21"/>
              </w:rPr>
              <w:t>，</w:t>
            </w:r>
            <w:r>
              <w:rPr>
                <w:rFonts w:hint="eastAsia" w:ascii="宋体" w:hAnsi="宋体" w:cs="Times New Roman"/>
                <w:szCs w:val="21"/>
                <w:lang w:val="en-US" w:eastAsia="zh-CN"/>
              </w:rPr>
              <w:t>措施到位</w:t>
            </w:r>
            <w:r>
              <w:rPr>
                <w:rFonts w:hint="eastAsia" w:ascii="宋体" w:hAnsi="宋体" w:cs="Times New Roman"/>
                <w:szCs w:val="21"/>
              </w:rPr>
              <w:t>，可实施性强得［</w:t>
            </w:r>
            <w:r>
              <w:rPr>
                <w:rFonts w:hint="eastAsia" w:ascii="宋体" w:hAnsi="宋体" w:cs="Times New Roman"/>
                <w:szCs w:val="21"/>
                <w:lang w:val="en-US" w:eastAsia="zh-CN"/>
              </w:rPr>
              <w:t>7</w:t>
            </w:r>
            <w:r>
              <w:rPr>
                <w:rFonts w:hint="eastAsia" w:ascii="宋体" w:hAnsi="宋体" w:cs="Times New Roman"/>
                <w:szCs w:val="21"/>
              </w:rPr>
              <w:t>-</w:t>
            </w:r>
            <w:r>
              <w:rPr>
                <w:rFonts w:hint="eastAsia" w:ascii="宋体" w:hAnsi="宋体" w:cs="Times New Roman"/>
                <w:szCs w:val="21"/>
                <w:lang w:val="en-US" w:eastAsia="zh-CN"/>
              </w:rPr>
              <w:t>10</w:t>
            </w:r>
            <w:r>
              <w:rPr>
                <w:rFonts w:hint="eastAsia" w:ascii="宋体" w:hAnsi="宋体" w:cs="Times New Roman"/>
                <w:szCs w:val="21"/>
              </w:rPr>
              <w:t>］分；</w:t>
            </w:r>
          </w:p>
          <w:p w14:paraId="4B0DA766">
            <w:pPr>
              <w:numPr>
                <w:ilvl w:val="0"/>
                <w:numId w:val="0"/>
              </w:numPr>
              <w:spacing w:line="276" w:lineRule="auto"/>
              <w:rPr>
                <w:rFonts w:hint="eastAsia" w:ascii="宋体" w:hAnsi="宋体" w:cs="Times New Roman"/>
                <w:szCs w:val="21"/>
              </w:rPr>
            </w:pPr>
            <w:r>
              <w:rPr>
                <w:rFonts w:hint="eastAsia" w:ascii="宋体" w:hAnsi="宋体" w:cs="Times New Roman"/>
                <w:szCs w:val="21"/>
                <w:lang w:val="en-US" w:eastAsia="zh-CN"/>
              </w:rPr>
              <w:t>2.需求响应一般</w:t>
            </w:r>
            <w:r>
              <w:rPr>
                <w:rFonts w:hint="eastAsia" w:ascii="宋体" w:hAnsi="宋体" w:cs="Times New Roman"/>
                <w:szCs w:val="21"/>
              </w:rPr>
              <w:t>，可实施性</w:t>
            </w:r>
            <w:r>
              <w:rPr>
                <w:rFonts w:hint="eastAsia" w:ascii="宋体" w:hAnsi="宋体" w:cs="Times New Roman"/>
                <w:szCs w:val="21"/>
                <w:lang w:val="en-US" w:eastAsia="zh-CN"/>
              </w:rPr>
              <w:t>不强</w:t>
            </w:r>
            <w:r>
              <w:rPr>
                <w:rFonts w:hint="eastAsia" w:ascii="宋体" w:hAnsi="宋体" w:cs="Times New Roman"/>
                <w:szCs w:val="21"/>
              </w:rPr>
              <w:t>［4-</w:t>
            </w:r>
            <w:r>
              <w:rPr>
                <w:rFonts w:hint="eastAsia" w:ascii="宋体" w:hAnsi="宋体" w:cs="Times New Roman"/>
                <w:szCs w:val="21"/>
                <w:lang w:val="en-US" w:eastAsia="zh-CN"/>
              </w:rPr>
              <w:t>7</w:t>
            </w:r>
            <w:r>
              <w:rPr>
                <w:rFonts w:hint="eastAsia" w:ascii="宋体" w:hAnsi="宋体" w:cs="Times New Roman"/>
                <w:szCs w:val="21"/>
              </w:rPr>
              <w:t>］分</w:t>
            </w:r>
          </w:p>
          <w:p w14:paraId="281CA4DA">
            <w:pPr>
              <w:spacing w:line="276" w:lineRule="auto"/>
              <w:rPr>
                <w:rFonts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w:t>
            </w:r>
            <w:r>
              <w:rPr>
                <w:rFonts w:hint="eastAsia" w:ascii="宋体" w:hAnsi="宋体" w:cs="Times New Roman"/>
                <w:szCs w:val="21"/>
                <w:lang w:val="en-US" w:eastAsia="zh-CN"/>
              </w:rPr>
              <w:t>需求响应模糊</w:t>
            </w:r>
            <w:r>
              <w:rPr>
                <w:rFonts w:hint="eastAsia" w:ascii="宋体" w:hAnsi="宋体" w:cs="Times New Roman"/>
                <w:szCs w:val="21"/>
              </w:rPr>
              <w:t>，满足项目基本需求得［</w:t>
            </w:r>
            <w:r>
              <w:rPr>
                <w:rFonts w:hint="eastAsia" w:ascii="宋体" w:hAnsi="宋体" w:cs="Times New Roman"/>
                <w:szCs w:val="21"/>
                <w:lang w:val="en-US" w:eastAsia="zh-CN"/>
              </w:rPr>
              <w:t>0</w:t>
            </w:r>
            <w:r>
              <w:rPr>
                <w:rFonts w:hint="eastAsia" w:ascii="宋体" w:hAnsi="宋体" w:cs="Times New Roman"/>
                <w:szCs w:val="21"/>
              </w:rPr>
              <w:t>-</w:t>
            </w:r>
            <w:r>
              <w:rPr>
                <w:rFonts w:hint="eastAsia" w:ascii="宋体" w:hAnsi="宋体" w:cs="Times New Roman"/>
                <w:szCs w:val="21"/>
                <w:lang w:val="en-US" w:eastAsia="zh-CN"/>
              </w:rPr>
              <w:t>4</w:t>
            </w:r>
            <w:r>
              <w:rPr>
                <w:rFonts w:hint="eastAsia" w:ascii="宋体" w:hAnsi="宋体" w:cs="Times New Roman"/>
                <w:szCs w:val="21"/>
              </w:rPr>
              <w:t>］分；</w:t>
            </w:r>
          </w:p>
        </w:tc>
      </w:tr>
      <w:tr w14:paraId="7F555F4D">
        <w:tblPrEx>
          <w:tblCellMar>
            <w:top w:w="0" w:type="dxa"/>
            <w:left w:w="108" w:type="dxa"/>
            <w:bottom w:w="0" w:type="dxa"/>
            <w:right w:w="108" w:type="dxa"/>
          </w:tblCellMar>
        </w:tblPrEx>
        <w:trPr>
          <w:trHeight w:val="442"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3EA0">
            <w:pPr>
              <w:widowControl/>
              <w:spacing w:line="276" w:lineRule="auto"/>
              <w:jc w:val="center"/>
              <w:textAlignment w:val="center"/>
              <w:rPr>
                <w:rFonts w:ascii="宋体" w:hAnsi="宋体"/>
                <w:color w:val="000000"/>
                <w:kern w:val="0"/>
                <w:szCs w:val="21"/>
                <w:lang w:bidi="ar"/>
              </w:rPr>
            </w:pPr>
            <w:r>
              <w:rPr>
                <w:rFonts w:hint="eastAsia" w:ascii="宋体" w:hAnsi="宋体"/>
                <w:szCs w:val="21"/>
              </w:rPr>
              <w:t>培训</w:t>
            </w:r>
            <w:r>
              <w:rPr>
                <w:rFonts w:hint="eastAsia" w:ascii="宋体" w:hAnsi="宋体"/>
                <w:szCs w:val="21"/>
                <w:lang w:val="zh-CN"/>
              </w:rPr>
              <w:t>方案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B465">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6</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D0B2">
            <w:pPr>
              <w:spacing w:line="276" w:lineRule="auto"/>
              <w:rPr>
                <w:rFonts w:ascii="宋体" w:hAnsi="宋体"/>
                <w:szCs w:val="21"/>
              </w:rPr>
            </w:pPr>
            <w:r>
              <w:rPr>
                <w:rFonts w:hint="eastAsia" w:ascii="宋体" w:hAnsi="宋体"/>
                <w:szCs w:val="21"/>
                <w:lang w:val="zh-CN"/>
              </w:rPr>
              <w:t>根据</w:t>
            </w:r>
            <w:r>
              <w:rPr>
                <w:rFonts w:hint="eastAsia" w:ascii="宋体" w:hAnsi="宋体"/>
                <w:szCs w:val="21"/>
              </w:rPr>
              <w:t>供应商</w:t>
            </w:r>
            <w:r>
              <w:rPr>
                <w:rFonts w:hint="eastAsia" w:ascii="宋体" w:hAnsi="宋体"/>
                <w:szCs w:val="21"/>
                <w:lang w:val="zh-CN"/>
              </w:rPr>
              <w:t>针对本项目具有可行的</w:t>
            </w:r>
            <w:r>
              <w:rPr>
                <w:rFonts w:hint="eastAsia" w:ascii="宋体" w:hAnsi="宋体"/>
                <w:szCs w:val="21"/>
              </w:rPr>
              <w:t>培训</w:t>
            </w:r>
            <w:r>
              <w:rPr>
                <w:rFonts w:hint="eastAsia" w:ascii="宋体" w:hAnsi="宋体"/>
                <w:szCs w:val="21"/>
                <w:lang w:val="zh-CN"/>
              </w:rPr>
              <w:t>方案，对本项目所涉及到的各种相关信息对用户进行培训。</w:t>
            </w:r>
          </w:p>
          <w:p w14:paraId="20334642">
            <w:pPr>
              <w:spacing w:line="276" w:lineRule="auto"/>
              <w:rPr>
                <w:rFonts w:ascii="宋体" w:hAnsi="宋体"/>
                <w:szCs w:val="21"/>
              </w:rPr>
            </w:pPr>
            <w:r>
              <w:rPr>
                <w:rFonts w:hint="eastAsia" w:ascii="宋体" w:hAnsi="宋体"/>
                <w:szCs w:val="21"/>
              </w:rPr>
              <w:t>1.方案思路清晰、内容完善、合理可行，满足采购人需求，得[4-6］分；</w:t>
            </w:r>
          </w:p>
          <w:p w14:paraId="6A8A3401">
            <w:pPr>
              <w:spacing w:line="276" w:lineRule="auto"/>
              <w:rPr>
                <w:rFonts w:ascii="宋体" w:hAnsi="宋体"/>
                <w:szCs w:val="21"/>
              </w:rPr>
            </w:pPr>
            <w:r>
              <w:rPr>
                <w:rFonts w:hint="eastAsia" w:ascii="宋体" w:hAnsi="宋体"/>
                <w:szCs w:val="21"/>
              </w:rPr>
              <w:t>2.有培训方案，但可实施性一般得[1-3］分。</w:t>
            </w:r>
          </w:p>
        </w:tc>
      </w:tr>
      <w:tr w14:paraId="17F7B5BF">
        <w:tblPrEx>
          <w:tblCellMar>
            <w:top w:w="0" w:type="dxa"/>
            <w:left w:w="108" w:type="dxa"/>
            <w:bottom w:w="0" w:type="dxa"/>
            <w:right w:w="108" w:type="dxa"/>
          </w:tblCellMar>
        </w:tblPrEx>
        <w:trPr>
          <w:trHeight w:val="841"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790">
            <w:pPr>
              <w:widowControl/>
              <w:spacing w:line="276" w:lineRule="auto"/>
              <w:jc w:val="center"/>
              <w:textAlignment w:val="center"/>
              <w:rPr>
                <w:rFonts w:ascii="宋体" w:hAnsi="宋体"/>
                <w:color w:val="000000"/>
                <w:szCs w:val="21"/>
              </w:rPr>
            </w:pPr>
            <w:r>
              <w:rPr>
                <w:rFonts w:hint="eastAsia" w:ascii="宋体" w:hAnsi="宋体"/>
                <w:color w:val="000000"/>
                <w:kern w:val="0"/>
                <w:szCs w:val="21"/>
                <w:lang w:bidi="ar"/>
              </w:rPr>
              <w:t>综合实力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568D">
            <w:pPr>
              <w:widowControl/>
              <w:spacing w:line="276" w:lineRule="auto"/>
              <w:jc w:val="center"/>
              <w:textAlignment w:val="center"/>
              <w:rPr>
                <w:rFonts w:ascii="宋体" w:hAnsi="宋体"/>
                <w:color w:val="000000"/>
                <w:szCs w:val="21"/>
              </w:rPr>
            </w:pPr>
            <w:r>
              <w:rPr>
                <w:rFonts w:hint="eastAsia" w:ascii="宋体" w:hAnsi="宋体"/>
                <w:color w:val="000000"/>
                <w:szCs w:val="21"/>
              </w:rPr>
              <w:t>10</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4CCA">
            <w:pPr>
              <w:spacing w:line="276" w:lineRule="auto"/>
              <w:textAlignment w:val="center"/>
              <w:rPr>
                <w:rFonts w:ascii="宋体" w:hAnsi="宋体"/>
                <w:color w:val="000000"/>
                <w:szCs w:val="21"/>
                <w:lang w:bidi="ar"/>
              </w:rPr>
            </w:pPr>
            <w:r>
              <w:rPr>
                <w:rFonts w:hint="eastAsia" w:ascii="宋体" w:hAnsi="宋体"/>
                <w:color w:val="000000"/>
                <w:szCs w:val="21"/>
              </w:rPr>
              <w:t>1</w:t>
            </w:r>
            <w:r>
              <w:rPr>
                <w:rFonts w:ascii="宋体" w:hAnsi="宋体"/>
                <w:color w:val="000000"/>
                <w:szCs w:val="21"/>
              </w:rPr>
              <w:t>.</w:t>
            </w:r>
            <w:r>
              <w:rPr>
                <w:rFonts w:ascii="宋体" w:hAnsi="宋体"/>
                <w:color w:val="000000"/>
                <w:szCs w:val="21"/>
                <w:lang w:bidi="ar"/>
              </w:rPr>
              <w:t>供应商具备</w:t>
            </w:r>
            <w:r>
              <w:rPr>
                <w:rFonts w:hint="eastAsia" w:ascii="宋体" w:hAnsi="宋体"/>
                <w:color w:val="000000"/>
                <w:szCs w:val="21"/>
                <w:lang w:bidi="ar"/>
              </w:rPr>
              <w:t>中国信息安全测评中心颁发的</w:t>
            </w:r>
            <w:r>
              <w:rPr>
                <w:rFonts w:ascii="宋体" w:hAnsi="宋体"/>
                <w:color w:val="000000"/>
                <w:szCs w:val="21"/>
                <w:lang w:bidi="ar"/>
              </w:rPr>
              <w:t>安全服务资质（</w:t>
            </w:r>
            <w:r>
              <w:rPr>
                <w:rFonts w:hint="eastAsia" w:ascii="宋体" w:hAnsi="宋体"/>
                <w:color w:val="000000"/>
                <w:szCs w:val="21"/>
                <w:lang w:bidi="ar"/>
              </w:rPr>
              <w:t>风险评估类</w:t>
            </w:r>
            <w:r>
              <w:rPr>
                <w:rFonts w:ascii="宋体" w:hAnsi="宋体"/>
                <w:color w:val="000000"/>
                <w:szCs w:val="21"/>
                <w:lang w:bidi="ar"/>
              </w:rPr>
              <w:t>），</w:t>
            </w:r>
            <w:r>
              <w:rPr>
                <w:rFonts w:hint="eastAsia" w:ascii="宋体" w:hAnsi="宋体"/>
                <w:color w:val="000000"/>
                <w:szCs w:val="21"/>
                <w:lang w:bidi="ar"/>
              </w:rPr>
              <w:t>二</w:t>
            </w:r>
            <w:r>
              <w:rPr>
                <w:rFonts w:ascii="宋体" w:hAnsi="宋体"/>
                <w:color w:val="000000"/>
                <w:szCs w:val="21"/>
                <w:lang w:bidi="ar"/>
              </w:rPr>
              <w:t>级得2分</w:t>
            </w:r>
            <w:r>
              <w:rPr>
                <w:rFonts w:hint="eastAsia" w:ascii="宋体" w:hAnsi="宋体"/>
                <w:color w:val="000000"/>
                <w:szCs w:val="21"/>
                <w:lang w:bidi="ar"/>
              </w:rPr>
              <w:t>，一级得1分，其他得0分；</w:t>
            </w:r>
          </w:p>
          <w:p w14:paraId="55CF4353">
            <w:pPr>
              <w:spacing w:line="276" w:lineRule="auto"/>
              <w:textAlignment w:val="center"/>
              <w:rPr>
                <w:rFonts w:ascii="宋体" w:hAnsi="宋体"/>
                <w:color w:val="000000"/>
                <w:szCs w:val="21"/>
                <w:lang w:bidi="ar"/>
              </w:rPr>
            </w:pPr>
            <w:r>
              <w:rPr>
                <w:rFonts w:hint="eastAsia" w:ascii="宋体" w:hAnsi="宋体"/>
                <w:color w:val="000000"/>
                <w:szCs w:val="21"/>
                <w:lang w:bidi="ar"/>
              </w:rPr>
              <w:t>2.供应商具备中国网络安全审查技术与认证中心颁发的安全服务资质（应急处理服务），一</w:t>
            </w:r>
            <w:r>
              <w:rPr>
                <w:rFonts w:ascii="宋体" w:hAnsi="宋体"/>
                <w:color w:val="000000"/>
                <w:szCs w:val="21"/>
                <w:lang w:bidi="ar"/>
              </w:rPr>
              <w:t>级得2分</w:t>
            </w:r>
            <w:r>
              <w:rPr>
                <w:rFonts w:hint="eastAsia" w:ascii="宋体" w:hAnsi="宋体"/>
                <w:color w:val="000000"/>
                <w:szCs w:val="21"/>
                <w:lang w:bidi="ar"/>
              </w:rPr>
              <w:t>，二级得1分，其他得0分；</w:t>
            </w:r>
          </w:p>
          <w:p w14:paraId="30CA7745">
            <w:pPr>
              <w:spacing w:line="276" w:lineRule="auto"/>
              <w:textAlignment w:val="center"/>
              <w:rPr>
                <w:rFonts w:ascii="宋体" w:hAnsi="宋体"/>
                <w:color w:val="000000"/>
                <w:szCs w:val="21"/>
                <w:lang w:bidi="ar"/>
              </w:rPr>
            </w:pPr>
            <w:r>
              <w:rPr>
                <w:rFonts w:hint="eastAsia" w:ascii="宋体" w:hAnsi="宋体"/>
                <w:color w:val="000000"/>
                <w:szCs w:val="21"/>
                <w:lang w:bidi="ar"/>
              </w:rPr>
              <w:t>3.供应商具备中国网络安全审查技术与认证中心颁发的安全服务资质（安全运维服务），一</w:t>
            </w:r>
            <w:r>
              <w:rPr>
                <w:rFonts w:ascii="宋体" w:hAnsi="宋体"/>
                <w:color w:val="000000"/>
                <w:szCs w:val="21"/>
                <w:lang w:bidi="ar"/>
              </w:rPr>
              <w:t>级得2分</w:t>
            </w:r>
            <w:r>
              <w:rPr>
                <w:rFonts w:hint="eastAsia" w:ascii="宋体" w:hAnsi="宋体"/>
                <w:color w:val="000000"/>
                <w:szCs w:val="21"/>
                <w:lang w:bidi="ar"/>
              </w:rPr>
              <w:t>，二级得1分，其他得0分；</w:t>
            </w:r>
          </w:p>
          <w:p w14:paraId="1B947666">
            <w:pPr>
              <w:widowControl/>
              <w:spacing w:line="276" w:lineRule="auto"/>
              <w:jc w:val="left"/>
              <w:textAlignment w:val="center"/>
              <w:rPr>
                <w:rFonts w:ascii="宋体" w:hAnsi="宋体"/>
                <w:color w:val="000000"/>
                <w:szCs w:val="21"/>
                <w:lang w:bidi="ar"/>
              </w:rPr>
            </w:pPr>
            <w:r>
              <w:rPr>
                <w:rFonts w:hint="eastAsia" w:ascii="宋体" w:hAnsi="宋体"/>
                <w:color w:val="000000"/>
                <w:szCs w:val="21"/>
                <w:lang w:bidi="ar"/>
              </w:rPr>
              <w:t>4</w:t>
            </w:r>
            <w:r>
              <w:rPr>
                <w:rFonts w:ascii="宋体" w:hAnsi="宋体"/>
                <w:color w:val="000000"/>
                <w:szCs w:val="21"/>
                <w:lang w:bidi="ar"/>
              </w:rPr>
              <w:t>.</w:t>
            </w:r>
            <w:r>
              <w:rPr>
                <w:rFonts w:hint="eastAsia" w:ascii="宋体" w:hAnsi="宋体"/>
                <w:color w:val="000000"/>
                <w:szCs w:val="21"/>
                <w:lang w:bidi="ar"/>
              </w:rPr>
              <w:t>供应商具备中国通信企业协会颁发的安全服务资质（安全培训），二</w:t>
            </w:r>
            <w:r>
              <w:rPr>
                <w:rFonts w:ascii="宋体" w:hAnsi="宋体"/>
                <w:color w:val="000000"/>
                <w:szCs w:val="21"/>
                <w:lang w:bidi="ar"/>
              </w:rPr>
              <w:t>级得2分</w:t>
            </w:r>
            <w:r>
              <w:rPr>
                <w:rFonts w:hint="eastAsia" w:ascii="宋体" w:hAnsi="宋体"/>
                <w:color w:val="000000"/>
                <w:szCs w:val="21"/>
                <w:lang w:bidi="ar"/>
              </w:rPr>
              <w:t>，一级得1分，其他得0分；</w:t>
            </w:r>
          </w:p>
          <w:p w14:paraId="40C6DCE9">
            <w:pPr>
              <w:widowControl/>
              <w:spacing w:line="276" w:lineRule="auto"/>
              <w:jc w:val="left"/>
              <w:textAlignment w:val="center"/>
              <w:rPr>
                <w:rFonts w:ascii="宋体" w:hAnsi="宋体"/>
                <w:color w:val="000000"/>
                <w:szCs w:val="21"/>
                <w:lang w:bidi="ar"/>
              </w:rPr>
            </w:pPr>
            <w:r>
              <w:rPr>
                <w:rFonts w:hint="eastAsia" w:ascii="宋体" w:hAnsi="宋体"/>
                <w:color w:val="000000"/>
                <w:szCs w:val="21"/>
                <w:lang w:bidi="ar"/>
              </w:rPr>
              <w:t>5</w:t>
            </w:r>
            <w:r>
              <w:rPr>
                <w:rFonts w:ascii="宋体" w:hAnsi="宋体"/>
                <w:color w:val="000000"/>
                <w:szCs w:val="21"/>
                <w:lang w:bidi="ar"/>
              </w:rPr>
              <w:t>.供应商</w:t>
            </w:r>
            <w:r>
              <w:rPr>
                <w:rFonts w:hint="eastAsia" w:ascii="宋体" w:hAnsi="宋体"/>
                <w:color w:val="000000"/>
                <w:szCs w:val="21"/>
                <w:lang w:bidi="ar"/>
              </w:rPr>
              <w:t>属于国家网络安全应急服务支撑单位</w:t>
            </w:r>
            <w:r>
              <w:rPr>
                <w:rFonts w:ascii="宋体" w:hAnsi="宋体"/>
                <w:color w:val="000000"/>
                <w:szCs w:val="21"/>
                <w:lang w:bidi="ar"/>
              </w:rPr>
              <w:t>，</w:t>
            </w:r>
            <w:r>
              <w:rPr>
                <w:rFonts w:hint="eastAsia" w:ascii="宋体" w:hAnsi="宋体"/>
                <w:color w:val="000000"/>
                <w:szCs w:val="21"/>
                <w:lang w:bidi="ar"/>
              </w:rPr>
              <w:t>甲级</w:t>
            </w:r>
            <w:r>
              <w:rPr>
                <w:rFonts w:ascii="宋体" w:hAnsi="宋体"/>
                <w:color w:val="000000"/>
                <w:szCs w:val="21"/>
                <w:lang w:bidi="ar"/>
              </w:rPr>
              <w:t>得2分</w:t>
            </w:r>
            <w:r>
              <w:rPr>
                <w:rFonts w:hint="eastAsia" w:ascii="宋体" w:hAnsi="宋体"/>
                <w:color w:val="000000"/>
                <w:szCs w:val="21"/>
                <w:lang w:bidi="ar"/>
              </w:rPr>
              <w:t>，乙级得1分，其他得0分。</w:t>
            </w:r>
            <w:r>
              <w:rPr>
                <w:rFonts w:ascii="宋体" w:hAnsi="宋体"/>
                <w:color w:val="000000"/>
                <w:szCs w:val="21"/>
                <w:lang w:bidi="ar"/>
              </w:rPr>
              <w:br w:type="textWrapping"/>
            </w:r>
            <w:r>
              <w:rPr>
                <w:rFonts w:ascii="宋体" w:hAnsi="宋体"/>
                <w:color w:val="000000"/>
                <w:szCs w:val="21"/>
                <w:lang w:bidi="ar"/>
              </w:rPr>
              <w:t>备注：需提供相关证书的扫描件或复印件并加盖公章,所有证书在有效期内，否则不得分。</w:t>
            </w:r>
          </w:p>
        </w:tc>
      </w:tr>
      <w:tr w14:paraId="648991AD">
        <w:tblPrEx>
          <w:tblCellMar>
            <w:top w:w="0" w:type="dxa"/>
            <w:left w:w="108" w:type="dxa"/>
            <w:bottom w:w="0" w:type="dxa"/>
            <w:right w:w="108" w:type="dxa"/>
          </w:tblCellMar>
        </w:tblPrEx>
        <w:trPr>
          <w:trHeight w:val="416"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6AB6">
            <w:pPr>
              <w:widowControl/>
              <w:spacing w:line="276" w:lineRule="auto"/>
              <w:jc w:val="center"/>
              <w:textAlignment w:val="center"/>
              <w:rPr>
                <w:rFonts w:ascii="宋体" w:hAnsi="宋体"/>
                <w:color w:val="000000"/>
                <w:kern w:val="0"/>
                <w:szCs w:val="21"/>
                <w:lang w:bidi="ar"/>
              </w:rPr>
            </w:pPr>
            <w:r>
              <w:rPr>
                <w:rFonts w:hint="eastAsia" w:ascii="宋体" w:hAnsi="宋体"/>
                <w:color w:val="000000"/>
                <w:kern w:val="0"/>
                <w:szCs w:val="21"/>
                <w:lang w:bidi="ar"/>
              </w:rPr>
              <w:t>服务承诺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CE10">
            <w:pPr>
              <w:widowControl/>
              <w:spacing w:line="276" w:lineRule="auto"/>
              <w:jc w:val="center"/>
              <w:textAlignment w:val="center"/>
              <w:rPr>
                <w:rFonts w:ascii="宋体" w:hAnsi="宋体"/>
                <w:color w:val="000000"/>
                <w:szCs w:val="21"/>
              </w:rPr>
            </w:pPr>
            <w:r>
              <w:rPr>
                <w:rFonts w:hint="eastAsia" w:ascii="宋体" w:hAnsi="宋体"/>
                <w:color w:val="000000"/>
                <w:szCs w:val="21"/>
              </w:rPr>
              <w:t>10</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6DC7">
            <w:pPr>
              <w:widowControl/>
              <w:spacing w:line="276" w:lineRule="auto"/>
              <w:jc w:val="left"/>
              <w:rPr>
                <w:rFonts w:ascii="宋体" w:hAnsi="宋体"/>
                <w:color w:val="000000"/>
                <w:kern w:val="0"/>
                <w:szCs w:val="21"/>
                <w:lang w:bidi="ar"/>
              </w:rPr>
            </w:pPr>
            <w:r>
              <w:rPr>
                <w:rFonts w:hint="eastAsia" w:ascii="宋体" w:hAnsi="宋体"/>
                <w:szCs w:val="21"/>
              </w:rPr>
              <w:t>供应商</w:t>
            </w:r>
            <w:r>
              <w:rPr>
                <w:rFonts w:hint="eastAsia" w:ascii="宋体" w:hAnsi="宋体"/>
                <w:color w:val="000000"/>
                <w:kern w:val="0"/>
                <w:szCs w:val="21"/>
                <w:lang w:bidi="ar"/>
              </w:rPr>
              <w:t>针对本项目除招标文件要求以外的服务承诺，确保所有服务均能有序开展与顺利实施，供应商应提供态势感知平台、探针和漏洞扫描原厂售后服务承诺函，每提供一个得2分，不提供不得分。</w:t>
            </w:r>
          </w:p>
          <w:p w14:paraId="19341E5C">
            <w:pPr>
              <w:spacing w:line="276" w:lineRule="auto"/>
              <w:rPr>
                <w:rFonts w:ascii="宋体" w:hAnsi="宋体"/>
                <w:szCs w:val="21"/>
              </w:rPr>
            </w:pPr>
            <w:r>
              <w:rPr>
                <w:rFonts w:hint="eastAsia" w:ascii="宋体" w:hAnsi="宋体"/>
                <w:szCs w:val="21"/>
              </w:rPr>
              <w:t>1.方案详尽具体，科学合理，可实施性强得［3-4］分；</w:t>
            </w:r>
          </w:p>
          <w:p w14:paraId="009F227F">
            <w:pPr>
              <w:spacing w:line="276" w:lineRule="auto"/>
              <w:rPr>
                <w:rFonts w:ascii="宋体" w:hAnsi="宋体"/>
                <w:color w:val="000000"/>
                <w:szCs w:val="21"/>
              </w:rPr>
            </w:pPr>
            <w:r>
              <w:rPr>
                <w:rFonts w:hint="eastAsia" w:ascii="宋体" w:hAnsi="宋体"/>
                <w:szCs w:val="21"/>
              </w:rPr>
              <w:t>2.方案简单，适用性一般的得［1-2］分；</w:t>
            </w:r>
          </w:p>
        </w:tc>
      </w:tr>
      <w:tr w14:paraId="7338C4EB">
        <w:tblPrEx>
          <w:tblCellMar>
            <w:top w:w="0" w:type="dxa"/>
            <w:left w:w="108" w:type="dxa"/>
            <w:bottom w:w="0" w:type="dxa"/>
            <w:right w:w="108" w:type="dxa"/>
          </w:tblCellMar>
        </w:tblPrEx>
        <w:trPr>
          <w:trHeight w:val="1211"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5327">
            <w:pPr>
              <w:widowControl/>
              <w:spacing w:line="276" w:lineRule="auto"/>
              <w:jc w:val="center"/>
              <w:textAlignment w:val="center"/>
              <w:rPr>
                <w:rFonts w:ascii="宋体" w:hAnsi="宋体"/>
                <w:color w:val="000000"/>
                <w:szCs w:val="21"/>
              </w:rPr>
            </w:pPr>
            <w:r>
              <w:rPr>
                <w:rFonts w:hint="eastAsia" w:ascii="宋体" w:hAnsi="宋体"/>
                <w:color w:val="000000"/>
                <w:kern w:val="0"/>
                <w:szCs w:val="21"/>
                <w:lang w:bidi="ar"/>
              </w:rPr>
              <w:t>业绩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66B4">
            <w:pPr>
              <w:widowControl/>
              <w:spacing w:line="276" w:lineRule="auto"/>
              <w:jc w:val="center"/>
              <w:textAlignment w:val="center"/>
              <w:rPr>
                <w:rFonts w:ascii="宋体" w:hAnsi="宋体"/>
                <w:color w:val="000000"/>
                <w:szCs w:val="21"/>
              </w:rPr>
            </w:pPr>
            <w:r>
              <w:rPr>
                <w:rFonts w:hint="eastAsia" w:ascii="宋体" w:hAnsi="宋体"/>
                <w:color w:val="000000"/>
                <w:kern w:val="0"/>
                <w:szCs w:val="21"/>
                <w:lang w:bidi="ar"/>
              </w:rPr>
              <w:t>6</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B700">
            <w:pPr>
              <w:widowControl/>
              <w:spacing w:line="276" w:lineRule="auto"/>
              <w:textAlignment w:val="center"/>
              <w:rPr>
                <w:rFonts w:ascii="宋体" w:hAnsi="宋体"/>
                <w:color w:val="000000"/>
                <w:szCs w:val="21"/>
              </w:rPr>
            </w:pPr>
            <w:r>
              <w:rPr>
                <w:rFonts w:hint="eastAsia" w:ascii="宋体" w:hAnsi="宋体"/>
                <w:color w:val="000000"/>
                <w:szCs w:val="21"/>
              </w:rPr>
              <w:t>供应商具有202</w:t>
            </w:r>
            <w:r>
              <w:rPr>
                <w:rFonts w:hint="eastAsia" w:ascii="宋体" w:hAnsi="宋体"/>
                <w:color w:val="000000"/>
                <w:szCs w:val="21"/>
                <w:lang w:val="en-US" w:eastAsia="zh-CN"/>
              </w:rPr>
              <w:t>2</w:t>
            </w:r>
            <w:r>
              <w:rPr>
                <w:rFonts w:hint="eastAsia" w:ascii="宋体" w:hAnsi="宋体"/>
                <w:color w:val="000000"/>
                <w:szCs w:val="21"/>
              </w:rPr>
              <w:t>年1月至今（以合同签订时间为准）的类似项目业绩，每提供一份得1分，满分6分。业绩证明（以磋商响应文件中的合同复印件为准）。</w:t>
            </w:r>
          </w:p>
        </w:tc>
      </w:tr>
      <w:tr w14:paraId="4E3218B7">
        <w:tblPrEx>
          <w:tblCellMar>
            <w:top w:w="0" w:type="dxa"/>
            <w:left w:w="108" w:type="dxa"/>
            <w:bottom w:w="0" w:type="dxa"/>
            <w:right w:w="108" w:type="dxa"/>
          </w:tblCellMar>
        </w:tblPrEx>
        <w:trPr>
          <w:trHeight w:val="155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ADBC">
            <w:pPr>
              <w:spacing w:line="276" w:lineRule="auto"/>
              <w:jc w:val="center"/>
              <w:rPr>
                <w:rFonts w:ascii="宋体" w:hAnsi="宋体"/>
                <w:szCs w:val="21"/>
              </w:rPr>
            </w:pPr>
            <w:r>
              <w:rPr>
                <w:rFonts w:hint="eastAsia" w:ascii="宋体" w:hAnsi="宋体"/>
                <w:szCs w:val="21"/>
              </w:rPr>
              <w:t>说明</w:t>
            </w:r>
          </w:p>
        </w:tc>
        <w:tc>
          <w:tcPr>
            <w:tcW w:w="7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CD6">
            <w:pPr>
              <w:spacing w:line="276" w:lineRule="auto"/>
              <w:rPr>
                <w:rFonts w:ascii="宋体" w:hAnsi="宋体"/>
                <w:szCs w:val="21"/>
              </w:rPr>
            </w:pPr>
            <w:r>
              <w:rPr>
                <w:rFonts w:hint="eastAsia" w:ascii="宋体" w:hAnsi="宋体"/>
                <w:szCs w:val="21"/>
              </w:rPr>
              <w:t>1．磋商小组必须按照本评审要素据实打分，各类数字计算均按“四舍五入”保留小数点后两位；</w:t>
            </w:r>
          </w:p>
          <w:p w14:paraId="7003A867">
            <w:pPr>
              <w:spacing w:line="276" w:lineRule="auto"/>
              <w:rPr>
                <w:rFonts w:ascii="宋体" w:hAnsi="宋体"/>
                <w:szCs w:val="21"/>
              </w:rPr>
            </w:pPr>
            <w:r>
              <w:rPr>
                <w:rFonts w:hint="eastAsia" w:ascii="宋体" w:hAnsi="宋体"/>
                <w:szCs w:val="21"/>
              </w:rPr>
              <w:t>2．本表分值区间符号“［”、“］”表示包含本数，“（”、“）”表示不包含本数。</w:t>
            </w:r>
          </w:p>
        </w:tc>
      </w:tr>
    </w:tbl>
    <w:p w14:paraId="4F732401">
      <w:pPr>
        <w:pStyle w:val="11"/>
      </w:pPr>
    </w:p>
    <w:p w14:paraId="301F593A">
      <w:pPr>
        <w:spacing w:before="114" w:line="225" w:lineRule="auto"/>
        <w:ind w:left="122"/>
        <w:rPr>
          <w:rStyle w:val="45"/>
          <w:rFonts w:ascii="黑体" w:hAnsi="黑体" w:eastAsia="黑体" w:cs="黑体"/>
          <w:sz w:val="32"/>
          <w:szCs w:val="32"/>
        </w:rPr>
      </w:pPr>
      <w:bookmarkStart w:id="68" w:name="_Toc26233"/>
    </w:p>
    <w:p w14:paraId="20A0CFB4">
      <w:pPr>
        <w:rPr>
          <w:rStyle w:val="45"/>
          <w:rFonts w:ascii="黑体" w:hAnsi="黑体" w:eastAsia="黑体" w:cs="黑体"/>
          <w:sz w:val="32"/>
          <w:szCs w:val="32"/>
        </w:rPr>
      </w:pPr>
      <w:r>
        <w:rPr>
          <w:rStyle w:val="45"/>
          <w:rFonts w:hint="eastAsia" w:ascii="黑体" w:hAnsi="黑体" w:eastAsia="黑体" w:cs="黑体"/>
          <w:sz w:val="32"/>
          <w:szCs w:val="32"/>
        </w:rPr>
        <w:br w:type="page"/>
      </w:r>
    </w:p>
    <w:p w14:paraId="07354496">
      <w:pPr>
        <w:pStyle w:val="11"/>
      </w:pPr>
    </w:p>
    <w:p w14:paraId="54E45021"/>
    <w:p w14:paraId="286194EE">
      <w:pPr>
        <w:pStyle w:val="11"/>
      </w:pPr>
    </w:p>
    <w:p w14:paraId="6401F863">
      <w:pPr>
        <w:pStyle w:val="11"/>
      </w:pPr>
    </w:p>
    <w:p w14:paraId="76FE5A7F"/>
    <w:p w14:paraId="77B47EE0"/>
    <w:p w14:paraId="28CBF787">
      <w:pPr>
        <w:pStyle w:val="11"/>
      </w:pPr>
    </w:p>
    <w:p w14:paraId="5765FA6E"/>
    <w:p w14:paraId="5FE62025">
      <w:pPr>
        <w:pStyle w:val="11"/>
      </w:pPr>
    </w:p>
    <w:p w14:paraId="28FD91ED"/>
    <w:p w14:paraId="7CD9C289">
      <w:pPr>
        <w:pStyle w:val="11"/>
      </w:pPr>
    </w:p>
    <w:p w14:paraId="1000D392"/>
    <w:p w14:paraId="30251F3C">
      <w:pPr>
        <w:pStyle w:val="11"/>
      </w:pPr>
    </w:p>
    <w:p w14:paraId="7C7AB38D"/>
    <w:p w14:paraId="1263BED3">
      <w:pPr>
        <w:pStyle w:val="11"/>
      </w:pPr>
    </w:p>
    <w:p w14:paraId="11A05477">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五</w:t>
      </w:r>
      <w:r>
        <w:rPr>
          <w:rFonts w:ascii="宋体" w:hAnsi="宋体"/>
          <w:b/>
          <w:bCs/>
          <w:spacing w:val="7"/>
          <w:sz w:val="52"/>
          <w:szCs w:val="52"/>
        </w:rPr>
        <w:t>部分</w:t>
      </w:r>
    </w:p>
    <w:p w14:paraId="3A5F8F5E">
      <w:pPr>
        <w:spacing w:before="113" w:line="224" w:lineRule="auto"/>
        <w:ind w:right="420"/>
        <w:jc w:val="right"/>
        <w:rPr>
          <w:rFonts w:ascii="宋体" w:hAnsi="宋体"/>
          <w:b/>
          <w:bCs/>
          <w:sz w:val="52"/>
          <w:szCs w:val="52"/>
        </w:rPr>
      </w:pPr>
      <w:r>
        <w:rPr>
          <w:b/>
          <w:bCs/>
          <w:sz w:val="52"/>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7456;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AxllGntAQAA3QMAAA4AAABkcnMvZTJvRG9jLnhtbK1TS44TMRDd&#10;I3EHy3vSnYEM0EpnFhOGDYJIMAeo2O60Jf/k8qSTS3ABJHawYsme2zAcY8rukIFhkwW9cJfr81zv&#10;uTy/2FnDtiqi9q7l00nNmXLCS+02Lb/+cPXkBWeYwEkw3qmW7xXyi8XjR/MhNOrM995IFRmBOGyG&#10;0PI+pdBUFYpeWcCJD8pRsPPRQqJt3FQywkDo1lRndX1eDT7KEL1QiORdjkF+QIynAPqu00Itvbix&#10;yqURNSoDiShhrwPyRem265RI77oOVWKm5cQ0lZUOIXud12oxh2YTIfRaHFqAU1p4wMmCdnToEWoJ&#10;CdhN1P9AWS2iR9+lifC2GokURYjFtH6gzfsegipcSGoMR9Hx/8GKt9tVZFrSJDzjzIGlG7/99P3n&#10;xy+/fnym9fbbV0YRkmkI2FD2pVvFww7DKmbOuy7a/Cc2bFek3R+lVbvEBDlnz6ezuibVBcXOn84y&#10;YnVfGiKm18pblo2WG+0yb2hg+wbTmPo7JbuNYwN1/LKeZUSgKezo9sm0gZig25Ri9EbLK21MLsG4&#10;WV+ayLaQJ6F8hx7+SsunLAH7Ma+Echo0vQL5ykmW9oEkcvQ0eO7BKsmZUfSSslUyE2hzSibRN45U&#10;yMKOUmZr7eW+KFz8dOtFp8OE5rH6c1+q71/l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xDnP&#10;0wAAAAgBAAAPAAAAAAAAAAEAIAAAACIAAABkcnMvZG93bnJldi54bWxQSwECFAAUAAAACACHTuJA&#10;DGWUae0BAADdAwAADgAAAAAAAAABACAAAAAiAQAAZHJzL2Uyb0RvYy54bWxQSwUGAAAAAAYABgBZ&#10;AQAAgQUAAAAA&#10;">
                <v:fill on="f" focussize="0,0"/>
                <v:stroke weight="1.5pt" color="#000000" joinstyle="round"/>
                <v:imagedata o:title=""/>
                <o:lock v:ext="edit" aspectratio="f"/>
              </v:line>
            </w:pict>
          </mc:Fallback>
        </mc:AlternateContent>
      </w:r>
    </w:p>
    <w:p w14:paraId="644B1BD2">
      <w:pPr>
        <w:spacing w:before="113" w:line="224" w:lineRule="auto"/>
        <w:ind w:right="420"/>
        <w:jc w:val="right"/>
        <w:rPr>
          <w:rFonts w:ascii="宋体" w:hAnsi="宋体"/>
          <w:b/>
          <w:bCs/>
          <w:sz w:val="35"/>
          <w:szCs w:val="35"/>
        </w:rPr>
      </w:pPr>
      <w:r>
        <w:rPr>
          <w:rFonts w:hint="eastAsia" w:ascii="宋体" w:hAnsi="宋体"/>
          <w:b/>
          <w:bCs/>
          <w:spacing w:val="7"/>
          <w:sz w:val="52"/>
          <w:szCs w:val="52"/>
        </w:rPr>
        <w:t>合同范本</w:t>
      </w:r>
    </w:p>
    <w:p w14:paraId="58638C18">
      <w:pPr>
        <w:rPr>
          <w:rFonts w:ascii="黑体" w:hAnsi="黑体" w:eastAsia="黑体" w:cs="黑体"/>
          <w:b/>
          <w:bCs/>
          <w:kern w:val="44"/>
          <w:sz w:val="32"/>
          <w:szCs w:val="32"/>
        </w:rPr>
      </w:pPr>
      <w:r>
        <w:rPr>
          <w:rFonts w:hint="eastAsia" w:ascii="黑体" w:hAnsi="黑体" w:eastAsia="黑体" w:cs="黑体"/>
          <w:b/>
          <w:bCs/>
          <w:kern w:val="44"/>
          <w:sz w:val="32"/>
          <w:szCs w:val="32"/>
        </w:rPr>
        <w:br w:type="page"/>
      </w:r>
    </w:p>
    <w:p w14:paraId="1F1C0516">
      <w:pPr>
        <w:spacing w:line="360" w:lineRule="auto"/>
        <w:jc w:val="center"/>
        <w:outlineLvl w:val="0"/>
        <w:rPr>
          <w:rFonts w:ascii="黑体" w:hAnsi="黑体" w:eastAsia="黑体" w:cs="黑体"/>
          <w:b/>
          <w:bCs/>
          <w:kern w:val="44"/>
          <w:sz w:val="32"/>
          <w:szCs w:val="32"/>
        </w:rPr>
      </w:pPr>
      <w:bookmarkStart w:id="69" w:name="_Toc602"/>
      <w:r>
        <w:rPr>
          <w:rFonts w:hint="eastAsia" w:ascii="黑体" w:hAnsi="黑体" w:eastAsia="黑体" w:cs="黑体"/>
          <w:b/>
          <w:bCs/>
          <w:kern w:val="44"/>
          <w:sz w:val="32"/>
          <w:szCs w:val="32"/>
        </w:rPr>
        <w:t>第五部分 合同范本</w:t>
      </w:r>
      <w:bookmarkEnd w:id="68"/>
      <w:bookmarkEnd w:id="69"/>
    </w:p>
    <w:p w14:paraId="64D4FAFC">
      <w:pPr>
        <w:spacing w:line="360" w:lineRule="auto"/>
        <w:ind w:firstLine="481"/>
        <w:jc w:val="left"/>
        <w:rPr>
          <w:rFonts w:ascii="黑体" w:hAnsi="仿宋" w:eastAsia="黑体" w:cs="仿宋"/>
          <w:b/>
          <w:sz w:val="24"/>
          <w:u w:val="single"/>
        </w:rPr>
      </w:pPr>
      <w:bookmarkStart w:id="70" w:name="_Toc32018"/>
      <w:bookmarkStart w:id="71" w:name="_Toc24356"/>
      <w:bookmarkStart w:id="72" w:name="_Toc26893"/>
      <w:bookmarkStart w:id="73" w:name="_Toc11252"/>
      <w:r>
        <w:rPr>
          <w:rFonts w:hint="eastAsia" w:ascii="黑体" w:hAnsi="仿宋" w:eastAsia="黑体" w:cs="仿宋"/>
          <w:b/>
          <w:sz w:val="24"/>
          <w:u w:val="single"/>
        </w:rPr>
        <w:t>注：本合同仅为合同的参考文本，合同签订双方可根据项目的具体要求进行修订。</w:t>
      </w:r>
      <w:bookmarkEnd w:id="70"/>
      <w:bookmarkEnd w:id="71"/>
      <w:bookmarkEnd w:id="72"/>
      <w:bookmarkEnd w:id="73"/>
    </w:p>
    <w:p w14:paraId="7D4B6B7D">
      <w:pPr>
        <w:spacing w:before="229" w:line="219" w:lineRule="auto"/>
        <w:ind w:left="13"/>
        <w:rPr>
          <w:rFonts w:ascii="宋体" w:hAnsi="宋体"/>
          <w:sz w:val="28"/>
          <w:szCs w:val="28"/>
        </w:rPr>
      </w:pPr>
      <w:bookmarkStart w:id="74" w:name="_Toc331685783"/>
      <w:bookmarkStart w:id="75" w:name="_Toc3483"/>
      <w:r>
        <w:rPr>
          <w:rFonts w:ascii="宋体" w:hAnsi="宋体"/>
          <w:spacing w:val="-10"/>
          <w:sz w:val="28"/>
          <w:szCs w:val="28"/>
        </w:rPr>
        <w:t>合同编号：</w:t>
      </w:r>
      <w:r>
        <w:rPr>
          <w:rFonts w:hint="eastAsia" w:ascii="宋体" w:hAnsi="宋体"/>
          <w:spacing w:val="-10"/>
          <w:sz w:val="28"/>
          <w:szCs w:val="28"/>
        </w:rPr>
        <w:t xml:space="preserve"> </w:t>
      </w:r>
    </w:p>
    <w:p w14:paraId="385CAE6D">
      <w:pPr>
        <w:pStyle w:val="11"/>
        <w:spacing w:line="288" w:lineRule="auto"/>
      </w:pPr>
    </w:p>
    <w:p w14:paraId="10CA905E">
      <w:pPr>
        <w:pStyle w:val="11"/>
        <w:spacing w:line="288" w:lineRule="auto"/>
      </w:pPr>
    </w:p>
    <w:p w14:paraId="57A2E77E">
      <w:pPr>
        <w:spacing w:line="219" w:lineRule="auto"/>
        <w:ind w:firstLine="7020" w:firstLineChars="1300"/>
        <w:rPr>
          <w:rFonts w:ascii="宋体" w:hAnsi="宋体"/>
          <w:sz w:val="54"/>
          <w:szCs w:val="54"/>
        </w:rPr>
      </w:pPr>
      <w:r>
        <w:rPr>
          <w:rFonts w:hint="eastAsia" w:ascii="宋体" w:hAnsi="宋体"/>
          <w:sz w:val="54"/>
          <w:szCs w:val="54"/>
        </w:rPr>
        <w:t>项目</w:t>
      </w:r>
    </w:p>
    <w:p w14:paraId="44BB2BD8">
      <w:pPr>
        <w:pStyle w:val="11"/>
        <w:spacing w:line="258" w:lineRule="auto"/>
      </w:pPr>
    </w:p>
    <w:p w14:paraId="6B7295B6">
      <w:pPr>
        <w:pStyle w:val="11"/>
        <w:spacing w:line="258" w:lineRule="auto"/>
      </w:pPr>
    </w:p>
    <w:p w14:paraId="54D18E15">
      <w:pPr>
        <w:pStyle w:val="11"/>
        <w:spacing w:line="258" w:lineRule="auto"/>
      </w:pPr>
    </w:p>
    <w:p w14:paraId="60427706">
      <w:pPr>
        <w:pStyle w:val="11"/>
        <w:spacing w:line="258" w:lineRule="auto"/>
      </w:pPr>
    </w:p>
    <w:p w14:paraId="0F13B383">
      <w:pPr>
        <w:spacing w:before="247" w:line="221" w:lineRule="auto"/>
        <w:ind w:left="3194" w:firstLine="713" w:firstLineChars="100"/>
        <w:outlineLvl w:val="0"/>
      </w:pPr>
      <w:r>
        <w:rPr>
          <w:rFonts w:ascii="宋体" w:hAnsi="宋体"/>
          <w:b/>
          <w:bCs/>
          <w:spacing w:val="-25"/>
          <w:sz w:val="76"/>
          <w:szCs w:val="76"/>
        </w:rPr>
        <w:t>合</w:t>
      </w:r>
      <w:r>
        <w:rPr>
          <w:rFonts w:hint="eastAsia" w:ascii="宋体" w:hAnsi="宋体"/>
          <w:b/>
          <w:bCs/>
          <w:spacing w:val="-25"/>
          <w:sz w:val="76"/>
          <w:szCs w:val="76"/>
        </w:rPr>
        <w:t xml:space="preserve">   同</w:t>
      </w:r>
      <w:r>
        <w:rPr>
          <w:rFonts w:ascii="宋体" w:hAnsi="宋体"/>
          <w:spacing w:val="263"/>
          <w:sz w:val="76"/>
          <w:szCs w:val="76"/>
        </w:rPr>
        <w:t xml:space="preserve"> </w:t>
      </w:r>
    </w:p>
    <w:p w14:paraId="5D8579B9">
      <w:pPr>
        <w:pStyle w:val="11"/>
        <w:spacing w:line="242" w:lineRule="auto"/>
      </w:pPr>
    </w:p>
    <w:p w14:paraId="200D5F53">
      <w:pPr>
        <w:pStyle w:val="11"/>
        <w:spacing w:line="242" w:lineRule="auto"/>
      </w:pPr>
    </w:p>
    <w:p w14:paraId="1C8353DD">
      <w:pPr>
        <w:pStyle w:val="11"/>
        <w:spacing w:line="242" w:lineRule="auto"/>
      </w:pPr>
    </w:p>
    <w:p w14:paraId="4F9993AD">
      <w:pPr>
        <w:pStyle w:val="11"/>
        <w:spacing w:line="242" w:lineRule="auto"/>
      </w:pPr>
    </w:p>
    <w:p w14:paraId="742349E0">
      <w:pPr>
        <w:pStyle w:val="11"/>
        <w:spacing w:line="242" w:lineRule="auto"/>
      </w:pPr>
    </w:p>
    <w:p w14:paraId="6CA12167">
      <w:pPr>
        <w:pStyle w:val="11"/>
        <w:spacing w:line="242" w:lineRule="auto"/>
      </w:pPr>
    </w:p>
    <w:p w14:paraId="297C4631">
      <w:pPr>
        <w:pStyle w:val="11"/>
        <w:spacing w:line="242" w:lineRule="auto"/>
      </w:pPr>
    </w:p>
    <w:p w14:paraId="0E625272">
      <w:pPr>
        <w:pStyle w:val="11"/>
        <w:spacing w:line="242" w:lineRule="auto"/>
      </w:pPr>
    </w:p>
    <w:p w14:paraId="50B47E4D">
      <w:pPr>
        <w:spacing w:before="98" w:line="219" w:lineRule="auto"/>
        <w:ind w:firstLine="1974" w:firstLineChars="700"/>
        <w:rPr>
          <w:rFonts w:ascii="宋体" w:hAnsi="宋体"/>
          <w:sz w:val="30"/>
          <w:szCs w:val="30"/>
          <w:u w:val="single"/>
        </w:rPr>
      </w:pPr>
      <w:r>
        <w:rPr>
          <w:rFonts w:ascii="宋体" w:hAnsi="宋体"/>
          <w:spacing w:val="-9"/>
          <w:sz w:val="30"/>
          <w:szCs w:val="30"/>
        </w:rPr>
        <w:t>项</w:t>
      </w:r>
      <w:r>
        <w:rPr>
          <w:rFonts w:hint="eastAsia" w:ascii="宋体" w:hAnsi="宋体"/>
          <w:spacing w:val="-9"/>
          <w:sz w:val="30"/>
          <w:szCs w:val="30"/>
        </w:rPr>
        <w:t xml:space="preserve"> </w:t>
      </w:r>
      <w:r>
        <w:rPr>
          <w:rFonts w:ascii="宋体" w:hAnsi="宋体"/>
          <w:spacing w:val="-9"/>
          <w:sz w:val="30"/>
          <w:szCs w:val="30"/>
        </w:rPr>
        <w:t>目</w:t>
      </w:r>
      <w:r>
        <w:rPr>
          <w:rFonts w:hint="eastAsia" w:ascii="宋体" w:hAnsi="宋体"/>
          <w:spacing w:val="-9"/>
          <w:sz w:val="30"/>
          <w:szCs w:val="30"/>
        </w:rPr>
        <w:t xml:space="preserve"> </w:t>
      </w:r>
      <w:r>
        <w:rPr>
          <w:rFonts w:ascii="宋体" w:hAnsi="宋体"/>
          <w:spacing w:val="-9"/>
          <w:sz w:val="30"/>
          <w:szCs w:val="30"/>
        </w:rPr>
        <w:t>编</w:t>
      </w:r>
      <w:r>
        <w:rPr>
          <w:rFonts w:hint="eastAsia" w:ascii="宋体" w:hAnsi="宋体"/>
          <w:spacing w:val="-9"/>
          <w:sz w:val="30"/>
          <w:szCs w:val="30"/>
        </w:rPr>
        <w:t xml:space="preserve"> </w:t>
      </w:r>
      <w:r>
        <w:rPr>
          <w:rFonts w:ascii="宋体" w:hAnsi="宋体"/>
          <w:spacing w:val="-9"/>
          <w:sz w:val="30"/>
          <w:szCs w:val="30"/>
        </w:rPr>
        <w:t>号：</w:t>
      </w:r>
      <w:r>
        <w:rPr>
          <w:rFonts w:hint="eastAsia" w:ascii="宋体" w:hAnsi="宋体"/>
          <w:spacing w:val="-9"/>
          <w:sz w:val="30"/>
          <w:szCs w:val="30"/>
          <w:u w:val="single"/>
        </w:rPr>
        <w:t xml:space="preserve">              </w:t>
      </w:r>
    </w:p>
    <w:p w14:paraId="5E6B8688">
      <w:pPr>
        <w:spacing w:before="244" w:line="219" w:lineRule="auto"/>
        <w:ind w:firstLine="1968" w:firstLineChars="600"/>
        <w:jc w:val="left"/>
        <w:rPr>
          <w:rFonts w:ascii="宋体" w:hAnsi="宋体"/>
          <w:spacing w:val="14"/>
          <w:sz w:val="30"/>
          <w:szCs w:val="30"/>
          <w:u w:val="single"/>
        </w:rPr>
      </w:pPr>
      <w:r>
        <w:rPr>
          <w:rFonts w:ascii="宋体" w:hAnsi="宋体"/>
          <w:spacing w:val="14"/>
          <w:sz w:val="30"/>
          <w:szCs w:val="30"/>
        </w:rPr>
        <w:t>甲</w:t>
      </w:r>
      <w:r>
        <w:rPr>
          <w:rFonts w:hint="eastAsia" w:ascii="宋体" w:hAnsi="宋体"/>
          <w:spacing w:val="14"/>
          <w:sz w:val="30"/>
          <w:szCs w:val="30"/>
        </w:rPr>
        <w:t xml:space="preserve"> </w:t>
      </w:r>
      <w:r>
        <w:rPr>
          <w:rFonts w:ascii="宋体" w:hAnsi="宋体"/>
          <w:spacing w:val="20"/>
          <w:sz w:val="30"/>
          <w:szCs w:val="30"/>
        </w:rPr>
        <w:t xml:space="preserve">   </w:t>
      </w:r>
      <w:r>
        <w:rPr>
          <w:rFonts w:hint="eastAsia" w:ascii="宋体" w:hAnsi="宋体"/>
          <w:spacing w:val="20"/>
          <w:sz w:val="30"/>
          <w:szCs w:val="30"/>
        </w:rPr>
        <w:t xml:space="preserve"> </w:t>
      </w:r>
      <w:r>
        <w:rPr>
          <w:rFonts w:ascii="宋体" w:hAnsi="宋体"/>
          <w:spacing w:val="14"/>
          <w:sz w:val="30"/>
          <w:szCs w:val="30"/>
        </w:rPr>
        <w:t>方：</w:t>
      </w:r>
      <w:r>
        <w:rPr>
          <w:rFonts w:hint="eastAsia" w:ascii="宋体" w:hAnsi="宋体"/>
          <w:spacing w:val="14"/>
          <w:sz w:val="30"/>
          <w:szCs w:val="30"/>
          <w:u w:val="single"/>
        </w:rPr>
        <w:t xml:space="preserve">          </w:t>
      </w:r>
    </w:p>
    <w:p w14:paraId="3491B9FE">
      <w:pPr>
        <w:spacing w:before="244" w:line="219" w:lineRule="auto"/>
        <w:ind w:firstLine="2004" w:firstLineChars="600"/>
        <w:jc w:val="left"/>
      </w:pPr>
      <w:r>
        <w:rPr>
          <w:rFonts w:ascii="宋体" w:hAnsi="宋体"/>
          <w:spacing w:val="17"/>
          <w:sz w:val="30"/>
          <w:szCs w:val="30"/>
        </w:rPr>
        <w:t xml:space="preserve">乙  </w:t>
      </w:r>
      <w:r>
        <w:rPr>
          <w:rFonts w:hint="eastAsia" w:ascii="宋体" w:hAnsi="宋体"/>
          <w:spacing w:val="17"/>
          <w:sz w:val="30"/>
          <w:szCs w:val="30"/>
        </w:rPr>
        <w:t xml:space="preserve"> </w:t>
      </w:r>
      <w:r>
        <w:rPr>
          <w:rFonts w:ascii="宋体" w:hAnsi="宋体"/>
          <w:spacing w:val="17"/>
          <w:sz w:val="30"/>
          <w:szCs w:val="30"/>
        </w:rPr>
        <w:t xml:space="preserve">  方：</w:t>
      </w:r>
      <w:r>
        <w:rPr>
          <w:rFonts w:hint="eastAsia" w:ascii="宋体" w:hAnsi="宋体"/>
          <w:spacing w:val="17"/>
          <w:sz w:val="30"/>
          <w:szCs w:val="30"/>
          <w:u w:val="single"/>
        </w:rPr>
        <w:t xml:space="preserve">         </w:t>
      </w:r>
    </w:p>
    <w:p w14:paraId="6330A298">
      <w:pPr>
        <w:pStyle w:val="11"/>
        <w:spacing w:line="242" w:lineRule="auto"/>
      </w:pPr>
    </w:p>
    <w:p w14:paraId="3B56E118">
      <w:pPr>
        <w:pStyle w:val="11"/>
        <w:spacing w:line="242" w:lineRule="auto"/>
      </w:pPr>
    </w:p>
    <w:p w14:paraId="4CF54D7B">
      <w:pPr>
        <w:ind w:firstLine="2520" w:firstLineChars="700"/>
        <w:rPr>
          <w:rFonts w:ascii="宋体" w:hAnsi="宋体"/>
          <w:sz w:val="36"/>
          <w:szCs w:val="36"/>
        </w:rPr>
      </w:pPr>
      <w:r>
        <w:rPr>
          <w:rFonts w:ascii="宋体" w:hAnsi="宋体"/>
          <w:sz w:val="36"/>
          <w:szCs w:val="36"/>
        </w:rPr>
        <w:t>二零二</w:t>
      </w:r>
      <w:r>
        <w:rPr>
          <w:rFonts w:hint="eastAsia" w:ascii="宋体" w:hAnsi="宋体"/>
          <w:sz w:val="36"/>
          <w:szCs w:val="36"/>
        </w:rPr>
        <w:t>四</w:t>
      </w:r>
      <w:r>
        <w:rPr>
          <w:rFonts w:ascii="宋体" w:hAnsi="宋体"/>
          <w:sz w:val="36"/>
          <w:szCs w:val="36"/>
        </w:rPr>
        <w:t xml:space="preserve">年 </w:t>
      </w:r>
      <w:r>
        <w:rPr>
          <w:rFonts w:hint="eastAsia" w:ascii="宋体" w:hAnsi="宋体"/>
          <w:sz w:val="36"/>
          <w:szCs w:val="36"/>
        </w:rPr>
        <w:t xml:space="preserve"> </w:t>
      </w:r>
      <w:r>
        <w:rPr>
          <w:rFonts w:ascii="宋体" w:hAnsi="宋体"/>
          <w:sz w:val="36"/>
          <w:szCs w:val="36"/>
        </w:rPr>
        <w:t>月  日</w:t>
      </w:r>
    </w:p>
    <w:p w14:paraId="6794B799">
      <w:pPr>
        <w:rPr>
          <w:rFonts w:ascii="宋体" w:hAnsi="宋体"/>
          <w:sz w:val="36"/>
          <w:szCs w:val="36"/>
        </w:rPr>
      </w:pPr>
      <w:r>
        <w:rPr>
          <w:rFonts w:ascii="宋体" w:hAnsi="宋体"/>
          <w:sz w:val="36"/>
          <w:szCs w:val="36"/>
        </w:rPr>
        <w:br w:type="page"/>
      </w:r>
    </w:p>
    <w:p w14:paraId="7E241B90">
      <w:pPr>
        <w:spacing w:before="193" w:line="219" w:lineRule="auto"/>
        <w:ind w:left="503"/>
        <w:rPr>
          <w:rFonts w:ascii="宋体" w:hAnsi="宋体"/>
          <w:b/>
          <w:bCs/>
          <w:spacing w:val="-8"/>
          <w:sz w:val="24"/>
          <w:u w:val="single"/>
        </w:rPr>
      </w:pPr>
      <w:r>
        <w:rPr>
          <w:rFonts w:ascii="宋体" w:hAnsi="宋体"/>
          <w:b/>
          <w:bCs/>
          <w:spacing w:val="-8"/>
          <w:sz w:val="24"/>
        </w:rPr>
        <w:t>甲方</w:t>
      </w:r>
      <w:r>
        <w:rPr>
          <w:rFonts w:hint="eastAsia" w:ascii="宋体" w:hAnsi="宋体"/>
          <w:b/>
          <w:bCs/>
          <w:spacing w:val="-8"/>
          <w:sz w:val="24"/>
        </w:rPr>
        <w:t>（采购人）</w:t>
      </w:r>
      <w:r>
        <w:rPr>
          <w:rFonts w:ascii="宋体" w:hAnsi="宋体"/>
          <w:b/>
          <w:bCs/>
          <w:spacing w:val="-8"/>
          <w:sz w:val="24"/>
        </w:rPr>
        <w:t>：</w:t>
      </w:r>
      <w:r>
        <w:rPr>
          <w:rFonts w:hint="eastAsia" w:ascii="宋体" w:hAnsi="宋体"/>
          <w:b/>
          <w:bCs/>
          <w:spacing w:val="-8"/>
          <w:sz w:val="24"/>
          <w:u w:val="single"/>
        </w:rPr>
        <w:t>陕西省卫生健康信息中心</w:t>
      </w:r>
    </w:p>
    <w:p w14:paraId="12C1D18F">
      <w:pPr>
        <w:spacing w:before="193" w:line="219" w:lineRule="auto"/>
        <w:ind w:left="503"/>
        <w:rPr>
          <w:rFonts w:ascii="宋体" w:hAnsi="宋体"/>
          <w:sz w:val="24"/>
        </w:rPr>
      </w:pPr>
      <w:r>
        <w:rPr>
          <w:rFonts w:ascii="宋体" w:hAnsi="宋体"/>
          <w:b/>
          <w:bCs/>
          <w:spacing w:val="-5"/>
          <w:sz w:val="24"/>
        </w:rPr>
        <w:t>乙方</w:t>
      </w:r>
      <w:r>
        <w:rPr>
          <w:rFonts w:hint="eastAsia" w:ascii="宋体" w:hAnsi="宋体"/>
          <w:b/>
          <w:bCs/>
          <w:spacing w:val="-5"/>
          <w:sz w:val="24"/>
        </w:rPr>
        <w:t>（供应商）</w:t>
      </w:r>
      <w:r>
        <w:rPr>
          <w:rFonts w:ascii="宋体" w:hAnsi="宋体"/>
          <w:b/>
          <w:bCs/>
          <w:spacing w:val="-8"/>
          <w:sz w:val="24"/>
        </w:rPr>
        <w:t>：</w:t>
      </w:r>
      <w:r>
        <w:rPr>
          <w:rFonts w:hint="eastAsia" w:ascii="宋体" w:hAnsi="宋体"/>
          <w:b/>
          <w:bCs/>
          <w:spacing w:val="-8"/>
          <w:sz w:val="24"/>
          <w:u w:val="single"/>
        </w:rPr>
        <w:t xml:space="preserve">              </w:t>
      </w:r>
    </w:p>
    <w:p w14:paraId="26F4064B">
      <w:pPr>
        <w:pStyle w:val="11"/>
        <w:spacing w:line="268" w:lineRule="auto"/>
      </w:pPr>
    </w:p>
    <w:p w14:paraId="7FE682C7">
      <w:pPr>
        <w:widowControl/>
        <w:spacing w:line="360" w:lineRule="auto"/>
        <w:ind w:firstLine="480"/>
        <w:jc w:val="left"/>
        <w:rPr>
          <w:rFonts w:ascii="宋体" w:hAnsi="宋体"/>
          <w:sz w:val="24"/>
        </w:rPr>
      </w:pPr>
      <w:r>
        <w:rPr>
          <w:rFonts w:ascii="宋体" w:hAnsi="宋体"/>
          <w:sz w:val="24"/>
        </w:rPr>
        <w:t>202</w:t>
      </w:r>
      <w:r>
        <w:rPr>
          <w:rFonts w:hint="eastAsia" w:ascii="宋体" w:hAnsi="宋体"/>
          <w:sz w:val="24"/>
          <w:lang w:val="en-US" w:eastAsia="zh-CN"/>
        </w:rPr>
        <w:t>5</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hint="eastAsia" w:ascii="宋体" w:hAnsi="宋体"/>
          <w:sz w:val="24"/>
        </w:rPr>
        <w:t>陕西省卫生健康信息中心</w:t>
      </w:r>
      <w:r>
        <w:rPr>
          <w:rFonts w:ascii="宋体" w:hAnsi="宋体"/>
          <w:sz w:val="24"/>
        </w:rPr>
        <w:t>)(以下简称“甲方”)以</w:t>
      </w:r>
      <w:r>
        <w:rPr>
          <w:rFonts w:hint="eastAsia" w:ascii="宋体" w:hAnsi="宋体"/>
          <w:sz w:val="24"/>
        </w:rPr>
        <w:t>竞争性磋商</w:t>
      </w:r>
      <w:r>
        <w:rPr>
          <w:rFonts w:ascii="宋体" w:hAnsi="宋体"/>
          <w:sz w:val="24"/>
        </w:rPr>
        <w:t>方式对“(</w:t>
      </w:r>
      <w:r>
        <w:rPr>
          <w:rFonts w:hint="eastAsia" w:ascii="宋体" w:hAnsi="宋体"/>
          <w:sz w:val="24"/>
          <w:u w:val="single"/>
        </w:rPr>
        <w:t>项目名称</w:t>
      </w:r>
      <w:r>
        <w:rPr>
          <w:rFonts w:ascii="宋体" w:hAnsi="宋体"/>
          <w:sz w:val="24"/>
        </w:rPr>
        <w:t>)”(项目编号：</w:t>
      </w:r>
      <w:r>
        <w:rPr>
          <w:rFonts w:hint="eastAsia" w:ascii="宋体" w:hAnsi="宋体"/>
          <w:sz w:val="24"/>
        </w:rPr>
        <w:t xml:space="preserve">    </w:t>
      </w:r>
      <w:r>
        <w:rPr>
          <w:rFonts w:ascii="宋体" w:hAnsi="宋体"/>
          <w:sz w:val="24"/>
        </w:rPr>
        <w:t>)进行了招标。经</w:t>
      </w:r>
      <w:r>
        <w:rPr>
          <w:rFonts w:hint="eastAsia" w:ascii="宋体" w:hAnsi="宋体"/>
          <w:sz w:val="24"/>
        </w:rPr>
        <w:t>磋商小组</w:t>
      </w:r>
      <w:r>
        <w:rPr>
          <w:rFonts w:ascii="宋体" w:hAnsi="宋体"/>
          <w:sz w:val="24"/>
        </w:rPr>
        <w:t>评定，</w:t>
      </w:r>
      <w:r>
        <w:rPr>
          <w:rFonts w:ascii="宋体" w:hAnsi="宋体"/>
          <w:sz w:val="24"/>
          <w:u w:val="single"/>
        </w:rPr>
        <w:t>(</w:t>
      </w:r>
      <w:r>
        <w:rPr>
          <w:rFonts w:hint="eastAsia" w:ascii="宋体" w:hAnsi="宋体"/>
          <w:sz w:val="24"/>
          <w:u w:val="single"/>
        </w:rPr>
        <w:t>成交供应商</w:t>
      </w:r>
      <w:r>
        <w:rPr>
          <w:rFonts w:ascii="宋体" w:hAnsi="宋体"/>
          <w:sz w:val="24"/>
          <w:u w:val="single"/>
        </w:rPr>
        <w:t>)</w:t>
      </w:r>
      <w:r>
        <w:rPr>
          <w:rFonts w:ascii="宋体" w:hAnsi="宋体"/>
          <w:sz w:val="24"/>
        </w:rPr>
        <w:t>(以下简称“乙方”)为 该项目</w:t>
      </w:r>
      <w:r>
        <w:rPr>
          <w:rFonts w:hint="eastAsia" w:ascii="宋体" w:hAnsi="宋体"/>
          <w:sz w:val="24"/>
        </w:rPr>
        <w:t>成交</w:t>
      </w:r>
      <w:r>
        <w:rPr>
          <w:rFonts w:ascii="宋体" w:hAnsi="宋体"/>
          <w:sz w:val="24"/>
        </w:rPr>
        <w:t>供应商。现于</w:t>
      </w:r>
      <w:r>
        <w:rPr>
          <w:rFonts w:hint="eastAsia" w:ascii="宋体" w:hAnsi="宋体"/>
          <w:sz w:val="24"/>
        </w:rPr>
        <w:t>成交</w:t>
      </w:r>
      <w:r>
        <w:rPr>
          <w:rFonts w:ascii="宋体" w:hAnsi="宋体"/>
          <w:sz w:val="24"/>
        </w:rPr>
        <w:t>通知书发出之日起三十日内，按照</w:t>
      </w:r>
      <w:r>
        <w:rPr>
          <w:rFonts w:hint="eastAsia" w:ascii="宋体" w:hAnsi="宋体"/>
          <w:sz w:val="24"/>
        </w:rPr>
        <w:t>磋商</w:t>
      </w:r>
      <w:r>
        <w:rPr>
          <w:rFonts w:ascii="宋体" w:hAnsi="宋体"/>
          <w:sz w:val="24"/>
        </w:rPr>
        <w:t>文件确定的事项签订本合同。</w:t>
      </w:r>
    </w:p>
    <w:p w14:paraId="31BD123F">
      <w:pPr>
        <w:widowControl/>
        <w:spacing w:line="360" w:lineRule="auto"/>
        <w:ind w:firstLine="480"/>
        <w:jc w:val="left"/>
        <w:rPr>
          <w:rFonts w:ascii="宋体" w:hAnsi="宋体"/>
          <w:sz w:val="24"/>
        </w:rPr>
      </w:pPr>
      <w:r>
        <w:rPr>
          <w:rFonts w:ascii="宋体" w:hAnsi="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5E50CAF3">
      <w:pPr>
        <w:widowControl/>
        <w:spacing w:line="360" w:lineRule="auto"/>
        <w:ind w:firstLine="480"/>
        <w:jc w:val="left"/>
        <w:rPr>
          <w:rFonts w:ascii="宋体" w:hAnsi="宋体"/>
          <w:b/>
          <w:bCs/>
          <w:sz w:val="24"/>
        </w:rPr>
      </w:pPr>
      <w:r>
        <w:rPr>
          <w:rFonts w:ascii="宋体" w:hAnsi="宋体"/>
          <w:b/>
          <w:bCs/>
          <w:sz w:val="24"/>
        </w:rPr>
        <w:t>一、合同构成</w:t>
      </w:r>
    </w:p>
    <w:p w14:paraId="663C4A73">
      <w:pPr>
        <w:widowControl/>
        <w:spacing w:line="360" w:lineRule="auto"/>
        <w:ind w:firstLine="480"/>
        <w:jc w:val="left"/>
        <w:rPr>
          <w:rFonts w:ascii="宋体" w:hAnsi="宋体"/>
          <w:sz w:val="24"/>
        </w:rPr>
      </w:pPr>
      <w:r>
        <w:rPr>
          <w:rFonts w:ascii="宋体" w:hAnsi="宋体"/>
          <w:sz w:val="24"/>
        </w:rPr>
        <w:t>1、本合同文本；</w:t>
      </w:r>
    </w:p>
    <w:p w14:paraId="397B445F">
      <w:pPr>
        <w:widowControl/>
        <w:spacing w:line="360" w:lineRule="auto"/>
        <w:ind w:firstLine="480"/>
        <w:jc w:val="left"/>
        <w:rPr>
          <w:rFonts w:ascii="宋体" w:hAnsi="宋体"/>
          <w:sz w:val="24"/>
        </w:rPr>
      </w:pPr>
      <w:r>
        <w:rPr>
          <w:rFonts w:ascii="宋体" w:hAnsi="宋体"/>
          <w:sz w:val="24"/>
        </w:rPr>
        <w:t>2、</w:t>
      </w:r>
      <w:r>
        <w:rPr>
          <w:rFonts w:hint="eastAsia" w:ascii="宋体" w:hAnsi="宋体"/>
          <w:sz w:val="24"/>
        </w:rPr>
        <w:t>成交</w:t>
      </w:r>
      <w:r>
        <w:rPr>
          <w:rFonts w:ascii="宋体" w:hAnsi="宋体"/>
          <w:sz w:val="24"/>
        </w:rPr>
        <w:t>通知书</w:t>
      </w:r>
    </w:p>
    <w:p w14:paraId="0CE61F76">
      <w:pPr>
        <w:widowControl/>
        <w:spacing w:line="360" w:lineRule="auto"/>
        <w:ind w:firstLine="480"/>
        <w:jc w:val="left"/>
        <w:rPr>
          <w:rFonts w:ascii="宋体" w:hAnsi="宋体"/>
          <w:sz w:val="24"/>
        </w:rPr>
      </w:pPr>
      <w:r>
        <w:rPr>
          <w:rFonts w:ascii="宋体" w:hAnsi="宋体"/>
          <w:sz w:val="24"/>
        </w:rPr>
        <w:t>3、</w:t>
      </w:r>
      <w:r>
        <w:rPr>
          <w:rFonts w:hint="eastAsia" w:ascii="宋体" w:hAnsi="宋体"/>
          <w:sz w:val="24"/>
        </w:rPr>
        <w:t>磋商响应文件、磋商文件、澄清、修改补充文件</w:t>
      </w:r>
    </w:p>
    <w:p w14:paraId="0D5AA424">
      <w:pPr>
        <w:widowControl/>
        <w:spacing w:line="360" w:lineRule="auto"/>
        <w:ind w:firstLine="482" w:firstLineChars="200"/>
        <w:jc w:val="left"/>
        <w:rPr>
          <w:rFonts w:ascii="宋体" w:hAnsi="宋体"/>
          <w:b/>
          <w:bCs/>
          <w:sz w:val="24"/>
        </w:rPr>
      </w:pPr>
      <w:r>
        <w:rPr>
          <w:rFonts w:ascii="宋体" w:hAnsi="宋体"/>
          <w:b/>
          <w:bCs/>
          <w:sz w:val="24"/>
        </w:rPr>
        <w:t>二、服务内容：</w:t>
      </w:r>
    </w:p>
    <w:p w14:paraId="7199765F">
      <w:pPr>
        <w:widowControl/>
        <w:spacing w:line="360" w:lineRule="auto"/>
        <w:ind w:firstLine="482" w:firstLineChars="200"/>
        <w:jc w:val="left"/>
        <w:rPr>
          <w:rFonts w:ascii="宋体" w:hAnsi="宋体"/>
          <w:b/>
          <w:bCs/>
          <w:sz w:val="24"/>
        </w:rPr>
      </w:pPr>
    </w:p>
    <w:p w14:paraId="27B2A102">
      <w:pPr>
        <w:widowControl/>
        <w:numPr>
          <w:ilvl w:val="0"/>
          <w:numId w:val="5"/>
        </w:numPr>
        <w:spacing w:line="360" w:lineRule="auto"/>
        <w:ind w:firstLine="482" w:firstLineChars="200"/>
        <w:jc w:val="left"/>
        <w:rPr>
          <w:rFonts w:ascii="宋体" w:hAnsi="宋体"/>
          <w:sz w:val="24"/>
        </w:rPr>
      </w:pPr>
      <w:r>
        <w:rPr>
          <w:rFonts w:ascii="宋体" w:hAnsi="宋体"/>
          <w:b/>
          <w:bCs/>
          <w:sz w:val="24"/>
        </w:rPr>
        <w:t>运维服务期：</w:t>
      </w:r>
      <w:r>
        <w:rPr>
          <w:rFonts w:hint="eastAsia" w:ascii="宋体" w:hAnsi="宋体"/>
          <w:sz w:val="24"/>
        </w:rPr>
        <w:t>一年</w:t>
      </w:r>
    </w:p>
    <w:p w14:paraId="4F22BE88">
      <w:pPr>
        <w:widowControl/>
        <w:numPr>
          <w:ilvl w:val="0"/>
          <w:numId w:val="5"/>
        </w:numPr>
        <w:spacing w:line="360" w:lineRule="auto"/>
        <w:ind w:firstLine="482" w:firstLineChars="200"/>
        <w:jc w:val="left"/>
        <w:rPr>
          <w:rFonts w:ascii="宋体" w:hAnsi="宋体"/>
          <w:sz w:val="24"/>
        </w:rPr>
      </w:pPr>
      <w:r>
        <w:rPr>
          <w:rFonts w:ascii="宋体" w:hAnsi="宋体"/>
          <w:b/>
          <w:bCs/>
          <w:sz w:val="24"/>
        </w:rPr>
        <w:t>四、运维服务地点：</w:t>
      </w:r>
      <w:r>
        <w:rPr>
          <w:rFonts w:hint="eastAsia" w:ascii="宋体" w:hAnsi="宋体"/>
          <w:sz w:val="24"/>
        </w:rPr>
        <w:t>采购人</w:t>
      </w:r>
      <w:r>
        <w:rPr>
          <w:rFonts w:ascii="宋体" w:hAnsi="宋体"/>
          <w:sz w:val="24"/>
        </w:rPr>
        <w:t>指定地点。</w:t>
      </w:r>
    </w:p>
    <w:p w14:paraId="25A3A0FB">
      <w:pPr>
        <w:widowControl/>
        <w:spacing w:line="360" w:lineRule="auto"/>
        <w:ind w:firstLine="482" w:firstLineChars="200"/>
        <w:jc w:val="left"/>
        <w:rPr>
          <w:rFonts w:ascii="宋体" w:hAnsi="宋体"/>
          <w:sz w:val="24"/>
        </w:rPr>
      </w:pPr>
      <w:r>
        <w:rPr>
          <w:rFonts w:ascii="宋体" w:hAnsi="宋体"/>
          <w:b/>
          <w:bCs/>
          <w:sz w:val="24"/>
        </w:rPr>
        <w:t>五、本合同总价为：</w:t>
      </w:r>
      <w:r>
        <w:rPr>
          <w:rFonts w:ascii="宋体" w:hAnsi="宋体"/>
          <w:sz w:val="24"/>
        </w:rPr>
        <w:t>人民币</w:t>
      </w:r>
      <w:r>
        <w:rPr>
          <w:rFonts w:hint="eastAsia" w:ascii="宋体" w:hAnsi="宋体"/>
          <w:sz w:val="24"/>
        </w:rPr>
        <w:t xml:space="preserve">       </w:t>
      </w:r>
      <w:r>
        <w:rPr>
          <w:rFonts w:ascii="宋体" w:hAnsi="宋体"/>
          <w:sz w:val="24"/>
        </w:rPr>
        <w:t>元整(¥</w:t>
      </w:r>
      <w:r>
        <w:rPr>
          <w:rFonts w:hint="eastAsia" w:ascii="宋体" w:hAnsi="宋体"/>
          <w:sz w:val="24"/>
          <w:u w:val="single"/>
        </w:rPr>
        <w:t xml:space="preserve">       </w:t>
      </w:r>
      <w:r>
        <w:rPr>
          <w:rFonts w:ascii="宋体" w:hAnsi="宋体"/>
          <w:sz w:val="24"/>
        </w:rPr>
        <w:t>)</w:t>
      </w:r>
    </w:p>
    <w:p w14:paraId="767D050E">
      <w:pPr>
        <w:widowControl/>
        <w:spacing w:line="360" w:lineRule="auto"/>
        <w:ind w:firstLine="482" w:firstLineChars="200"/>
        <w:jc w:val="left"/>
        <w:rPr>
          <w:rFonts w:ascii="宋体" w:hAnsi="宋体"/>
          <w:b/>
          <w:bCs/>
          <w:sz w:val="24"/>
        </w:rPr>
      </w:pPr>
      <w:r>
        <w:rPr>
          <w:rFonts w:ascii="宋体" w:hAnsi="宋体"/>
          <w:b/>
          <w:bCs/>
          <w:sz w:val="24"/>
        </w:rPr>
        <w:t>六、付款方式和发票开具方式</w:t>
      </w:r>
    </w:p>
    <w:p w14:paraId="77FA0049">
      <w:pPr>
        <w:widowControl/>
        <w:spacing w:line="360" w:lineRule="auto"/>
        <w:ind w:firstLine="480"/>
        <w:jc w:val="left"/>
        <w:rPr>
          <w:rFonts w:ascii="宋体" w:hAnsi="宋体"/>
          <w:sz w:val="24"/>
        </w:rPr>
      </w:pPr>
      <w:r>
        <w:rPr>
          <w:rFonts w:hint="eastAsia" w:ascii="宋体" w:hAnsi="宋体"/>
          <w:sz w:val="24"/>
        </w:rPr>
        <w:t>6.1付款方式：合同签订后一次性支付合同总价款的100%。</w:t>
      </w:r>
    </w:p>
    <w:p w14:paraId="36DA7C7C">
      <w:pPr>
        <w:widowControl/>
        <w:spacing w:line="360" w:lineRule="auto"/>
        <w:ind w:firstLine="480"/>
        <w:jc w:val="left"/>
        <w:rPr>
          <w:rFonts w:ascii="宋体" w:hAnsi="宋体"/>
          <w:sz w:val="24"/>
        </w:rPr>
      </w:pPr>
      <w:r>
        <w:rPr>
          <w:rFonts w:hint="eastAsia" w:ascii="宋体" w:hAnsi="宋体"/>
          <w:sz w:val="24"/>
        </w:rPr>
        <w:t>6.2</w:t>
      </w:r>
      <w:r>
        <w:rPr>
          <w:rFonts w:ascii="宋体" w:hAnsi="宋体"/>
          <w:sz w:val="24"/>
        </w:rPr>
        <w:t>乙方在甲方办理以上各期付款的支付手续前，向甲方出具等额的符合国家规定的发票</w:t>
      </w:r>
      <w:r>
        <w:rPr>
          <w:rFonts w:hint="eastAsia" w:ascii="宋体" w:hAnsi="宋体"/>
          <w:sz w:val="24"/>
        </w:rPr>
        <w:t>。</w:t>
      </w:r>
    </w:p>
    <w:p w14:paraId="03071AAB">
      <w:pPr>
        <w:widowControl/>
        <w:spacing w:line="360" w:lineRule="auto"/>
        <w:ind w:firstLine="480"/>
        <w:jc w:val="left"/>
        <w:rPr>
          <w:rFonts w:ascii="宋体" w:hAnsi="宋体"/>
          <w:b/>
          <w:bCs/>
          <w:sz w:val="24"/>
        </w:rPr>
      </w:pPr>
      <w:r>
        <w:rPr>
          <w:rFonts w:ascii="宋体" w:hAnsi="宋体"/>
          <w:b/>
          <w:bCs/>
          <w:sz w:val="24"/>
        </w:rPr>
        <w:t>七</w:t>
      </w:r>
      <w:r>
        <w:rPr>
          <w:rFonts w:hint="eastAsia" w:ascii="宋体" w:hAnsi="宋体"/>
          <w:b/>
          <w:bCs/>
          <w:sz w:val="24"/>
        </w:rPr>
        <w:t>、</w:t>
      </w:r>
      <w:r>
        <w:rPr>
          <w:rFonts w:ascii="宋体" w:hAnsi="宋体"/>
          <w:b/>
          <w:bCs/>
          <w:sz w:val="24"/>
        </w:rPr>
        <w:t>运维服务要求</w:t>
      </w:r>
    </w:p>
    <w:p w14:paraId="05B62494">
      <w:pPr>
        <w:widowControl/>
        <w:spacing w:line="360" w:lineRule="auto"/>
        <w:ind w:firstLine="480"/>
        <w:jc w:val="left"/>
        <w:rPr>
          <w:rFonts w:ascii="宋体" w:hAnsi="宋体"/>
          <w:sz w:val="24"/>
        </w:rPr>
      </w:pPr>
    </w:p>
    <w:p w14:paraId="1F9BEEBF">
      <w:pPr>
        <w:widowControl/>
        <w:spacing w:line="360" w:lineRule="auto"/>
        <w:ind w:firstLine="480"/>
        <w:jc w:val="left"/>
        <w:rPr>
          <w:rFonts w:ascii="宋体" w:hAnsi="宋体"/>
          <w:b/>
          <w:bCs/>
          <w:sz w:val="24"/>
        </w:rPr>
      </w:pPr>
      <w:r>
        <w:rPr>
          <w:rFonts w:ascii="宋体" w:hAnsi="宋体"/>
          <w:b/>
          <w:bCs/>
          <w:sz w:val="24"/>
        </w:rPr>
        <w:t>八、项目验收</w:t>
      </w:r>
    </w:p>
    <w:p w14:paraId="567AC843">
      <w:pPr>
        <w:widowControl/>
        <w:spacing w:line="360" w:lineRule="auto"/>
        <w:ind w:firstLine="480"/>
        <w:jc w:val="left"/>
        <w:rPr>
          <w:rFonts w:ascii="宋体" w:hAnsi="宋体"/>
          <w:sz w:val="24"/>
        </w:rPr>
      </w:pPr>
      <w:r>
        <w:rPr>
          <w:rFonts w:ascii="宋体" w:hAnsi="宋体"/>
          <w:sz w:val="24"/>
        </w:rPr>
        <w:t>8.1项目验收由甲方或其委托的专家或第三方机构对项目进行验收，验收时，乙方应无条件予以配合并提供所需的全部资料；</w:t>
      </w:r>
    </w:p>
    <w:p w14:paraId="6FA16D52">
      <w:pPr>
        <w:widowControl/>
        <w:spacing w:line="360" w:lineRule="auto"/>
        <w:ind w:firstLine="480"/>
        <w:jc w:val="left"/>
        <w:rPr>
          <w:rFonts w:ascii="宋体" w:hAnsi="宋体"/>
          <w:sz w:val="24"/>
        </w:rPr>
      </w:pPr>
      <w:r>
        <w:rPr>
          <w:rFonts w:ascii="宋体" w:hAnsi="宋体"/>
          <w:sz w:val="24"/>
        </w:rPr>
        <w:t>8.2验收依据：磋商文件、磋商响应文件、合同文本、国内相应的标准、规范。</w:t>
      </w:r>
    </w:p>
    <w:p w14:paraId="17540CAF">
      <w:pPr>
        <w:widowControl/>
        <w:spacing w:line="360" w:lineRule="auto"/>
        <w:ind w:firstLine="480"/>
        <w:jc w:val="left"/>
        <w:rPr>
          <w:rFonts w:ascii="宋体" w:hAnsi="宋体"/>
          <w:b/>
          <w:bCs/>
          <w:sz w:val="24"/>
        </w:rPr>
      </w:pPr>
      <w:r>
        <w:rPr>
          <w:rFonts w:ascii="宋体" w:hAnsi="宋体"/>
          <w:b/>
          <w:bCs/>
          <w:sz w:val="24"/>
        </w:rPr>
        <w:t>九、知识产权</w:t>
      </w:r>
    </w:p>
    <w:p w14:paraId="502465DA">
      <w:pPr>
        <w:widowControl/>
        <w:spacing w:line="360" w:lineRule="auto"/>
        <w:ind w:firstLine="480"/>
        <w:jc w:val="left"/>
        <w:rPr>
          <w:rFonts w:ascii="宋体" w:hAnsi="宋体"/>
          <w:sz w:val="24"/>
        </w:rPr>
      </w:pPr>
      <w:r>
        <w:rPr>
          <w:rFonts w:ascii="宋体" w:hAnsi="宋体"/>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0E388929">
      <w:pPr>
        <w:widowControl/>
        <w:spacing w:line="360" w:lineRule="auto"/>
        <w:ind w:firstLine="480"/>
        <w:jc w:val="left"/>
        <w:rPr>
          <w:rFonts w:ascii="宋体" w:hAnsi="宋体"/>
          <w:b/>
          <w:bCs/>
          <w:sz w:val="24"/>
        </w:rPr>
      </w:pPr>
      <w:r>
        <w:rPr>
          <w:rFonts w:ascii="宋体" w:hAnsi="宋体"/>
          <w:b/>
          <w:bCs/>
          <w:sz w:val="24"/>
        </w:rPr>
        <w:t>十、违约责任</w:t>
      </w:r>
    </w:p>
    <w:p w14:paraId="72888BF7">
      <w:pPr>
        <w:widowControl/>
        <w:spacing w:line="360" w:lineRule="auto"/>
        <w:ind w:firstLine="480"/>
        <w:jc w:val="left"/>
        <w:rPr>
          <w:rFonts w:ascii="宋体" w:hAnsi="宋体"/>
          <w:sz w:val="24"/>
        </w:rPr>
      </w:pPr>
      <w:r>
        <w:rPr>
          <w:rFonts w:ascii="宋体" w:hAnsi="宋体"/>
          <w:sz w:val="24"/>
        </w:rPr>
        <w:t>10.1除不可抗力外，如果乙方没有按照本合同约定的期限、地点和方式履行，那么甲方可要求乙方支付违约金，违约金按每迟延履行一日的应提供而未提供服务价格的0.5%计算，最高限额为本合同总价的5%;迟延履行的违约金计算数额达到前述最高限额之日起，甲方有权在要求乙方支付违约金的同时，书面通知乙方解除本合同；</w:t>
      </w:r>
    </w:p>
    <w:p w14:paraId="18C38C15">
      <w:pPr>
        <w:widowControl/>
        <w:spacing w:line="360" w:lineRule="auto"/>
        <w:ind w:firstLine="480"/>
        <w:jc w:val="left"/>
        <w:rPr>
          <w:rFonts w:ascii="宋体" w:hAnsi="宋体"/>
          <w:sz w:val="24"/>
        </w:rPr>
      </w:pPr>
      <w:r>
        <w:rPr>
          <w:rFonts w:ascii="宋体" w:hAnsi="宋体"/>
          <w:sz w:val="24"/>
        </w:rPr>
        <w:t>10.2除不可抗力外，如果甲方没有按照本合同约定的付款方式付款，那么乙方可要求甲方支付违约金，违约金按每迟延付款一日的应付而未付款的0.5%计算，最高限额为本合同总价的5%;迟延付款的违约金计算数额达到前述最高限额之日起，乙方有权在要求甲方支付违约金的同时，书面通知甲方解除本合同；</w:t>
      </w:r>
    </w:p>
    <w:p w14:paraId="7FFDA459">
      <w:pPr>
        <w:widowControl/>
        <w:spacing w:line="360" w:lineRule="auto"/>
        <w:ind w:firstLine="480"/>
        <w:jc w:val="left"/>
        <w:rPr>
          <w:rFonts w:ascii="宋体" w:hAnsi="宋体"/>
          <w:b/>
          <w:bCs/>
          <w:sz w:val="24"/>
        </w:rPr>
      </w:pPr>
      <w:r>
        <w:rPr>
          <w:rFonts w:ascii="宋体" w:hAnsi="宋体"/>
          <w:b/>
          <w:bCs/>
          <w:sz w:val="24"/>
        </w:rPr>
        <w:t>十一、质量保证</w:t>
      </w:r>
    </w:p>
    <w:p w14:paraId="36ADAD79">
      <w:pPr>
        <w:widowControl/>
        <w:spacing w:line="360" w:lineRule="auto"/>
        <w:ind w:firstLine="480"/>
        <w:jc w:val="left"/>
        <w:rPr>
          <w:rFonts w:ascii="宋体" w:hAnsi="宋体"/>
          <w:sz w:val="24"/>
        </w:rPr>
      </w:pPr>
      <w:r>
        <w:rPr>
          <w:rFonts w:ascii="宋体" w:hAnsi="宋体"/>
          <w:sz w:val="24"/>
        </w:rPr>
        <w:t>11.1乙方应建立和完善履行合同的内部质量保证体系，并提供相关内部规章制度给甲方，以便甲方进行监督检查；</w:t>
      </w:r>
    </w:p>
    <w:p w14:paraId="28BD0028">
      <w:pPr>
        <w:widowControl/>
        <w:spacing w:line="360" w:lineRule="auto"/>
        <w:ind w:firstLine="480"/>
        <w:jc w:val="left"/>
        <w:rPr>
          <w:rFonts w:ascii="宋体" w:hAnsi="宋体"/>
          <w:sz w:val="24"/>
        </w:rPr>
      </w:pPr>
      <w:r>
        <w:rPr>
          <w:rFonts w:ascii="宋体" w:hAnsi="宋体"/>
          <w:sz w:val="24"/>
        </w:rPr>
        <w:t>11.2乙方应保证履行合同的人员数量和素质、软件和硬件设备的配置、场地、环境和设施等满足全面履行合同的要求，并应接受甲方的监督检查。</w:t>
      </w:r>
    </w:p>
    <w:p w14:paraId="15AA50DA">
      <w:pPr>
        <w:widowControl/>
        <w:spacing w:line="360" w:lineRule="auto"/>
        <w:ind w:firstLine="480"/>
        <w:jc w:val="left"/>
        <w:rPr>
          <w:rFonts w:ascii="宋体" w:hAnsi="宋体"/>
          <w:b/>
          <w:bCs/>
          <w:sz w:val="24"/>
        </w:rPr>
      </w:pPr>
      <w:r>
        <w:rPr>
          <w:rFonts w:ascii="宋体" w:hAnsi="宋体"/>
          <w:b/>
          <w:bCs/>
          <w:sz w:val="24"/>
        </w:rPr>
        <w:t>十二、延迟履行</w:t>
      </w:r>
    </w:p>
    <w:p w14:paraId="2587BAFD">
      <w:pPr>
        <w:widowControl/>
        <w:spacing w:line="360" w:lineRule="auto"/>
        <w:ind w:firstLine="480"/>
        <w:jc w:val="left"/>
        <w:rPr>
          <w:rFonts w:ascii="宋体" w:hAnsi="宋体"/>
          <w:sz w:val="24"/>
        </w:rPr>
      </w:pPr>
      <w:r>
        <w:rPr>
          <w:rFonts w:ascii="宋体" w:hAnsi="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963BBC4">
      <w:pPr>
        <w:widowControl/>
        <w:spacing w:line="360" w:lineRule="auto"/>
        <w:ind w:firstLine="480"/>
        <w:jc w:val="left"/>
        <w:rPr>
          <w:rFonts w:ascii="宋体" w:hAnsi="宋体"/>
          <w:b/>
          <w:bCs/>
          <w:sz w:val="24"/>
        </w:rPr>
      </w:pPr>
      <w:r>
        <w:rPr>
          <w:rFonts w:ascii="宋体" w:hAnsi="宋体"/>
          <w:b/>
          <w:bCs/>
          <w:sz w:val="24"/>
        </w:rPr>
        <w:t>十三、转让</w:t>
      </w:r>
    </w:p>
    <w:p w14:paraId="21B0B43B">
      <w:pPr>
        <w:widowControl/>
        <w:spacing w:line="360" w:lineRule="auto"/>
        <w:ind w:firstLine="480"/>
        <w:jc w:val="left"/>
        <w:rPr>
          <w:rFonts w:ascii="宋体" w:hAnsi="宋体"/>
          <w:sz w:val="24"/>
        </w:rPr>
      </w:pPr>
      <w:r>
        <w:rPr>
          <w:rFonts w:ascii="宋体" w:hAnsi="宋体"/>
          <w:sz w:val="24"/>
        </w:rPr>
        <w:t>未经甲方事先书面同意，乙方不得部分转让或全部转让其应履行的合同义务。</w:t>
      </w:r>
    </w:p>
    <w:p w14:paraId="5C702F73">
      <w:pPr>
        <w:widowControl/>
        <w:spacing w:line="360" w:lineRule="auto"/>
        <w:ind w:firstLine="480"/>
        <w:jc w:val="left"/>
        <w:rPr>
          <w:rFonts w:ascii="宋体" w:hAnsi="宋体"/>
          <w:b/>
          <w:bCs/>
          <w:sz w:val="24"/>
        </w:rPr>
      </w:pPr>
      <w:r>
        <w:rPr>
          <w:rFonts w:ascii="宋体" w:hAnsi="宋体"/>
          <w:b/>
          <w:bCs/>
          <w:sz w:val="24"/>
        </w:rPr>
        <w:t>十四、乙方履约延误</w:t>
      </w:r>
    </w:p>
    <w:p w14:paraId="544542E1">
      <w:pPr>
        <w:widowControl/>
        <w:spacing w:line="360" w:lineRule="auto"/>
        <w:ind w:firstLine="480"/>
        <w:jc w:val="left"/>
        <w:rPr>
          <w:rFonts w:ascii="宋体" w:hAnsi="宋体"/>
          <w:sz w:val="24"/>
        </w:rPr>
      </w:pPr>
      <w:r>
        <w:rPr>
          <w:rFonts w:ascii="宋体" w:hAnsi="宋体"/>
          <w:sz w:val="24"/>
        </w:rPr>
        <w:t>14.1乙方应在规定的服务期内提供服务。</w:t>
      </w:r>
    </w:p>
    <w:p w14:paraId="499BFB47">
      <w:pPr>
        <w:widowControl/>
        <w:spacing w:line="360" w:lineRule="auto"/>
        <w:ind w:firstLine="480"/>
        <w:jc w:val="left"/>
        <w:rPr>
          <w:rFonts w:ascii="宋体" w:hAnsi="宋体"/>
          <w:sz w:val="24"/>
        </w:rPr>
      </w:pPr>
      <w:r>
        <w:rPr>
          <w:rFonts w:ascii="宋体" w:hAnsi="宋体"/>
          <w:sz w:val="24"/>
        </w:rPr>
        <w:t>14.2在履行合同过程中，如果乙方遇到妨碍提供服务的情况时，应及时以书面形式将拖延的事实、可能拖延的时间和原因通知甲方。甲方在收到乙方通知后，应尽快对情况进行评价，并确定是否同意，以及是否收取误期赔偿费。延期应通过修改合同的方式由双方认可。</w:t>
      </w:r>
    </w:p>
    <w:p w14:paraId="14147D0E">
      <w:pPr>
        <w:widowControl/>
        <w:spacing w:line="360" w:lineRule="auto"/>
        <w:ind w:firstLine="480"/>
        <w:jc w:val="left"/>
        <w:rPr>
          <w:rFonts w:ascii="宋体" w:hAnsi="宋体"/>
          <w:b/>
          <w:bCs/>
          <w:sz w:val="24"/>
        </w:rPr>
      </w:pPr>
      <w:r>
        <w:rPr>
          <w:rFonts w:ascii="宋体" w:hAnsi="宋体"/>
          <w:b/>
          <w:bCs/>
          <w:sz w:val="24"/>
        </w:rPr>
        <w:t>十五、合同中止、终止</w:t>
      </w:r>
    </w:p>
    <w:p w14:paraId="25A4803B">
      <w:pPr>
        <w:widowControl/>
        <w:spacing w:line="360" w:lineRule="auto"/>
        <w:ind w:firstLine="480"/>
        <w:jc w:val="left"/>
        <w:rPr>
          <w:rFonts w:ascii="宋体" w:hAnsi="宋体"/>
          <w:sz w:val="24"/>
        </w:rPr>
      </w:pPr>
      <w:r>
        <w:rPr>
          <w:rFonts w:ascii="宋体" w:hAnsi="宋体"/>
          <w:sz w:val="24"/>
        </w:rPr>
        <w:t>15.1甲乙双方不得擅自中止或者终止合同；</w:t>
      </w:r>
    </w:p>
    <w:p w14:paraId="31633404">
      <w:pPr>
        <w:widowControl/>
        <w:spacing w:line="360" w:lineRule="auto"/>
        <w:ind w:firstLine="480"/>
        <w:jc w:val="left"/>
        <w:rPr>
          <w:rFonts w:ascii="宋体" w:hAnsi="宋体"/>
          <w:sz w:val="24"/>
        </w:rPr>
      </w:pPr>
      <w:r>
        <w:rPr>
          <w:rFonts w:ascii="宋体" w:hAnsi="宋体"/>
          <w:sz w:val="24"/>
        </w:rPr>
        <w:t>15.2合同继续履行将损害国家利益和社会公共利益的，双方当事人应当中止或者终止合同。有过错的一方应当承担赔偿责任，双方当事人都有过错的，各自承担相应的责任。</w:t>
      </w:r>
    </w:p>
    <w:p w14:paraId="4CDE7B9C">
      <w:pPr>
        <w:widowControl/>
        <w:spacing w:line="360" w:lineRule="auto"/>
        <w:ind w:firstLine="480"/>
        <w:jc w:val="left"/>
        <w:rPr>
          <w:rFonts w:ascii="宋体" w:hAnsi="宋体"/>
          <w:b/>
          <w:bCs/>
          <w:sz w:val="24"/>
        </w:rPr>
      </w:pPr>
      <w:r>
        <w:rPr>
          <w:rFonts w:ascii="宋体" w:hAnsi="宋体"/>
          <w:b/>
          <w:bCs/>
          <w:sz w:val="24"/>
        </w:rPr>
        <w:t>十六、不可抗力</w:t>
      </w:r>
    </w:p>
    <w:p w14:paraId="3297CB96">
      <w:pPr>
        <w:widowControl/>
        <w:spacing w:line="360" w:lineRule="auto"/>
        <w:ind w:firstLine="480"/>
        <w:jc w:val="left"/>
        <w:rPr>
          <w:rFonts w:ascii="宋体" w:hAnsi="宋体"/>
          <w:sz w:val="24"/>
        </w:rPr>
      </w:pPr>
      <w:r>
        <w:rPr>
          <w:rFonts w:ascii="宋体" w:hAnsi="宋体"/>
          <w:sz w:val="24"/>
        </w:rPr>
        <w:t>16.1如果任何一方遭遇法律规定的不可抗力，致使合同履行受阻时，履行合同的期限应予延长，延长的期限应相当于不可抗力所影响的时间；</w:t>
      </w:r>
    </w:p>
    <w:p w14:paraId="5260C2DE">
      <w:pPr>
        <w:widowControl/>
        <w:spacing w:line="360" w:lineRule="auto"/>
        <w:ind w:firstLine="480"/>
        <w:jc w:val="left"/>
        <w:rPr>
          <w:rFonts w:ascii="宋体" w:hAnsi="宋体"/>
          <w:sz w:val="24"/>
        </w:rPr>
      </w:pPr>
      <w:r>
        <w:rPr>
          <w:rFonts w:ascii="宋体" w:hAnsi="宋体"/>
          <w:sz w:val="24"/>
        </w:rPr>
        <w:t>16.2因不可抗力致使不能实现合同目的，甲乙双方可以解除合同；</w:t>
      </w:r>
    </w:p>
    <w:p w14:paraId="2F168840">
      <w:pPr>
        <w:widowControl/>
        <w:spacing w:line="360" w:lineRule="auto"/>
        <w:ind w:firstLine="480"/>
        <w:jc w:val="left"/>
        <w:rPr>
          <w:rFonts w:ascii="宋体" w:hAnsi="宋体"/>
          <w:sz w:val="24"/>
        </w:rPr>
      </w:pPr>
      <w:r>
        <w:rPr>
          <w:rFonts w:ascii="宋体" w:hAnsi="宋体"/>
          <w:sz w:val="24"/>
        </w:rPr>
        <w:t>16.3因不可抗力致使合同有变更必要的，甲乙双方应在10个工作且内以书面形式变更合同；</w:t>
      </w:r>
    </w:p>
    <w:p w14:paraId="3D510879">
      <w:pPr>
        <w:widowControl/>
        <w:spacing w:line="360" w:lineRule="auto"/>
        <w:ind w:firstLine="480"/>
        <w:jc w:val="left"/>
        <w:rPr>
          <w:rFonts w:ascii="宋体" w:hAnsi="宋体"/>
          <w:sz w:val="24"/>
        </w:rPr>
      </w:pPr>
      <w:r>
        <w:rPr>
          <w:rFonts w:ascii="宋体" w:hAnsi="宋体"/>
          <w:sz w:val="24"/>
        </w:rPr>
        <w:t>16.4受不可抗力影响的一方在不可抗力发生后，应在10个工作且内以书面形式通知对方，并在10个工作日内，将有关部门出具的证明文件送达对方当事人。</w:t>
      </w:r>
    </w:p>
    <w:p w14:paraId="5C0E75A9">
      <w:pPr>
        <w:widowControl/>
        <w:spacing w:line="360" w:lineRule="auto"/>
        <w:ind w:firstLine="480"/>
        <w:jc w:val="left"/>
        <w:rPr>
          <w:rFonts w:ascii="宋体" w:hAnsi="宋体"/>
          <w:b/>
          <w:bCs/>
          <w:sz w:val="24"/>
        </w:rPr>
      </w:pPr>
      <w:r>
        <w:rPr>
          <w:rFonts w:ascii="宋体" w:hAnsi="宋体"/>
          <w:b/>
          <w:bCs/>
          <w:sz w:val="24"/>
        </w:rPr>
        <w:t>十七、争议的解决</w:t>
      </w:r>
    </w:p>
    <w:p w14:paraId="2099059F">
      <w:pPr>
        <w:widowControl/>
        <w:spacing w:line="360" w:lineRule="auto"/>
        <w:ind w:firstLine="480"/>
        <w:jc w:val="left"/>
        <w:rPr>
          <w:rFonts w:ascii="宋体" w:hAnsi="宋体"/>
          <w:sz w:val="24"/>
        </w:rPr>
      </w:pPr>
      <w:r>
        <w:rPr>
          <w:rFonts w:ascii="宋体" w:hAnsi="宋体"/>
          <w:sz w:val="24"/>
        </w:rPr>
        <w:t>本合同履行过程中发生的任何争议，双方当事人均可通过和解或者调解解决；不愿和解、调解或者和解、调解不成的，可以选择下列2款方式解决：</w:t>
      </w:r>
    </w:p>
    <w:p w14:paraId="302067CC">
      <w:pPr>
        <w:widowControl/>
        <w:spacing w:line="360" w:lineRule="auto"/>
        <w:ind w:firstLine="480"/>
        <w:jc w:val="left"/>
        <w:rPr>
          <w:rFonts w:ascii="宋体" w:hAnsi="宋体"/>
          <w:sz w:val="24"/>
        </w:rPr>
      </w:pPr>
      <w:r>
        <w:rPr>
          <w:rFonts w:ascii="宋体" w:hAnsi="宋体"/>
          <w:sz w:val="24"/>
        </w:rPr>
        <w:t>17.1将争议提交合同签订地仲裁委员会依申请仲裁时其现行有效的仲裁规则裁决；</w:t>
      </w:r>
    </w:p>
    <w:p w14:paraId="4C0823EF">
      <w:pPr>
        <w:widowControl/>
        <w:spacing w:line="360" w:lineRule="auto"/>
        <w:ind w:firstLine="480"/>
        <w:jc w:val="left"/>
        <w:rPr>
          <w:rFonts w:ascii="宋体" w:hAnsi="宋体"/>
          <w:sz w:val="24"/>
        </w:rPr>
      </w:pPr>
      <w:r>
        <w:rPr>
          <w:rFonts w:ascii="宋体" w:hAnsi="宋体"/>
          <w:sz w:val="24"/>
        </w:rPr>
        <w:t>17.2向合同签订地人民法院起诉。</w:t>
      </w:r>
    </w:p>
    <w:p w14:paraId="645B89B2">
      <w:pPr>
        <w:widowControl/>
        <w:spacing w:line="360" w:lineRule="auto"/>
        <w:ind w:firstLine="480"/>
        <w:jc w:val="left"/>
        <w:rPr>
          <w:rFonts w:ascii="宋体" w:hAnsi="宋体"/>
          <w:b/>
          <w:bCs/>
          <w:sz w:val="24"/>
        </w:rPr>
      </w:pPr>
      <w:r>
        <w:rPr>
          <w:rFonts w:ascii="宋体" w:hAnsi="宋体"/>
          <w:b/>
          <w:bCs/>
          <w:sz w:val="24"/>
        </w:rPr>
        <w:t>十八、通知和送达</w:t>
      </w:r>
    </w:p>
    <w:p w14:paraId="246F0D82">
      <w:pPr>
        <w:widowControl/>
        <w:spacing w:line="360" w:lineRule="auto"/>
        <w:ind w:firstLine="480"/>
        <w:jc w:val="left"/>
        <w:rPr>
          <w:rFonts w:ascii="宋体" w:hAnsi="宋体"/>
          <w:sz w:val="24"/>
        </w:rPr>
      </w:pPr>
      <w:r>
        <w:rPr>
          <w:rFonts w:ascii="宋体" w:hAnsi="宋体"/>
          <w:sz w:val="24"/>
        </w:rPr>
        <w:t>18.1任何一方因履行合同而以合同第一部分尾部所列明的约定送达地址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2A5519E2">
      <w:pPr>
        <w:widowControl/>
        <w:spacing w:line="360" w:lineRule="auto"/>
        <w:ind w:firstLine="480"/>
        <w:jc w:val="left"/>
        <w:rPr>
          <w:rFonts w:ascii="宋体" w:hAnsi="宋体"/>
          <w:sz w:val="24"/>
        </w:rPr>
      </w:pPr>
      <w:r>
        <w:rPr>
          <w:rFonts w:ascii="宋体" w:hAnsi="宋体"/>
          <w:sz w:val="24"/>
        </w:rPr>
        <w:t>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F93DAB2">
      <w:pPr>
        <w:widowControl/>
        <w:spacing w:line="360" w:lineRule="auto"/>
        <w:ind w:firstLine="480"/>
        <w:jc w:val="left"/>
        <w:rPr>
          <w:rFonts w:ascii="宋体" w:hAnsi="宋体"/>
          <w:b/>
          <w:bCs/>
          <w:sz w:val="24"/>
        </w:rPr>
      </w:pPr>
      <w:r>
        <w:rPr>
          <w:rFonts w:ascii="宋体" w:hAnsi="宋体"/>
          <w:b/>
          <w:bCs/>
          <w:sz w:val="24"/>
        </w:rPr>
        <w:t>十九、税费</w:t>
      </w:r>
    </w:p>
    <w:p w14:paraId="023477E7">
      <w:pPr>
        <w:widowControl/>
        <w:spacing w:line="360" w:lineRule="auto"/>
        <w:ind w:firstLine="480"/>
        <w:jc w:val="left"/>
        <w:rPr>
          <w:rFonts w:ascii="宋体" w:hAnsi="宋体"/>
          <w:sz w:val="24"/>
        </w:rPr>
      </w:pPr>
      <w:r>
        <w:rPr>
          <w:rFonts w:ascii="宋体" w:hAnsi="宋体"/>
          <w:sz w:val="24"/>
        </w:rPr>
        <w:t>与合同有关的一切税费，均按照中华人民共和国法律的相关规定缴纳。</w:t>
      </w:r>
    </w:p>
    <w:p w14:paraId="2CC5DD5B">
      <w:pPr>
        <w:widowControl/>
        <w:spacing w:line="360" w:lineRule="auto"/>
        <w:ind w:firstLine="480"/>
        <w:jc w:val="left"/>
        <w:rPr>
          <w:rFonts w:ascii="宋体" w:hAnsi="宋体"/>
          <w:b/>
          <w:bCs/>
          <w:sz w:val="24"/>
        </w:rPr>
      </w:pPr>
      <w:r>
        <w:rPr>
          <w:rFonts w:ascii="宋体" w:hAnsi="宋体"/>
          <w:b/>
          <w:bCs/>
          <w:sz w:val="24"/>
        </w:rPr>
        <w:t>二十、其他</w:t>
      </w:r>
    </w:p>
    <w:p w14:paraId="3B197968">
      <w:pPr>
        <w:widowControl/>
        <w:spacing w:line="360" w:lineRule="auto"/>
        <w:ind w:firstLine="480"/>
        <w:jc w:val="left"/>
        <w:rPr>
          <w:rFonts w:ascii="宋体" w:hAnsi="宋体"/>
          <w:sz w:val="24"/>
        </w:rPr>
      </w:pPr>
      <w:r>
        <w:rPr>
          <w:rFonts w:ascii="宋体" w:hAnsi="宋体"/>
          <w:sz w:val="24"/>
        </w:rPr>
        <w:t>20.1乙方和乙方工作人员应对甲方提供的资料，以及对在项目实施过程中知悉的秘密(包括不限于国家秘密、科研秘密、商业秘密、群众个人信息等所有秘密)履行保密义务，不得就所涉及的秘密及敏感信息以单位或者个人名义公开披露和公开发表观点。</w:t>
      </w:r>
    </w:p>
    <w:p w14:paraId="1BD4B417">
      <w:pPr>
        <w:widowControl/>
        <w:spacing w:line="360" w:lineRule="auto"/>
        <w:ind w:firstLine="480"/>
        <w:jc w:val="left"/>
        <w:rPr>
          <w:rFonts w:ascii="宋体" w:hAnsi="宋体"/>
          <w:sz w:val="24"/>
        </w:rPr>
      </w:pPr>
      <w:r>
        <w:rPr>
          <w:rFonts w:ascii="宋体" w:hAnsi="宋体"/>
          <w:sz w:val="24"/>
        </w:rPr>
        <w:t>20.2本合同应按照中华人民共和国的现行法律进行解释。</w:t>
      </w:r>
    </w:p>
    <w:p w14:paraId="713AB0C0">
      <w:pPr>
        <w:widowControl/>
        <w:spacing w:line="360" w:lineRule="auto"/>
        <w:ind w:firstLine="480"/>
        <w:jc w:val="left"/>
        <w:rPr>
          <w:rFonts w:ascii="宋体" w:hAnsi="宋体"/>
          <w:sz w:val="24"/>
        </w:rPr>
      </w:pPr>
      <w:r>
        <w:rPr>
          <w:rFonts w:ascii="宋体" w:hAnsi="宋体"/>
          <w:sz w:val="24"/>
        </w:rPr>
        <w:t>20.3本合同语言为简体中文，双方交换的与合同有关的信函均按此书写。</w:t>
      </w:r>
    </w:p>
    <w:p w14:paraId="08DD843B">
      <w:pPr>
        <w:widowControl/>
        <w:spacing w:line="360" w:lineRule="auto"/>
        <w:ind w:firstLine="480"/>
        <w:jc w:val="left"/>
        <w:rPr>
          <w:rFonts w:ascii="宋体" w:hAnsi="宋体"/>
          <w:sz w:val="24"/>
        </w:rPr>
      </w:pPr>
      <w:r>
        <w:rPr>
          <w:rFonts w:ascii="宋体" w:hAnsi="宋体"/>
          <w:sz w:val="24"/>
        </w:rPr>
        <w:t>20.4除技术规范中另有规定外，计量单位均使用中华人民共和国法定计量单位。</w:t>
      </w:r>
    </w:p>
    <w:p w14:paraId="5F187537">
      <w:pPr>
        <w:widowControl/>
        <w:spacing w:line="360" w:lineRule="auto"/>
        <w:ind w:firstLine="480"/>
        <w:jc w:val="left"/>
        <w:rPr>
          <w:rFonts w:ascii="宋体" w:hAnsi="宋体"/>
          <w:sz w:val="24"/>
        </w:rPr>
      </w:pPr>
      <w:r>
        <w:rPr>
          <w:rFonts w:ascii="宋体" w:hAnsi="宋体"/>
          <w:sz w:val="24"/>
        </w:rPr>
        <w:t>二十一、合同一经签订，不得擅自变更、中止或者终止合同。对确需变更、调整或者中止、终止合同的，应按规定履行相应的手续。</w:t>
      </w:r>
    </w:p>
    <w:p w14:paraId="2D99B3FF">
      <w:pPr>
        <w:widowControl/>
        <w:spacing w:line="360" w:lineRule="auto"/>
        <w:ind w:firstLine="480"/>
        <w:jc w:val="left"/>
        <w:rPr>
          <w:rFonts w:ascii="宋体" w:hAnsi="宋体"/>
          <w:sz w:val="24"/>
        </w:rPr>
      </w:pPr>
      <w:r>
        <w:rPr>
          <w:rFonts w:ascii="宋体" w:hAnsi="宋体"/>
          <w:sz w:val="24"/>
        </w:rPr>
        <w:t>二十二、本合同一式</w:t>
      </w:r>
      <w:r>
        <w:rPr>
          <w:rFonts w:hint="eastAsia" w:ascii="宋体" w:hAnsi="宋体"/>
          <w:sz w:val="24"/>
        </w:rPr>
        <w:t>柒</w:t>
      </w:r>
      <w:r>
        <w:rPr>
          <w:rFonts w:ascii="宋体" w:hAnsi="宋体"/>
          <w:sz w:val="24"/>
        </w:rPr>
        <w:t>份，其中，甲方肆份，乙方贰份，采购代理机构壹份。签字盖章后生效，合同执行完毕自动失效(合同的服务承诺长期则长期有效)。</w:t>
      </w:r>
    </w:p>
    <w:p w14:paraId="4649B7B0">
      <w:pPr>
        <w:rPr>
          <w:rFonts w:ascii="宋体" w:hAnsi="宋体"/>
          <w:sz w:val="24"/>
        </w:rPr>
      </w:pPr>
      <w:r>
        <w:rPr>
          <w:rFonts w:ascii="宋体" w:hAnsi="宋体"/>
          <w:sz w:val="24"/>
        </w:rPr>
        <w:br w:type="page"/>
      </w:r>
    </w:p>
    <w:tbl>
      <w:tblPr>
        <w:tblStyle w:val="50"/>
        <w:tblW w:w="9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0"/>
        <w:gridCol w:w="4630"/>
      </w:tblGrid>
      <w:tr w14:paraId="010E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600" w:type="dxa"/>
            <w:vAlign w:val="center"/>
          </w:tcPr>
          <w:p w14:paraId="3BDE8F50">
            <w:pPr>
              <w:pStyle w:val="51"/>
              <w:spacing w:before="264" w:line="219" w:lineRule="auto"/>
              <w:ind w:left="75"/>
              <w:jc w:val="left"/>
              <w:rPr>
                <w:lang w:eastAsia="zh-CN"/>
              </w:rPr>
            </w:pPr>
            <w:r>
              <w:rPr>
                <w:spacing w:val="1"/>
                <w:lang w:eastAsia="zh-CN"/>
              </w:rPr>
              <w:t>甲  方：</w:t>
            </w:r>
            <w:r>
              <w:rPr>
                <w:rFonts w:hint="eastAsia"/>
                <w:spacing w:val="1"/>
                <w:lang w:eastAsia="zh-CN"/>
              </w:rPr>
              <w:t>陕西省卫生健康信息中心</w:t>
            </w:r>
          </w:p>
        </w:tc>
        <w:tc>
          <w:tcPr>
            <w:tcW w:w="4630" w:type="dxa"/>
            <w:vAlign w:val="center"/>
          </w:tcPr>
          <w:p w14:paraId="58DEEC40">
            <w:pPr>
              <w:pStyle w:val="51"/>
              <w:spacing w:before="263" w:line="219" w:lineRule="auto"/>
              <w:ind w:left="124"/>
              <w:jc w:val="left"/>
            </w:pPr>
            <w:r>
              <w:rPr>
                <w:spacing w:val="1"/>
              </w:rPr>
              <w:t>乙  方：</w:t>
            </w:r>
          </w:p>
        </w:tc>
      </w:tr>
      <w:tr w14:paraId="1A1A2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4600" w:type="dxa"/>
            <w:vAlign w:val="center"/>
          </w:tcPr>
          <w:p w14:paraId="5B43B18D">
            <w:pPr>
              <w:pStyle w:val="51"/>
              <w:spacing w:before="75" w:line="219" w:lineRule="auto"/>
              <w:ind w:left="75"/>
              <w:jc w:val="left"/>
            </w:pPr>
            <w:r>
              <w:rPr>
                <w:spacing w:val="12"/>
              </w:rPr>
              <w:t>(盖章)</w:t>
            </w:r>
          </w:p>
        </w:tc>
        <w:tc>
          <w:tcPr>
            <w:tcW w:w="4630" w:type="dxa"/>
            <w:vAlign w:val="center"/>
          </w:tcPr>
          <w:p w14:paraId="06256170">
            <w:pPr>
              <w:pStyle w:val="51"/>
              <w:spacing w:before="75" w:line="219" w:lineRule="auto"/>
              <w:ind w:left="124"/>
              <w:jc w:val="left"/>
            </w:pPr>
            <w:r>
              <w:rPr>
                <w:spacing w:val="6"/>
              </w:rPr>
              <w:t>乙方全称(盖章)</w:t>
            </w:r>
          </w:p>
        </w:tc>
      </w:tr>
      <w:tr w14:paraId="04CC8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4600" w:type="dxa"/>
            <w:vAlign w:val="center"/>
          </w:tcPr>
          <w:p w14:paraId="1DD19D21">
            <w:pPr>
              <w:pStyle w:val="51"/>
              <w:spacing w:before="75" w:line="229" w:lineRule="auto"/>
              <w:ind w:left="75"/>
              <w:jc w:val="left"/>
            </w:pPr>
            <w:r>
              <w:rPr>
                <w:spacing w:val="-2"/>
              </w:rPr>
              <w:t>地址：</w:t>
            </w:r>
          </w:p>
        </w:tc>
        <w:tc>
          <w:tcPr>
            <w:tcW w:w="4630" w:type="dxa"/>
            <w:vAlign w:val="center"/>
          </w:tcPr>
          <w:p w14:paraId="74A5A019">
            <w:pPr>
              <w:pStyle w:val="51"/>
              <w:spacing w:line="219" w:lineRule="auto"/>
              <w:ind w:left="124"/>
              <w:jc w:val="left"/>
            </w:pPr>
            <w:r>
              <w:rPr>
                <w:position w:val="20"/>
              </w:rPr>
              <w:t>地址：</w:t>
            </w:r>
          </w:p>
        </w:tc>
      </w:tr>
      <w:tr w14:paraId="210D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600" w:type="dxa"/>
            <w:vAlign w:val="center"/>
          </w:tcPr>
          <w:p w14:paraId="1840A30C">
            <w:pPr>
              <w:pStyle w:val="51"/>
              <w:spacing w:before="263" w:line="219" w:lineRule="auto"/>
              <w:ind w:left="75"/>
              <w:jc w:val="left"/>
              <w:rPr>
                <w:lang w:eastAsia="zh-CN"/>
              </w:rPr>
            </w:pPr>
            <w:r>
              <w:rPr>
                <w:spacing w:val="1"/>
              </w:rPr>
              <w:t>邮编：</w:t>
            </w:r>
            <w:r>
              <w:rPr>
                <w:rFonts w:hint="eastAsia"/>
                <w:spacing w:val="1"/>
                <w:lang w:eastAsia="zh-CN"/>
              </w:rPr>
              <w:t xml:space="preserve"> </w:t>
            </w:r>
          </w:p>
        </w:tc>
        <w:tc>
          <w:tcPr>
            <w:tcW w:w="4630" w:type="dxa"/>
            <w:vAlign w:val="center"/>
          </w:tcPr>
          <w:p w14:paraId="6802CDC9">
            <w:pPr>
              <w:pStyle w:val="51"/>
              <w:spacing w:before="263" w:line="219" w:lineRule="auto"/>
              <w:ind w:left="124"/>
              <w:jc w:val="left"/>
              <w:rPr>
                <w:lang w:eastAsia="zh-CN"/>
              </w:rPr>
            </w:pPr>
            <w:r>
              <w:rPr>
                <w:spacing w:val="1"/>
              </w:rPr>
              <w:t>邮编：</w:t>
            </w:r>
            <w:r>
              <w:rPr>
                <w:rFonts w:hint="eastAsia"/>
                <w:spacing w:val="1"/>
                <w:lang w:eastAsia="zh-CN"/>
              </w:rPr>
              <w:t xml:space="preserve"> </w:t>
            </w:r>
          </w:p>
        </w:tc>
      </w:tr>
      <w:tr w14:paraId="49A1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600" w:type="dxa"/>
            <w:vMerge w:val="restart"/>
            <w:vAlign w:val="center"/>
          </w:tcPr>
          <w:p w14:paraId="51935547">
            <w:pPr>
              <w:pStyle w:val="51"/>
              <w:spacing w:before="75" w:line="219" w:lineRule="auto"/>
              <w:ind w:left="75"/>
              <w:jc w:val="left"/>
            </w:pPr>
            <w:r>
              <w:rPr>
                <w:spacing w:val="-20"/>
              </w:rPr>
              <w:t>全权代表(签字)：</w:t>
            </w:r>
            <w:r>
              <w:rPr>
                <w:spacing w:val="1"/>
              </w:rPr>
              <w:t xml:space="preserve">    </w:t>
            </w:r>
          </w:p>
        </w:tc>
        <w:tc>
          <w:tcPr>
            <w:tcW w:w="4630" w:type="dxa"/>
            <w:vAlign w:val="center"/>
          </w:tcPr>
          <w:p w14:paraId="742DE8CD">
            <w:pPr>
              <w:pStyle w:val="51"/>
              <w:spacing w:before="274" w:line="219" w:lineRule="auto"/>
              <w:ind w:left="124"/>
              <w:jc w:val="left"/>
              <w:rPr>
                <w:spacing w:val="-1"/>
              </w:rPr>
            </w:pPr>
            <w:r>
              <w:rPr>
                <w:spacing w:val="-1"/>
              </w:rPr>
              <w:t>法定代表人：</w:t>
            </w:r>
          </w:p>
        </w:tc>
      </w:tr>
      <w:tr w14:paraId="4D9B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600" w:type="dxa"/>
            <w:vMerge w:val="continue"/>
            <w:vAlign w:val="center"/>
          </w:tcPr>
          <w:p w14:paraId="033EF32F">
            <w:pPr>
              <w:jc w:val="left"/>
              <w:rPr>
                <w:rFonts w:ascii="Arial"/>
              </w:rPr>
            </w:pPr>
          </w:p>
        </w:tc>
        <w:tc>
          <w:tcPr>
            <w:tcW w:w="4630" w:type="dxa"/>
            <w:vAlign w:val="center"/>
          </w:tcPr>
          <w:p w14:paraId="0721BE26">
            <w:pPr>
              <w:pStyle w:val="51"/>
              <w:spacing w:before="274" w:line="219" w:lineRule="auto"/>
              <w:ind w:left="124"/>
              <w:jc w:val="left"/>
              <w:rPr>
                <w:spacing w:val="-1"/>
              </w:rPr>
            </w:pPr>
            <w:r>
              <w:rPr>
                <w:spacing w:val="-1"/>
              </w:rPr>
              <w:t xml:space="preserve">授权代表(签字)：    </w:t>
            </w:r>
          </w:p>
        </w:tc>
      </w:tr>
      <w:tr w14:paraId="1C72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600" w:type="dxa"/>
            <w:vAlign w:val="center"/>
          </w:tcPr>
          <w:p w14:paraId="2AA803CE">
            <w:pPr>
              <w:pStyle w:val="51"/>
              <w:spacing w:before="278" w:line="221" w:lineRule="auto"/>
              <w:ind w:left="75"/>
              <w:jc w:val="left"/>
              <w:rPr>
                <w:lang w:eastAsia="zh-CN"/>
              </w:rPr>
            </w:pPr>
            <w:r>
              <w:t>电话：</w:t>
            </w:r>
            <w:r>
              <w:rPr>
                <w:rFonts w:hint="eastAsia"/>
                <w:lang w:eastAsia="zh-CN"/>
              </w:rPr>
              <w:t xml:space="preserve"> </w:t>
            </w:r>
          </w:p>
        </w:tc>
        <w:tc>
          <w:tcPr>
            <w:tcW w:w="4630" w:type="dxa"/>
            <w:vAlign w:val="center"/>
          </w:tcPr>
          <w:p w14:paraId="77AE57B4">
            <w:pPr>
              <w:pStyle w:val="51"/>
              <w:spacing w:before="278" w:line="221" w:lineRule="auto"/>
              <w:ind w:left="124"/>
              <w:jc w:val="left"/>
            </w:pPr>
            <w:r>
              <w:t>电话：</w:t>
            </w:r>
          </w:p>
        </w:tc>
      </w:tr>
      <w:tr w14:paraId="3BFD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600" w:type="dxa"/>
            <w:vAlign w:val="center"/>
          </w:tcPr>
          <w:p w14:paraId="4D9B007F">
            <w:pPr>
              <w:pStyle w:val="51"/>
              <w:spacing w:before="265" w:line="219" w:lineRule="auto"/>
              <w:ind w:left="75"/>
              <w:jc w:val="left"/>
              <w:rPr>
                <w:lang w:eastAsia="zh-CN"/>
              </w:rPr>
            </w:pPr>
            <w:r>
              <w:t>传真：</w:t>
            </w:r>
            <w:r>
              <w:rPr>
                <w:rFonts w:hint="eastAsia"/>
                <w:lang w:eastAsia="zh-CN"/>
              </w:rPr>
              <w:t xml:space="preserve"> </w:t>
            </w:r>
          </w:p>
        </w:tc>
        <w:tc>
          <w:tcPr>
            <w:tcW w:w="4630" w:type="dxa"/>
            <w:vAlign w:val="center"/>
          </w:tcPr>
          <w:p w14:paraId="60A2DC5C">
            <w:pPr>
              <w:pStyle w:val="51"/>
              <w:spacing w:before="265" w:line="219" w:lineRule="auto"/>
              <w:ind w:left="124"/>
              <w:jc w:val="left"/>
            </w:pPr>
            <w:r>
              <w:rPr>
                <w:spacing w:val="-1"/>
              </w:rPr>
              <w:t>传真：</w:t>
            </w:r>
          </w:p>
        </w:tc>
      </w:tr>
      <w:tr w14:paraId="164D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600" w:type="dxa"/>
            <w:vAlign w:val="center"/>
          </w:tcPr>
          <w:p w14:paraId="40870A37">
            <w:pPr>
              <w:jc w:val="left"/>
              <w:rPr>
                <w:rFonts w:ascii="Arial"/>
              </w:rPr>
            </w:pPr>
          </w:p>
        </w:tc>
        <w:tc>
          <w:tcPr>
            <w:tcW w:w="4630" w:type="dxa"/>
            <w:vAlign w:val="center"/>
          </w:tcPr>
          <w:p w14:paraId="303892D4">
            <w:pPr>
              <w:pStyle w:val="51"/>
              <w:spacing w:before="277" w:line="219" w:lineRule="auto"/>
              <w:ind w:left="124"/>
              <w:jc w:val="left"/>
            </w:pPr>
            <w:r>
              <w:t>开户银行：</w:t>
            </w:r>
          </w:p>
        </w:tc>
      </w:tr>
      <w:tr w14:paraId="7816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600" w:type="dxa"/>
            <w:vAlign w:val="center"/>
          </w:tcPr>
          <w:p w14:paraId="36AB9E9C">
            <w:pPr>
              <w:jc w:val="left"/>
              <w:rPr>
                <w:rFonts w:ascii="Arial"/>
              </w:rPr>
            </w:pPr>
          </w:p>
        </w:tc>
        <w:tc>
          <w:tcPr>
            <w:tcW w:w="4630" w:type="dxa"/>
            <w:vAlign w:val="center"/>
          </w:tcPr>
          <w:p w14:paraId="491A23A8">
            <w:pPr>
              <w:pStyle w:val="51"/>
              <w:spacing w:before="259" w:line="221" w:lineRule="auto"/>
              <w:ind w:left="124"/>
              <w:jc w:val="left"/>
            </w:pPr>
            <w:r>
              <w:t>账号：</w:t>
            </w:r>
          </w:p>
        </w:tc>
      </w:tr>
      <w:tr w14:paraId="1E3B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600" w:type="dxa"/>
            <w:vAlign w:val="center"/>
          </w:tcPr>
          <w:p w14:paraId="0C397C11">
            <w:pPr>
              <w:pStyle w:val="51"/>
              <w:spacing w:before="290" w:line="220" w:lineRule="auto"/>
              <w:ind w:left="75"/>
              <w:jc w:val="left"/>
            </w:pPr>
            <w:r>
              <w:rPr>
                <w:spacing w:val="13"/>
              </w:rPr>
              <w:t>日期</w:t>
            </w:r>
          </w:p>
        </w:tc>
        <w:tc>
          <w:tcPr>
            <w:tcW w:w="4630" w:type="dxa"/>
            <w:vAlign w:val="center"/>
          </w:tcPr>
          <w:p w14:paraId="456D68EC">
            <w:pPr>
              <w:pStyle w:val="51"/>
              <w:spacing w:before="290" w:line="220" w:lineRule="auto"/>
              <w:ind w:left="124"/>
              <w:jc w:val="left"/>
            </w:pPr>
            <w:r>
              <w:rPr>
                <w:spacing w:val="13"/>
              </w:rPr>
              <w:t>日期</w:t>
            </w:r>
          </w:p>
        </w:tc>
      </w:tr>
    </w:tbl>
    <w:p w14:paraId="61E907BC">
      <w:pPr>
        <w:spacing w:after="156" w:line="560" w:lineRule="exact"/>
        <w:ind w:firstLine="480"/>
        <w:rPr>
          <w:rFonts w:ascii="黑体" w:hAnsi="黑体" w:eastAsia="黑体" w:cs="黑体"/>
          <w:sz w:val="32"/>
          <w:szCs w:val="32"/>
          <w:highlight w:val="yellow"/>
        </w:rPr>
      </w:pPr>
    </w:p>
    <w:p w14:paraId="5D437E94">
      <w:pPr>
        <w:spacing w:after="156" w:line="560" w:lineRule="exact"/>
        <w:rPr>
          <w:rFonts w:ascii="黑体" w:hAnsi="黑体" w:eastAsia="黑体" w:cs="黑体"/>
          <w:sz w:val="32"/>
          <w:szCs w:val="32"/>
          <w:highlight w:val="yellow"/>
        </w:rPr>
      </w:pPr>
    </w:p>
    <w:p w14:paraId="3B831863">
      <w:pPr>
        <w:spacing w:after="156" w:line="560" w:lineRule="exact"/>
        <w:ind w:firstLine="480"/>
        <w:rPr>
          <w:highlight w:val="yellow"/>
        </w:rPr>
      </w:pPr>
      <w:r>
        <w:rPr>
          <w:rFonts w:hint="eastAsia" w:ascii="黑体" w:hAnsi="黑体" w:eastAsia="黑体" w:cs="黑体"/>
          <w:sz w:val="32"/>
          <w:szCs w:val="32"/>
          <w:highlight w:val="yellow"/>
        </w:rPr>
        <w:br w:type="page"/>
      </w:r>
      <w:bookmarkEnd w:id="74"/>
      <w:bookmarkEnd w:id="75"/>
    </w:p>
    <w:p w14:paraId="4F0DE99F">
      <w:pPr>
        <w:spacing w:before="114" w:line="225" w:lineRule="auto"/>
        <w:ind w:left="122"/>
        <w:rPr>
          <w:rStyle w:val="45"/>
          <w:rFonts w:ascii="黑体" w:hAnsi="黑体" w:eastAsia="黑体" w:cs="黑体"/>
          <w:sz w:val="32"/>
          <w:szCs w:val="32"/>
        </w:rPr>
      </w:pPr>
      <w:bookmarkStart w:id="76" w:name="_Toc11089"/>
    </w:p>
    <w:p w14:paraId="04892A79">
      <w:pPr>
        <w:spacing w:before="114" w:line="225" w:lineRule="auto"/>
        <w:ind w:left="122"/>
        <w:rPr>
          <w:rStyle w:val="45"/>
          <w:rFonts w:ascii="黑体" w:hAnsi="黑体" w:eastAsia="黑体" w:cs="黑体"/>
          <w:sz w:val="32"/>
          <w:szCs w:val="32"/>
        </w:rPr>
      </w:pPr>
    </w:p>
    <w:p w14:paraId="1C3EE13E">
      <w:pPr>
        <w:spacing w:before="114" w:line="225" w:lineRule="auto"/>
        <w:ind w:left="122"/>
        <w:rPr>
          <w:rStyle w:val="45"/>
          <w:rFonts w:ascii="黑体" w:hAnsi="黑体" w:eastAsia="黑体" w:cs="黑体"/>
          <w:sz w:val="32"/>
          <w:szCs w:val="32"/>
        </w:rPr>
      </w:pPr>
    </w:p>
    <w:p w14:paraId="0CD950C0">
      <w:pPr>
        <w:spacing w:before="114" w:line="225" w:lineRule="auto"/>
        <w:ind w:left="122"/>
        <w:rPr>
          <w:rStyle w:val="45"/>
          <w:rFonts w:ascii="黑体" w:hAnsi="黑体" w:eastAsia="黑体" w:cs="黑体"/>
          <w:sz w:val="32"/>
          <w:szCs w:val="32"/>
        </w:rPr>
      </w:pPr>
    </w:p>
    <w:p w14:paraId="4A2C4F3C">
      <w:pPr>
        <w:spacing w:before="114" w:line="225" w:lineRule="auto"/>
        <w:ind w:left="122"/>
        <w:rPr>
          <w:rStyle w:val="45"/>
          <w:rFonts w:ascii="黑体" w:hAnsi="黑体" w:eastAsia="黑体" w:cs="黑体"/>
          <w:sz w:val="32"/>
          <w:szCs w:val="32"/>
        </w:rPr>
      </w:pPr>
    </w:p>
    <w:p w14:paraId="3EFD92AF">
      <w:pPr>
        <w:spacing w:before="114" w:line="225" w:lineRule="auto"/>
        <w:ind w:left="122"/>
        <w:rPr>
          <w:rStyle w:val="45"/>
          <w:rFonts w:ascii="黑体" w:hAnsi="黑体" w:eastAsia="黑体" w:cs="黑体"/>
          <w:sz w:val="32"/>
          <w:szCs w:val="32"/>
        </w:rPr>
      </w:pPr>
    </w:p>
    <w:p w14:paraId="229760C8">
      <w:pPr>
        <w:spacing w:before="114" w:line="225" w:lineRule="auto"/>
        <w:ind w:left="122"/>
        <w:rPr>
          <w:rStyle w:val="45"/>
          <w:rFonts w:ascii="黑体" w:hAnsi="黑体" w:eastAsia="黑体" w:cs="黑体"/>
          <w:sz w:val="32"/>
          <w:szCs w:val="32"/>
        </w:rPr>
      </w:pPr>
    </w:p>
    <w:p w14:paraId="46C18070">
      <w:pPr>
        <w:spacing w:before="114" w:line="225" w:lineRule="auto"/>
        <w:ind w:left="122"/>
        <w:rPr>
          <w:rStyle w:val="45"/>
          <w:rFonts w:ascii="黑体" w:hAnsi="黑体" w:eastAsia="黑体" w:cs="黑体"/>
          <w:sz w:val="32"/>
          <w:szCs w:val="32"/>
        </w:rPr>
      </w:pPr>
    </w:p>
    <w:p w14:paraId="3C3107A9">
      <w:pPr>
        <w:spacing w:before="114" w:line="225" w:lineRule="auto"/>
        <w:ind w:left="122"/>
        <w:rPr>
          <w:rFonts w:ascii="宋体" w:hAnsi="宋体"/>
          <w:b/>
          <w:bCs/>
          <w:sz w:val="52"/>
          <w:szCs w:val="52"/>
        </w:rPr>
      </w:pPr>
      <w:r>
        <w:rPr>
          <w:rFonts w:ascii="宋体" w:hAnsi="宋体"/>
          <w:b/>
          <w:bCs/>
          <w:spacing w:val="9"/>
          <w:sz w:val="52"/>
          <w:szCs w:val="52"/>
        </w:rPr>
        <w:t>第</w:t>
      </w:r>
      <w:r>
        <w:rPr>
          <w:rFonts w:hint="eastAsia" w:ascii="宋体" w:hAnsi="宋体"/>
          <w:b/>
          <w:bCs/>
          <w:spacing w:val="7"/>
          <w:sz w:val="52"/>
          <w:szCs w:val="52"/>
        </w:rPr>
        <w:t>六</w:t>
      </w:r>
      <w:r>
        <w:rPr>
          <w:rFonts w:ascii="宋体" w:hAnsi="宋体"/>
          <w:b/>
          <w:bCs/>
          <w:spacing w:val="7"/>
          <w:sz w:val="52"/>
          <w:szCs w:val="52"/>
        </w:rPr>
        <w:t>部分</w:t>
      </w:r>
    </w:p>
    <w:p w14:paraId="415615BD">
      <w:pPr>
        <w:spacing w:before="113" w:line="224" w:lineRule="auto"/>
        <w:ind w:right="420"/>
        <w:jc w:val="right"/>
        <w:rPr>
          <w:rFonts w:ascii="宋体" w:hAnsi="宋体"/>
          <w:b/>
          <w:bCs/>
          <w:sz w:val="52"/>
          <w:szCs w:val="52"/>
        </w:rPr>
      </w:pPr>
      <w:r>
        <w:rPr>
          <w:b/>
          <w:bCs/>
          <w:sz w:val="52"/>
        </w:rPr>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848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LPYxODwAQAA3QMAAA4AAABkcnMvZTJvRG9jLnhtbK1TzW4TMRC+&#10;I/EOlu9kN0UpdJVNDw3lgiAS8AAT25u15D953GzyErwAEjc4ceTO27Q8BmNvmkK55MAevGPPzDfz&#10;fR7PL3fWsK2KqL1r+XRSc6ac8FK7Tcs/frh+9pIzTOAkGO9Uy/cK+eXi6ZP5EBp15ntvpIqMQBw2&#10;Q2h5n1JoqgpFryzgxAflyNn5aCHRNm4qGWEgdGuqs7o+rwYfZYheKEQ6XY5OfkCMpwD6rtNCLb24&#10;scqlETUqA4koYa8D8kXptuuUSO+6DlVipuXENJWVipC9zmu1mEOziRB6LQ4twCktPOJkQTsqeoRa&#10;QgJ2E/U/UFaL6NF3aSK8rUYiRRFiMa0fafO+h6AKF5Iaw1F0/H+w4u12FZmWNAkzzhxYuvG7zz9u&#10;P3399fMLrXffvzHykExDwIair9wqHnYYVjFz3nXR5j+xYbsi7f4ordolJuhw9mI6q2tSXZDv/HlB&#10;rB5SQ8T0WnnLstFyo13mDQ1s32CichR6H5KPjWMDdXxRzzIi0BR2dPtk2kBM0G1KMnqj5bU2Jqdg&#10;3KyvTGRbyJNQvsyKgP8Ky1WWgP0YV1zjjPQK5CsnWdoHksjR0+C5B6skZ0bRS8oWAUKTQJtTIqm0&#10;cdRBFnaUMltrL/dF4XJOt156PExoHqs/9yX74V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xDnP0wAAAAgBAAAPAAAAAAAAAAEAIAAAACIAAABkcnMvZG93bnJldi54bWxQSwECFAAUAAAACACH&#10;TuJAs9jE4PABAADdAwAADgAAAAAAAAABACAAAAAiAQAAZHJzL2Uyb0RvYy54bWxQSwUGAAAAAAYA&#10;BgBZAQAAhAUAAAAA&#10;">
                <v:fill on="f" focussize="0,0"/>
                <v:stroke weight="1.5pt" color="#000000" joinstyle="round"/>
                <v:imagedata o:title=""/>
                <o:lock v:ext="edit" aspectratio="f"/>
              </v:line>
            </w:pict>
          </mc:Fallback>
        </mc:AlternateContent>
      </w:r>
    </w:p>
    <w:p w14:paraId="3A46F86E">
      <w:pPr>
        <w:spacing w:before="113" w:line="224" w:lineRule="auto"/>
        <w:ind w:right="420"/>
        <w:jc w:val="right"/>
        <w:rPr>
          <w:rFonts w:ascii="宋体" w:hAnsi="宋体"/>
          <w:b/>
          <w:bCs/>
          <w:sz w:val="35"/>
          <w:szCs w:val="35"/>
        </w:rPr>
      </w:pPr>
      <w:r>
        <w:rPr>
          <w:rFonts w:hint="eastAsia" w:ascii="宋体" w:hAnsi="宋体"/>
          <w:b/>
          <w:bCs/>
          <w:spacing w:val="7"/>
          <w:sz w:val="52"/>
          <w:szCs w:val="52"/>
        </w:rPr>
        <w:t>响应文件格式</w:t>
      </w:r>
    </w:p>
    <w:p w14:paraId="34D7B653">
      <w:pPr>
        <w:rPr>
          <w:rStyle w:val="45"/>
          <w:rFonts w:ascii="黑体" w:hAnsi="黑体" w:eastAsia="黑体" w:cs="黑体"/>
          <w:sz w:val="32"/>
          <w:szCs w:val="32"/>
        </w:rPr>
      </w:pPr>
      <w:r>
        <w:rPr>
          <w:rStyle w:val="45"/>
          <w:rFonts w:hint="eastAsia" w:ascii="黑体" w:hAnsi="黑体" w:eastAsia="黑体" w:cs="黑体"/>
          <w:sz w:val="32"/>
          <w:szCs w:val="32"/>
        </w:rPr>
        <w:br w:type="page"/>
      </w:r>
    </w:p>
    <w:p w14:paraId="46E2B5CD">
      <w:pPr>
        <w:wordWrap w:val="0"/>
        <w:topLinePunct/>
        <w:spacing w:line="500" w:lineRule="exact"/>
        <w:jc w:val="center"/>
        <w:outlineLvl w:val="0"/>
        <w:rPr>
          <w:rFonts w:ascii="宋体" w:hAnsi="宋体"/>
          <w:b/>
          <w:bCs/>
          <w:u w:val="single"/>
        </w:rPr>
      </w:pPr>
      <w:bookmarkStart w:id="77" w:name="_Toc8850"/>
      <w:r>
        <w:rPr>
          <w:rStyle w:val="45"/>
          <w:rFonts w:hint="eastAsia" w:ascii="黑体" w:hAnsi="黑体" w:eastAsia="黑体" w:cs="黑体"/>
          <w:sz w:val="32"/>
          <w:szCs w:val="32"/>
        </w:rPr>
        <w:t>第六部分 响应</w:t>
      </w:r>
      <w:r>
        <w:rPr>
          <w:rStyle w:val="45"/>
          <w:rFonts w:hint="eastAsia" w:ascii="黑体" w:hAnsi="黑体" w:eastAsia="黑体" w:cs="黑体"/>
          <w:sz w:val="32"/>
          <w:szCs w:val="32"/>
          <w:lang w:val="zh-CN"/>
        </w:rPr>
        <w:t>文件格式</w:t>
      </w:r>
      <w:bookmarkEnd w:id="76"/>
      <w:bookmarkEnd w:id="77"/>
    </w:p>
    <w:p w14:paraId="0C214105">
      <w:pPr>
        <w:rPr>
          <w:rFonts w:cs="Times New Roman"/>
        </w:rPr>
      </w:pPr>
    </w:p>
    <w:tbl>
      <w:tblPr>
        <w:tblStyle w:val="2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7AB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tcPr>
          <w:p w14:paraId="7E81CD46">
            <w:pPr>
              <w:spacing w:before="120"/>
              <w:rPr>
                <w:rFonts w:ascii="宋体" w:hAnsi="宋体"/>
                <w:sz w:val="24"/>
              </w:rPr>
            </w:pPr>
            <w:r>
              <w:rPr>
                <w:rFonts w:hint="eastAsia" w:ascii="宋体" w:hAnsi="宋体"/>
                <w:sz w:val="24"/>
              </w:rPr>
              <w:t>注释：</w:t>
            </w:r>
          </w:p>
          <w:p w14:paraId="71AF72C1">
            <w:pPr>
              <w:spacing w:before="120" w:line="420" w:lineRule="exact"/>
              <w:ind w:firstLine="480" w:firstLineChars="200"/>
              <w:jc w:val="left"/>
              <w:rPr>
                <w:rFonts w:ascii="宋体" w:hAnsi="宋体"/>
                <w:sz w:val="24"/>
              </w:rPr>
            </w:pPr>
            <w:r>
              <w:rPr>
                <w:rFonts w:hint="eastAsia" w:ascii="宋体" w:hAnsi="宋体"/>
                <w:sz w:val="24"/>
              </w:rPr>
              <w:t>1、本章分为四部分，是为方便供应商制作响应文件设计。第一、二部分应按要求或给定格式选择填报。</w:t>
            </w:r>
          </w:p>
          <w:p w14:paraId="30E3BE67">
            <w:pPr>
              <w:spacing w:before="120" w:line="420" w:lineRule="exact"/>
              <w:ind w:firstLine="480" w:firstLineChars="200"/>
              <w:jc w:val="left"/>
              <w:rPr>
                <w:rFonts w:ascii="仿宋" w:hAnsi="仿宋" w:eastAsia="仿宋" w:cs="Times New Roman"/>
                <w:sz w:val="24"/>
              </w:rPr>
            </w:pPr>
            <w:r>
              <w:rPr>
                <w:rFonts w:hint="eastAsia" w:ascii="宋体" w:hAnsi="宋体"/>
                <w:sz w:val="24"/>
              </w:rPr>
              <w:t>2、第三、四部分响应方案格式仅供参考，供应商应根据项目特点，结合本次采购要求，对有关表格进行补充或修改，但不得对实质性文件的相关条款作出变动。</w:t>
            </w:r>
          </w:p>
        </w:tc>
      </w:tr>
    </w:tbl>
    <w:p w14:paraId="4FA831C8">
      <w:pPr>
        <w:spacing w:line="360" w:lineRule="auto"/>
        <w:ind w:firstLine="482" w:firstLineChars="200"/>
        <w:rPr>
          <w:rFonts w:ascii="宋体" w:cs="Times New Roman"/>
          <w:b/>
          <w:bCs/>
          <w:sz w:val="24"/>
          <w:u w:val="single"/>
        </w:rPr>
      </w:pPr>
    </w:p>
    <w:p w14:paraId="13A81A0E">
      <w:pPr>
        <w:spacing w:line="360" w:lineRule="auto"/>
        <w:ind w:firstLine="482" w:firstLineChars="200"/>
        <w:rPr>
          <w:rFonts w:ascii="宋体" w:cs="Times New Roman"/>
          <w:b/>
          <w:bCs/>
          <w:sz w:val="24"/>
          <w:u w:val="single"/>
        </w:rPr>
      </w:pPr>
    </w:p>
    <w:p w14:paraId="6F5D367E">
      <w:pPr>
        <w:spacing w:line="360" w:lineRule="auto"/>
        <w:ind w:firstLine="480" w:firstLineChars="200"/>
        <w:rPr>
          <w:rFonts w:ascii="??_GB2312" w:hAnsi="仿宋" w:eastAsia="Times New Roman" w:cs="Times New Roman"/>
          <w:b/>
          <w:bCs/>
          <w:sz w:val="24"/>
          <w:u w:val="single"/>
        </w:rPr>
      </w:pPr>
    </w:p>
    <w:p w14:paraId="1BA5FAE3">
      <w:pPr>
        <w:spacing w:line="360" w:lineRule="auto"/>
        <w:ind w:firstLine="480" w:firstLineChars="200"/>
        <w:rPr>
          <w:rFonts w:ascii="??_GB2312" w:hAnsi="仿宋" w:eastAsia="Times New Roman" w:cs="Times New Roman"/>
          <w:b/>
          <w:bCs/>
          <w:sz w:val="24"/>
          <w:u w:val="single"/>
        </w:rPr>
      </w:pPr>
    </w:p>
    <w:p w14:paraId="5C436545">
      <w:pPr>
        <w:spacing w:line="360" w:lineRule="auto"/>
        <w:ind w:firstLine="480" w:firstLineChars="200"/>
        <w:rPr>
          <w:rFonts w:ascii="??_GB2312" w:hAnsi="仿宋" w:eastAsia="Times New Roman" w:cs="Times New Roman"/>
          <w:b/>
          <w:bCs/>
          <w:sz w:val="24"/>
          <w:u w:val="single"/>
        </w:rPr>
      </w:pPr>
    </w:p>
    <w:p w14:paraId="3248E678">
      <w:pPr>
        <w:spacing w:line="360" w:lineRule="auto"/>
        <w:ind w:firstLine="480" w:firstLineChars="200"/>
        <w:rPr>
          <w:rFonts w:ascii="??_GB2312" w:hAnsi="仿宋" w:eastAsia="Times New Roman" w:cs="Times New Roman"/>
          <w:b/>
          <w:bCs/>
          <w:sz w:val="24"/>
          <w:u w:val="single"/>
        </w:rPr>
      </w:pPr>
    </w:p>
    <w:p w14:paraId="5B723513">
      <w:pPr>
        <w:spacing w:line="360" w:lineRule="auto"/>
        <w:ind w:firstLine="480" w:firstLineChars="200"/>
        <w:rPr>
          <w:rFonts w:ascii="??_GB2312" w:hAnsi="仿宋" w:eastAsia="Times New Roman" w:cs="Times New Roman"/>
          <w:b/>
          <w:bCs/>
          <w:sz w:val="24"/>
          <w:u w:val="single"/>
        </w:rPr>
      </w:pPr>
    </w:p>
    <w:p w14:paraId="3A679292">
      <w:pPr>
        <w:spacing w:line="360" w:lineRule="auto"/>
        <w:ind w:firstLine="480" w:firstLineChars="200"/>
        <w:rPr>
          <w:rFonts w:ascii="??_GB2312" w:hAnsi="仿宋" w:eastAsia="Times New Roman" w:cs="Times New Roman"/>
          <w:b/>
          <w:bCs/>
          <w:sz w:val="24"/>
          <w:u w:val="single"/>
        </w:rPr>
      </w:pPr>
    </w:p>
    <w:p w14:paraId="4EEFB352">
      <w:pPr>
        <w:spacing w:line="360" w:lineRule="auto"/>
        <w:ind w:firstLine="480" w:firstLineChars="200"/>
        <w:rPr>
          <w:rFonts w:ascii="??_GB2312" w:hAnsi="仿宋" w:eastAsia="Times New Roman" w:cs="Times New Roman"/>
          <w:b/>
          <w:bCs/>
          <w:sz w:val="24"/>
          <w:u w:val="single"/>
        </w:rPr>
      </w:pPr>
    </w:p>
    <w:p w14:paraId="66487375">
      <w:pPr>
        <w:spacing w:line="360" w:lineRule="auto"/>
        <w:ind w:firstLine="480" w:firstLineChars="200"/>
        <w:rPr>
          <w:rFonts w:ascii="??_GB2312" w:hAnsi="仿宋" w:eastAsia="Times New Roman" w:cs="Times New Roman"/>
          <w:b/>
          <w:bCs/>
          <w:sz w:val="24"/>
          <w:u w:val="single"/>
        </w:rPr>
      </w:pPr>
    </w:p>
    <w:p w14:paraId="2D19AAB3">
      <w:pPr>
        <w:pStyle w:val="11"/>
        <w:rPr>
          <w:rFonts w:ascii="??_GB2312" w:hAnsi="仿宋" w:eastAsia="Times New Roman"/>
          <w:b/>
          <w:bCs/>
          <w:sz w:val="24"/>
          <w:u w:val="single"/>
        </w:rPr>
      </w:pPr>
    </w:p>
    <w:p w14:paraId="314DCC2E">
      <w:pPr>
        <w:rPr>
          <w:rFonts w:ascii="??_GB2312" w:hAnsi="仿宋" w:eastAsia="Times New Roman" w:cs="Times New Roman"/>
          <w:b/>
          <w:bCs/>
          <w:sz w:val="24"/>
          <w:u w:val="single"/>
        </w:rPr>
      </w:pPr>
    </w:p>
    <w:p w14:paraId="3434B421">
      <w:pPr>
        <w:pStyle w:val="11"/>
      </w:pPr>
    </w:p>
    <w:p w14:paraId="6AF025D6">
      <w:pPr>
        <w:rPr>
          <w:rFonts w:ascii="黑体" w:hAnsi="黑体" w:eastAsia="黑体" w:cs="黑体"/>
          <w:b/>
          <w:bCs/>
          <w:sz w:val="32"/>
          <w:szCs w:val="32"/>
        </w:rPr>
      </w:pPr>
      <w:r>
        <w:rPr>
          <w:rFonts w:hint="eastAsia" w:ascii="黑体" w:hAnsi="黑体" w:eastAsia="黑体" w:cs="黑体"/>
          <w:b/>
          <w:bCs/>
          <w:sz w:val="32"/>
          <w:szCs w:val="32"/>
        </w:rPr>
        <w:br w:type="page"/>
      </w:r>
    </w:p>
    <w:p w14:paraId="79D1B9B7">
      <w:pPr>
        <w:pStyle w:val="49"/>
        <w:ind w:firstLine="0" w:firstLineChars="0"/>
        <w:rPr>
          <w:rFonts w:ascii="黑体" w:hAnsi="黑体" w:eastAsia="黑体" w:cs="Times New Roman"/>
        </w:rPr>
      </w:pPr>
      <w:r>
        <w:rPr>
          <w:rFonts w:hint="eastAsia" w:ascii="黑体" w:hAnsi="黑体" w:eastAsia="黑体" w:cs="黑体"/>
        </w:rPr>
        <w:t>封面格式</w:t>
      </w:r>
    </w:p>
    <w:p w14:paraId="39668E49">
      <w:pPr>
        <w:spacing w:line="360" w:lineRule="auto"/>
        <w:rPr>
          <w:rFonts w:ascii="宋体" w:cs="Times New Roman"/>
          <w:sz w:val="32"/>
          <w:szCs w:val="32"/>
        </w:rPr>
      </w:pPr>
      <w:r>
        <w:rPr>
          <w:rFonts w:hint="eastAsia" w:ascii="黑体" w:hAnsi="黑体" w:eastAsia="黑体" w:cs="黑体"/>
          <w:b/>
          <w:bCs/>
          <w:sz w:val="28"/>
          <w:szCs w:val="28"/>
        </w:rPr>
        <w:t>项目编号：</w:t>
      </w:r>
      <w:r>
        <w:rPr>
          <w:rFonts w:ascii="黑体" w:hAnsi="黑体" w:eastAsia="黑体" w:cs="黑体"/>
          <w:b/>
          <w:bCs/>
          <w:sz w:val="28"/>
          <w:szCs w:val="28"/>
        </w:rPr>
        <w:t xml:space="preserve"> </w:t>
      </w:r>
      <w:r>
        <w:rPr>
          <w:rFonts w:ascii="宋体" w:hAnsi="宋体"/>
          <w:sz w:val="32"/>
          <w:szCs w:val="32"/>
        </w:rPr>
        <w:t xml:space="preserve">             </w:t>
      </w:r>
      <w:r>
        <w:rPr>
          <w:rFonts w:ascii="宋体" w:hAnsi="宋体"/>
          <w:kern w:val="0"/>
          <w:sz w:val="30"/>
          <w:szCs w:val="30"/>
        </w:rPr>
        <w:t xml:space="preserve">                        </w:t>
      </w:r>
    </w:p>
    <w:p w14:paraId="72AB857C">
      <w:pPr>
        <w:spacing w:line="360" w:lineRule="atLeast"/>
        <w:rPr>
          <w:rFonts w:ascii="宋体" w:cs="Times New Roman"/>
          <w:b/>
          <w:bCs/>
          <w:sz w:val="28"/>
          <w:szCs w:val="28"/>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b/>
          <w:bCs/>
          <w:sz w:val="28"/>
          <w:szCs w:val="28"/>
        </w:rPr>
        <w:t>（正本或副本）</w:t>
      </w:r>
    </w:p>
    <w:p w14:paraId="61595873">
      <w:pPr>
        <w:spacing w:line="360" w:lineRule="atLeast"/>
        <w:rPr>
          <w:rFonts w:ascii="宋体" w:cs="Times New Roman"/>
        </w:rPr>
      </w:pPr>
    </w:p>
    <w:p w14:paraId="62847F5F">
      <w:pPr>
        <w:spacing w:line="360" w:lineRule="atLeast"/>
        <w:rPr>
          <w:rFonts w:ascii="宋体" w:cs="Times New Roman"/>
        </w:rPr>
      </w:pPr>
    </w:p>
    <w:p w14:paraId="1FA5F8ED">
      <w:pPr>
        <w:jc w:val="center"/>
        <w:rPr>
          <w:rFonts w:ascii="宋体" w:cs="Times New Roman"/>
          <w:sz w:val="44"/>
          <w:szCs w:val="44"/>
        </w:rPr>
      </w:pPr>
    </w:p>
    <w:p w14:paraId="3C1791E4">
      <w:pPr>
        <w:jc w:val="center"/>
        <w:rPr>
          <w:rFonts w:ascii="宋体" w:cs="Times New Roman"/>
          <w:sz w:val="44"/>
          <w:szCs w:val="44"/>
        </w:rPr>
      </w:pPr>
    </w:p>
    <w:p w14:paraId="2FCF3020">
      <w:pPr>
        <w:jc w:val="center"/>
        <w:rPr>
          <w:rFonts w:ascii="黑体" w:hAnsi="黑体" w:eastAsia="黑体" w:cs="Times New Roman"/>
          <w:b/>
          <w:bCs/>
          <w:sz w:val="52"/>
          <w:szCs w:val="52"/>
        </w:rPr>
      </w:pPr>
      <w:r>
        <w:rPr>
          <w:rFonts w:hint="eastAsia" w:ascii="黑体" w:hAnsi="黑体" w:eastAsia="黑体" w:cs="黑体"/>
          <w:b/>
          <w:bCs/>
          <w:sz w:val="52"/>
          <w:szCs w:val="52"/>
          <w:u w:val="single"/>
        </w:rPr>
        <w:t xml:space="preserve">              </w:t>
      </w:r>
      <w:r>
        <w:rPr>
          <w:rFonts w:hint="eastAsia" w:ascii="黑体" w:hAnsi="黑体" w:eastAsia="黑体" w:cs="黑体"/>
          <w:b/>
          <w:bCs/>
          <w:sz w:val="52"/>
          <w:szCs w:val="52"/>
        </w:rPr>
        <w:t>项目</w:t>
      </w:r>
    </w:p>
    <w:p w14:paraId="1AA21CFA">
      <w:pPr>
        <w:pStyle w:val="11"/>
        <w:jc w:val="center"/>
        <w:rPr>
          <w:rFonts w:ascii="宋体"/>
          <w:sz w:val="72"/>
          <w:szCs w:val="72"/>
        </w:rPr>
      </w:pPr>
    </w:p>
    <w:p w14:paraId="2F0BD3A7">
      <w:pPr>
        <w:jc w:val="center"/>
      </w:pPr>
    </w:p>
    <w:p w14:paraId="2E7ADB1A">
      <w:pPr>
        <w:spacing w:line="360" w:lineRule="atLeast"/>
        <w:jc w:val="center"/>
        <w:rPr>
          <w:rFonts w:ascii="黑体" w:hAnsi="黑体" w:eastAsia="黑体" w:cs="Times New Roman"/>
          <w:b/>
          <w:bCs/>
          <w:sz w:val="72"/>
          <w:szCs w:val="72"/>
        </w:rPr>
      </w:pPr>
      <w:r>
        <w:rPr>
          <w:rFonts w:hint="eastAsia" w:ascii="黑体" w:hAnsi="黑体" w:eastAsia="黑体" w:cs="黑体"/>
          <w:b/>
          <w:bCs/>
          <w:sz w:val="72"/>
          <w:szCs w:val="72"/>
        </w:rPr>
        <w:t>响应文件</w:t>
      </w:r>
    </w:p>
    <w:p w14:paraId="32015D23">
      <w:pPr>
        <w:spacing w:line="360" w:lineRule="atLeast"/>
        <w:jc w:val="center"/>
        <w:rPr>
          <w:rFonts w:ascii="宋体" w:cs="Times New Roman"/>
          <w:sz w:val="52"/>
          <w:szCs w:val="52"/>
        </w:rPr>
      </w:pPr>
    </w:p>
    <w:p w14:paraId="264CAB8D">
      <w:pPr>
        <w:spacing w:line="360" w:lineRule="atLeast"/>
        <w:jc w:val="center"/>
        <w:rPr>
          <w:rFonts w:ascii="宋体" w:cs="Times New Roman"/>
          <w:sz w:val="52"/>
          <w:szCs w:val="52"/>
        </w:rPr>
      </w:pPr>
    </w:p>
    <w:p w14:paraId="4281E4A4">
      <w:pPr>
        <w:spacing w:line="360" w:lineRule="atLeast"/>
        <w:jc w:val="center"/>
        <w:rPr>
          <w:rFonts w:ascii="宋体" w:cs="Times New Roman"/>
          <w:sz w:val="52"/>
          <w:szCs w:val="52"/>
        </w:rPr>
      </w:pPr>
    </w:p>
    <w:p w14:paraId="47268AE3">
      <w:pPr>
        <w:pStyle w:val="11"/>
        <w:jc w:val="center"/>
        <w:rPr>
          <w:rFonts w:ascii="宋体"/>
          <w:sz w:val="52"/>
          <w:szCs w:val="52"/>
        </w:rPr>
      </w:pPr>
    </w:p>
    <w:p w14:paraId="0434BAD2">
      <w:pPr>
        <w:pStyle w:val="11"/>
        <w:jc w:val="center"/>
      </w:pPr>
    </w:p>
    <w:p w14:paraId="16A590CB">
      <w:pPr>
        <w:spacing w:line="360" w:lineRule="atLeast"/>
        <w:jc w:val="center"/>
        <w:rPr>
          <w:rFonts w:ascii="宋体" w:cs="Times New Roman"/>
          <w:sz w:val="24"/>
        </w:rPr>
      </w:pPr>
    </w:p>
    <w:p w14:paraId="071CD2C6">
      <w:pPr>
        <w:pStyle w:val="11"/>
        <w:jc w:val="center"/>
        <w:rPr>
          <w:rFonts w:ascii="宋体"/>
          <w:sz w:val="24"/>
        </w:rPr>
      </w:pPr>
    </w:p>
    <w:p w14:paraId="7A1B7B4F">
      <w:pPr>
        <w:spacing w:line="360" w:lineRule="atLeast"/>
        <w:jc w:val="center"/>
        <w:rPr>
          <w:rFonts w:ascii="宋体" w:cs="Times New Roman"/>
          <w:sz w:val="24"/>
        </w:rPr>
      </w:pPr>
    </w:p>
    <w:p w14:paraId="3D6BED6F">
      <w:pPr>
        <w:spacing w:line="360" w:lineRule="atLeast"/>
        <w:jc w:val="center"/>
        <w:rPr>
          <w:rFonts w:ascii="黑体" w:hAnsi="黑体" w:eastAsia="黑体" w:cs="黑体"/>
          <w:sz w:val="28"/>
          <w:szCs w:val="28"/>
        </w:rPr>
      </w:pPr>
      <w:r>
        <w:rPr>
          <w:rFonts w:hint="eastAsia" w:ascii="黑体" w:hAnsi="黑体" w:eastAsia="黑体" w:cs="黑体"/>
          <w:sz w:val="28"/>
          <w:szCs w:val="28"/>
        </w:rPr>
        <w:t>供应商：</w:t>
      </w:r>
      <w:r>
        <w:rPr>
          <w:rFonts w:hint="eastAsia" w:ascii="黑体" w:hAnsi="黑体" w:eastAsia="黑体" w:cs="黑体"/>
          <w:sz w:val="28"/>
          <w:szCs w:val="28"/>
          <w:u w:val="single"/>
        </w:rPr>
        <w:t xml:space="preserve">              </w:t>
      </w:r>
      <w:r>
        <w:rPr>
          <w:rFonts w:hint="eastAsia" w:ascii="黑体" w:hAnsi="黑体" w:eastAsia="黑体" w:cs="黑体"/>
          <w:sz w:val="28"/>
          <w:szCs w:val="28"/>
        </w:rPr>
        <w:t>（公章）</w:t>
      </w:r>
    </w:p>
    <w:p w14:paraId="17D5E418">
      <w:pPr>
        <w:spacing w:line="360" w:lineRule="atLeast"/>
        <w:ind w:firstLine="2800" w:firstLineChars="1000"/>
        <w:rPr>
          <w:rFonts w:ascii="黑体" w:hAnsi="黑体" w:eastAsia="黑体" w:cs="黑体"/>
          <w:b/>
          <w:bCs/>
          <w:sz w:val="32"/>
          <w:szCs w:val="32"/>
        </w:rPr>
      </w:pPr>
      <w:r>
        <w:rPr>
          <w:rFonts w:hint="eastAsia" w:ascii="黑体" w:hAnsi="黑体" w:eastAsia="黑体" w:cs="黑体"/>
          <w:sz w:val="28"/>
          <w:szCs w:val="28"/>
        </w:rPr>
        <w:t>时  间：</w:t>
      </w:r>
      <w:r>
        <w:rPr>
          <w:rFonts w:hint="eastAsia" w:ascii="黑体" w:hAnsi="黑体" w:eastAsia="黑体" w:cs="黑体"/>
          <w:sz w:val="28"/>
          <w:szCs w:val="28"/>
          <w:u w:val="single"/>
        </w:rPr>
        <w:t xml:space="preserve">              </w:t>
      </w:r>
      <w:r>
        <w:rPr>
          <w:rFonts w:hint="eastAsia" w:ascii="黑体" w:hAnsi="黑体" w:eastAsia="黑体" w:cs="黑体"/>
          <w:b/>
          <w:bCs/>
          <w:sz w:val="32"/>
          <w:szCs w:val="32"/>
        </w:rPr>
        <w:br w:type="page"/>
      </w:r>
    </w:p>
    <w:p w14:paraId="3995834A">
      <w:pPr>
        <w:tabs>
          <w:tab w:val="right" w:leader="hyphen" w:pos="8504"/>
        </w:tabs>
        <w:spacing w:line="500" w:lineRule="exact"/>
        <w:ind w:left="2220" w:leftChars="200" w:right="630" w:rightChars="300" w:hanging="1800" w:hangingChars="500"/>
        <w:jc w:val="center"/>
        <w:rPr>
          <w:rFonts w:ascii="黑体" w:hAnsi="黑体" w:eastAsia="黑体" w:cs="黑体"/>
          <w:sz w:val="36"/>
          <w:szCs w:val="36"/>
        </w:rPr>
      </w:pPr>
      <w:r>
        <w:rPr>
          <w:rFonts w:hint="eastAsia" w:ascii="黑体" w:hAnsi="黑体" w:eastAsia="黑体" w:cs="黑体"/>
          <w:sz w:val="36"/>
          <w:szCs w:val="36"/>
        </w:rPr>
        <w:t>目  录</w:t>
      </w:r>
    </w:p>
    <w:p w14:paraId="4F3246EF">
      <w:pPr>
        <w:tabs>
          <w:tab w:val="right" w:leader="hyphen" w:pos="8504"/>
        </w:tabs>
        <w:spacing w:line="480" w:lineRule="exact"/>
        <w:ind w:left="1470" w:leftChars="200" w:right="630" w:rightChars="300" w:hanging="1050" w:hangingChars="500"/>
        <w:rPr>
          <w:rFonts w:ascii="黑体" w:hAnsi="黑体" w:eastAsia="黑体" w:cs="黑体"/>
        </w:rPr>
      </w:pPr>
      <w:r>
        <w:rPr>
          <w:rFonts w:hint="eastAsia" w:ascii="黑体" w:hAnsi="黑体" w:eastAsia="黑体" w:cs="黑体"/>
        </w:rPr>
        <w:t>一、资格证明文件</w:t>
      </w:r>
      <w:r>
        <w:rPr>
          <w:rFonts w:ascii="黑体" w:hAnsi="黑体" w:eastAsia="黑体" w:cs="Times New Roman"/>
        </w:rPr>
        <w:tab/>
      </w:r>
      <w:r>
        <w:rPr>
          <w:rFonts w:ascii="黑体" w:hAnsi="黑体" w:eastAsia="黑体" w:cs="黑体"/>
        </w:rPr>
        <w:t>X</w:t>
      </w:r>
    </w:p>
    <w:p w14:paraId="01C19EC0">
      <w:pPr>
        <w:tabs>
          <w:tab w:val="right" w:leader="hyphen" w:pos="8504"/>
        </w:tabs>
        <w:spacing w:line="480" w:lineRule="exact"/>
        <w:ind w:left="1470" w:leftChars="200" w:right="630" w:rightChars="300" w:hanging="1050" w:hangingChars="500"/>
        <w:rPr>
          <w:rFonts w:ascii="华文仿宋" w:cs="Times New Roman"/>
        </w:rPr>
      </w:pPr>
      <w:r>
        <w:rPr>
          <w:rFonts w:hint="eastAsia" w:ascii="黑体" w:hAnsi="黑体" w:eastAsia="黑体" w:cs="黑体"/>
        </w:rPr>
        <w:t>二、符合性证明文件</w:t>
      </w:r>
      <w:r>
        <w:rPr>
          <w:rFonts w:ascii="黑体" w:hAnsi="黑体" w:eastAsia="黑体" w:cs="Times New Roman"/>
        </w:rPr>
        <w:tab/>
      </w:r>
      <w:r>
        <w:rPr>
          <w:rFonts w:ascii="黑体" w:hAnsi="黑体" w:eastAsia="黑体" w:cs="黑体"/>
        </w:rPr>
        <w:t>X</w:t>
      </w:r>
    </w:p>
    <w:p w14:paraId="009DB02C">
      <w:pPr>
        <w:tabs>
          <w:tab w:val="right" w:leader="hyphen" w:pos="8504"/>
        </w:tabs>
        <w:spacing w:line="480" w:lineRule="exact"/>
        <w:ind w:right="630" w:rightChars="300" w:firstLine="420" w:firstLineChars="200"/>
        <w:rPr>
          <w:rFonts w:ascii="黑体" w:hAnsi="黑体" w:eastAsia="黑体" w:cs="黑体"/>
        </w:rPr>
      </w:pPr>
      <w:r>
        <w:rPr>
          <w:rFonts w:hint="eastAsia" w:ascii="黑体" w:hAnsi="黑体" w:eastAsia="黑体" w:cs="黑体"/>
        </w:rPr>
        <w:t>三、响应方案</w:t>
      </w:r>
      <w:r>
        <w:rPr>
          <w:rFonts w:ascii="黑体" w:hAnsi="黑体" w:eastAsia="黑体" w:cs="Times New Roman"/>
        </w:rPr>
        <w:tab/>
      </w:r>
      <w:r>
        <w:rPr>
          <w:rFonts w:ascii="黑体" w:hAnsi="黑体" w:eastAsia="黑体" w:cs="黑体"/>
        </w:rPr>
        <w:t>X</w:t>
      </w:r>
    </w:p>
    <w:p w14:paraId="66CF9DCC">
      <w:pPr>
        <w:tabs>
          <w:tab w:val="right" w:leader="hyphen" w:pos="8504"/>
        </w:tabs>
        <w:spacing w:line="480" w:lineRule="exact"/>
        <w:ind w:right="630" w:rightChars="300" w:firstLine="420" w:firstLineChars="200"/>
        <w:rPr>
          <w:rFonts w:ascii="黑体" w:hAnsi="黑体" w:eastAsia="黑体" w:cs="黑体"/>
        </w:rPr>
      </w:pPr>
      <w:r>
        <w:rPr>
          <w:rFonts w:hint="eastAsia" w:ascii="黑体" w:hAnsi="黑体" w:eastAsia="黑体" w:cs="黑体"/>
        </w:rPr>
        <w:t>四、其他附件</w:t>
      </w:r>
      <w:r>
        <w:rPr>
          <w:rFonts w:ascii="黑体" w:hAnsi="黑体" w:eastAsia="黑体" w:cs="Times New Roman"/>
        </w:rPr>
        <w:tab/>
      </w:r>
      <w:r>
        <w:rPr>
          <w:rFonts w:ascii="黑体" w:hAnsi="黑体" w:eastAsia="黑体" w:cs="黑体"/>
        </w:rPr>
        <w:t>X</w:t>
      </w:r>
    </w:p>
    <w:p w14:paraId="27024D11">
      <w:pPr>
        <w:rPr>
          <w:rFonts w:ascii="黑体" w:hAnsi="黑体" w:eastAsia="黑体" w:cs="黑体"/>
          <w:b/>
          <w:bCs/>
          <w:sz w:val="32"/>
          <w:szCs w:val="32"/>
        </w:rPr>
      </w:pPr>
      <w:r>
        <w:rPr>
          <w:rFonts w:hint="eastAsia" w:ascii="黑体" w:hAnsi="黑体" w:eastAsia="黑体" w:cs="黑体"/>
          <w:b/>
          <w:bCs/>
          <w:sz w:val="32"/>
          <w:szCs w:val="32"/>
        </w:rPr>
        <w:br w:type="page"/>
      </w:r>
    </w:p>
    <w:p w14:paraId="186EB62F">
      <w:pPr>
        <w:tabs>
          <w:tab w:val="right" w:leader="hyphen" w:pos="8504"/>
        </w:tabs>
        <w:spacing w:line="480" w:lineRule="exact"/>
        <w:ind w:right="630" w:rightChars="300"/>
        <w:jc w:val="center"/>
        <w:rPr>
          <w:rFonts w:ascii="黑体" w:hAnsi="黑体" w:eastAsia="黑体" w:cs="Times New Roman"/>
          <w:b/>
          <w:bCs/>
        </w:rPr>
      </w:pPr>
      <w:r>
        <w:rPr>
          <w:rFonts w:hint="eastAsia" w:ascii="黑体" w:hAnsi="黑体" w:eastAsia="黑体" w:cs="黑体"/>
          <w:b/>
          <w:bCs/>
          <w:sz w:val="32"/>
          <w:szCs w:val="32"/>
        </w:rPr>
        <w:t>一、资格证明文件</w:t>
      </w:r>
    </w:p>
    <w:p w14:paraId="2955C4C7">
      <w:pPr>
        <w:spacing w:line="500" w:lineRule="exact"/>
        <w:ind w:firstLine="482" w:firstLineChars="200"/>
        <w:rPr>
          <w:rFonts w:ascii="宋体" w:hAnsi="宋体"/>
          <w:sz w:val="24"/>
        </w:rPr>
      </w:pPr>
      <w:r>
        <w:rPr>
          <w:rFonts w:hint="eastAsia" w:ascii="宋体" w:hAnsi="宋体"/>
          <w:b/>
          <w:bCs/>
          <w:sz w:val="24"/>
        </w:rPr>
        <w:t>供应商应按照磋商文件要求逐一提供全部资格证明文件。缺少其中任何一项，其响应文件将被视为无效文件。</w:t>
      </w:r>
      <w:r>
        <w:rPr>
          <w:rFonts w:hint="eastAsia" w:ascii="宋体" w:hAnsi="宋体"/>
          <w:sz w:val="24"/>
        </w:rPr>
        <w:t xml:space="preserve"> </w:t>
      </w:r>
    </w:p>
    <w:p w14:paraId="531C2F0C">
      <w:pPr>
        <w:widowControl/>
        <w:spacing w:line="510" w:lineRule="atLeast"/>
        <w:ind w:firstLine="480"/>
        <w:jc w:val="left"/>
        <w:rPr>
          <w:rFonts w:hint="eastAsia" w:ascii="宋体" w:hAnsi="宋体" w:eastAsia="宋体" w:cs="Helvetica"/>
          <w:kern w:val="0"/>
          <w:sz w:val="24"/>
          <w:lang w:eastAsia="zh-CN"/>
        </w:rPr>
      </w:pPr>
      <w:r>
        <w:rPr>
          <w:rFonts w:hint="eastAsia" w:ascii="宋体" w:hAnsi="宋体" w:cs="Helvetica"/>
          <w:kern w:val="0"/>
          <w:sz w:val="24"/>
        </w:rPr>
        <w:t>1.</w:t>
      </w:r>
      <w:r>
        <w:rPr>
          <w:rFonts w:hint="eastAsia" w:ascii="宋体" w:hAnsi="宋体" w:cs="Helvetica"/>
          <w:kern w:val="0"/>
          <w:sz w:val="24"/>
          <w:lang w:eastAsia="zh-CN"/>
        </w:rPr>
        <w:t>主体资格证明文件：提供有效存续的企业营业执照（副本）/事业单位法人证书/专业服务机构执业许可证/民办非企业单位登记证书等主体资格证明文件，自然人投标提供其身份证明文件。</w:t>
      </w:r>
    </w:p>
    <w:p w14:paraId="4C4679EF">
      <w:pPr>
        <w:widowControl/>
        <w:spacing w:line="510" w:lineRule="atLeast"/>
        <w:ind w:firstLine="480"/>
        <w:jc w:val="left"/>
        <w:rPr>
          <w:rFonts w:ascii="宋体" w:hAnsi="宋体" w:cs="Helvetica"/>
          <w:kern w:val="0"/>
          <w:sz w:val="24"/>
        </w:rPr>
      </w:pPr>
      <w:r>
        <w:rPr>
          <w:rFonts w:hint="eastAsia" w:ascii="宋体" w:hAnsi="宋体" w:cs="Helvetica"/>
          <w:kern w:val="0"/>
          <w:sz w:val="24"/>
        </w:rPr>
        <w:t>2.财务状况报告：提供</w:t>
      </w:r>
      <w:r>
        <w:rPr>
          <w:rFonts w:hint="eastAsia" w:ascii="宋体" w:hAnsi="宋体" w:cs="Helvetica"/>
          <w:kern w:val="0"/>
          <w:sz w:val="24"/>
          <w:lang w:eastAsia="zh-CN"/>
        </w:rPr>
        <w:t>2024年</w:t>
      </w:r>
      <w:r>
        <w:rPr>
          <w:rFonts w:hint="eastAsia" w:ascii="宋体" w:hAnsi="宋体" w:cs="Helvetica"/>
          <w:kern w:val="0"/>
          <w:sz w:val="24"/>
        </w:rPr>
        <w:t>度经审计的财务报告（成立时间至提交响应文件截止时间不足一年的可提供成立后任意时段的资产负债表），或其递交响应文件截止之日前三个月内基本开户银行出具的资信证明（以上</w:t>
      </w:r>
      <w:r>
        <w:rPr>
          <w:rFonts w:hint="eastAsia" w:ascii="宋体" w:hAnsi="宋体" w:cs="Helvetica"/>
          <w:kern w:val="0"/>
          <w:sz w:val="24"/>
          <w:lang w:val="en-US" w:eastAsia="zh-CN"/>
        </w:rPr>
        <w:t>两</w:t>
      </w:r>
      <w:r>
        <w:rPr>
          <w:rFonts w:hint="eastAsia" w:ascii="宋体" w:hAnsi="宋体" w:cs="Helvetica"/>
          <w:kern w:val="0"/>
          <w:sz w:val="24"/>
        </w:rPr>
        <w:t>种形式的资料提供任何一种即可）。</w:t>
      </w:r>
    </w:p>
    <w:p w14:paraId="4FAFB53D">
      <w:pPr>
        <w:widowControl/>
        <w:spacing w:line="510" w:lineRule="atLeast"/>
        <w:ind w:firstLine="480"/>
        <w:jc w:val="left"/>
        <w:rPr>
          <w:rFonts w:ascii="宋体" w:hAnsi="宋体" w:cs="Helvetica"/>
          <w:kern w:val="0"/>
          <w:sz w:val="24"/>
        </w:rPr>
      </w:pPr>
      <w:r>
        <w:rPr>
          <w:rFonts w:hint="eastAsia" w:ascii="宋体" w:hAnsi="宋体" w:cs="Helvetica"/>
          <w:kern w:val="0"/>
          <w:sz w:val="24"/>
        </w:rPr>
        <w:t>3.书面声明：提供书面声明，包括声明具有履行合同所必需的设备和专业技术能力。</w:t>
      </w:r>
      <w:r>
        <w:rPr>
          <w:rFonts w:hint="eastAsia" w:ascii="宋体" w:hAnsi="宋体" w:cs="Helvetica"/>
          <w:b/>
          <w:bCs/>
          <w:kern w:val="0"/>
          <w:sz w:val="24"/>
        </w:rPr>
        <w:t>（格式后附）</w:t>
      </w:r>
    </w:p>
    <w:p w14:paraId="55C41697">
      <w:pPr>
        <w:widowControl/>
        <w:spacing w:line="510" w:lineRule="atLeast"/>
        <w:ind w:firstLine="480"/>
        <w:jc w:val="left"/>
        <w:rPr>
          <w:rFonts w:ascii="宋体" w:hAnsi="宋体" w:cs="Helvetica"/>
          <w:kern w:val="0"/>
          <w:sz w:val="24"/>
        </w:rPr>
      </w:pPr>
      <w:r>
        <w:rPr>
          <w:rFonts w:hint="eastAsia" w:ascii="宋体" w:hAnsi="宋体" w:cs="Helvetica"/>
          <w:kern w:val="0"/>
          <w:sz w:val="24"/>
        </w:rPr>
        <w:t>4.社保缴纳证明：提供递交响应文件截止之日前一年内任意一个月的社会保障资金缴存单据或社保机构开具的社会保险参保缴费情况证明。依法不需要缴纳社会保障资金的供应商应提供相关文件证明。</w:t>
      </w:r>
    </w:p>
    <w:p w14:paraId="6691245A">
      <w:pPr>
        <w:widowControl/>
        <w:spacing w:line="510" w:lineRule="atLeast"/>
        <w:ind w:firstLine="480"/>
        <w:jc w:val="left"/>
        <w:rPr>
          <w:rFonts w:ascii="宋体" w:hAnsi="宋体" w:cs="Helvetica"/>
          <w:kern w:val="0"/>
          <w:sz w:val="24"/>
        </w:rPr>
      </w:pPr>
      <w:r>
        <w:rPr>
          <w:rFonts w:hint="eastAsia" w:ascii="宋体" w:hAnsi="宋体" w:cs="Helvetica"/>
          <w:kern w:val="0"/>
          <w:sz w:val="24"/>
        </w:rPr>
        <w:t>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5FFFF64A">
      <w:pPr>
        <w:widowControl/>
        <w:spacing w:line="510" w:lineRule="atLeast"/>
        <w:ind w:firstLine="480"/>
        <w:jc w:val="left"/>
        <w:rPr>
          <w:rFonts w:ascii="宋体" w:hAnsi="宋体" w:cs="Helvetica"/>
          <w:kern w:val="0"/>
          <w:sz w:val="24"/>
        </w:rPr>
      </w:pPr>
      <w:r>
        <w:rPr>
          <w:rFonts w:hint="eastAsia" w:ascii="宋体" w:hAnsi="宋体" w:cs="Helvetica"/>
          <w:kern w:val="0"/>
          <w:sz w:val="24"/>
        </w:rPr>
        <w:t>6.近三年无重大违法、违纪书面声明：提供《近三年无重大违法、违纪书面声明》。</w:t>
      </w:r>
      <w:r>
        <w:rPr>
          <w:rFonts w:hint="eastAsia" w:ascii="宋体" w:hAnsi="宋体" w:cs="Helvetica"/>
          <w:b/>
          <w:bCs/>
          <w:kern w:val="0"/>
          <w:sz w:val="24"/>
        </w:rPr>
        <w:t>（格式后附）</w:t>
      </w:r>
    </w:p>
    <w:p w14:paraId="130D5AFF">
      <w:pPr>
        <w:widowControl/>
        <w:spacing w:line="510" w:lineRule="atLeast"/>
        <w:ind w:firstLine="480"/>
        <w:jc w:val="left"/>
        <w:rPr>
          <w:rFonts w:ascii="宋体" w:hAnsi="宋体" w:cs="Helvetica"/>
          <w:kern w:val="0"/>
          <w:sz w:val="24"/>
        </w:rPr>
      </w:pPr>
      <w:r>
        <w:rPr>
          <w:rFonts w:hint="eastAsia" w:ascii="宋体" w:hAnsi="宋体" w:cs="Helvetica"/>
          <w:kern w:val="0"/>
          <w:sz w:val="24"/>
        </w:rPr>
        <w:t>7.信用记录：供应商未被列入“信用中国”网站记录的“失信被执行人”或“</w:t>
      </w:r>
      <w:r>
        <w:rPr>
          <w:rFonts w:hint="eastAsia" w:ascii="宋体" w:hAnsi="宋体" w:cs="Helvetica"/>
          <w:kern w:val="0"/>
          <w:sz w:val="24"/>
          <w:lang w:eastAsia="zh-CN"/>
        </w:rPr>
        <w:t>重大税收违法失信主体</w:t>
      </w:r>
      <w:r>
        <w:rPr>
          <w:rFonts w:hint="eastAsia" w:ascii="宋体" w:hAnsi="宋体" w:cs="Helvetica"/>
          <w:kern w:val="0"/>
          <w:sz w:val="24"/>
        </w:rPr>
        <w:t>”名单；不处于“中国政府采购网”记录的“政府采购严重违法失信行为记录名单”中的禁止参加政府采购活动期间。（以采购人或采购代理机构开标当天查询结果为准）；</w:t>
      </w:r>
    </w:p>
    <w:p w14:paraId="1421AFE1">
      <w:pPr>
        <w:widowControl/>
        <w:spacing w:line="510" w:lineRule="atLeast"/>
        <w:ind w:firstLine="480"/>
        <w:jc w:val="left"/>
        <w:rPr>
          <w:rFonts w:ascii="宋体" w:hAnsi="宋体" w:cs="Helvetica"/>
          <w:kern w:val="0"/>
          <w:sz w:val="24"/>
        </w:rPr>
      </w:pPr>
      <w:r>
        <w:rPr>
          <w:rFonts w:hint="eastAsia" w:ascii="宋体" w:hAnsi="宋体" w:cs="Helvetica"/>
          <w:kern w:val="0"/>
          <w:sz w:val="24"/>
        </w:rPr>
        <w:t>8.控股管理关系：提供直接控股和管理关系清单。若与其他供应商存在单位负责人为同一人或者存在直接控股、管理关系的，则响应无效。</w:t>
      </w:r>
      <w:r>
        <w:rPr>
          <w:rFonts w:hint="eastAsia" w:ascii="宋体" w:hAnsi="宋体" w:cs="Helvetica"/>
          <w:b/>
          <w:bCs/>
          <w:kern w:val="0"/>
          <w:sz w:val="24"/>
        </w:rPr>
        <w:t>（格式后附）</w:t>
      </w:r>
    </w:p>
    <w:p w14:paraId="216D4B27">
      <w:pPr>
        <w:widowControl/>
        <w:spacing w:line="510" w:lineRule="atLeast"/>
        <w:ind w:firstLine="480"/>
        <w:jc w:val="left"/>
        <w:rPr>
          <w:rFonts w:ascii="宋体" w:hAnsi="宋体" w:cs="Helvetica"/>
          <w:kern w:val="0"/>
          <w:sz w:val="24"/>
        </w:rPr>
      </w:pPr>
      <w:r>
        <w:rPr>
          <w:rFonts w:hint="eastAsia" w:ascii="宋体" w:hAnsi="宋体" w:cs="Helvetica"/>
          <w:kern w:val="0"/>
          <w:sz w:val="24"/>
        </w:rPr>
        <w:t>9.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r>
        <w:rPr>
          <w:rFonts w:hint="eastAsia" w:ascii="宋体" w:hAnsi="宋体" w:cs="Helvetica"/>
          <w:b/>
          <w:bCs/>
          <w:kern w:val="0"/>
          <w:sz w:val="24"/>
        </w:rPr>
        <w:t>（格式后附）</w:t>
      </w:r>
    </w:p>
    <w:p w14:paraId="40789076">
      <w:pPr>
        <w:widowControl/>
        <w:spacing w:line="510" w:lineRule="atLeast"/>
        <w:ind w:firstLine="480"/>
        <w:jc w:val="left"/>
        <w:rPr>
          <w:rFonts w:ascii="宋体" w:hAnsi="宋体" w:cs="Helvetica"/>
          <w:kern w:val="0"/>
          <w:sz w:val="24"/>
        </w:rPr>
      </w:pPr>
      <w:r>
        <w:rPr>
          <w:rFonts w:hint="eastAsia" w:ascii="宋体" w:hAnsi="宋体" w:cs="Helvetica"/>
          <w:kern w:val="0"/>
          <w:sz w:val="24"/>
        </w:rPr>
        <w:t>法人的分支机构参与磋商时，除提供《法定代表人授权委托书》外，还须同时提供法人给分支机构出具的授权书。</w:t>
      </w:r>
    </w:p>
    <w:p w14:paraId="7C9ED556">
      <w:pPr>
        <w:widowControl/>
        <w:spacing w:line="510" w:lineRule="atLeast"/>
        <w:ind w:firstLine="480"/>
        <w:jc w:val="left"/>
        <w:rPr>
          <w:rFonts w:ascii="宋体" w:hAnsi="宋体" w:cs="Helvetica"/>
          <w:kern w:val="0"/>
          <w:sz w:val="24"/>
        </w:rPr>
      </w:pPr>
      <w:r>
        <w:rPr>
          <w:rFonts w:hint="eastAsia" w:ascii="宋体" w:hAnsi="宋体" w:cs="Helvetica"/>
          <w:kern w:val="0"/>
          <w:sz w:val="24"/>
        </w:rPr>
        <w:t>10.本项目不接受联合体磋商，不允许分包。供应商应提供《非联合体不分包磋商声明》，视为独立磋商，不分包。</w:t>
      </w:r>
      <w:r>
        <w:rPr>
          <w:rFonts w:hint="eastAsia" w:ascii="宋体" w:hAnsi="宋体" w:cs="Helvetica"/>
          <w:b/>
          <w:bCs/>
          <w:kern w:val="0"/>
          <w:sz w:val="24"/>
        </w:rPr>
        <w:t>（格式后附）</w:t>
      </w:r>
    </w:p>
    <w:p w14:paraId="4B15CF28">
      <w:pPr>
        <w:widowControl/>
        <w:spacing w:line="510" w:lineRule="atLeast"/>
        <w:ind w:firstLine="480"/>
        <w:jc w:val="left"/>
        <w:rPr>
          <w:rFonts w:ascii="黑体" w:hAnsi="黑体" w:eastAsia="黑体" w:cs="黑体"/>
          <w:b/>
          <w:bCs/>
          <w:sz w:val="32"/>
          <w:szCs w:val="32"/>
        </w:rPr>
      </w:pPr>
      <w:r>
        <w:rPr>
          <w:rFonts w:hint="eastAsia" w:ascii="黑体" w:hAnsi="黑体" w:eastAsia="黑体" w:cs="黑体"/>
          <w:b/>
          <w:bCs/>
          <w:sz w:val="32"/>
          <w:szCs w:val="32"/>
        </w:rPr>
        <w:br w:type="page"/>
      </w:r>
    </w:p>
    <w:p w14:paraId="65D3AB5B">
      <w:pPr>
        <w:spacing w:line="500" w:lineRule="exact"/>
        <w:ind w:firstLine="561"/>
        <w:rPr>
          <w:rFonts w:ascii="宋体" w:hAnsi="宋体"/>
          <w:b/>
          <w:bCs/>
          <w:sz w:val="24"/>
        </w:rPr>
      </w:pPr>
      <w:r>
        <w:rPr>
          <w:rFonts w:hint="eastAsia" w:ascii="宋体" w:hAnsi="宋体"/>
          <w:b/>
          <w:bCs/>
          <w:sz w:val="24"/>
        </w:rPr>
        <w:t>附件一：书面声明</w:t>
      </w:r>
    </w:p>
    <w:p w14:paraId="7D422BEB">
      <w:pPr>
        <w:spacing w:line="500" w:lineRule="exact"/>
        <w:rPr>
          <w:rFonts w:ascii="仿宋" w:hAnsi="仿宋" w:eastAsia="仿宋" w:cs="仿宋"/>
          <w:b/>
          <w:bCs/>
          <w:sz w:val="30"/>
          <w:szCs w:val="30"/>
        </w:rPr>
      </w:pPr>
    </w:p>
    <w:p w14:paraId="04F3EB80">
      <w:pPr>
        <w:spacing w:line="500" w:lineRule="exact"/>
        <w:jc w:val="center"/>
        <w:rPr>
          <w:rFonts w:ascii="仿宋" w:hAnsi="仿宋" w:eastAsia="仿宋" w:cs="仿宋"/>
          <w:b/>
          <w:bCs/>
          <w:sz w:val="30"/>
          <w:szCs w:val="30"/>
        </w:rPr>
      </w:pPr>
      <w:r>
        <w:rPr>
          <w:rFonts w:hint="eastAsia" w:cs="华文仿宋"/>
          <w:b/>
          <w:bCs/>
          <w:kern w:val="0"/>
          <w:sz w:val="30"/>
          <w:szCs w:val="30"/>
        </w:rPr>
        <w:t>书面声明</w:t>
      </w:r>
    </w:p>
    <w:p w14:paraId="4FD57637">
      <w:pPr>
        <w:spacing w:line="360" w:lineRule="auto"/>
        <w:jc w:val="left"/>
        <w:rPr>
          <w:rFonts w:ascii="宋体" w:hAnsi="宋体"/>
          <w:sz w:val="24"/>
        </w:rPr>
      </w:pPr>
      <w:r>
        <w:rPr>
          <w:rFonts w:hint="eastAsia" w:ascii="宋体" w:hAnsi="宋体" w:cs="Arial"/>
          <w:kern w:val="0"/>
          <w:sz w:val="24"/>
        </w:rPr>
        <w:t>致：陕西德勤招标有限公司</w:t>
      </w:r>
    </w:p>
    <w:p w14:paraId="18A03C96">
      <w:pPr>
        <w:spacing w:line="360" w:lineRule="auto"/>
        <w:jc w:val="left"/>
        <w:rPr>
          <w:rFonts w:ascii="宋体" w:hAnsi="宋体"/>
          <w:sz w:val="24"/>
        </w:rPr>
      </w:pPr>
      <w:r>
        <w:rPr>
          <w:rFonts w:hint="eastAsia" w:ascii="宋体" w:hAnsi="宋体"/>
          <w:sz w:val="24"/>
        </w:rPr>
        <w:t xml:space="preserve">     </w:t>
      </w:r>
    </w:p>
    <w:p w14:paraId="4DDB37E9">
      <w:pPr>
        <w:pStyle w:val="11"/>
        <w:spacing w:line="360" w:lineRule="auto"/>
        <w:rPr>
          <w:rFonts w:ascii="宋体" w:hAnsi="宋体" w:cs="Arial"/>
          <w:sz w:val="24"/>
        </w:rPr>
      </w:pPr>
      <w:r>
        <w:rPr>
          <w:rFonts w:hint="eastAsia"/>
          <w:sz w:val="24"/>
        </w:rPr>
        <w:t xml:space="preserve">    </w:t>
      </w:r>
      <w:r>
        <w:rPr>
          <w:rFonts w:hint="eastAsia" w:ascii="宋体" w:hAnsi="宋体" w:cs="Arial"/>
          <w:sz w:val="24"/>
        </w:rPr>
        <w:t>我单位具有履行合同所必需的设备和专业技术能力。</w:t>
      </w:r>
    </w:p>
    <w:p w14:paraId="322DFBBA">
      <w:pPr>
        <w:pStyle w:val="11"/>
        <w:spacing w:line="360" w:lineRule="auto"/>
        <w:rPr>
          <w:sz w:val="24"/>
        </w:rPr>
      </w:pPr>
    </w:p>
    <w:p w14:paraId="38E3A3B6">
      <w:pPr>
        <w:spacing w:line="360" w:lineRule="auto"/>
        <w:ind w:firstLine="480" w:firstLineChars="200"/>
        <w:jc w:val="left"/>
        <w:rPr>
          <w:rFonts w:ascii="宋体" w:hAnsi="宋体"/>
          <w:sz w:val="24"/>
        </w:rPr>
      </w:pPr>
      <w:r>
        <w:rPr>
          <w:rFonts w:hint="eastAsia" w:ascii="宋体" w:hAnsi="宋体"/>
          <w:sz w:val="24"/>
        </w:rPr>
        <w:t>特此声明！</w:t>
      </w:r>
    </w:p>
    <w:p w14:paraId="2FC4638E">
      <w:pPr>
        <w:spacing w:line="360" w:lineRule="auto"/>
        <w:ind w:firstLine="480" w:firstLineChars="200"/>
        <w:jc w:val="left"/>
        <w:rPr>
          <w:rFonts w:ascii="宋体" w:hAnsi="宋体"/>
          <w:sz w:val="24"/>
        </w:rPr>
      </w:pPr>
    </w:p>
    <w:p w14:paraId="1B8658CD">
      <w:pPr>
        <w:spacing w:line="480" w:lineRule="auto"/>
        <w:ind w:firstLine="480" w:firstLineChars="200"/>
        <w:jc w:val="left"/>
        <w:rPr>
          <w:rFonts w:ascii="宋体" w:hAnsi="宋体"/>
          <w:sz w:val="24"/>
        </w:rPr>
      </w:pPr>
    </w:p>
    <w:p w14:paraId="1895BDA0">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0A1F1AAB">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5CC0971D">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794334AF">
      <w:pPr>
        <w:pStyle w:val="26"/>
        <w:spacing w:after="190"/>
        <w:ind w:firstLine="240"/>
        <w:rPr>
          <w:rFonts w:ascii="宋体" w:hAnsi="宋体" w:cs="宋体"/>
          <w:sz w:val="24"/>
        </w:rPr>
      </w:pPr>
    </w:p>
    <w:p w14:paraId="711FE623">
      <w:pPr>
        <w:spacing w:line="500" w:lineRule="exact"/>
        <w:ind w:firstLine="561"/>
        <w:rPr>
          <w:rFonts w:ascii="宋体" w:hAnsi="宋体"/>
          <w:b/>
          <w:bCs/>
          <w:sz w:val="24"/>
        </w:rPr>
      </w:pPr>
      <w:bookmarkStart w:id="78" w:name="_Toc15868"/>
      <w:bookmarkStart w:id="79" w:name="_Toc7084"/>
      <w:bookmarkStart w:id="80" w:name="_Toc20662"/>
      <w:bookmarkStart w:id="81" w:name="_Toc1517"/>
      <w:bookmarkStart w:id="82" w:name="_Toc4561"/>
      <w:bookmarkStart w:id="83" w:name="_Toc32331"/>
      <w:bookmarkStart w:id="84" w:name="_Toc9165"/>
      <w:bookmarkStart w:id="85" w:name="_Toc25524"/>
      <w:r>
        <w:rPr>
          <w:rFonts w:hint="eastAsia" w:ascii="宋体" w:hAnsi="宋体"/>
          <w:b/>
          <w:bCs/>
          <w:sz w:val="24"/>
        </w:rPr>
        <w:br w:type="page"/>
      </w:r>
      <w:r>
        <w:rPr>
          <w:rFonts w:hint="eastAsia" w:ascii="宋体" w:hAnsi="宋体"/>
          <w:b/>
          <w:bCs/>
          <w:sz w:val="24"/>
        </w:rPr>
        <w:t>附件二：近三年无重大违法、违纪书面声明</w:t>
      </w:r>
    </w:p>
    <w:p w14:paraId="109787C3">
      <w:pPr>
        <w:spacing w:line="360" w:lineRule="atLeast"/>
        <w:jc w:val="center"/>
        <w:rPr>
          <w:rFonts w:ascii="宋体" w:hAnsi="宋体"/>
          <w:b/>
          <w:sz w:val="32"/>
          <w:szCs w:val="32"/>
        </w:rPr>
      </w:pPr>
    </w:p>
    <w:p w14:paraId="7F229048">
      <w:pPr>
        <w:pStyle w:val="26"/>
        <w:widowControl/>
        <w:spacing w:line="360" w:lineRule="auto"/>
        <w:ind w:firstLine="602" w:firstLineChars="200"/>
        <w:jc w:val="center"/>
        <w:rPr>
          <w:rFonts w:cs="华文仿宋"/>
          <w:b/>
          <w:bCs/>
          <w:sz w:val="30"/>
          <w:szCs w:val="30"/>
        </w:rPr>
      </w:pPr>
      <w:r>
        <w:rPr>
          <w:rFonts w:hint="eastAsia" w:cs="华文仿宋"/>
          <w:b/>
          <w:bCs/>
          <w:sz w:val="30"/>
          <w:szCs w:val="30"/>
        </w:rPr>
        <w:t>近三年无重大违法、违纪书面声明</w:t>
      </w:r>
    </w:p>
    <w:p w14:paraId="4071E155">
      <w:pPr>
        <w:spacing w:line="360" w:lineRule="auto"/>
        <w:jc w:val="left"/>
        <w:rPr>
          <w:rFonts w:ascii="宋体" w:hAnsi="宋体"/>
          <w:sz w:val="24"/>
        </w:rPr>
      </w:pPr>
      <w:r>
        <w:rPr>
          <w:rFonts w:hint="eastAsia" w:ascii="宋体" w:hAnsi="宋体" w:cs="Arial"/>
          <w:kern w:val="0"/>
          <w:sz w:val="24"/>
        </w:rPr>
        <w:t>致：陕西德勤招标有限公司</w:t>
      </w:r>
    </w:p>
    <w:p w14:paraId="5F4AA61F">
      <w:pPr>
        <w:spacing w:line="360" w:lineRule="auto"/>
        <w:ind w:firstLine="480" w:firstLineChars="200"/>
        <w:jc w:val="left"/>
        <w:rPr>
          <w:rFonts w:ascii="宋体" w:hAnsi="宋体"/>
          <w:b/>
          <w:sz w:val="32"/>
          <w:szCs w:val="32"/>
        </w:rPr>
      </w:pPr>
      <w:r>
        <w:rPr>
          <w:rFonts w:hint="eastAsia" w:ascii="宋体" w:hAnsi="宋体"/>
          <w:sz w:val="24"/>
        </w:rPr>
        <w:t>我</w:t>
      </w:r>
      <w:r>
        <w:rPr>
          <w:rFonts w:ascii="宋体" w:hAnsi="宋体"/>
          <w:sz w:val="24"/>
        </w:rPr>
        <w:t>单位</w:t>
      </w:r>
      <w:r>
        <w:rPr>
          <w:rFonts w:hint="eastAsia" w:ascii="宋体" w:hAnsi="宋体"/>
          <w:sz w:val="24"/>
        </w:rPr>
        <w:t>声明参加本次政府采购活动前三年内，在经营活动中没有重大违纪，以及未被列入失信被执行人、未</w:t>
      </w:r>
      <w:r>
        <w:rPr>
          <w:rFonts w:ascii="宋体" w:hAnsi="宋体"/>
          <w:sz w:val="24"/>
        </w:rPr>
        <w:t>在</w:t>
      </w:r>
      <w:r>
        <w:rPr>
          <w:rFonts w:hint="eastAsia" w:ascii="宋体" w:hAnsi="宋体"/>
          <w:sz w:val="24"/>
        </w:rPr>
        <w:t>重大税收违法失信主体及政府采购严重违法失信行为记录名单中。</w:t>
      </w:r>
    </w:p>
    <w:p w14:paraId="25435F31">
      <w:pPr>
        <w:spacing w:line="360" w:lineRule="auto"/>
        <w:ind w:firstLine="424" w:firstLineChars="177"/>
        <w:jc w:val="left"/>
        <w:rPr>
          <w:rFonts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68ADD7B0">
      <w:pPr>
        <w:spacing w:line="360" w:lineRule="auto"/>
        <w:jc w:val="left"/>
        <w:rPr>
          <w:rFonts w:ascii="宋体" w:hAnsi="宋体"/>
          <w:b/>
          <w:sz w:val="32"/>
          <w:szCs w:val="32"/>
        </w:rPr>
      </w:pPr>
    </w:p>
    <w:p w14:paraId="45358BCF">
      <w:pPr>
        <w:spacing w:line="360" w:lineRule="auto"/>
        <w:ind w:firstLine="480" w:firstLineChars="200"/>
        <w:jc w:val="left"/>
        <w:rPr>
          <w:rFonts w:ascii="宋体" w:hAnsi="宋体"/>
          <w:sz w:val="24"/>
        </w:rPr>
      </w:pPr>
      <w:r>
        <w:rPr>
          <w:rFonts w:hint="eastAsia" w:ascii="宋体" w:hAnsi="宋体"/>
          <w:sz w:val="24"/>
        </w:rPr>
        <w:t>特此声明！</w:t>
      </w:r>
    </w:p>
    <w:p w14:paraId="2BD760F0">
      <w:pPr>
        <w:spacing w:line="360" w:lineRule="auto"/>
        <w:ind w:firstLine="480" w:firstLineChars="200"/>
        <w:jc w:val="left"/>
        <w:rPr>
          <w:rFonts w:ascii="宋体" w:hAnsi="宋体"/>
          <w:sz w:val="24"/>
        </w:rPr>
      </w:pPr>
    </w:p>
    <w:p w14:paraId="1CCA7DAF">
      <w:pPr>
        <w:spacing w:line="480" w:lineRule="auto"/>
        <w:ind w:firstLine="480" w:firstLineChars="200"/>
        <w:jc w:val="left"/>
        <w:rPr>
          <w:rFonts w:ascii="宋体" w:hAnsi="宋体"/>
          <w:sz w:val="24"/>
        </w:rPr>
      </w:pPr>
    </w:p>
    <w:p w14:paraId="027125C2">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5B777E8C">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2FE7EE9A">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A578542">
      <w:pPr>
        <w:rPr>
          <w:rFonts w:ascii="宋体" w:hAnsi="宋体"/>
          <w:b/>
          <w:bCs/>
          <w:sz w:val="24"/>
        </w:rPr>
      </w:pPr>
      <w:r>
        <w:rPr>
          <w:rFonts w:hint="eastAsia" w:ascii="宋体" w:hAnsi="宋体"/>
          <w:b/>
          <w:bCs/>
          <w:sz w:val="24"/>
        </w:rPr>
        <w:br w:type="page"/>
      </w:r>
    </w:p>
    <w:p w14:paraId="2D576C4B">
      <w:pPr>
        <w:spacing w:line="500" w:lineRule="exact"/>
        <w:ind w:firstLine="561"/>
        <w:rPr>
          <w:rFonts w:ascii="宋体" w:hAnsi="宋体"/>
          <w:b/>
          <w:bCs/>
          <w:sz w:val="24"/>
        </w:rPr>
      </w:pPr>
      <w:r>
        <w:rPr>
          <w:rFonts w:hint="eastAsia" w:ascii="宋体" w:hAnsi="宋体"/>
          <w:b/>
          <w:bCs/>
          <w:sz w:val="24"/>
        </w:rPr>
        <w:t>附件三：控股管理关系</w:t>
      </w:r>
      <w:bookmarkEnd w:id="78"/>
      <w:bookmarkEnd w:id="79"/>
      <w:bookmarkEnd w:id="80"/>
      <w:bookmarkEnd w:id="81"/>
      <w:bookmarkEnd w:id="82"/>
      <w:bookmarkEnd w:id="83"/>
      <w:bookmarkEnd w:id="84"/>
      <w:bookmarkEnd w:id="85"/>
    </w:p>
    <w:p w14:paraId="7A54923A">
      <w:pPr>
        <w:pStyle w:val="26"/>
        <w:widowControl/>
        <w:spacing w:line="360" w:lineRule="auto"/>
        <w:ind w:firstLine="602" w:firstLineChars="200"/>
        <w:jc w:val="center"/>
        <w:rPr>
          <w:rFonts w:cs="华文仿宋"/>
          <w:b/>
          <w:bCs/>
          <w:sz w:val="30"/>
          <w:szCs w:val="30"/>
        </w:rPr>
      </w:pPr>
      <w:bookmarkStart w:id="86" w:name="_Toc26760"/>
      <w:bookmarkStart w:id="87" w:name="_Toc10651"/>
      <w:bookmarkStart w:id="88" w:name="_Toc22023"/>
      <w:bookmarkStart w:id="89" w:name="_Toc952"/>
      <w:bookmarkStart w:id="90" w:name="_Toc15131"/>
      <w:bookmarkStart w:id="91" w:name="_Toc21260"/>
    </w:p>
    <w:p w14:paraId="3FB7F0EC">
      <w:pPr>
        <w:pStyle w:val="26"/>
        <w:widowControl/>
        <w:spacing w:line="360" w:lineRule="auto"/>
        <w:ind w:firstLine="602" w:firstLineChars="200"/>
        <w:jc w:val="center"/>
        <w:rPr>
          <w:rFonts w:ascii="仿宋" w:hAnsi="仿宋" w:eastAsia="仿宋" w:cs="仿宋"/>
          <w:b/>
          <w:bCs/>
          <w:sz w:val="30"/>
          <w:szCs w:val="30"/>
        </w:rPr>
      </w:pPr>
      <w:r>
        <w:rPr>
          <w:rFonts w:hint="eastAsia" w:cs="华文仿宋"/>
          <w:b/>
          <w:bCs/>
          <w:sz w:val="30"/>
          <w:szCs w:val="30"/>
        </w:rPr>
        <w:t>控股管理关系</w:t>
      </w:r>
      <w:bookmarkEnd w:id="86"/>
      <w:bookmarkEnd w:id="87"/>
      <w:bookmarkEnd w:id="88"/>
      <w:bookmarkEnd w:id="89"/>
      <w:bookmarkEnd w:id="90"/>
      <w:bookmarkEnd w:id="91"/>
    </w:p>
    <w:p w14:paraId="74A351CD">
      <w:pPr>
        <w:spacing w:line="360" w:lineRule="auto"/>
        <w:rPr>
          <w:rFonts w:ascii="宋体" w:hAnsi="宋体"/>
          <w:sz w:val="24"/>
        </w:rPr>
      </w:pPr>
      <w:r>
        <w:rPr>
          <w:rFonts w:hint="eastAsia" w:ascii="宋体" w:hAnsi="宋体"/>
          <w:sz w:val="24"/>
        </w:rPr>
        <w:t>陕西德勤招标有限公司：</w:t>
      </w:r>
    </w:p>
    <w:p w14:paraId="23531D29">
      <w:pPr>
        <w:spacing w:line="360" w:lineRule="auto"/>
        <w:ind w:firstLine="480" w:firstLineChars="200"/>
        <w:rPr>
          <w:rFonts w:ascii="宋体" w:hAnsi="宋体"/>
          <w:b/>
          <w:bCs/>
          <w:sz w:val="24"/>
        </w:rPr>
      </w:pPr>
      <w:r>
        <w:rPr>
          <w:rFonts w:hint="eastAsia" w:ascii="宋体" w:hAnsi="宋体"/>
          <w:sz w:val="24"/>
        </w:rPr>
        <w:t>我方与以下供应商存在直接控股、管理关系：</w:t>
      </w:r>
    </w:p>
    <w:tbl>
      <w:tblPr>
        <w:tblStyle w:val="2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7F988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74768813">
            <w:pPr>
              <w:autoSpaceDE w:val="0"/>
              <w:autoSpaceDN w:val="0"/>
              <w:adjustRightInd w:val="0"/>
              <w:spacing w:line="320" w:lineRule="exact"/>
              <w:jc w:val="center"/>
              <w:rPr>
                <w:rFonts w:ascii="宋体" w:hAnsi="宋体"/>
                <w:kern w:val="0"/>
                <w:sz w:val="24"/>
              </w:rPr>
            </w:pPr>
            <w:r>
              <w:rPr>
                <w:rFonts w:hint="eastAsia" w:ascii="宋体" w:hAnsi="宋体"/>
                <w:kern w:val="0"/>
                <w:sz w:val="24"/>
              </w:rPr>
              <w:t>存在直接控股、管理关系的相关供应商</w:t>
            </w:r>
          </w:p>
        </w:tc>
      </w:tr>
      <w:tr w14:paraId="012F79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21BCA8D6">
            <w:pPr>
              <w:autoSpaceDE w:val="0"/>
              <w:autoSpaceDN w:val="0"/>
              <w:adjustRightInd w:val="0"/>
              <w:spacing w:line="320" w:lineRule="exact"/>
              <w:jc w:val="center"/>
              <w:rPr>
                <w:rFonts w:ascii="宋体" w:hAnsi="宋体"/>
                <w:b/>
                <w:kern w:val="0"/>
                <w:sz w:val="24"/>
              </w:rPr>
            </w:pPr>
            <w:r>
              <w:rPr>
                <w:rFonts w:hint="eastAsia" w:ascii="宋体" w:hAnsi="宋体"/>
                <w:b/>
                <w:kern w:val="0"/>
                <w:sz w:val="24"/>
              </w:rPr>
              <w:t>序号</w:t>
            </w:r>
          </w:p>
        </w:tc>
        <w:tc>
          <w:tcPr>
            <w:tcW w:w="2855" w:type="dxa"/>
            <w:tcBorders>
              <w:right w:val="single" w:color="auto" w:sz="4" w:space="0"/>
            </w:tcBorders>
            <w:noWrap/>
            <w:vAlign w:val="center"/>
          </w:tcPr>
          <w:p w14:paraId="298CF354">
            <w:pPr>
              <w:autoSpaceDE w:val="0"/>
              <w:autoSpaceDN w:val="0"/>
              <w:adjustRightInd w:val="0"/>
              <w:spacing w:line="320" w:lineRule="exact"/>
              <w:jc w:val="center"/>
              <w:rPr>
                <w:rFonts w:ascii="宋体" w:hAnsi="宋体"/>
                <w:b/>
                <w:kern w:val="0"/>
                <w:sz w:val="24"/>
              </w:rPr>
            </w:pPr>
            <w:r>
              <w:rPr>
                <w:rFonts w:hint="eastAsia" w:ascii="宋体" w:hAnsi="宋体"/>
                <w:b/>
                <w:kern w:val="0"/>
                <w:sz w:val="24"/>
              </w:rPr>
              <w:t>直接控股股东名称及出资比例</w:t>
            </w:r>
          </w:p>
        </w:tc>
        <w:tc>
          <w:tcPr>
            <w:tcW w:w="2646" w:type="dxa"/>
            <w:tcBorders>
              <w:left w:val="single" w:color="auto" w:sz="4" w:space="0"/>
              <w:right w:val="single" w:color="auto" w:sz="4" w:space="0"/>
            </w:tcBorders>
            <w:noWrap/>
            <w:vAlign w:val="center"/>
          </w:tcPr>
          <w:p w14:paraId="60BCF0A8">
            <w:pPr>
              <w:autoSpaceDE w:val="0"/>
              <w:autoSpaceDN w:val="0"/>
              <w:adjustRightInd w:val="0"/>
              <w:spacing w:line="320" w:lineRule="exact"/>
              <w:jc w:val="center"/>
              <w:rPr>
                <w:rFonts w:ascii="宋体" w:hAnsi="宋体"/>
                <w:b/>
                <w:kern w:val="0"/>
                <w:sz w:val="24"/>
              </w:rPr>
            </w:pPr>
            <w:r>
              <w:rPr>
                <w:rFonts w:hint="eastAsia" w:ascii="宋体" w:hAnsi="宋体"/>
                <w:b/>
                <w:kern w:val="0"/>
                <w:sz w:val="24"/>
              </w:rPr>
              <w:t>直接管理关系单位名称</w:t>
            </w:r>
          </w:p>
        </w:tc>
        <w:tc>
          <w:tcPr>
            <w:tcW w:w="1993" w:type="dxa"/>
            <w:tcBorders>
              <w:left w:val="single" w:color="auto" w:sz="4" w:space="0"/>
              <w:right w:val="single" w:color="auto" w:sz="12" w:space="0"/>
            </w:tcBorders>
            <w:noWrap/>
            <w:vAlign w:val="center"/>
          </w:tcPr>
          <w:p w14:paraId="6EDA64E3">
            <w:pPr>
              <w:autoSpaceDE w:val="0"/>
              <w:autoSpaceDN w:val="0"/>
              <w:adjustRightInd w:val="0"/>
              <w:spacing w:line="320" w:lineRule="exact"/>
              <w:jc w:val="center"/>
              <w:rPr>
                <w:rFonts w:ascii="宋体" w:hAnsi="宋体"/>
                <w:b/>
                <w:kern w:val="0"/>
                <w:sz w:val="24"/>
              </w:rPr>
            </w:pPr>
            <w:r>
              <w:rPr>
                <w:rFonts w:hint="eastAsia" w:ascii="宋体" w:hAnsi="宋体"/>
                <w:b/>
                <w:kern w:val="0"/>
                <w:sz w:val="24"/>
              </w:rPr>
              <w:t>备注</w:t>
            </w:r>
          </w:p>
        </w:tc>
      </w:tr>
      <w:tr w14:paraId="1E8136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76E37A2">
            <w:pPr>
              <w:autoSpaceDE w:val="0"/>
              <w:autoSpaceDN w:val="0"/>
              <w:adjustRightInd w:val="0"/>
              <w:spacing w:line="320" w:lineRule="exact"/>
              <w:jc w:val="center"/>
              <w:rPr>
                <w:rFonts w:ascii="宋体" w:hAnsi="宋体"/>
                <w:kern w:val="0"/>
                <w:sz w:val="24"/>
              </w:rPr>
            </w:pPr>
            <w:r>
              <w:rPr>
                <w:rFonts w:hint="eastAsia" w:ascii="宋体" w:hAnsi="宋体"/>
                <w:kern w:val="0"/>
                <w:sz w:val="24"/>
              </w:rPr>
              <w:t>1</w:t>
            </w:r>
          </w:p>
        </w:tc>
        <w:tc>
          <w:tcPr>
            <w:tcW w:w="2855" w:type="dxa"/>
            <w:tcBorders>
              <w:right w:val="single" w:color="auto" w:sz="4" w:space="0"/>
            </w:tcBorders>
            <w:noWrap/>
            <w:vAlign w:val="center"/>
          </w:tcPr>
          <w:p w14:paraId="453F51B9">
            <w:pPr>
              <w:autoSpaceDE w:val="0"/>
              <w:autoSpaceDN w:val="0"/>
              <w:adjustRightInd w:val="0"/>
              <w:spacing w:line="320" w:lineRule="exact"/>
              <w:rPr>
                <w:rFonts w:ascii="宋体" w:hAnsi="宋体"/>
                <w:bCs/>
                <w:kern w:val="0"/>
                <w:sz w:val="24"/>
              </w:rPr>
            </w:pPr>
          </w:p>
        </w:tc>
        <w:tc>
          <w:tcPr>
            <w:tcW w:w="2646" w:type="dxa"/>
            <w:tcBorders>
              <w:left w:val="single" w:color="auto" w:sz="4" w:space="0"/>
              <w:right w:val="single" w:color="auto" w:sz="4" w:space="0"/>
            </w:tcBorders>
            <w:noWrap/>
            <w:vAlign w:val="center"/>
          </w:tcPr>
          <w:p w14:paraId="39A212A5">
            <w:pPr>
              <w:autoSpaceDE w:val="0"/>
              <w:autoSpaceDN w:val="0"/>
              <w:adjustRightInd w:val="0"/>
              <w:spacing w:line="320" w:lineRule="exact"/>
              <w:rPr>
                <w:rFonts w:ascii="宋体" w:hAnsi="宋体"/>
                <w:bCs/>
                <w:kern w:val="0"/>
                <w:sz w:val="24"/>
              </w:rPr>
            </w:pPr>
          </w:p>
        </w:tc>
        <w:tc>
          <w:tcPr>
            <w:tcW w:w="1993" w:type="dxa"/>
            <w:tcBorders>
              <w:left w:val="single" w:color="auto" w:sz="4" w:space="0"/>
              <w:right w:val="single" w:color="auto" w:sz="12" w:space="0"/>
            </w:tcBorders>
            <w:noWrap/>
            <w:vAlign w:val="center"/>
          </w:tcPr>
          <w:p w14:paraId="4B53C5DB">
            <w:pPr>
              <w:autoSpaceDE w:val="0"/>
              <w:autoSpaceDN w:val="0"/>
              <w:adjustRightInd w:val="0"/>
              <w:spacing w:line="320" w:lineRule="exact"/>
              <w:rPr>
                <w:rFonts w:ascii="宋体" w:hAnsi="宋体"/>
                <w:bCs/>
                <w:kern w:val="0"/>
                <w:sz w:val="24"/>
              </w:rPr>
            </w:pPr>
          </w:p>
        </w:tc>
      </w:tr>
      <w:tr w14:paraId="10C07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2488D16">
            <w:pPr>
              <w:autoSpaceDE w:val="0"/>
              <w:autoSpaceDN w:val="0"/>
              <w:adjustRightInd w:val="0"/>
              <w:spacing w:line="320" w:lineRule="exact"/>
              <w:jc w:val="center"/>
              <w:rPr>
                <w:rFonts w:ascii="宋体" w:hAnsi="宋体"/>
                <w:kern w:val="0"/>
                <w:sz w:val="24"/>
              </w:rPr>
            </w:pPr>
            <w:r>
              <w:rPr>
                <w:rFonts w:hint="eastAsia" w:ascii="宋体" w:hAnsi="宋体"/>
                <w:kern w:val="0"/>
                <w:sz w:val="24"/>
              </w:rPr>
              <w:t>2</w:t>
            </w:r>
          </w:p>
        </w:tc>
        <w:tc>
          <w:tcPr>
            <w:tcW w:w="2855" w:type="dxa"/>
            <w:tcBorders>
              <w:right w:val="single" w:color="auto" w:sz="4" w:space="0"/>
            </w:tcBorders>
            <w:noWrap/>
            <w:vAlign w:val="center"/>
          </w:tcPr>
          <w:p w14:paraId="56729AF7">
            <w:pPr>
              <w:autoSpaceDE w:val="0"/>
              <w:autoSpaceDN w:val="0"/>
              <w:adjustRightInd w:val="0"/>
              <w:spacing w:line="320" w:lineRule="exact"/>
              <w:rPr>
                <w:rFonts w:ascii="宋体" w:hAnsi="宋体"/>
                <w:bCs/>
                <w:kern w:val="0"/>
                <w:sz w:val="24"/>
              </w:rPr>
            </w:pPr>
          </w:p>
        </w:tc>
        <w:tc>
          <w:tcPr>
            <w:tcW w:w="2646" w:type="dxa"/>
            <w:tcBorders>
              <w:left w:val="single" w:color="auto" w:sz="4" w:space="0"/>
              <w:right w:val="single" w:color="auto" w:sz="4" w:space="0"/>
            </w:tcBorders>
            <w:noWrap/>
            <w:vAlign w:val="center"/>
          </w:tcPr>
          <w:p w14:paraId="69E18E90">
            <w:pPr>
              <w:autoSpaceDE w:val="0"/>
              <w:autoSpaceDN w:val="0"/>
              <w:adjustRightInd w:val="0"/>
              <w:spacing w:line="320" w:lineRule="exact"/>
              <w:rPr>
                <w:rFonts w:ascii="宋体" w:hAnsi="宋体"/>
                <w:bCs/>
                <w:kern w:val="0"/>
                <w:sz w:val="24"/>
              </w:rPr>
            </w:pPr>
          </w:p>
        </w:tc>
        <w:tc>
          <w:tcPr>
            <w:tcW w:w="1993" w:type="dxa"/>
            <w:tcBorders>
              <w:left w:val="single" w:color="auto" w:sz="4" w:space="0"/>
              <w:right w:val="single" w:color="auto" w:sz="12" w:space="0"/>
            </w:tcBorders>
            <w:noWrap/>
            <w:vAlign w:val="center"/>
          </w:tcPr>
          <w:p w14:paraId="6D40F5DE">
            <w:pPr>
              <w:autoSpaceDE w:val="0"/>
              <w:autoSpaceDN w:val="0"/>
              <w:adjustRightInd w:val="0"/>
              <w:spacing w:line="320" w:lineRule="exact"/>
              <w:rPr>
                <w:rFonts w:ascii="宋体" w:hAnsi="宋体"/>
                <w:bCs/>
                <w:kern w:val="0"/>
                <w:sz w:val="24"/>
              </w:rPr>
            </w:pPr>
          </w:p>
        </w:tc>
      </w:tr>
      <w:tr w14:paraId="185BD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09562FE">
            <w:pPr>
              <w:autoSpaceDE w:val="0"/>
              <w:autoSpaceDN w:val="0"/>
              <w:adjustRightInd w:val="0"/>
              <w:spacing w:line="320" w:lineRule="exact"/>
              <w:jc w:val="center"/>
              <w:rPr>
                <w:rFonts w:ascii="宋体" w:hAnsi="宋体"/>
                <w:kern w:val="0"/>
                <w:sz w:val="24"/>
              </w:rPr>
            </w:pPr>
            <w:r>
              <w:rPr>
                <w:rFonts w:hint="eastAsia" w:ascii="宋体" w:hAnsi="宋体"/>
                <w:kern w:val="0"/>
                <w:sz w:val="24"/>
              </w:rPr>
              <w:t>3</w:t>
            </w:r>
          </w:p>
        </w:tc>
        <w:tc>
          <w:tcPr>
            <w:tcW w:w="2855" w:type="dxa"/>
            <w:tcBorders>
              <w:right w:val="single" w:color="auto" w:sz="4" w:space="0"/>
            </w:tcBorders>
            <w:noWrap/>
            <w:vAlign w:val="center"/>
          </w:tcPr>
          <w:p w14:paraId="5E3FC91E">
            <w:pPr>
              <w:autoSpaceDE w:val="0"/>
              <w:autoSpaceDN w:val="0"/>
              <w:adjustRightInd w:val="0"/>
              <w:spacing w:line="320" w:lineRule="exact"/>
              <w:rPr>
                <w:rFonts w:ascii="宋体" w:hAnsi="宋体"/>
                <w:bCs/>
                <w:kern w:val="0"/>
                <w:sz w:val="24"/>
              </w:rPr>
            </w:pPr>
          </w:p>
        </w:tc>
        <w:tc>
          <w:tcPr>
            <w:tcW w:w="2646" w:type="dxa"/>
            <w:tcBorders>
              <w:left w:val="single" w:color="auto" w:sz="4" w:space="0"/>
              <w:right w:val="single" w:color="auto" w:sz="4" w:space="0"/>
            </w:tcBorders>
            <w:noWrap/>
            <w:vAlign w:val="center"/>
          </w:tcPr>
          <w:p w14:paraId="0E8023FA">
            <w:pPr>
              <w:autoSpaceDE w:val="0"/>
              <w:autoSpaceDN w:val="0"/>
              <w:adjustRightInd w:val="0"/>
              <w:spacing w:line="320" w:lineRule="exact"/>
              <w:rPr>
                <w:rFonts w:ascii="宋体" w:hAnsi="宋体"/>
                <w:bCs/>
                <w:kern w:val="0"/>
                <w:sz w:val="24"/>
              </w:rPr>
            </w:pPr>
          </w:p>
        </w:tc>
        <w:tc>
          <w:tcPr>
            <w:tcW w:w="1993" w:type="dxa"/>
            <w:tcBorders>
              <w:left w:val="single" w:color="auto" w:sz="4" w:space="0"/>
              <w:right w:val="single" w:color="auto" w:sz="12" w:space="0"/>
            </w:tcBorders>
            <w:noWrap/>
            <w:vAlign w:val="center"/>
          </w:tcPr>
          <w:p w14:paraId="7174681C">
            <w:pPr>
              <w:autoSpaceDE w:val="0"/>
              <w:autoSpaceDN w:val="0"/>
              <w:adjustRightInd w:val="0"/>
              <w:spacing w:line="320" w:lineRule="exact"/>
              <w:rPr>
                <w:rFonts w:ascii="宋体" w:hAnsi="宋体"/>
                <w:bCs/>
                <w:kern w:val="0"/>
                <w:sz w:val="24"/>
              </w:rPr>
            </w:pPr>
          </w:p>
        </w:tc>
      </w:tr>
      <w:tr w14:paraId="34325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32860585">
            <w:pPr>
              <w:autoSpaceDE w:val="0"/>
              <w:autoSpaceDN w:val="0"/>
              <w:adjustRightInd w:val="0"/>
              <w:spacing w:line="320" w:lineRule="exact"/>
              <w:jc w:val="center"/>
              <w:rPr>
                <w:rFonts w:ascii="宋体" w:hAnsi="宋体"/>
                <w:kern w:val="0"/>
                <w:sz w:val="24"/>
              </w:rPr>
            </w:pPr>
            <w:r>
              <w:rPr>
                <w:rFonts w:hint="eastAsia" w:ascii="宋体" w:hAnsi="宋体"/>
                <w:kern w:val="0"/>
                <w:sz w:val="24"/>
              </w:rPr>
              <w:t>……</w:t>
            </w:r>
          </w:p>
        </w:tc>
        <w:tc>
          <w:tcPr>
            <w:tcW w:w="2855" w:type="dxa"/>
            <w:tcBorders>
              <w:right w:val="single" w:color="auto" w:sz="4" w:space="0"/>
            </w:tcBorders>
            <w:noWrap/>
            <w:vAlign w:val="center"/>
          </w:tcPr>
          <w:p w14:paraId="38BB9409">
            <w:pPr>
              <w:autoSpaceDE w:val="0"/>
              <w:autoSpaceDN w:val="0"/>
              <w:adjustRightInd w:val="0"/>
              <w:spacing w:line="320" w:lineRule="exact"/>
              <w:rPr>
                <w:rFonts w:ascii="宋体" w:hAnsi="宋体"/>
                <w:bCs/>
                <w:kern w:val="0"/>
                <w:sz w:val="24"/>
              </w:rPr>
            </w:pPr>
          </w:p>
        </w:tc>
        <w:tc>
          <w:tcPr>
            <w:tcW w:w="2646" w:type="dxa"/>
            <w:tcBorders>
              <w:left w:val="single" w:color="auto" w:sz="4" w:space="0"/>
              <w:right w:val="single" w:color="auto" w:sz="4" w:space="0"/>
            </w:tcBorders>
            <w:noWrap/>
            <w:vAlign w:val="center"/>
          </w:tcPr>
          <w:p w14:paraId="2F0BA08E">
            <w:pPr>
              <w:autoSpaceDE w:val="0"/>
              <w:autoSpaceDN w:val="0"/>
              <w:adjustRightInd w:val="0"/>
              <w:spacing w:line="320" w:lineRule="exact"/>
              <w:rPr>
                <w:rFonts w:ascii="宋体" w:hAnsi="宋体"/>
                <w:bCs/>
                <w:kern w:val="0"/>
                <w:sz w:val="24"/>
              </w:rPr>
            </w:pPr>
          </w:p>
        </w:tc>
        <w:tc>
          <w:tcPr>
            <w:tcW w:w="1993" w:type="dxa"/>
            <w:tcBorders>
              <w:left w:val="single" w:color="auto" w:sz="4" w:space="0"/>
              <w:right w:val="single" w:color="auto" w:sz="12" w:space="0"/>
            </w:tcBorders>
            <w:noWrap/>
            <w:vAlign w:val="center"/>
          </w:tcPr>
          <w:p w14:paraId="030577F7">
            <w:pPr>
              <w:autoSpaceDE w:val="0"/>
              <w:autoSpaceDN w:val="0"/>
              <w:adjustRightInd w:val="0"/>
              <w:spacing w:line="320" w:lineRule="exact"/>
              <w:rPr>
                <w:rFonts w:ascii="宋体" w:hAnsi="宋体"/>
                <w:bCs/>
                <w:kern w:val="0"/>
                <w:sz w:val="24"/>
              </w:rPr>
            </w:pPr>
          </w:p>
        </w:tc>
      </w:tr>
    </w:tbl>
    <w:p w14:paraId="5CF058F1">
      <w:pPr>
        <w:spacing w:line="500" w:lineRule="exact"/>
        <w:ind w:firstLine="3840" w:firstLineChars="1600"/>
        <w:rPr>
          <w:rFonts w:ascii="宋体" w:hAnsi="宋体"/>
          <w:sz w:val="24"/>
        </w:rPr>
      </w:pPr>
    </w:p>
    <w:p w14:paraId="52F1A29C">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357E0704">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2AB3668A">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731A5B83">
      <w:pPr>
        <w:pStyle w:val="26"/>
        <w:wordWrap w:val="0"/>
        <w:spacing w:line="500" w:lineRule="exact"/>
        <w:ind w:firstLineChars="200"/>
        <w:rPr>
          <w:rFonts w:ascii="宋体" w:hAnsi="宋体" w:cs="宋体"/>
          <w:szCs w:val="21"/>
        </w:rPr>
      </w:pPr>
      <w:r>
        <w:rPr>
          <w:rFonts w:hint="eastAsia" w:ascii="宋体" w:hAnsi="宋体" w:cs="宋体"/>
          <w:szCs w:val="21"/>
        </w:rPr>
        <w:t>备注：</w:t>
      </w:r>
    </w:p>
    <w:p w14:paraId="46CC1EC8">
      <w:pPr>
        <w:pStyle w:val="26"/>
        <w:wordWrap w:val="0"/>
        <w:spacing w:line="400" w:lineRule="exact"/>
        <w:ind w:firstLineChars="200"/>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61B5E9">
      <w:pPr>
        <w:pStyle w:val="26"/>
        <w:wordWrap w:val="0"/>
        <w:spacing w:line="400" w:lineRule="exact"/>
        <w:ind w:firstLineChars="200"/>
        <w:rPr>
          <w:rFonts w:ascii="宋体" w:hAnsi="宋体" w:cs="宋体"/>
          <w:szCs w:val="21"/>
        </w:rPr>
      </w:pPr>
      <w:r>
        <w:rPr>
          <w:rFonts w:hint="eastAsia" w:ascii="宋体" w:hAnsi="宋体" w:cs="宋体"/>
          <w:szCs w:val="21"/>
        </w:rPr>
        <w:t>2.管理关系：是指不具有出资持股关系的其他单位之间存在的管理与被管理关系，如一些上下级关系的事业单位和团体组织。</w:t>
      </w:r>
    </w:p>
    <w:p w14:paraId="64AF8427">
      <w:pPr>
        <w:pStyle w:val="26"/>
        <w:wordWrap w:val="0"/>
        <w:spacing w:line="400" w:lineRule="exact"/>
        <w:ind w:firstLineChars="200"/>
        <w:rPr>
          <w:rFonts w:ascii="宋体" w:hAnsi="宋体" w:cs="宋体"/>
          <w:szCs w:val="21"/>
        </w:rPr>
      </w:pPr>
      <w:r>
        <w:rPr>
          <w:rFonts w:hint="eastAsia" w:ascii="宋体" w:hAnsi="宋体" w:cs="宋体"/>
          <w:szCs w:val="21"/>
        </w:rPr>
        <w:t>3.本表所指的控股、管理关系仅限于直接控股、直接管理关系，不包括间接的控股或管理关系。公司实际控制人与公司之间的关系不属于本表所指的直接控股关系。</w:t>
      </w:r>
    </w:p>
    <w:p w14:paraId="669E6AEA">
      <w:pPr>
        <w:pStyle w:val="26"/>
        <w:wordWrap w:val="0"/>
        <w:spacing w:line="400" w:lineRule="exact"/>
        <w:ind w:firstLineChars="200"/>
        <w:rPr>
          <w:rFonts w:ascii="仿宋" w:hAnsi="仿宋" w:eastAsia="仿宋" w:cs="仿宋"/>
        </w:rPr>
      </w:pPr>
      <w:r>
        <w:rPr>
          <w:rFonts w:hint="eastAsia" w:ascii="宋体" w:hAnsi="宋体" w:cs="宋体"/>
          <w:szCs w:val="21"/>
        </w:rPr>
        <w:t>4.供应商如不存在直接控股股东的，则在“直接控股股东名称及出资比例”处填写“无”或“/”。供应商不存在直接管理关系的，则在“直接管理关系单位名称”中填“无”或“/”。</w:t>
      </w:r>
    </w:p>
    <w:p w14:paraId="0372B37C">
      <w:pPr>
        <w:spacing w:line="500" w:lineRule="exact"/>
        <w:ind w:firstLine="561"/>
        <w:rPr>
          <w:rFonts w:ascii="宋体" w:hAnsi="宋体"/>
          <w:b/>
          <w:bCs/>
          <w:sz w:val="24"/>
        </w:rPr>
      </w:pPr>
      <w:bookmarkStart w:id="92" w:name="_Toc18882"/>
      <w:bookmarkStart w:id="93" w:name="_Toc24547"/>
      <w:bookmarkStart w:id="94" w:name="_Toc21910"/>
      <w:bookmarkStart w:id="95" w:name="_Toc13961"/>
      <w:r>
        <w:rPr>
          <w:rFonts w:hint="eastAsia" w:ascii="仿宋" w:hAnsi="仿宋" w:eastAsia="仿宋" w:cs="仿宋"/>
          <w:b/>
          <w:bCs/>
          <w:sz w:val="30"/>
          <w:szCs w:val="30"/>
        </w:rPr>
        <w:br w:type="page"/>
      </w:r>
      <w:bookmarkEnd w:id="92"/>
      <w:bookmarkEnd w:id="93"/>
      <w:bookmarkEnd w:id="94"/>
      <w:bookmarkEnd w:id="95"/>
      <w:r>
        <w:rPr>
          <w:rFonts w:hint="eastAsia" w:ascii="宋体" w:hAnsi="宋体"/>
          <w:b/>
          <w:bCs/>
          <w:sz w:val="24"/>
        </w:rPr>
        <w:t>附件四：法定代表人授权委托书</w:t>
      </w:r>
    </w:p>
    <w:p w14:paraId="38E6B9C4">
      <w:pPr>
        <w:pStyle w:val="26"/>
        <w:widowControl/>
        <w:spacing w:line="360" w:lineRule="auto"/>
        <w:ind w:firstLine="602" w:firstLineChars="200"/>
        <w:jc w:val="center"/>
        <w:rPr>
          <w:rFonts w:cs="华文仿宋"/>
          <w:b/>
          <w:bCs/>
          <w:sz w:val="30"/>
          <w:szCs w:val="30"/>
        </w:rPr>
      </w:pPr>
      <w:bookmarkStart w:id="96" w:name="_Toc26738"/>
      <w:bookmarkStart w:id="97" w:name="_Toc6945"/>
      <w:bookmarkStart w:id="98" w:name="_Toc13597"/>
      <w:bookmarkStart w:id="99" w:name="_Toc22198"/>
      <w:bookmarkStart w:id="100" w:name="_Toc29800"/>
      <w:bookmarkStart w:id="101" w:name="_Toc23557"/>
      <w:bookmarkStart w:id="102" w:name="_Toc29613"/>
      <w:bookmarkStart w:id="103" w:name="_Toc31865"/>
      <w:bookmarkStart w:id="104" w:name="_Toc14081"/>
      <w:bookmarkStart w:id="105" w:name="_Toc12905"/>
      <w:bookmarkStart w:id="106" w:name="_Toc483349441"/>
      <w:bookmarkStart w:id="107" w:name="_Toc22704"/>
      <w:bookmarkStart w:id="108" w:name="_Toc31501"/>
      <w:bookmarkStart w:id="109" w:name="_Toc18044"/>
      <w:bookmarkStart w:id="110" w:name="_Toc19326"/>
      <w:bookmarkStart w:id="111" w:name="_Toc17482"/>
      <w:bookmarkStart w:id="112" w:name="_Toc13312"/>
      <w:bookmarkStart w:id="113" w:name="_Toc12408"/>
      <w:bookmarkStart w:id="114" w:name="_Toc15591"/>
      <w:bookmarkStart w:id="115" w:name="_Toc9004"/>
      <w:bookmarkStart w:id="116" w:name="_Toc17265"/>
      <w:bookmarkStart w:id="117" w:name="_Toc21050"/>
    </w:p>
    <w:p w14:paraId="29BF5277">
      <w:pPr>
        <w:pStyle w:val="26"/>
        <w:widowControl/>
        <w:spacing w:line="360" w:lineRule="auto"/>
        <w:ind w:firstLine="602" w:firstLineChars="200"/>
        <w:jc w:val="center"/>
        <w:rPr>
          <w:rFonts w:cs="华文仿宋"/>
          <w:b/>
          <w:bCs/>
          <w:sz w:val="30"/>
          <w:szCs w:val="30"/>
        </w:rPr>
      </w:pPr>
      <w:r>
        <w:rPr>
          <w:rFonts w:hint="eastAsia" w:cs="华文仿宋"/>
          <w:b/>
          <w:bCs/>
          <w:sz w:val="30"/>
          <w:szCs w:val="30"/>
        </w:rPr>
        <w:t>法定代表人授权书</w:t>
      </w:r>
      <w:bookmarkEnd w:id="96"/>
      <w:bookmarkEnd w:id="97"/>
      <w:bookmarkEnd w:id="98"/>
      <w:bookmarkEnd w:id="99"/>
      <w:bookmarkEnd w:id="100"/>
      <w:bookmarkEnd w:id="101"/>
      <w:bookmarkEnd w:id="102"/>
      <w:bookmarkEnd w:id="103"/>
      <w:bookmarkEnd w:id="104"/>
      <w:bookmarkEnd w:id="105"/>
      <w:bookmarkEnd w:id="106"/>
      <w:bookmarkEnd w:id="107"/>
    </w:p>
    <w:p w14:paraId="0A9B6BF1">
      <w:pPr>
        <w:spacing w:line="360" w:lineRule="auto"/>
        <w:rPr>
          <w:rFonts w:ascii="宋体" w:cs="Times New Roman"/>
          <w:b/>
          <w:bCs/>
          <w:sz w:val="24"/>
        </w:rPr>
      </w:pPr>
      <w:r>
        <w:rPr>
          <w:rFonts w:hint="eastAsia" w:ascii="宋体" w:hAnsi="宋体"/>
          <w:sz w:val="24"/>
        </w:rPr>
        <w:t>致：</w:t>
      </w:r>
      <w:r>
        <w:rPr>
          <w:rFonts w:hint="eastAsia" w:ascii="宋体" w:hAnsi="宋体"/>
          <w:b/>
          <w:bCs/>
          <w:sz w:val="24"/>
        </w:rPr>
        <w:t>陕西德勤招标有限公司</w:t>
      </w:r>
    </w:p>
    <w:p w14:paraId="285AA1A4">
      <w:pPr>
        <w:pStyle w:val="14"/>
        <w:spacing w:line="500" w:lineRule="exact"/>
        <w:ind w:left="-120" w:leftChars="-57" w:firstLine="600" w:firstLineChars="250"/>
        <w:rPr>
          <w:sz w:val="24"/>
          <w:szCs w:val="24"/>
        </w:rPr>
      </w:pPr>
      <w:r>
        <w:rPr>
          <w:rFonts w:hint="eastAsia" w:hAnsi="宋体"/>
          <w:sz w:val="24"/>
          <w:szCs w:val="24"/>
        </w:rPr>
        <w:t>本授权书声明：注册于（</w:t>
      </w:r>
      <w:r>
        <w:rPr>
          <w:rFonts w:hAnsi="宋体"/>
          <w:sz w:val="24"/>
          <w:szCs w:val="24"/>
          <w:u w:val="single"/>
        </w:rPr>
        <w:t xml:space="preserve"> </w:t>
      </w:r>
      <w:r>
        <w:rPr>
          <w:rFonts w:hint="eastAsia" w:hAnsi="宋体"/>
          <w:sz w:val="24"/>
          <w:szCs w:val="24"/>
          <w:u w:val="single"/>
        </w:rPr>
        <w:t>工商行政管理局名称）之（委托单位全称）</w:t>
      </w:r>
      <w:r>
        <w:rPr>
          <w:rFonts w:hAnsi="宋体"/>
          <w:sz w:val="24"/>
          <w:szCs w:val="24"/>
          <w:u w:val="single"/>
        </w:rPr>
        <w:t xml:space="preserve"> </w:t>
      </w:r>
      <w:r>
        <w:rPr>
          <w:rFonts w:hint="eastAsia" w:hAnsi="宋体"/>
          <w:sz w:val="24"/>
          <w:szCs w:val="24"/>
        </w:rPr>
        <w:t>的法定代表人</w:t>
      </w:r>
      <w:r>
        <w:rPr>
          <w:rFonts w:hint="eastAsia" w:hAnsi="宋体"/>
          <w:sz w:val="24"/>
          <w:szCs w:val="24"/>
          <w:u w:val="single"/>
        </w:rPr>
        <w:t>（姓名、性别）</w:t>
      </w:r>
      <w:r>
        <w:rPr>
          <w:rFonts w:hint="eastAsia" w:hAnsi="宋体"/>
          <w:sz w:val="24"/>
          <w:szCs w:val="24"/>
        </w:rPr>
        <w:t>授权本公司的</w:t>
      </w:r>
      <w:r>
        <w:rPr>
          <w:rFonts w:hint="eastAsia" w:hAnsi="宋体"/>
          <w:sz w:val="24"/>
          <w:szCs w:val="24"/>
          <w:u w:val="single"/>
        </w:rPr>
        <w:t>（被授权人姓名、性别、职务）</w:t>
      </w:r>
      <w:r>
        <w:rPr>
          <w:rFonts w:hint="eastAsia" w:hAnsi="宋体"/>
          <w:sz w:val="24"/>
          <w:szCs w:val="24"/>
        </w:rPr>
        <w:t>为合法代理人，就贵方组织的有关</w:t>
      </w:r>
      <w:r>
        <w:rPr>
          <w:rFonts w:hint="eastAsia" w:hAnsi="宋体"/>
          <w:sz w:val="24"/>
          <w:szCs w:val="24"/>
          <w:u w:val="single"/>
        </w:rPr>
        <w:t>（采购项目名称）</w:t>
      </w:r>
      <w:r>
        <w:rPr>
          <w:rFonts w:hint="eastAsia" w:hAnsi="宋体"/>
          <w:sz w:val="24"/>
          <w:szCs w:val="24"/>
        </w:rPr>
        <w:t>（项目编号：</w:t>
      </w:r>
      <w:r>
        <w:rPr>
          <w:rFonts w:hAnsi="宋体"/>
          <w:sz w:val="24"/>
          <w:szCs w:val="24"/>
          <w:u w:val="single"/>
        </w:rPr>
        <w:t xml:space="preserve">                 </w:t>
      </w:r>
      <w:r>
        <w:rPr>
          <w:rFonts w:hint="eastAsia" w:hAnsi="宋体"/>
          <w:sz w:val="24"/>
          <w:szCs w:val="24"/>
        </w:rPr>
        <w:t>）的响应、洽谈、执行等具体事务，签署全部有关响应文件、文书、协议、合同，本公司对被授权人在本项目中的签名承担全部法律责任。本授权书自磋商会议之日起计算有效期为</w:t>
      </w:r>
      <w:r>
        <w:rPr>
          <w:rFonts w:hint="eastAsia" w:hAnsi="宋体"/>
          <w:sz w:val="24"/>
          <w:szCs w:val="24"/>
          <w:u w:val="single"/>
        </w:rPr>
        <w:t>90</w:t>
      </w:r>
      <w:r>
        <w:rPr>
          <w:rFonts w:hint="eastAsia" w:hAnsi="宋体"/>
          <w:sz w:val="24"/>
          <w:szCs w:val="24"/>
        </w:rPr>
        <w:t>天。</w:t>
      </w:r>
    </w:p>
    <w:p w14:paraId="0F8DAF39">
      <w:pPr>
        <w:pStyle w:val="14"/>
        <w:spacing w:line="500" w:lineRule="exact"/>
        <w:ind w:firstLine="480" w:firstLineChars="200"/>
        <w:rPr>
          <w:sz w:val="24"/>
          <w:szCs w:val="24"/>
        </w:rPr>
      </w:pPr>
      <w:r>
        <w:rPr>
          <w:rFonts w:hint="eastAsia" w:hAnsi="宋体"/>
          <w:sz w:val="24"/>
          <w:szCs w:val="24"/>
        </w:rPr>
        <w:t>委托单位：</w:t>
      </w:r>
      <w:r>
        <w:rPr>
          <w:rFonts w:hAnsi="宋体"/>
          <w:sz w:val="24"/>
          <w:szCs w:val="24"/>
          <w:u w:val="single"/>
        </w:rPr>
        <w:t xml:space="preserve">    </w:t>
      </w:r>
      <w:r>
        <w:rPr>
          <w:rFonts w:hint="eastAsia" w:hAnsi="宋体"/>
          <w:sz w:val="24"/>
          <w:szCs w:val="24"/>
        </w:rPr>
        <w:t>（公章）</w:t>
      </w:r>
      <w:r>
        <w:rPr>
          <w:rFonts w:hAnsi="宋体"/>
          <w:sz w:val="24"/>
          <w:szCs w:val="24"/>
        </w:rPr>
        <w:t xml:space="preserve">                  </w:t>
      </w:r>
      <w:r>
        <w:rPr>
          <w:rFonts w:hint="eastAsia" w:hAnsi="宋体"/>
          <w:sz w:val="24"/>
          <w:szCs w:val="24"/>
        </w:rPr>
        <w:t>法定代表人（签字或盖章）：</w:t>
      </w:r>
    </w:p>
    <w:p w14:paraId="7BC4EFA0">
      <w:pPr>
        <w:pStyle w:val="14"/>
        <w:spacing w:line="500" w:lineRule="exact"/>
        <w:ind w:firstLine="480" w:firstLineChars="200"/>
        <w:rPr>
          <w:sz w:val="24"/>
          <w:szCs w:val="24"/>
        </w:rPr>
      </w:pPr>
      <w:r>
        <w:rPr>
          <w:rFonts w:hint="eastAsia" w:hAnsi="宋体"/>
          <w:sz w:val="24"/>
          <w:szCs w:val="24"/>
        </w:rPr>
        <w:t>签发日期：</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14:paraId="0D031017">
      <w:pPr>
        <w:pStyle w:val="14"/>
        <w:spacing w:line="500" w:lineRule="exact"/>
        <w:ind w:firstLine="480" w:firstLineChars="200"/>
        <w:rPr>
          <w:sz w:val="24"/>
          <w:szCs w:val="24"/>
        </w:rPr>
      </w:pPr>
      <w:r>
        <w:rPr>
          <w:rFonts w:hint="eastAsia" w:hAnsi="宋体"/>
          <w:sz w:val="24"/>
          <w:szCs w:val="24"/>
        </w:rPr>
        <w:t>附：被授权人姓名（签字或盖章）：</w:t>
      </w:r>
      <w:r>
        <w:rPr>
          <w:rFonts w:hAnsi="宋体"/>
          <w:sz w:val="24"/>
          <w:szCs w:val="24"/>
          <w:u w:val="single"/>
        </w:rPr>
        <w:t xml:space="preserve">              </w:t>
      </w:r>
      <w:r>
        <w:rPr>
          <w:rFonts w:hint="eastAsia" w:hAnsi="宋体"/>
          <w:sz w:val="24"/>
          <w:szCs w:val="24"/>
        </w:rPr>
        <w:t>性别：</w:t>
      </w:r>
      <w:r>
        <w:rPr>
          <w:rFonts w:hAnsi="宋体"/>
          <w:sz w:val="24"/>
          <w:szCs w:val="24"/>
          <w:u w:val="single"/>
        </w:rPr>
        <w:t xml:space="preserve">       </w:t>
      </w:r>
      <w:r>
        <w:rPr>
          <w:rFonts w:hint="eastAsia" w:hAnsi="宋体"/>
          <w:sz w:val="24"/>
          <w:szCs w:val="24"/>
        </w:rPr>
        <w:t>职务：</w:t>
      </w:r>
      <w:r>
        <w:rPr>
          <w:rFonts w:hAnsi="宋体"/>
          <w:sz w:val="24"/>
          <w:szCs w:val="24"/>
          <w:u w:val="single"/>
        </w:rPr>
        <w:t xml:space="preserve">             </w:t>
      </w:r>
    </w:p>
    <w:p w14:paraId="75A3BFE7">
      <w:pPr>
        <w:pStyle w:val="14"/>
        <w:spacing w:line="500" w:lineRule="exact"/>
        <w:ind w:firstLine="960" w:firstLineChars="400"/>
        <w:rPr>
          <w:sz w:val="24"/>
          <w:szCs w:val="24"/>
          <w:u w:val="single"/>
        </w:rPr>
      </w:pPr>
      <w:r>
        <w:rPr>
          <w:rFonts w:hint="eastAsia" w:hAnsi="宋体"/>
          <w:sz w:val="24"/>
          <w:szCs w:val="24"/>
        </w:rPr>
        <w:t>联系地址：</w:t>
      </w:r>
      <w:r>
        <w:rPr>
          <w:rFonts w:hAnsi="宋体"/>
          <w:sz w:val="24"/>
          <w:szCs w:val="24"/>
        </w:rPr>
        <w:t xml:space="preserve">  </w:t>
      </w:r>
      <w:r>
        <w:rPr>
          <w:rFonts w:hAnsi="宋体"/>
          <w:sz w:val="24"/>
          <w:szCs w:val="24"/>
          <w:u w:val="single"/>
        </w:rPr>
        <w:t xml:space="preserve">                                                </w:t>
      </w:r>
    </w:p>
    <w:p w14:paraId="1C066831">
      <w:pPr>
        <w:pStyle w:val="14"/>
        <w:spacing w:line="500" w:lineRule="exact"/>
        <w:ind w:firstLine="960" w:firstLineChars="400"/>
        <w:rPr>
          <w:sz w:val="24"/>
          <w:szCs w:val="24"/>
          <w:u w:val="single"/>
        </w:rPr>
      </w:pPr>
      <w:r>
        <w:rPr>
          <w:rFonts w:hint="eastAsia" w:hAnsi="宋体"/>
          <w:sz w:val="24"/>
          <w:szCs w:val="24"/>
        </w:rPr>
        <w:t>联系电话：</w:t>
      </w:r>
      <w:r>
        <w:rPr>
          <w:rFonts w:hAnsi="宋体"/>
          <w:sz w:val="24"/>
          <w:szCs w:val="24"/>
          <w:u w:val="single"/>
        </w:rPr>
        <w:t xml:space="preserve">                  </w:t>
      </w:r>
      <w:r>
        <w:rPr>
          <w:rFonts w:hint="eastAsia" w:hAnsi="宋体"/>
          <w:sz w:val="24"/>
          <w:szCs w:val="24"/>
        </w:rPr>
        <w:t>传真：</w:t>
      </w:r>
      <w:r>
        <w:rPr>
          <w:rFonts w:hAnsi="宋体"/>
          <w:sz w:val="24"/>
          <w:szCs w:val="24"/>
        </w:rPr>
        <w:t xml:space="preserve">                          </w:t>
      </w:r>
    </w:p>
    <w:p w14:paraId="30573FD8">
      <w:pPr>
        <w:pStyle w:val="14"/>
        <w:spacing w:line="500" w:lineRule="exact"/>
        <w:ind w:firstLine="2760" w:firstLineChars="1150"/>
        <w:rPr>
          <w:sz w:val="24"/>
          <w:szCs w:val="24"/>
        </w:rPr>
      </w:pPr>
    </w:p>
    <w:p w14:paraId="4BE76DEB">
      <w:pPr>
        <w:pStyle w:val="14"/>
        <w:spacing w:line="500" w:lineRule="exact"/>
        <w:ind w:firstLine="2760" w:firstLineChars="1150"/>
        <w:rPr>
          <w:sz w:val="24"/>
          <w:szCs w:val="24"/>
        </w:rPr>
      </w:pPr>
      <w:r>
        <w:rPr>
          <w:rFonts w:hint="eastAsia" w:hAnsi="宋体"/>
          <w:sz w:val="24"/>
          <w:szCs w:val="24"/>
        </w:rPr>
        <w:t>法定代表人</w:t>
      </w:r>
      <w:r>
        <w:rPr>
          <w:rFonts w:hAnsi="宋体"/>
          <w:sz w:val="24"/>
          <w:szCs w:val="24"/>
        </w:rPr>
        <w:t>/</w:t>
      </w:r>
      <w:r>
        <w:rPr>
          <w:rFonts w:hint="eastAsia" w:hAnsi="宋体"/>
          <w:sz w:val="24"/>
          <w:szCs w:val="24"/>
        </w:rPr>
        <w:t>被授权人身份证复印件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346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14:paraId="5405DF95">
            <w:pPr>
              <w:pStyle w:val="14"/>
              <w:snapToGrid w:val="0"/>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法定代表人身份证复印件（国徽面）</w:t>
            </w:r>
          </w:p>
        </w:tc>
        <w:tc>
          <w:tcPr>
            <w:tcW w:w="4213" w:type="dxa"/>
            <w:shd w:val="clear" w:color="auto" w:fill="E0E0E0"/>
            <w:vAlign w:val="center"/>
          </w:tcPr>
          <w:p w14:paraId="14E38ECC">
            <w:pPr>
              <w:pStyle w:val="14"/>
              <w:snapToGrid w:val="0"/>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被授权人身份证复印件（国徽面）</w:t>
            </w:r>
          </w:p>
        </w:tc>
      </w:tr>
      <w:tr w14:paraId="49AB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14:paraId="15F8D1BD">
            <w:pPr>
              <w:pStyle w:val="14"/>
              <w:snapToGrid w:val="0"/>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法定代表人身份证复印件（人像面）</w:t>
            </w:r>
          </w:p>
        </w:tc>
        <w:tc>
          <w:tcPr>
            <w:tcW w:w="4213" w:type="dxa"/>
            <w:shd w:val="clear" w:color="auto" w:fill="E0E0E0"/>
            <w:vAlign w:val="center"/>
          </w:tcPr>
          <w:p w14:paraId="5ADBE407">
            <w:pPr>
              <w:pStyle w:val="14"/>
              <w:snapToGrid w:val="0"/>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被授权人身份证复印件（人像面）</w:t>
            </w:r>
          </w:p>
        </w:tc>
      </w:tr>
    </w:tbl>
    <w:p w14:paraId="58437840">
      <w:pPr>
        <w:spacing w:line="360" w:lineRule="auto"/>
        <w:jc w:val="center"/>
        <w:rPr>
          <w:rFonts w:ascii="黑体" w:hAnsi="仿宋" w:eastAsia="黑体" w:cs="黑体"/>
          <w:sz w:val="32"/>
          <w:szCs w:val="32"/>
        </w:rPr>
      </w:pPr>
    </w:p>
    <w:bookmarkEnd w:id="108"/>
    <w:bookmarkEnd w:id="109"/>
    <w:bookmarkEnd w:id="110"/>
    <w:bookmarkEnd w:id="111"/>
    <w:bookmarkEnd w:id="112"/>
    <w:bookmarkEnd w:id="113"/>
    <w:bookmarkEnd w:id="114"/>
    <w:bookmarkEnd w:id="115"/>
    <w:bookmarkEnd w:id="116"/>
    <w:bookmarkEnd w:id="117"/>
    <w:p w14:paraId="0D3BF156">
      <w:pPr>
        <w:widowControl/>
        <w:spacing w:line="360" w:lineRule="exact"/>
        <w:ind w:firstLine="420" w:firstLineChars="200"/>
        <w:rPr>
          <w:rFonts w:ascii="宋体" w:hAnsi="宋体"/>
          <w:b/>
          <w:bCs/>
          <w:szCs w:val="21"/>
        </w:rPr>
      </w:pPr>
      <w:bookmarkStart w:id="118" w:name="_Toc26876"/>
      <w:bookmarkStart w:id="119" w:name="_Toc2556"/>
      <w:bookmarkStart w:id="120" w:name="_Toc15794"/>
      <w:bookmarkStart w:id="121" w:name="_Toc4050"/>
      <w:bookmarkStart w:id="122" w:name="_Toc7264"/>
      <w:bookmarkStart w:id="123" w:name="_Toc5624"/>
      <w:r>
        <w:rPr>
          <w:rFonts w:hint="eastAsia" w:ascii="宋体" w:hAnsi="宋体"/>
          <w:szCs w:val="21"/>
        </w:rPr>
        <w:t>备注：</w:t>
      </w:r>
      <w:r>
        <w:rPr>
          <w:rFonts w:hint="eastAsia" w:ascii="宋体" w:hAnsi="宋体"/>
          <w:b/>
          <w:bCs/>
          <w:szCs w:val="21"/>
        </w:rPr>
        <w:t>1、法定代表人亲自参加磋商的，无需提供该委托授权书，但须提供法定代表人本人身份证（正反面）复印件，并在复印件中注明联系方式。</w:t>
      </w:r>
    </w:p>
    <w:p w14:paraId="7BE7435B">
      <w:pPr>
        <w:widowControl/>
        <w:spacing w:line="360" w:lineRule="exact"/>
        <w:ind w:firstLine="420" w:firstLineChars="200"/>
        <w:rPr>
          <w:rFonts w:ascii="宋体" w:hAnsi="宋体"/>
          <w:szCs w:val="21"/>
        </w:rPr>
      </w:pPr>
      <w:r>
        <w:rPr>
          <w:rFonts w:hint="eastAsia" w:ascii="宋体" w:hAnsi="宋体"/>
          <w:szCs w:val="21"/>
        </w:rPr>
        <w:t>2、法人的分支机构参与磋商时，除提供《法定代表人授权委托书》外，还须同时提供法人给分支机构出具的授权书。</w:t>
      </w:r>
    </w:p>
    <w:p w14:paraId="0438FDA7">
      <w:pPr>
        <w:spacing w:line="500" w:lineRule="exact"/>
        <w:ind w:firstLine="561"/>
        <w:rPr>
          <w:rFonts w:ascii="宋体" w:hAnsi="宋体"/>
          <w:b/>
          <w:bCs/>
          <w:sz w:val="24"/>
        </w:rPr>
      </w:pPr>
      <w:r>
        <w:rPr>
          <w:rFonts w:hint="eastAsia" w:ascii="华文仿宋" w:hAnsi="华文仿宋" w:cs="华文仿宋"/>
        </w:rPr>
        <w:br w:type="page"/>
      </w:r>
      <w:bookmarkEnd w:id="118"/>
      <w:bookmarkEnd w:id="119"/>
      <w:bookmarkEnd w:id="120"/>
      <w:bookmarkEnd w:id="121"/>
      <w:bookmarkEnd w:id="122"/>
      <w:bookmarkEnd w:id="123"/>
      <w:r>
        <w:rPr>
          <w:rFonts w:hint="eastAsia" w:ascii="宋体" w:hAnsi="宋体"/>
          <w:b/>
          <w:bCs/>
          <w:sz w:val="24"/>
        </w:rPr>
        <w:t>附件五：非联合体不分包磋商声明</w:t>
      </w:r>
    </w:p>
    <w:p w14:paraId="0D23A261">
      <w:pPr>
        <w:pStyle w:val="26"/>
        <w:widowControl/>
        <w:ind w:firstLine="602" w:firstLineChars="200"/>
        <w:jc w:val="center"/>
        <w:rPr>
          <w:rFonts w:cs="华文仿宋"/>
          <w:b/>
          <w:bCs/>
          <w:sz w:val="30"/>
          <w:szCs w:val="30"/>
        </w:rPr>
      </w:pPr>
    </w:p>
    <w:p w14:paraId="35CE350A">
      <w:pPr>
        <w:pStyle w:val="26"/>
        <w:widowControl/>
        <w:ind w:firstLine="602" w:firstLineChars="200"/>
        <w:jc w:val="center"/>
        <w:rPr>
          <w:rFonts w:cs="华文仿宋"/>
          <w:b/>
          <w:bCs/>
          <w:sz w:val="30"/>
          <w:szCs w:val="30"/>
        </w:rPr>
      </w:pPr>
      <w:r>
        <w:rPr>
          <w:rFonts w:hint="eastAsia" w:cs="华文仿宋"/>
          <w:b/>
          <w:bCs/>
          <w:sz w:val="30"/>
          <w:szCs w:val="30"/>
        </w:rPr>
        <w:t>非联合体不分包磋商声明</w:t>
      </w:r>
    </w:p>
    <w:p w14:paraId="4E68E18C">
      <w:pPr>
        <w:spacing w:line="360" w:lineRule="auto"/>
        <w:ind w:firstLine="480" w:firstLineChars="200"/>
        <w:rPr>
          <w:rFonts w:ascii="宋体" w:hAnsi="宋体"/>
          <w:sz w:val="24"/>
        </w:rPr>
      </w:pPr>
    </w:p>
    <w:p w14:paraId="3535993F">
      <w:pPr>
        <w:spacing w:line="360" w:lineRule="auto"/>
        <w:ind w:firstLine="480" w:firstLineChars="200"/>
        <w:rPr>
          <w:rFonts w:ascii="宋体" w:hAnsi="宋体"/>
          <w:sz w:val="24"/>
        </w:rPr>
      </w:pPr>
      <w:r>
        <w:rPr>
          <w:rFonts w:hint="eastAsia" w:ascii="宋体" w:hAnsi="宋体"/>
          <w:sz w:val="24"/>
        </w:rPr>
        <w:t>本单位郑重声明，参加陕西德勤招标有限公司的</w:t>
      </w:r>
      <w:r>
        <w:rPr>
          <w:rFonts w:hint="eastAsia" w:ascii="宋体" w:hAnsi="宋体"/>
          <w:sz w:val="24"/>
          <w:u w:val="single"/>
        </w:rPr>
        <w:t>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）采购活动，为非联合体磋商，本项目实施过程由本单位独立承担。</w:t>
      </w:r>
    </w:p>
    <w:p w14:paraId="268C06C4">
      <w:pPr>
        <w:spacing w:line="36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14:paraId="4B44015F">
      <w:pPr>
        <w:spacing w:line="360" w:lineRule="auto"/>
        <w:ind w:firstLine="480" w:firstLineChars="200"/>
        <w:jc w:val="left"/>
        <w:rPr>
          <w:rFonts w:ascii="宋体" w:hAnsi="宋体"/>
          <w:sz w:val="24"/>
        </w:rPr>
      </w:pPr>
    </w:p>
    <w:p w14:paraId="42891ED4">
      <w:pPr>
        <w:pStyle w:val="5"/>
        <w:spacing w:line="360" w:lineRule="auto"/>
        <w:ind w:firstLine="480"/>
        <w:rPr>
          <w:rFonts w:ascii="宋体" w:hAnsi="宋体"/>
          <w:sz w:val="24"/>
        </w:rPr>
      </w:pPr>
    </w:p>
    <w:p w14:paraId="26442CA7">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3B101B5E">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264FA140">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0578B3F6">
      <w:pPr>
        <w:spacing w:line="480" w:lineRule="auto"/>
        <w:ind w:firstLine="480" w:firstLineChars="200"/>
        <w:jc w:val="left"/>
        <w:rPr>
          <w:rFonts w:ascii="宋体" w:hAnsi="宋体"/>
          <w:sz w:val="24"/>
        </w:rPr>
      </w:pPr>
    </w:p>
    <w:p w14:paraId="0870AE5B">
      <w:pPr>
        <w:spacing w:line="360" w:lineRule="auto"/>
        <w:jc w:val="center"/>
        <w:rPr>
          <w:rFonts w:ascii="黑体" w:hAnsi="黑体" w:eastAsia="黑体" w:cs="黑体"/>
          <w:b/>
          <w:bCs/>
          <w:kern w:val="0"/>
          <w:sz w:val="32"/>
          <w:szCs w:val="32"/>
        </w:rPr>
      </w:pPr>
      <w:r>
        <w:rPr>
          <w:rFonts w:hint="eastAsia" w:ascii="宋体" w:cs="Times New Roman"/>
          <w:sz w:val="24"/>
        </w:rPr>
        <w:br w:type="page"/>
      </w:r>
      <w:bookmarkStart w:id="124" w:name="_Toc15231"/>
      <w:bookmarkStart w:id="125" w:name="_Toc23476"/>
      <w:bookmarkStart w:id="126" w:name="_Toc10876"/>
      <w:bookmarkStart w:id="127" w:name="_Toc28788"/>
      <w:bookmarkStart w:id="128" w:name="_Toc2952"/>
      <w:bookmarkStart w:id="129" w:name="_Toc29332"/>
      <w:bookmarkStart w:id="130" w:name="_Toc25329"/>
      <w:bookmarkStart w:id="131" w:name="_Toc30135"/>
      <w:bookmarkStart w:id="132" w:name="_Toc26404"/>
      <w:r>
        <w:rPr>
          <w:rFonts w:hint="eastAsia" w:ascii="黑体" w:hAnsi="黑体" w:eastAsia="黑体" w:cs="黑体"/>
          <w:b/>
          <w:bCs/>
          <w:kern w:val="0"/>
          <w:sz w:val="32"/>
          <w:szCs w:val="32"/>
        </w:rPr>
        <w:t>二、符合性证明文件</w:t>
      </w:r>
      <w:bookmarkEnd w:id="124"/>
      <w:bookmarkEnd w:id="125"/>
      <w:bookmarkEnd w:id="126"/>
      <w:bookmarkEnd w:id="127"/>
      <w:bookmarkEnd w:id="128"/>
      <w:bookmarkEnd w:id="129"/>
      <w:bookmarkEnd w:id="130"/>
      <w:bookmarkEnd w:id="131"/>
      <w:bookmarkEnd w:id="132"/>
    </w:p>
    <w:p w14:paraId="08DBFB9E">
      <w:pPr>
        <w:spacing w:line="360" w:lineRule="auto"/>
        <w:jc w:val="center"/>
        <w:rPr>
          <w:rFonts w:ascii="黑体" w:hAnsi="仿宋" w:eastAsia="黑体" w:cs="黑体"/>
          <w:b/>
          <w:bCs/>
          <w:sz w:val="32"/>
          <w:szCs w:val="32"/>
        </w:rPr>
      </w:pPr>
      <w:r>
        <w:rPr>
          <w:rFonts w:hint="eastAsia" w:ascii="黑体" w:hAnsi="仿宋" w:eastAsia="黑体" w:cs="黑体"/>
          <w:b/>
          <w:bCs/>
          <w:sz w:val="32"/>
          <w:szCs w:val="32"/>
        </w:rPr>
        <w:t>（一）响应函格式</w:t>
      </w:r>
    </w:p>
    <w:p w14:paraId="48461AE8">
      <w:pPr>
        <w:pStyle w:val="26"/>
        <w:widowControl/>
        <w:ind w:firstLine="301"/>
        <w:jc w:val="center"/>
        <w:rPr>
          <w:rFonts w:cs="华文仿宋"/>
          <w:b/>
          <w:bCs/>
          <w:sz w:val="30"/>
          <w:szCs w:val="30"/>
        </w:rPr>
      </w:pPr>
      <w:r>
        <w:rPr>
          <w:rFonts w:hint="eastAsia" w:cs="华文仿宋"/>
          <w:b/>
          <w:bCs/>
          <w:sz w:val="30"/>
          <w:szCs w:val="30"/>
        </w:rPr>
        <w:t>响应函</w:t>
      </w:r>
    </w:p>
    <w:p w14:paraId="0E59F05A">
      <w:pPr>
        <w:spacing w:line="360" w:lineRule="auto"/>
        <w:rPr>
          <w:rFonts w:ascii="宋体" w:hAnsi="宋体"/>
          <w:b/>
          <w:bCs/>
          <w:sz w:val="24"/>
        </w:rPr>
      </w:pPr>
      <w:r>
        <w:rPr>
          <w:rFonts w:hint="eastAsia" w:ascii="宋体" w:hAnsi="宋体"/>
          <w:sz w:val="24"/>
        </w:rPr>
        <w:t>致：</w:t>
      </w:r>
      <w:r>
        <w:rPr>
          <w:rFonts w:hint="eastAsia" w:ascii="宋体" w:hAnsi="宋体"/>
          <w:b/>
          <w:bCs/>
          <w:sz w:val="24"/>
        </w:rPr>
        <w:t>陕西德勤招标有限公司</w:t>
      </w:r>
    </w:p>
    <w:p w14:paraId="34D3B386">
      <w:pPr>
        <w:spacing w:line="360" w:lineRule="auto"/>
        <w:ind w:firstLine="480" w:firstLineChars="200"/>
        <w:rPr>
          <w:rFonts w:ascii="宋体" w:hAnsi="宋体"/>
          <w:sz w:val="24"/>
        </w:rPr>
      </w:pPr>
      <w:r>
        <w:rPr>
          <w:rFonts w:hint="eastAsia" w:ascii="宋体" w:hAnsi="宋体"/>
          <w:sz w:val="24"/>
        </w:rPr>
        <w:t>为响应你方组织的</w:t>
      </w:r>
      <w:r>
        <w:rPr>
          <w:rFonts w:hint="eastAsia" w:ascii="宋体" w:hAnsi="宋体"/>
          <w:sz w:val="24"/>
          <w:u w:val="single"/>
        </w:rPr>
        <w:t>（</w:t>
      </w:r>
      <w:r>
        <w:rPr>
          <w:rFonts w:hint="eastAsia" w:hAnsi="宋体"/>
          <w:sz w:val="24"/>
          <w:u w:val="single"/>
        </w:rPr>
        <w:t>采购项目名称）</w:t>
      </w:r>
      <w:r>
        <w:rPr>
          <w:rFonts w:hint="eastAsia" w:ascii="宋体" w:hAnsi="宋体"/>
          <w:sz w:val="24"/>
        </w:rPr>
        <w:t>的竞争性磋商采购（项目编号为：</w:t>
      </w:r>
      <w:r>
        <w:rPr>
          <w:rFonts w:hint="eastAsia" w:ascii="宋体" w:hAnsi="宋体"/>
          <w:sz w:val="24"/>
          <w:u w:val="single"/>
        </w:rPr>
        <w:t xml:space="preserve">        </w:t>
      </w:r>
      <w:r>
        <w:rPr>
          <w:rFonts w:hint="eastAsia" w:ascii="宋体" w:hAnsi="宋体"/>
          <w:sz w:val="24"/>
        </w:rPr>
        <w:t>），我方愿参与磋商。</w:t>
      </w:r>
    </w:p>
    <w:p w14:paraId="3313BD35">
      <w:pPr>
        <w:spacing w:line="360" w:lineRule="auto"/>
        <w:ind w:firstLine="480" w:firstLineChars="200"/>
        <w:rPr>
          <w:rFonts w:ascii="宋体" w:hAnsi="宋体"/>
          <w:sz w:val="24"/>
        </w:rPr>
      </w:pPr>
      <w:r>
        <w:rPr>
          <w:rFonts w:hint="eastAsia" w:ascii="宋体" w:hAnsi="宋体"/>
          <w:sz w:val="24"/>
        </w:rPr>
        <w:t>我方确认收到贵方提供的</w:t>
      </w:r>
      <w:r>
        <w:rPr>
          <w:rFonts w:hint="eastAsia" w:ascii="宋体" w:hAnsi="宋体"/>
          <w:sz w:val="24"/>
          <w:u w:val="single"/>
        </w:rPr>
        <w:t xml:space="preserve">  （</w:t>
      </w:r>
      <w:r>
        <w:rPr>
          <w:rFonts w:hint="eastAsia" w:hAnsi="宋体"/>
          <w:sz w:val="24"/>
          <w:u w:val="single"/>
        </w:rPr>
        <w:t>采购项目名称）</w:t>
      </w:r>
      <w:r>
        <w:rPr>
          <w:rFonts w:hint="eastAsia" w:ascii="宋体" w:hAnsi="宋体"/>
          <w:sz w:val="24"/>
          <w:u w:val="single"/>
        </w:rPr>
        <w:t xml:space="preserve">  </w:t>
      </w:r>
      <w:r>
        <w:rPr>
          <w:rFonts w:hint="eastAsia" w:ascii="宋体" w:hAnsi="宋体"/>
          <w:sz w:val="24"/>
        </w:rPr>
        <w:t>磋商文件的全部内容。</w:t>
      </w:r>
    </w:p>
    <w:p w14:paraId="1D85C810">
      <w:pPr>
        <w:spacing w:line="360" w:lineRule="auto"/>
        <w:ind w:firstLine="480" w:firstLineChars="200"/>
        <w:rPr>
          <w:rFonts w:ascii="宋体" w:hAnsi="宋体"/>
          <w:sz w:val="24"/>
        </w:rPr>
      </w:pPr>
      <w:r>
        <w:rPr>
          <w:rFonts w:hint="eastAsia" w:ascii="宋体" w:hAnsi="宋体"/>
          <w:sz w:val="24"/>
        </w:rPr>
        <w:t>我方在参与磋商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6BBE7720">
      <w:pPr>
        <w:spacing w:line="360" w:lineRule="auto"/>
        <w:ind w:firstLine="480" w:firstLineChars="200"/>
        <w:rPr>
          <w:rFonts w:ascii="宋体" w:hAnsi="宋体"/>
          <w:sz w:val="24"/>
        </w:rPr>
      </w:pPr>
      <w:r>
        <w:rPr>
          <w:rFonts w:hint="eastAsia" w:ascii="宋体" w:hAnsi="宋体"/>
          <w:sz w:val="24"/>
          <w:u w:val="single"/>
        </w:rPr>
        <w:t xml:space="preserve">      (供应商名称)      </w:t>
      </w:r>
      <w:r>
        <w:rPr>
          <w:rFonts w:hint="eastAsia" w:ascii="宋体" w:hAnsi="宋体"/>
          <w:sz w:val="24"/>
        </w:rPr>
        <w:t>作为供应商正式授权</w:t>
      </w:r>
      <w:r>
        <w:rPr>
          <w:rFonts w:hint="eastAsia" w:ascii="宋体" w:hAnsi="宋体"/>
          <w:sz w:val="24"/>
          <w:u w:val="single"/>
        </w:rPr>
        <w:t xml:space="preserve">  (授权代表全名, 职务)  </w:t>
      </w:r>
      <w:r>
        <w:rPr>
          <w:rFonts w:hint="eastAsia" w:ascii="宋体" w:hAnsi="宋体"/>
          <w:sz w:val="24"/>
        </w:rPr>
        <w:t>代表我方全权处理有关本响应的一切事宜。</w:t>
      </w:r>
    </w:p>
    <w:p w14:paraId="1189B590">
      <w:pPr>
        <w:spacing w:line="360" w:lineRule="auto"/>
        <w:ind w:firstLine="480" w:firstLineChars="200"/>
        <w:rPr>
          <w:rFonts w:ascii="宋体" w:hAnsi="宋体"/>
          <w:sz w:val="24"/>
        </w:rPr>
      </w:pPr>
      <w:r>
        <w:rPr>
          <w:rFonts w:hint="eastAsia" w:ascii="宋体" w:hAnsi="宋体"/>
          <w:sz w:val="24"/>
        </w:rPr>
        <w:t>在此提交的响应文件，正本壹份，副本</w:t>
      </w:r>
      <w:r>
        <w:rPr>
          <w:rFonts w:hint="eastAsia" w:ascii="宋体" w:hAnsi="宋体"/>
          <w:sz w:val="24"/>
          <w:u w:val="single"/>
        </w:rPr>
        <w:t xml:space="preserve">  </w:t>
      </w:r>
      <w:r>
        <w:rPr>
          <w:rFonts w:hint="eastAsia" w:ascii="宋体" w:hAnsi="宋体"/>
          <w:sz w:val="24"/>
        </w:rPr>
        <w:t>份，电子版本</w:t>
      </w:r>
      <w:r>
        <w:rPr>
          <w:rFonts w:hint="eastAsia" w:ascii="宋体" w:hAnsi="宋体"/>
          <w:sz w:val="24"/>
          <w:u w:val="single"/>
        </w:rPr>
        <w:t xml:space="preserve">  </w:t>
      </w:r>
      <w:r>
        <w:rPr>
          <w:rFonts w:hint="eastAsia" w:ascii="宋体" w:hAnsi="宋体"/>
          <w:sz w:val="24"/>
        </w:rPr>
        <w:t>份。</w:t>
      </w:r>
    </w:p>
    <w:p w14:paraId="596B4A91">
      <w:pPr>
        <w:spacing w:line="360" w:lineRule="auto"/>
        <w:ind w:firstLine="480" w:firstLineChars="200"/>
        <w:rPr>
          <w:rFonts w:ascii="宋体" w:hAnsi="宋体"/>
          <w:sz w:val="24"/>
        </w:rPr>
      </w:pPr>
      <w:r>
        <w:rPr>
          <w:rFonts w:hint="eastAsia" w:ascii="宋体" w:hAnsi="宋体"/>
          <w:sz w:val="24"/>
        </w:rPr>
        <w:t>我方已完全明白磋商文件的所有条款要求，并申明如下：</w:t>
      </w:r>
    </w:p>
    <w:p w14:paraId="2A02030B">
      <w:pPr>
        <w:spacing w:line="360" w:lineRule="auto"/>
        <w:ind w:firstLine="480" w:firstLineChars="200"/>
        <w:rPr>
          <w:rFonts w:ascii="宋体" w:hAnsi="宋体"/>
          <w:sz w:val="24"/>
        </w:rPr>
      </w:pPr>
      <w:r>
        <w:rPr>
          <w:rFonts w:hint="eastAsia" w:ascii="宋体" w:hAnsi="宋体"/>
          <w:sz w:val="24"/>
        </w:rPr>
        <w:t>（一）按磋商文件提供的全部服务的响应总价详见《响应报价表》。</w:t>
      </w:r>
    </w:p>
    <w:p w14:paraId="679E4889">
      <w:pPr>
        <w:spacing w:line="360" w:lineRule="auto"/>
        <w:ind w:firstLine="480" w:firstLineChars="200"/>
        <w:rPr>
          <w:rFonts w:ascii="宋体" w:hAnsi="宋体"/>
          <w:sz w:val="24"/>
        </w:rPr>
      </w:pPr>
      <w:r>
        <w:rPr>
          <w:rFonts w:hint="eastAsia" w:ascii="宋体" w:hAnsi="宋体"/>
          <w:sz w:val="24"/>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42474FF7">
      <w:pPr>
        <w:spacing w:line="360" w:lineRule="auto"/>
        <w:ind w:firstLine="480" w:firstLineChars="200"/>
        <w:rPr>
          <w:rFonts w:ascii="宋体" w:hAnsi="宋体"/>
          <w:sz w:val="24"/>
        </w:rPr>
      </w:pPr>
      <w:r>
        <w:rPr>
          <w:rFonts w:hint="eastAsia" w:ascii="宋体" w:hAnsi="宋体"/>
          <w:sz w:val="24"/>
        </w:rPr>
        <w:t>（三）我方明白并同意，在规定的开标日之后，响应有效期之内撤回响应或成交后不按规定与采购人签订合同或不提交履约保证金，则贵方将不予退还磋商保证金。</w:t>
      </w:r>
    </w:p>
    <w:p w14:paraId="56B16D21">
      <w:pPr>
        <w:spacing w:line="360" w:lineRule="auto"/>
        <w:ind w:firstLine="480" w:firstLineChars="200"/>
        <w:rPr>
          <w:rFonts w:ascii="宋体" w:hAnsi="宋体"/>
          <w:sz w:val="24"/>
        </w:rPr>
      </w:pPr>
      <w:r>
        <w:rPr>
          <w:rFonts w:hint="eastAsia" w:ascii="宋体" w:hAnsi="宋体"/>
          <w:sz w:val="24"/>
        </w:rPr>
        <w:t>（四）我方同意按照贵方可能提出的要求而提供与响应有关的任何其它数据、信息或资料。</w:t>
      </w:r>
    </w:p>
    <w:p w14:paraId="7E25236C">
      <w:pPr>
        <w:spacing w:line="360" w:lineRule="auto"/>
        <w:ind w:firstLine="480" w:firstLineChars="200"/>
        <w:rPr>
          <w:rFonts w:ascii="宋体" w:hAnsi="宋体"/>
          <w:sz w:val="24"/>
        </w:rPr>
      </w:pPr>
      <w:r>
        <w:rPr>
          <w:rFonts w:hint="eastAsia" w:ascii="宋体" w:hAnsi="宋体"/>
          <w:sz w:val="24"/>
        </w:rPr>
        <w:t>（五）我方理解贵方不一定接受最低响应价或任何贵方可能收到的响应报价。</w:t>
      </w:r>
    </w:p>
    <w:p w14:paraId="0AB311FC">
      <w:pPr>
        <w:spacing w:line="360" w:lineRule="auto"/>
        <w:ind w:firstLine="480" w:firstLineChars="200"/>
        <w:rPr>
          <w:rFonts w:ascii="宋体" w:hAnsi="宋体"/>
          <w:sz w:val="24"/>
        </w:rPr>
      </w:pPr>
      <w:r>
        <w:rPr>
          <w:rFonts w:hint="eastAsia" w:ascii="宋体" w:hAnsi="宋体"/>
          <w:sz w:val="24"/>
        </w:rPr>
        <w:t>（六）我方如果成交，将保证履行磋商文件及其澄清、修改文件（如果有）中的全部责任和义务，按质、按量、按期完成《用户需求书》及《合同书》中的全部任务。</w:t>
      </w:r>
    </w:p>
    <w:p w14:paraId="666561ED">
      <w:pPr>
        <w:spacing w:line="360" w:lineRule="auto"/>
        <w:ind w:firstLine="480" w:firstLineChars="200"/>
        <w:rPr>
          <w:rFonts w:ascii="宋体" w:hAnsi="宋体"/>
          <w:sz w:val="24"/>
        </w:rPr>
      </w:pPr>
      <w:r>
        <w:rPr>
          <w:rFonts w:hint="eastAsia" w:ascii="宋体" w:hAnsi="宋体"/>
          <w:sz w:val="24"/>
        </w:rPr>
        <w:t>（七）如我方被授予合同，我方承诺支付就本次采购应支付或将支付的采购代理服务费。</w:t>
      </w:r>
    </w:p>
    <w:p w14:paraId="1517AB51">
      <w:pPr>
        <w:spacing w:line="360" w:lineRule="auto"/>
        <w:ind w:firstLine="480" w:firstLineChars="200"/>
        <w:rPr>
          <w:rFonts w:ascii="宋体" w:hAnsi="宋体"/>
          <w:sz w:val="24"/>
        </w:rPr>
      </w:pPr>
      <w:r>
        <w:rPr>
          <w:rFonts w:hint="eastAsia" w:ascii="宋体" w:hAnsi="宋体"/>
          <w:sz w:val="24"/>
        </w:rPr>
        <w:t>（八）我方作为在法律、财务和运作上独立于采购人、采购代理机构的供应商，在此保证所提交的所有文件和全部说明是真实的和正确的。</w:t>
      </w:r>
    </w:p>
    <w:p w14:paraId="4C386A4D">
      <w:pPr>
        <w:spacing w:line="360" w:lineRule="auto"/>
        <w:ind w:firstLine="480" w:firstLineChars="200"/>
        <w:rPr>
          <w:rFonts w:ascii="宋体" w:hAnsi="宋体"/>
          <w:sz w:val="24"/>
        </w:rPr>
      </w:pPr>
      <w:r>
        <w:rPr>
          <w:rFonts w:hint="eastAsia" w:ascii="宋体" w:hAnsi="宋体"/>
          <w:sz w:val="24"/>
        </w:rPr>
        <w:t xml:space="preserve">（九）我方响应报价已包含应向知识产权所有权人支付的所有相关税费，并保证采购人在中国使用我方提供的服务时，如有第三方提出侵犯其知识产权主张的，责任由我方承担。 </w:t>
      </w:r>
    </w:p>
    <w:p w14:paraId="5AFE01E6">
      <w:pPr>
        <w:spacing w:line="360" w:lineRule="auto"/>
        <w:ind w:firstLine="480" w:firstLineChars="200"/>
        <w:rPr>
          <w:rFonts w:ascii="宋体" w:hAnsi="宋体"/>
          <w:sz w:val="24"/>
        </w:rPr>
      </w:pPr>
      <w:r>
        <w:rPr>
          <w:rFonts w:hint="eastAsia" w:ascii="宋体" w:hAnsi="宋体"/>
          <w:sz w:val="24"/>
        </w:rPr>
        <w:t>（十）</w:t>
      </w:r>
      <w:r>
        <w:rPr>
          <w:rFonts w:hint="eastAsia" w:ascii="宋体" w:hAnsi="宋体"/>
          <w:b/>
          <w:bCs/>
          <w:sz w:val="24"/>
          <w:u w:val="single"/>
        </w:rPr>
        <w:t>我方符合磋商文件中“供应商资格要求”规定的条件</w:t>
      </w:r>
      <w:r>
        <w:rPr>
          <w:rFonts w:hint="eastAsia" w:ascii="宋体" w:hAnsi="宋体"/>
          <w:sz w:val="24"/>
        </w:rPr>
        <w:t>，承诺如下：</w:t>
      </w:r>
    </w:p>
    <w:p w14:paraId="05F77811">
      <w:pPr>
        <w:spacing w:line="360" w:lineRule="auto"/>
        <w:ind w:firstLine="480" w:firstLineChars="200"/>
        <w:rPr>
          <w:rFonts w:ascii="宋体" w:hAnsi="宋体"/>
          <w:sz w:val="24"/>
        </w:rPr>
      </w:pPr>
      <w:r>
        <w:rPr>
          <w:rFonts w:hint="eastAsia" w:ascii="宋体" w:hAnsi="宋体"/>
          <w:sz w:val="24"/>
        </w:rPr>
        <w:t>（1）我方具有独立承担民事责任的能力，且是中华人民共和国境内注册的法人、其他组织或自然人；</w:t>
      </w:r>
    </w:p>
    <w:p w14:paraId="6A109437">
      <w:pPr>
        <w:spacing w:line="360" w:lineRule="auto"/>
        <w:ind w:firstLine="480" w:firstLineChars="200"/>
        <w:rPr>
          <w:rFonts w:ascii="宋体" w:hAnsi="宋体"/>
          <w:sz w:val="24"/>
        </w:rPr>
      </w:pPr>
      <w:r>
        <w:rPr>
          <w:rFonts w:hint="eastAsia" w:ascii="宋体" w:hAnsi="宋体"/>
          <w:sz w:val="24"/>
        </w:rPr>
        <w:t>（2）我方具有良好的商业信誉和健全的财务会计制度；</w:t>
      </w:r>
    </w:p>
    <w:p w14:paraId="413C1338">
      <w:pPr>
        <w:spacing w:line="360" w:lineRule="auto"/>
        <w:ind w:firstLine="480" w:firstLineChars="200"/>
        <w:rPr>
          <w:rFonts w:ascii="宋体" w:hAnsi="宋体"/>
          <w:sz w:val="24"/>
        </w:rPr>
      </w:pPr>
      <w:r>
        <w:rPr>
          <w:rFonts w:hint="eastAsia" w:ascii="宋体" w:hAnsi="宋体"/>
          <w:sz w:val="24"/>
        </w:rPr>
        <w:t>（3）我方具有履行合同所必须的设备和专业技术能力；</w:t>
      </w:r>
    </w:p>
    <w:p w14:paraId="4015BA42">
      <w:pPr>
        <w:spacing w:line="360" w:lineRule="auto"/>
        <w:ind w:firstLine="480" w:firstLineChars="200"/>
        <w:rPr>
          <w:rFonts w:ascii="宋体" w:hAnsi="宋体"/>
          <w:sz w:val="24"/>
        </w:rPr>
      </w:pPr>
      <w:r>
        <w:rPr>
          <w:rFonts w:hint="eastAsia" w:ascii="宋体" w:hAnsi="宋体"/>
          <w:sz w:val="24"/>
        </w:rPr>
        <w:t>（4）我方具有依法缴纳税收和社会保障资金的良好记录；</w:t>
      </w:r>
    </w:p>
    <w:p w14:paraId="246E96FE">
      <w:pPr>
        <w:spacing w:line="360" w:lineRule="auto"/>
        <w:ind w:firstLine="480" w:firstLineChars="200"/>
        <w:rPr>
          <w:rFonts w:ascii="宋体" w:hAnsi="宋体"/>
          <w:sz w:val="24"/>
        </w:rPr>
      </w:pPr>
      <w:r>
        <w:rPr>
          <w:rFonts w:hint="eastAsia" w:ascii="宋体" w:hAnsi="宋体"/>
          <w:sz w:val="24"/>
        </w:rPr>
        <w:t>（5）我方参加本次政府采购活动前三年内，在经营活动中没有重大违法记录；</w:t>
      </w:r>
    </w:p>
    <w:p w14:paraId="07B44F50">
      <w:pPr>
        <w:spacing w:line="360" w:lineRule="auto"/>
        <w:ind w:firstLine="480" w:firstLineChars="200"/>
        <w:rPr>
          <w:rFonts w:ascii="宋体" w:hAnsi="宋体"/>
          <w:sz w:val="24"/>
        </w:rPr>
      </w:pPr>
      <w:r>
        <w:rPr>
          <w:rFonts w:hint="eastAsia" w:ascii="宋体" w:hAnsi="宋体"/>
          <w:sz w:val="24"/>
        </w:rPr>
        <w:t>（6）我方具有法律、行政法规规定的其他条件；</w:t>
      </w:r>
    </w:p>
    <w:p w14:paraId="461F723D">
      <w:pPr>
        <w:spacing w:line="360" w:lineRule="auto"/>
        <w:ind w:firstLine="480" w:firstLineChars="200"/>
        <w:rPr>
          <w:rFonts w:ascii="宋体" w:hAnsi="宋体"/>
          <w:sz w:val="24"/>
        </w:rPr>
      </w:pPr>
      <w:r>
        <w:rPr>
          <w:rFonts w:hint="eastAsia" w:ascii="宋体" w:hAnsi="宋体"/>
          <w:sz w:val="24"/>
        </w:rPr>
        <w:t>（7）我方具备采购人根据采购项目提出的特殊条件（如果有）。</w:t>
      </w:r>
    </w:p>
    <w:p w14:paraId="35623D93">
      <w:pPr>
        <w:spacing w:line="360" w:lineRule="auto"/>
        <w:ind w:firstLine="482" w:firstLineChars="200"/>
        <w:rPr>
          <w:rFonts w:ascii="宋体" w:hAnsi="宋体"/>
          <w:b/>
          <w:bCs/>
          <w:sz w:val="24"/>
          <w:u w:val="single"/>
        </w:rPr>
      </w:pPr>
      <w:r>
        <w:rPr>
          <w:rFonts w:hint="eastAsia" w:ascii="宋体" w:hAnsi="宋体"/>
          <w:b/>
          <w:bCs/>
          <w:sz w:val="24"/>
          <w:u w:val="single"/>
        </w:rPr>
        <w:t>以上内容如有虚假或与事实不符的，磋商小组可将我方做无效响应处理，相关法律责任和处罚也由我方承担。</w:t>
      </w:r>
    </w:p>
    <w:p w14:paraId="79C357C4">
      <w:pPr>
        <w:spacing w:line="360" w:lineRule="auto"/>
        <w:ind w:firstLine="480" w:firstLineChars="200"/>
        <w:rPr>
          <w:rFonts w:ascii="宋体" w:hAnsi="宋体"/>
          <w:sz w:val="24"/>
        </w:rPr>
      </w:pPr>
      <w:r>
        <w:rPr>
          <w:rFonts w:hint="eastAsia" w:ascii="宋体" w:hAnsi="宋体"/>
          <w:sz w:val="24"/>
        </w:rPr>
        <w:t>（十一）我方对在本函及响应文件中所作的所有承诺承担法律责任。</w:t>
      </w:r>
    </w:p>
    <w:p w14:paraId="0D8F9276">
      <w:pPr>
        <w:spacing w:line="360" w:lineRule="auto"/>
        <w:ind w:firstLine="480" w:firstLineChars="200"/>
        <w:rPr>
          <w:rFonts w:ascii="宋体" w:hAnsi="宋体"/>
          <w:sz w:val="24"/>
        </w:rPr>
      </w:pPr>
      <w:r>
        <w:rPr>
          <w:rFonts w:hint="eastAsia" w:ascii="宋体" w:hAnsi="宋体"/>
          <w:sz w:val="24"/>
        </w:rPr>
        <w:t>（十二）所有与本采购有关的函件请发往下列地址：</w:t>
      </w:r>
    </w:p>
    <w:p w14:paraId="60D38C1E">
      <w:pPr>
        <w:spacing w:line="360" w:lineRule="auto"/>
        <w:ind w:firstLine="480" w:firstLineChars="200"/>
        <w:rPr>
          <w:rFonts w:ascii="宋体" w:hAnsi="宋体"/>
          <w:sz w:val="24"/>
        </w:rPr>
      </w:pPr>
    </w:p>
    <w:p w14:paraId="018549BD">
      <w:pPr>
        <w:spacing w:line="360" w:lineRule="auto"/>
        <w:ind w:firstLine="480" w:firstLineChars="200"/>
        <w:rPr>
          <w:rFonts w:ascii="宋体" w:hAnsi="宋体"/>
          <w:sz w:val="24"/>
        </w:rPr>
      </w:pPr>
    </w:p>
    <w:p w14:paraId="5F0DD2FA">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14:paraId="4C5CE152">
      <w:pPr>
        <w:spacing w:line="360" w:lineRule="auto"/>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w:t>
      </w:r>
    </w:p>
    <w:p w14:paraId="62230BFC">
      <w:pPr>
        <w:spacing w:line="360" w:lineRule="auto"/>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14:paraId="144BB108">
      <w:pPr>
        <w:spacing w:line="360" w:lineRule="auto"/>
        <w:ind w:firstLine="480" w:firstLineChars="200"/>
        <w:rPr>
          <w:rFonts w:ascii="宋体" w:hAnsi="宋体"/>
          <w:sz w:val="24"/>
        </w:rPr>
      </w:pPr>
      <w:r>
        <w:rPr>
          <w:rFonts w:hint="eastAsia" w:ascii="宋体" w:hAnsi="宋体"/>
          <w:sz w:val="24"/>
        </w:rPr>
        <w:t>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14:paraId="3AA8A297">
      <w:pPr>
        <w:spacing w:line="360" w:lineRule="auto"/>
        <w:rPr>
          <w:rFonts w:ascii="宋体" w:hAnsi="宋体"/>
          <w:color w:val="000000"/>
          <w:sz w:val="24"/>
          <w:u w:val="single"/>
        </w:rPr>
      </w:pPr>
    </w:p>
    <w:p w14:paraId="28B85C03">
      <w:pPr>
        <w:spacing w:line="360" w:lineRule="auto"/>
        <w:rPr>
          <w:rFonts w:ascii="宋体" w:hAnsi="宋体"/>
          <w:color w:val="000000"/>
          <w:sz w:val="24"/>
          <w:u w:val="single"/>
        </w:rPr>
      </w:pPr>
    </w:p>
    <w:p w14:paraId="39568797">
      <w:pPr>
        <w:spacing w:line="360" w:lineRule="auto"/>
        <w:rPr>
          <w:rFonts w:ascii="宋体" w:hAnsi="宋体"/>
          <w:color w:val="000000"/>
          <w:sz w:val="24"/>
          <w:u w:val="single"/>
        </w:rPr>
      </w:pPr>
    </w:p>
    <w:p w14:paraId="49C73376">
      <w:pPr>
        <w:spacing w:line="360" w:lineRule="auto"/>
        <w:ind w:firstLine="480" w:firstLineChars="200"/>
        <w:rPr>
          <w:rFonts w:ascii="宋体" w:hAnsi="宋体"/>
          <w:sz w:val="24"/>
        </w:rPr>
      </w:pPr>
    </w:p>
    <w:p w14:paraId="733FCFF0">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10A5AEFE">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7A49AA58">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18721DD">
      <w:pPr>
        <w:spacing w:line="360" w:lineRule="auto"/>
        <w:jc w:val="center"/>
        <w:rPr>
          <w:rFonts w:ascii="宋体" w:cs="Times New Roman"/>
          <w:b/>
          <w:bCs/>
          <w:sz w:val="24"/>
        </w:rPr>
      </w:pPr>
      <w:r>
        <w:rPr>
          <w:rFonts w:hint="eastAsia" w:ascii="黑体" w:hAnsi="仿宋" w:eastAsia="黑体" w:cs="黑体"/>
          <w:b/>
          <w:bCs/>
          <w:sz w:val="32"/>
          <w:szCs w:val="32"/>
        </w:rPr>
        <w:t>（二）响应报价表格式</w:t>
      </w:r>
    </w:p>
    <w:p w14:paraId="2AB7A9A5">
      <w:pPr>
        <w:pStyle w:val="26"/>
        <w:widowControl/>
        <w:ind w:firstLine="301"/>
        <w:jc w:val="center"/>
        <w:rPr>
          <w:rFonts w:cs="华文仿宋"/>
          <w:b/>
          <w:bCs/>
          <w:sz w:val="30"/>
          <w:szCs w:val="30"/>
        </w:rPr>
      </w:pPr>
      <w:r>
        <w:rPr>
          <w:rFonts w:hint="eastAsia" w:cs="华文仿宋"/>
          <w:b/>
          <w:bCs/>
          <w:sz w:val="30"/>
          <w:szCs w:val="30"/>
        </w:rPr>
        <w:t>响应报价表</w:t>
      </w:r>
    </w:p>
    <w:p w14:paraId="083A26A6">
      <w:pPr>
        <w:spacing w:line="360" w:lineRule="auto"/>
        <w:ind w:firstLine="480" w:firstLineChars="200"/>
        <w:rPr>
          <w:rFonts w:ascii="宋体" w:hAnsi="宋体"/>
          <w:sz w:val="24"/>
        </w:rPr>
      </w:pPr>
      <w:r>
        <w:rPr>
          <w:rFonts w:hint="eastAsia" w:ascii="宋体" w:hAnsi="宋体"/>
          <w:sz w:val="24"/>
        </w:rPr>
        <w:t>项目名称：</w:t>
      </w:r>
    </w:p>
    <w:p w14:paraId="055D8372">
      <w:pPr>
        <w:spacing w:line="360" w:lineRule="auto"/>
        <w:ind w:firstLine="480" w:firstLineChars="200"/>
        <w:rPr>
          <w:rFonts w:ascii="宋体" w:cs="Times New Roman"/>
          <w:sz w:val="24"/>
        </w:rPr>
      </w:pPr>
      <w:r>
        <w:rPr>
          <w:rFonts w:hint="eastAsia" w:ascii="宋体" w:hAnsi="宋体"/>
          <w:sz w:val="24"/>
        </w:rPr>
        <w:t>项目编号：</w:t>
      </w:r>
    </w:p>
    <w:p w14:paraId="7F0EBE95">
      <w:pPr>
        <w:spacing w:line="360" w:lineRule="auto"/>
        <w:ind w:firstLine="480" w:firstLineChars="200"/>
        <w:rPr>
          <w:rFonts w:ascii="宋体" w:cs="Times New Roman"/>
          <w:sz w:val="24"/>
        </w:rPr>
      </w:pPr>
      <w:r>
        <w:rPr>
          <w:rFonts w:hint="eastAsia" w:ascii="宋体" w:hAnsi="宋体"/>
          <w:sz w:val="24"/>
        </w:rPr>
        <w:t>供应商：</w:t>
      </w:r>
    </w:p>
    <w:p w14:paraId="39A5D7F4">
      <w:pPr>
        <w:kinsoku w:val="0"/>
        <w:spacing w:line="500" w:lineRule="exact"/>
        <w:ind w:firstLine="120" w:firstLineChars="50"/>
        <w:jc w:val="center"/>
        <w:rPr>
          <w:rFonts w:ascii="??_GB2312" w:hAnsi="仿宋" w:eastAsia="Times New Roman" w:cs="Times New Roman"/>
          <w:sz w:val="24"/>
        </w:rPr>
      </w:pPr>
      <w:r>
        <w:rPr>
          <w:rFonts w:ascii="宋体" w:hAnsi="宋体"/>
          <w:sz w:val="24"/>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14:paraId="335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20CF22B0">
            <w:pPr>
              <w:spacing w:line="360" w:lineRule="auto"/>
              <w:jc w:val="center"/>
              <w:rPr>
                <w:rFonts w:ascii="黑体" w:hAnsi="黑体" w:eastAsia="黑体" w:cs="Times New Roman"/>
                <w:sz w:val="24"/>
              </w:rPr>
            </w:pPr>
            <w:r>
              <w:rPr>
                <w:rFonts w:hint="eastAsia" w:ascii="宋体" w:hAnsi="宋体"/>
                <w:sz w:val="24"/>
              </w:rPr>
              <w:t>响应报价(元)</w:t>
            </w:r>
          </w:p>
        </w:tc>
        <w:tc>
          <w:tcPr>
            <w:tcW w:w="6503" w:type="dxa"/>
            <w:vAlign w:val="center"/>
          </w:tcPr>
          <w:p w14:paraId="16EE6572">
            <w:pPr>
              <w:spacing w:line="360" w:lineRule="auto"/>
              <w:jc w:val="left"/>
              <w:rPr>
                <w:rFonts w:ascii="宋体" w:hAnsi="宋体"/>
                <w:sz w:val="24"/>
                <w:u w:val="single"/>
              </w:rPr>
            </w:pPr>
            <w:r>
              <w:rPr>
                <w:rFonts w:hint="eastAsia" w:ascii="宋体" w:hAnsi="宋体"/>
                <w:sz w:val="24"/>
              </w:rPr>
              <w:t>大写：</w:t>
            </w:r>
            <w:r>
              <w:rPr>
                <w:rFonts w:hint="eastAsia" w:ascii="宋体" w:hAnsi="宋体"/>
                <w:sz w:val="24"/>
                <w:u w:val="single"/>
              </w:rPr>
              <w:t xml:space="preserve">                       </w:t>
            </w:r>
          </w:p>
          <w:p w14:paraId="5BC29D4E">
            <w:pPr>
              <w:spacing w:line="360" w:lineRule="auto"/>
              <w:rPr>
                <w:rFonts w:ascii="宋体" w:cs="Times New Roman"/>
                <w:sz w:val="24"/>
              </w:rPr>
            </w:pPr>
            <w:r>
              <w:rPr>
                <w:rFonts w:hint="eastAsia" w:ascii="宋体" w:hAnsi="宋体"/>
                <w:sz w:val="24"/>
              </w:rPr>
              <w:t>小写：</w:t>
            </w:r>
            <w:r>
              <w:rPr>
                <w:rFonts w:hint="eastAsia" w:ascii="宋体" w:hAnsi="宋体"/>
                <w:sz w:val="24"/>
                <w:u w:val="single"/>
              </w:rPr>
              <w:t xml:space="preserve">                       </w:t>
            </w:r>
          </w:p>
        </w:tc>
      </w:tr>
      <w:tr w14:paraId="104B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647323AF">
            <w:pPr>
              <w:spacing w:line="360" w:lineRule="auto"/>
              <w:jc w:val="center"/>
              <w:rPr>
                <w:rFonts w:ascii="宋体" w:hAnsi="宋体"/>
                <w:sz w:val="24"/>
              </w:rPr>
            </w:pPr>
            <w:r>
              <w:rPr>
                <w:rFonts w:hint="eastAsia" w:ascii="宋体" w:hAnsi="宋体"/>
                <w:sz w:val="24"/>
              </w:rPr>
              <w:t>服务期</w:t>
            </w:r>
          </w:p>
        </w:tc>
        <w:tc>
          <w:tcPr>
            <w:tcW w:w="6503" w:type="dxa"/>
            <w:vAlign w:val="center"/>
          </w:tcPr>
          <w:p w14:paraId="4E2C05B9">
            <w:pPr>
              <w:spacing w:line="360" w:lineRule="auto"/>
              <w:rPr>
                <w:rFonts w:ascii="宋体" w:hAnsi="宋体"/>
                <w:sz w:val="24"/>
              </w:rPr>
            </w:pPr>
          </w:p>
        </w:tc>
      </w:tr>
      <w:tr w14:paraId="20F1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39D201C6">
            <w:pPr>
              <w:spacing w:line="360" w:lineRule="auto"/>
              <w:jc w:val="center"/>
              <w:rPr>
                <w:rFonts w:ascii="宋体" w:hAnsi="宋体"/>
                <w:sz w:val="24"/>
              </w:rPr>
            </w:pPr>
            <w:r>
              <w:rPr>
                <w:rFonts w:hint="eastAsia" w:ascii="宋体" w:hAnsi="宋体"/>
                <w:sz w:val="24"/>
              </w:rPr>
              <w:t>备注：</w:t>
            </w:r>
          </w:p>
        </w:tc>
        <w:tc>
          <w:tcPr>
            <w:tcW w:w="6503" w:type="dxa"/>
            <w:vAlign w:val="center"/>
          </w:tcPr>
          <w:p w14:paraId="3BA68D00">
            <w:pPr>
              <w:spacing w:line="360" w:lineRule="auto"/>
              <w:rPr>
                <w:rFonts w:ascii="宋体" w:hAnsi="宋体"/>
                <w:sz w:val="24"/>
              </w:rPr>
            </w:pPr>
          </w:p>
        </w:tc>
      </w:tr>
    </w:tbl>
    <w:p w14:paraId="380F6B78">
      <w:pPr>
        <w:pStyle w:val="14"/>
        <w:spacing w:line="500" w:lineRule="exact"/>
        <w:ind w:left="-120" w:leftChars="-57" w:firstLine="527" w:firstLineChars="250"/>
        <w:rPr>
          <w:b/>
          <w:bCs/>
          <w:u w:val="single"/>
        </w:rPr>
      </w:pPr>
    </w:p>
    <w:p w14:paraId="11D10B9E">
      <w:pPr>
        <w:pStyle w:val="14"/>
        <w:spacing w:line="440" w:lineRule="exact"/>
        <w:ind w:left="-120" w:leftChars="-57" w:firstLine="527" w:firstLineChars="250"/>
        <w:rPr>
          <w:b/>
          <w:bCs/>
          <w:u w:val="single"/>
        </w:rPr>
      </w:pPr>
      <w:r>
        <w:rPr>
          <w:rFonts w:hint="eastAsia" w:hAnsi="宋体"/>
          <w:b/>
          <w:bCs/>
          <w:u w:val="single"/>
        </w:rPr>
        <w:t>注：</w:t>
      </w:r>
    </w:p>
    <w:p w14:paraId="1589E39E">
      <w:pPr>
        <w:pStyle w:val="14"/>
        <w:spacing w:line="440" w:lineRule="exact"/>
        <w:ind w:left="-120" w:leftChars="-57" w:firstLine="527" w:firstLineChars="250"/>
        <w:rPr>
          <w:b/>
          <w:bCs/>
          <w:u w:val="single"/>
        </w:rPr>
      </w:pPr>
      <w:r>
        <w:rPr>
          <w:rFonts w:hAnsi="宋体"/>
          <w:b/>
          <w:bCs/>
          <w:u w:val="single"/>
        </w:rPr>
        <w:t>1.</w:t>
      </w:r>
      <w:r>
        <w:rPr>
          <w:rFonts w:hint="eastAsia" w:hAnsi="宋体"/>
          <w:b/>
          <w:bCs/>
          <w:u w:val="single"/>
        </w:rPr>
        <w:t>此表“响应报价”是所有需采购人支付的金额总数，包括完成《用户需求书》要求的全部内容的所有可预见以及不可预见的费用。</w:t>
      </w:r>
    </w:p>
    <w:p w14:paraId="22126643">
      <w:pPr>
        <w:pStyle w:val="14"/>
        <w:spacing w:line="440" w:lineRule="exact"/>
        <w:ind w:left="-120" w:leftChars="-57" w:firstLine="527" w:firstLineChars="250"/>
        <w:rPr>
          <w:b/>
          <w:bCs/>
          <w:u w:val="single"/>
        </w:rPr>
      </w:pPr>
      <w:r>
        <w:rPr>
          <w:rFonts w:hint="eastAsia" w:hAnsi="宋体"/>
          <w:b/>
          <w:bCs/>
          <w:u w:val="single"/>
        </w:rPr>
        <w:t>2</w:t>
      </w:r>
      <w:r>
        <w:rPr>
          <w:rFonts w:hAnsi="宋体"/>
          <w:b/>
          <w:bCs/>
          <w:u w:val="single"/>
        </w:rPr>
        <w:t>.</w:t>
      </w:r>
      <w:r>
        <w:rPr>
          <w:rFonts w:hint="eastAsia" w:hAnsi="宋体"/>
          <w:b/>
          <w:bCs/>
          <w:u w:val="single"/>
        </w:rPr>
        <w:t>磋商文件规定的《响应报价表》格式以外的内容不作为评标依据。</w:t>
      </w:r>
    </w:p>
    <w:p w14:paraId="3FF7CD97">
      <w:pPr>
        <w:pStyle w:val="14"/>
        <w:spacing w:line="440" w:lineRule="exact"/>
        <w:ind w:left="-120" w:leftChars="-57" w:firstLine="527" w:firstLineChars="250"/>
        <w:rPr>
          <w:rFonts w:ascii="??_GB2312" w:hAnsi="仿宋" w:eastAsia="Times New Roman"/>
          <w:sz w:val="24"/>
          <w:szCs w:val="24"/>
        </w:rPr>
      </w:pPr>
      <w:r>
        <w:rPr>
          <w:rFonts w:hint="eastAsia" w:hAnsi="宋体"/>
          <w:b/>
          <w:bCs/>
          <w:u w:val="single"/>
        </w:rPr>
        <w:t>3</w:t>
      </w:r>
      <w:r>
        <w:rPr>
          <w:rFonts w:hAnsi="宋体"/>
          <w:b/>
          <w:bCs/>
          <w:u w:val="single"/>
        </w:rPr>
        <w:t>.</w:t>
      </w:r>
      <w:r>
        <w:rPr>
          <w:rFonts w:hint="eastAsia" w:hAnsi="宋体"/>
          <w:b/>
          <w:bCs/>
          <w:u w:val="single"/>
        </w:rPr>
        <w:t>表内报价内容以元为单位，保留两位小数</w:t>
      </w:r>
      <w:r>
        <w:rPr>
          <w:rFonts w:hint="eastAsia" w:hAnsi="宋体"/>
          <w:b/>
          <w:bCs/>
          <w:u w:val="single"/>
          <w:lang w:val="hr-HR"/>
        </w:rPr>
        <w:t>。</w:t>
      </w:r>
    </w:p>
    <w:p w14:paraId="7080BE7C">
      <w:pPr>
        <w:kinsoku w:val="0"/>
        <w:spacing w:line="500" w:lineRule="exact"/>
        <w:rPr>
          <w:rFonts w:ascii="??_GB2312" w:hAnsi="仿宋" w:eastAsia="Times New Roman" w:cs="Times New Roman"/>
          <w:sz w:val="24"/>
        </w:rPr>
      </w:pPr>
    </w:p>
    <w:p w14:paraId="5DE12743">
      <w:pPr>
        <w:kinsoku w:val="0"/>
        <w:spacing w:line="500" w:lineRule="exact"/>
        <w:rPr>
          <w:rFonts w:ascii="??_GB2312" w:hAnsi="仿宋" w:eastAsia="Times New Roman" w:cs="Times New Roman"/>
          <w:sz w:val="24"/>
        </w:rPr>
      </w:pPr>
    </w:p>
    <w:p w14:paraId="2D6070FE">
      <w:pPr>
        <w:kinsoku w:val="0"/>
        <w:spacing w:line="500" w:lineRule="exact"/>
        <w:rPr>
          <w:rFonts w:ascii="??_GB2312" w:hAnsi="仿宋" w:eastAsia="Times New Roman" w:cs="Times New Roman"/>
          <w:sz w:val="24"/>
        </w:rPr>
      </w:pPr>
    </w:p>
    <w:p w14:paraId="100CE3A8">
      <w:pPr>
        <w:kinsoku w:val="0"/>
        <w:spacing w:line="500" w:lineRule="exact"/>
        <w:rPr>
          <w:rFonts w:ascii="??_GB2312" w:hAnsi="仿宋" w:eastAsia="Times New Roman" w:cs="Times New Roman"/>
          <w:sz w:val="24"/>
        </w:rPr>
      </w:pPr>
    </w:p>
    <w:p w14:paraId="795012B0">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724D8CFC">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5DD35807">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4D785A59">
      <w:pPr>
        <w:pStyle w:val="14"/>
        <w:jc w:val="center"/>
        <w:rPr>
          <w:rFonts w:hAnsi="宋体"/>
          <w:b/>
          <w:sz w:val="32"/>
        </w:rPr>
      </w:pPr>
      <w:r>
        <w:rPr>
          <w:rFonts w:ascii="??_GB2312" w:hAnsi="仿宋" w:eastAsia="Times New Roman" w:cs="Times New Roman"/>
          <w:sz w:val="24"/>
          <w:szCs w:val="24"/>
        </w:rPr>
        <w:br w:type="page"/>
      </w:r>
      <w:r>
        <w:rPr>
          <w:rFonts w:hint="eastAsia" w:ascii="Calibri" w:hAnsi="Calibri" w:cs="华文仿宋"/>
          <w:b/>
          <w:bCs/>
          <w:kern w:val="0"/>
          <w:sz w:val="30"/>
          <w:szCs w:val="30"/>
        </w:rPr>
        <w:t>分项报价表</w:t>
      </w:r>
    </w:p>
    <w:p w14:paraId="43DBEA00">
      <w:pPr>
        <w:kinsoku w:val="0"/>
        <w:spacing w:line="500" w:lineRule="exact"/>
        <w:ind w:firstLine="120" w:firstLineChars="50"/>
        <w:rPr>
          <w:rFonts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  </w:t>
      </w:r>
    </w:p>
    <w:p w14:paraId="02738BCF">
      <w:pPr>
        <w:kinsoku w:val="0"/>
        <w:spacing w:line="500" w:lineRule="exact"/>
        <w:ind w:firstLine="120" w:firstLineChars="50"/>
        <w:rPr>
          <w:rFonts w:ascii="宋体" w:hAnsi="宋体"/>
          <w:sz w:val="24"/>
        </w:rPr>
      </w:pPr>
      <w:r>
        <w:rPr>
          <w:rFonts w:hint="eastAsia" w:ascii="宋体" w:hAnsi="宋体"/>
          <w:sz w:val="24"/>
        </w:rPr>
        <w:t xml:space="preserve">项目编号：                                        </w:t>
      </w:r>
      <w:r>
        <w:rPr>
          <w:rFonts w:ascii="宋体" w:hAnsi="宋体"/>
          <w:sz w:val="24"/>
        </w:rPr>
        <w:t xml:space="preserve">          </w:t>
      </w:r>
      <w:r>
        <w:rPr>
          <w:rFonts w:hint="eastAsia" w:ascii="宋体" w:hAnsi="宋体"/>
          <w:sz w:val="24"/>
        </w:rPr>
        <w:t>共   页，第   页</w:t>
      </w:r>
    </w:p>
    <w:p w14:paraId="5FBE83F9">
      <w:pPr>
        <w:spacing w:line="500" w:lineRule="exact"/>
        <w:rPr>
          <w:rFonts w:ascii="宋体" w:hAnsi="宋体"/>
          <w:sz w:val="24"/>
        </w:rPr>
      </w:pPr>
    </w:p>
    <w:p w14:paraId="5100BD6F">
      <w:pPr>
        <w:spacing w:line="500" w:lineRule="exact"/>
        <w:rPr>
          <w:rFonts w:ascii="宋体" w:hAnsi="宋体"/>
          <w:sz w:val="24"/>
        </w:rPr>
      </w:pPr>
    </w:p>
    <w:p w14:paraId="7EA57F9F">
      <w:pPr>
        <w:spacing w:line="500" w:lineRule="exact"/>
        <w:jc w:val="center"/>
        <w:rPr>
          <w:rFonts w:ascii="宋体" w:hAnsi="宋体"/>
          <w:sz w:val="24"/>
        </w:rPr>
      </w:pPr>
    </w:p>
    <w:p w14:paraId="2ED277FF">
      <w:pPr>
        <w:spacing w:line="500" w:lineRule="exact"/>
        <w:jc w:val="center"/>
        <w:rPr>
          <w:rFonts w:ascii="宋体" w:hAnsi="宋体"/>
          <w:b/>
          <w:bCs/>
          <w:sz w:val="24"/>
        </w:rPr>
      </w:pPr>
      <w:r>
        <w:rPr>
          <w:rFonts w:hint="eastAsia" w:ascii="宋体" w:hAnsi="宋体"/>
          <w:b/>
          <w:bCs/>
          <w:sz w:val="24"/>
        </w:rPr>
        <w:t>由供应商自行编制</w:t>
      </w:r>
    </w:p>
    <w:p w14:paraId="3A3B3A51">
      <w:pPr>
        <w:spacing w:line="500" w:lineRule="exact"/>
        <w:rPr>
          <w:rFonts w:ascii="宋体" w:hAnsi="宋体"/>
          <w:sz w:val="24"/>
        </w:rPr>
      </w:pPr>
    </w:p>
    <w:p w14:paraId="7C6A8E5F">
      <w:pPr>
        <w:spacing w:line="500" w:lineRule="exact"/>
        <w:rPr>
          <w:rFonts w:ascii="宋体" w:hAnsi="宋体"/>
          <w:sz w:val="24"/>
        </w:rPr>
      </w:pPr>
    </w:p>
    <w:p w14:paraId="1505E25D">
      <w:pPr>
        <w:spacing w:line="500" w:lineRule="exact"/>
        <w:rPr>
          <w:rFonts w:ascii="宋体" w:hAnsi="宋体"/>
          <w:sz w:val="24"/>
        </w:rPr>
      </w:pPr>
      <w:r>
        <w:rPr>
          <w:rFonts w:hint="eastAsia" w:ascii="宋体" w:hAnsi="宋体"/>
          <w:sz w:val="24"/>
        </w:rPr>
        <w:t>注：本表中“响应报价”与“响应报价表”中的</w:t>
      </w:r>
      <w:r>
        <w:rPr>
          <w:rFonts w:hint="eastAsia" w:ascii="宋体" w:hAnsi="宋体" w:cs="Courier New"/>
          <w:spacing w:val="-6"/>
          <w:sz w:val="24"/>
        </w:rPr>
        <w:t>“</w:t>
      </w:r>
      <w:r>
        <w:rPr>
          <w:rFonts w:hint="eastAsia" w:ascii="宋体" w:hAnsi="宋体"/>
          <w:sz w:val="24"/>
        </w:rPr>
        <w:t>响应报价</w:t>
      </w:r>
      <w:r>
        <w:rPr>
          <w:rFonts w:hint="eastAsia" w:ascii="宋体" w:hAnsi="宋体" w:cs="Courier New"/>
          <w:spacing w:val="-6"/>
          <w:sz w:val="24"/>
        </w:rPr>
        <w:t>”</w:t>
      </w:r>
      <w:r>
        <w:rPr>
          <w:rFonts w:hint="eastAsia" w:ascii="宋体" w:hAnsi="宋体"/>
          <w:sz w:val="24"/>
        </w:rPr>
        <w:t>一致。各子项分别报价。</w:t>
      </w:r>
    </w:p>
    <w:p w14:paraId="41CDBA4C">
      <w:pPr>
        <w:ind w:right="420"/>
        <w:rPr>
          <w:rFonts w:ascii="宋体" w:hAnsi="宋体"/>
          <w:sz w:val="24"/>
        </w:rPr>
      </w:pPr>
    </w:p>
    <w:p w14:paraId="6AE0F023">
      <w:pPr>
        <w:pStyle w:val="14"/>
        <w:rPr>
          <w:rFonts w:hAnsi="宋体"/>
          <w:sz w:val="24"/>
          <w:szCs w:val="24"/>
        </w:rPr>
      </w:pPr>
    </w:p>
    <w:p w14:paraId="144E3095">
      <w:pPr>
        <w:pStyle w:val="14"/>
        <w:rPr>
          <w:rFonts w:hAnsi="宋体"/>
          <w:sz w:val="24"/>
          <w:szCs w:val="24"/>
        </w:rPr>
      </w:pPr>
    </w:p>
    <w:p w14:paraId="2E7E047E">
      <w:pPr>
        <w:kinsoku w:val="0"/>
        <w:spacing w:line="500" w:lineRule="exact"/>
        <w:rPr>
          <w:rFonts w:ascii="??_GB2312" w:hAnsi="仿宋" w:eastAsia="Times New Roman" w:cs="Times New Roman"/>
          <w:sz w:val="24"/>
        </w:rPr>
      </w:pPr>
    </w:p>
    <w:p w14:paraId="18CCF1DD">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44F0485D">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273CD04F">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10DD7EE0">
      <w:pPr>
        <w:rPr>
          <w:rFonts w:ascii="黑体" w:hAnsi="黑体" w:eastAsia="黑体" w:cs="黑体"/>
          <w:b/>
          <w:bCs/>
          <w:sz w:val="32"/>
          <w:szCs w:val="32"/>
        </w:rPr>
      </w:pPr>
      <w:r>
        <w:rPr>
          <w:rFonts w:hint="eastAsia" w:ascii="黑体" w:hAnsi="黑体" w:eastAsia="黑体" w:cs="黑体"/>
          <w:b/>
          <w:bCs/>
          <w:sz w:val="32"/>
          <w:szCs w:val="32"/>
        </w:rPr>
        <w:br w:type="page"/>
      </w:r>
    </w:p>
    <w:p w14:paraId="663A9CEB">
      <w:pPr>
        <w:spacing w:before="156" w:beforeLines="50" w:line="360" w:lineRule="auto"/>
        <w:jc w:val="center"/>
        <w:rPr>
          <w:rFonts w:ascii="黑体" w:hAnsi="仿宋" w:eastAsia="黑体" w:cs="黑体"/>
          <w:b/>
          <w:bCs/>
          <w:sz w:val="32"/>
          <w:szCs w:val="32"/>
        </w:rPr>
      </w:pPr>
      <w:r>
        <w:rPr>
          <w:rFonts w:hint="eastAsia" w:ascii="黑体" w:hAnsi="仿宋" w:eastAsia="黑体" w:cs="黑体"/>
          <w:b/>
          <w:bCs/>
          <w:sz w:val="32"/>
          <w:szCs w:val="32"/>
        </w:rPr>
        <w:t>（三）承诺书格式</w:t>
      </w:r>
    </w:p>
    <w:p w14:paraId="2573A80E">
      <w:pPr>
        <w:pStyle w:val="26"/>
        <w:widowControl/>
        <w:spacing w:line="360" w:lineRule="auto"/>
        <w:ind w:firstLine="0" w:firstLineChars="0"/>
        <w:jc w:val="center"/>
        <w:rPr>
          <w:rFonts w:cs="华文仿宋"/>
          <w:b/>
          <w:bCs/>
          <w:sz w:val="30"/>
          <w:szCs w:val="30"/>
        </w:rPr>
      </w:pPr>
      <w:r>
        <w:rPr>
          <w:rFonts w:hint="eastAsia" w:cs="华文仿宋"/>
          <w:b/>
          <w:bCs/>
          <w:sz w:val="30"/>
          <w:szCs w:val="30"/>
        </w:rPr>
        <w:t>拒绝政府采购领域商业贿赂承诺书</w:t>
      </w:r>
      <w:r>
        <w:rPr>
          <w:rFonts w:hint="eastAsia" w:hAnsi="宋体"/>
          <w:b/>
          <w:sz w:val="32"/>
          <w:szCs w:val="32"/>
        </w:rPr>
        <w:t>Ⅰ</w:t>
      </w:r>
    </w:p>
    <w:p w14:paraId="2B3774F4">
      <w:pPr>
        <w:overflowPunct w:val="0"/>
        <w:topLinePunct/>
        <w:spacing w:line="360" w:lineRule="auto"/>
        <w:jc w:val="center"/>
        <w:rPr>
          <w:rFonts w:ascii="宋体" w:hAnsi="宋体"/>
          <w:sz w:val="24"/>
        </w:rPr>
      </w:pPr>
      <w:r>
        <w:rPr>
          <w:rFonts w:hint="eastAsia" w:ascii="宋体" w:hAnsi="宋体"/>
          <w:sz w:val="24"/>
        </w:rPr>
        <w:t>（执行陕财办采管[2006]21号文件）</w:t>
      </w:r>
    </w:p>
    <w:p w14:paraId="66E3F891">
      <w:pPr>
        <w:spacing w:line="500" w:lineRule="exact"/>
        <w:ind w:firstLine="480" w:firstLineChars="200"/>
        <w:rPr>
          <w:rFonts w:ascii="宋体" w:hAnsi="宋体"/>
          <w:sz w:val="24"/>
        </w:rPr>
      </w:pPr>
      <w:r>
        <w:rPr>
          <w:rFonts w:hint="eastAsia" w:ascii="宋体" w:hAnsi="宋体"/>
          <w:sz w:val="24"/>
        </w:rPr>
        <w:t>为响应党中央、国务院关于治理政府采购领域商业贿赂行为的号召，我公司在此庄严承诺：</w:t>
      </w:r>
    </w:p>
    <w:p w14:paraId="00825224">
      <w:pPr>
        <w:spacing w:line="500" w:lineRule="exact"/>
        <w:ind w:firstLine="480" w:firstLineChars="200"/>
        <w:rPr>
          <w:rFonts w:ascii="宋体" w:hAnsi="宋体"/>
          <w:sz w:val="24"/>
        </w:rPr>
      </w:pPr>
      <w:r>
        <w:rPr>
          <w:rFonts w:hint="eastAsia" w:ascii="宋体" w:hAnsi="宋体"/>
          <w:sz w:val="24"/>
        </w:rPr>
        <w:t>1、在参与政府采购活动中遵纪守法、诚信经营、公平竞标。</w:t>
      </w:r>
    </w:p>
    <w:p w14:paraId="12154217">
      <w:pPr>
        <w:spacing w:line="500" w:lineRule="exact"/>
        <w:ind w:firstLine="480" w:firstLineChars="200"/>
        <w:rPr>
          <w:rFonts w:ascii="宋体" w:hAnsi="宋体"/>
          <w:sz w:val="24"/>
        </w:rPr>
      </w:pPr>
      <w:r>
        <w:rPr>
          <w:rFonts w:hint="eastAsia" w:ascii="宋体" w:hAnsi="宋体"/>
          <w:sz w:val="24"/>
        </w:rPr>
        <w:t>2、不向政府采购人、采购代理机构和政府采购评审专家进行任何形式的商业贿赂以谋取交易机会。</w:t>
      </w:r>
    </w:p>
    <w:p w14:paraId="7F1A5640">
      <w:pPr>
        <w:spacing w:line="500" w:lineRule="exact"/>
        <w:ind w:firstLine="480" w:firstLineChars="200"/>
        <w:rPr>
          <w:rFonts w:ascii="宋体" w:hAnsi="宋体"/>
          <w:sz w:val="24"/>
        </w:rPr>
      </w:pPr>
      <w:r>
        <w:rPr>
          <w:rFonts w:hint="eastAsia" w:ascii="宋体" w:hAnsi="宋体"/>
          <w:sz w:val="24"/>
        </w:rPr>
        <w:t>3、不向政府采购代理机构和采购人提供虚假资质文件或采用虚假应标方式参与政府采购市场竞争并谋取中标、成交。</w:t>
      </w:r>
    </w:p>
    <w:p w14:paraId="13C7E808">
      <w:pPr>
        <w:spacing w:line="500" w:lineRule="exact"/>
        <w:ind w:firstLine="480" w:firstLineChars="200"/>
        <w:rPr>
          <w:rFonts w:ascii="宋体" w:hAnsi="宋体"/>
          <w:sz w:val="24"/>
        </w:rPr>
      </w:pPr>
      <w:r>
        <w:rPr>
          <w:rFonts w:hint="eastAsia" w:ascii="宋体" w:hAnsi="宋体"/>
          <w:sz w:val="24"/>
        </w:rPr>
        <w:t>4、不采取“围标、陪标”等商业欺诈手段获得政府采购定单。</w:t>
      </w:r>
    </w:p>
    <w:p w14:paraId="083B5355">
      <w:pPr>
        <w:spacing w:line="500" w:lineRule="exact"/>
        <w:ind w:firstLine="480" w:firstLineChars="200"/>
        <w:rPr>
          <w:rFonts w:ascii="宋体" w:hAnsi="宋体"/>
          <w:sz w:val="24"/>
        </w:rPr>
      </w:pPr>
      <w:r>
        <w:rPr>
          <w:rFonts w:hint="eastAsia" w:ascii="宋体" w:hAnsi="宋体"/>
          <w:sz w:val="24"/>
        </w:rPr>
        <w:t>5、不采取不正当手段诋毁、排挤其他投标供应商。</w:t>
      </w:r>
    </w:p>
    <w:p w14:paraId="2294973F">
      <w:pPr>
        <w:spacing w:line="500" w:lineRule="exact"/>
        <w:ind w:firstLine="480" w:firstLineChars="200"/>
        <w:rPr>
          <w:rFonts w:ascii="宋体" w:hAnsi="宋体"/>
          <w:sz w:val="24"/>
        </w:rPr>
      </w:pPr>
      <w:r>
        <w:rPr>
          <w:rFonts w:hint="eastAsia" w:ascii="宋体" w:hAnsi="宋体"/>
          <w:sz w:val="24"/>
        </w:rPr>
        <w:t>6、不在提供商品和服务时“偷梁换柱、以次充好”损害采购人的合法权益。</w:t>
      </w:r>
    </w:p>
    <w:p w14:paraId="0917AA70">
      <w:pPr>
        <w:spacing w:line="500" w:lineRule="exact"/>
        <w:ind w:firstLine="480" w:firstLineChars="200"/>
        <w:rPr>
          <w:rFonts w:ascii="宋体" w:hAnsi="宋体"/>
          <w:sz w:val="24"/>
        </w:rPr>
      </w:pPr>
      <w:r>
        <w:rPr>
          <w:rFonts w:hint="eastAsia" w:ascii="宋体" w:hAnsi="宋体"/>
          <w:sz w:val="24"/>
        </w:rPr>
        <w:t>7、不与采购人、采购代理机构政府采购评审专家或其它投标供应商恶意串通，进行质疑和投诉，维护政府采购市场秩序。</w:t>
      </w:r>
    </w:p>
    <w:p w14:paraId="34D95FB8">
      <w:pPr>
        <w:spacing w:line="500" w:lineRule="exact"/>
        <w:ind w:firstLine="480" w:firstLineChars="200"/>
        <w:rPr>
          <w:rFonts w:ascii="宋体" w:hAnsi="宋体"/>
          <w:sz w:val="24"/>
        </w:rPr>
      </w:pPr>
      <w:r>
        <w:rPr>
          <w:rFonts w:hint="eastAsia" w:ascii="宋体" w:hAnsi="宋体"/>
          <w:sz w:val="24"/>
        </w:rPr>
        <w:t>8、尊重和接受政府采购监督管理部门的监督和政府采购代理机构招标采购要求，承担因违约行为给采购人造成的损失。</w:t>
      </w:r>
    </w:p>
    <w:p w14:paraId="143738F0">
      <w:pPr>
        <w:spacing w:line="500" w:lineRule="exact"/>
        <w:ind w:firstLine="480" w:firstLineChars="200"/>
        <w:rPr>
          <w:rFonts w:ascii="宋体" w:hAnsi="宋体"/>
          <w:sz w:val="24"/>
        </w:rPr>
      </w:pPr>
      <w:r>
        <w:rPr>
          <w:rFonts w:hint="eastAsia" w:ascii="宋体" w:hAnsi="宋体"/>
          <w:sz w:val="24"/>
        </w:rPr>
        <w:t>9、不发生其他有悖于政府采购公开、公平、公正和诚信原则的行为。</w:t>
      </w:r>
    </w:p>
    <w:p w14:paraId="5B9DA344">
      <w:pPr>
        <w:spacing w:line="500" w:lineRule="exact"/>
        <w:rPr>
          <w:rFonts w:ascii="宋体" w:hAnsi="宋体"/>
          <w:sz w:val="24"/>
        </w:rPr>
      </w:pPr>
    </w:p>
    <w:p w14:paraId="4C39B2B2">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172BDC05">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1B55BFAA">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48EDA1CB">
      <w:pPr>
        <w:spacing w:line="360" w:lineRule="atLeast"/>
        <w:jc w:val="center"/>
        <w:rPr>
          <w:rFonts w:cs="华文仿宋"/>
          <w:b/>
          <w:bCs/>
          <w:kern w:val="0"/>
          <w:sz w:val="30"/>
          <w:szCs w:val="30"/>
        </w:rPr>
      </w:pPr>
      <w:r>
        <w:rPr>
          <w:rFonts w:ascii="宋体" w:hAnsi="宋体"/>
          <w:b/>
          <w:bCs/>
          <w:sz w:val="24"/>
        </w:rPr>
        <w:br w:type="page"/>
      </w:r>
      <w:r>
        <w:rPr>
          <w:rFonts w:hint="eastAsia" w:cs="华文仿宋"/>
          <w:b/>
          <w:bCs/>
          <w:kern w:val="0"/>
          <w:sz w:val="30"/>
          <w:szCs w:val="30"/>
        </w:rPr>
        <w:t>承诺书Ⅱ</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E48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2902529B">
            <w:pPr>
              <w:spacing w:line="360" w:lineRule="atLeast"/>
              <w:rPr>
                <w:rFonts w:ascii="宋体" w:hAnsi="宋体"/>
                <w:sz w:val="24"/>
              </w:rPr>
            </w:pPr>
            <w:r>
              <w:rPr>
                <w:rFonts w:hint="eastAsia" w:ascii="宋体" w:hAnsi="宋体"/>
                <w:sz w:val="24"/>
              </w:rPr>
              <w:t>致：陕西德勤招标有限公司</w:t>
            </w:r>
          </w:p>
        </w:tc>
      </w:tr>
      <w:tr w14:paraId="1AA8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4DF8F441">
            <w:pPr>
              <w:spacing w:line="360" w:lineRule="atLeast"/>
              <w:ind w:firstLine="480" w:firstLineChars="200"/>
              <w:rPr>
                <w:rFonts w:ascii="宋体" w:hAnsi="宋体"/>
                <w:sz w:val="24"/>
              </w:rPr>
            </w:pPr>
            <w:r>
              <w:rPr>
                <w:rFonts w:hint="eastAsia" w:ascii="宋体" w:hAnsi="宋体"/>
                <w:sz w:val="24"/>
              </w:rPr>
              <w:t>作为参加贵公司组织的磋商采购项目的供应商，本公司承诺：在参加本项目响应之前不存在被依法禁止经营行为、财产被接管或冻结的情况，如有隐瞒实情，愿承担一切责任及后果。</w:t>
            </w:r>
          </w:p>
        </w:tc>
      </w:tr>
      <w:tr w14:paraId="0EF3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CB740CD">
            <w:pPr>
              <w:spacing w:line="360" w:lineRule="atLeast"/>
              <w:jc w:val="center"/>
              <w:rPr>
                <w:rFonts w:ascii="宋体" w:hAnsi="宋体"/>
                <w:sz w:val="24"/>
              </w:rPr>
            </w:pPr>
            <w:r>
              <w:rPr>
                <w:rFonts w:hint="eastAsia" w:ascii="宋体" w:hAnsi="宋体"/>
                <w:sz w:val="24"/>
              </w:rPr>
              <w:t>供应商</w:t>
            </w:r>
          </w:p>
        </w:tc>
        <w:tc>
          <w:tcPr>
            <w:tcW w:w="3420" w:type="dxa"/>
            <w:vAlign w:val="center"/>
          </w:tcPr>
          <w:p w14:paraId="666C3490">
            <w:pPr>
              <w:spacing w:line="360" w:lineRule="atLeast"/>
              <w:jc w:val="center"/>
              <w:rPr>
                <w:rFonts w:ascii="宋体" w:hAnsi="宋体"/>
                <w:sz w:val="24"/>
              </w:rPr>
            </w:pPr>
            <w:r>
              <w:rPr>
                <w:rFonts w:hint="eastAsia" w:ascii="宋体" w:hAnsi="宋体"/>
                <w:sz w:val="24"/>
              </w:rPr>
              <w:t>法定代表人</w:t>
            </w:r>
          </w:p>
        </w:tc>
        <w:tc>
          <w:tcPr>
            <w:tcW w:w="2340" w:type="dxa"/>
            <w:vAlign w:val="center"/>
          </w:tcPr>
          <w:p w14:paraId="284F3B43">
            <w:pPr>
              <w:spacing w:line="360" w:lineRule="atLeast"/>
              <w:jc w:val="center"/>
              <w:rPr>
                <w:rFonts w:ascii="宋体" w:hAnsi="宋体"/>
                <w:sz w:val="24"/>
              </w:rPr>
            </w:pPr>
            <w:r>
              <w:rPr>
                <w:rFonts w:hint="eastAsia" w:ascii="宋体" w:hAnsi="宋体"/>
                <w:sz w:val="24"/>
              </w:rPr>
              <w:t>日  期</w:t>
            </w:r>
          </w:p>
        </w:tc>
      </w:tr>
      <w:tr w14:paraId="7F6A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D119E60">
            <w:pPr>
              <w:spacing w:line="360" w:lineRule="atLeast"/>
              <w:jc w:val="center"/>
              <w:rPr>
                <w:rFonts w:ascii="宋体" w:hAnsi="宋体"/>
                <w:sz w:val="24"/>
              </w:rPr>
            </w:pPr>
            <w:r>
              <w:rPr>
                <w:rFonts w:hint="eastAsia" w:ascii="宋体" w:hAnsi="宋体"/>
                <w:sz w:val="24"/>
              </w:rPr>
              <w:t>（公章）</w:t>
            </w:r>
          </w:p>
        </w:tc>
        <w:tc>
          <w:tcPr>
            <w:tcW w:w="3420" w:type="dxa"/>
            <w:vAlign w:val="center"/>
          </w:tcPr>
          <w:p w14:paraId="55FFBEDB">
            <w:pPr>
              <w:spacing w:line="360" w:lineRule="atLeast"/>
              <w:jc w:val="center"/>
              <w:rPr>
                <w:rFonts w:ascii="宋体" w:hAnsi="宋体"/>
                <w:sz w:val="24"/>
              </w:rPr>
            </w:pPr>
            <w:r>
              <w:rPr>
                <w:rFonts w:hint="eastAsia" w:ascii="宋体" w:hAnsi="宋体"/>
                <w:sz w:val="24"/>
              </w:rPr>
              <w:t>（签字或盖章）</w:t>
            </w:r>
          </w:p>
        </w:tc>
        <w:tc>
          <w:tcPr>
            <w:tcW w:w="2340" w:type="dxa"/>
            <w:vAlign w:val="center"/>
          </w:tcPr>
          <w:p w14:paraId="098F77B3">
            <w:pPr>
              <w:spacing w:line="360" w:lineRule="atLeast"/>
              <w:ind w:firstLine="240" w:firstLineChars="100"/>
              <w:jc w:val="center"/>
              <w:rPr>
                <w:rFonts w:ascii="宋体" w:hAnsi="宋体"/>
                <w:sz w:val="24"/>
              </w:rPr>
            </w:pPr>
            <w:r>
              <w:rPr>
                <w:rFonts w:hint="eastAsia" w:ascii="宋体" w:hAnsi="宋体"/>
                <w:sz w:val="24"/>
              </w:rPr>
              <w:t>年  月  日</w:t>
            </w:r>
          </w:p>
        </w:tc>
      </w:tr>
    </w:tbl>
    <w:p w14:paraId="0A2C4CAE">
      <w:pPr>
        <w:spacing w:line="360" w:lineRule="atLeast"/>
        <w:rPr>
          <w:rFonts w:ascii="宋体" w:hAnsi="宋体"/>
          <w:b/>
          <w:sz w:val="42"/>
          <w:szCs w:val="42"/>
        </w:rPr>
      </w:pPr>
    </w:p>
    <w:p w14:paraId="7D959F96">
      <w:pPr>
        <w:spacing w:line="360" w:lineRule="atLeast"/>
        <w:jc w:val="center"/>
        <w:rPr>
          <w:rFonts w:cs="华文仿宋"/>
          <w:b/>
          <w:bCs/>
          <w:kern w:val="0"/>
          <w:sz w:val="30"/>
          <w:szCs w:val="30"/>
        </w:rPr>
      </w:pPr>
      <w:r>
        <w:rPr>
          <w:rFonts w:hint="eastAsia" w:cs="华文仿宋"/>
          <w:b/>
          <w:bCs/>
          <w:kern w:val="0"/>
          <w:sz w:val="30"/>
          <w:szCs w:val="30"/>
        </w:rPr>
        <w:t>承诺书Ⅲ</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7B1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1B298E1F">
            <w:pPr>
              <w:spacing w:line="360" w:lineRule="atLeast"/>
              <w:rPr>
                <w:rFonts w:ascii="宋体" w:hAnsi="宋体"/>
                <w:sz w:val="24"/>
              </w:rPr>
            </w:pPr>
            <w:r>
              <w:rPr>
                <w:rFonts w:hint="eastAsia" w:ascii="宋体" w:hAnsi="宋体"/>
                <w:sz w:val="24"/>
              </w:rPr>
              <w:t>致：陕西德勤招标有限公司</w:t>
            </w:r>
          </w:p>
        </w:tc>
      </w:tr>
      <w:tr w14:paraId="54E6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05A75C1E">
            <w:pPr>
              <w:spacing w:line="360" w:lineRule="atLeast"/>
              <w:ind w:firstLine="480" w:firstLineChars="200"/>
              <w:rPr>
                <w:rFonts w:ascii="宋体" w:hAnsi="宋体"/>
                <w:sz w:val="24"/>
              </w:rPr>
            </w:pPr>
            <w:r>
              <w:rPr>
                <w:rFonts w:hint="eastAsia" w:ascii="宋体" w:hAnsi="宋体"/>
                <w:sz w:val="24"/>
              </w:rPr>
              <w:t>作为参加贵公司组织的磋商采购项目的供应商，本公司郑重申告并承诺：近三年受到有关行政主管部门的行政处理、不良行为记录为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14:paraId="352B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5080F15">
            <w:pPr>
              <w:spacing w:line="360" w:lineRule="atLeast"/>
              <w:jc w:val="center"/>
              <w:rPr>
                <w:rFonts w:ascii="宋体" w:hAnsi="宋体"/>
                <w:sz w:val="24"/>
              </w:rPr>
            </w:pPr>
            <w:r>
              <w:rPr>
                <w:rFonts w:hint="eastAsia" w:ascii="宋体" w:hAnsi="宋体"/>
                <w:sz w:val="24"/>
              </w:rPr>
              <w:t>供应商</w:t>
            </w:r>
          </w:p>
        </w:tc>
        <w:tc>
          <w:tcPr>
            <w:tcW w:w="3420" w:type="dxa"/>
            <w:vAlign w:val="center"/>
          </w:tcPr>
          <w:p w14:paraId="476A97E0">
            <w:pPr>
              <w:spacing w:line="360" w:lineRule="atLeast"/>
              <w:jc w:val="center"/>
              <w:rPr>
                <w:rFonts w:ascii="宋体" w:hAnsi="宋体"/>
                <w:sz w:val="24"/>
              </w:rPr>
            </w:pPr>
            <w:r>
              <w:rPr>
                <w:rFonts w:hint="eastAsia" w:ascii="宋体" w:hAnsi="宋体"/>
                <w:sz w:val="24"/>
              </w:rPr>
              <w:t>法定代表人</w:t>
            </w:r>
          </w:p>
        </w:tc>
        <w:tc>
          <w:tcPr>
            <w:tcW w:w="2340" w:type="dxa"/>
            <w:vAlign w:val="center"/>
          </w:tcPr>
          <w:p w14:paraId="409AC86B">
            <w:pPr>
              <w:spacing w:line="360" w:lineRule="atLeast"/>
              <w:jc w:val="center"/>
              <w:rPr>
                <w:rFonts w:ascii="宋体" w:hAnsi="宋体"/>
                <w:sz w:val="24"/>
              </w:rPr>
            </w:pPr>
            <w:r>
              <w:rPr>
                <w:rFonts w:hint="eastAsia" w:ascii="宋体" w:hAnsi="宋体"/>
                <w:sz w:val="24"/>
              </w:rPr>
              <w:t>日  期</w:t>
            </w:r>
          </w:p>
        </w:tc>
      </w:tr>
      <w:tr w14:paraId="5453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172A48C">
            <w:pPr>
              <w:spacing w:line="360" w:lineRule="atLeast"/>
              <w:jc w:val="center"/>
              <w:rPr>
                <w:rFonts w:ascii="宋体" w:hAnsi="宋体"/>
                <w:sz w:val="24"/>
              </w:rPr>
            </w:pPr>
            <w:r>
              <w:rPr>
                <w:rFonts w:hint="eastAsia" w:ascii="宋体" w:hAnsi="宋体"/>
                <w:sz w:val="24"/>
              </w:rPr>
              <w:t>（公章）</w:t>
            </w:r>
          </w:p>
        </w:tc>
        <w:tc>
          <w:tcPr>
            <w:tcW w:w="3420" w:type="dxa"/>
            <w:vAlign w:val="center"/>
          </w:tcPr>
          <w:p w14:paraId="13A9DBA1">
            <w:pPr>
              <w:spacing w:line="360" w:lineRule="atLeast"/>
              <w:jc w:val="center"/>
              <w:rPr>
                <w:rFonts w:ascii="宋体" w:hAnsi="宋体"/>
                <w:sz w:val="24"/>
              </w:rPr>
            </w:pPr>
            <w:r>
              <w:rPr>
                <w:rFonts w:hint="eastAsia" w:ascii="宋体" w:hAnsi="宋体"/>
                <w:sz w:val="24"/>
              </w:rPr>
              <w:t>（签字或盖章）</w:t>
            </w:r>
          </w:p>
        </w:tc>
        <w:tc>
          <w:tcPr>
            <w:tcW w:w="2340" w:type="dxa"/>
            <w:vAlign w:val="center"/>
          </w:tcPr>
          <w:p w14:paraId="1A87E22B">
            <w:pPr>
              <w:spacing w:line="360" w:lineRule="atLeast"/>
              <w:ind w:firstLine="240" w:firstLineChars="100"/>
              <w:jc w:val="center"/>
              <w:rPr>
                <w:rFonts w:ascii="宋体" w:hAnsi="宋体"/>
                <w:sz w:val="24"/>
              </w:rPr>
            </w:pPr>
            <w:r>
              <w:rPr>
                <w:rFonts w:hint="eastAsia" w:ascii="宋体" w:hAnsi="宋体"/>
                <w:sz w:val="24"/>
              </w:rPr>
              <w:t>年  月  日</w:t>
            </w:r>
          </w:p>
        </w:tc>
      </w:tr>
    </w:tbl>
    <w:p w14:paraId="79D765AF">
      <w:pPr>
        <w:spacing w:line="360" w:lineRule="atLeast"/>
        <w:rPr>
          <w:rFonts w:ascii="宋体" w:hAnsi="宋体"/>
          <w:b/>
          <w:sz w:val="32"/>
          <w:szCs w:val="32"/>
        </w:rPr>
      </w:pPr>
    </w:p>
    <w:p w14:paraId="1AE08217">
      <w:pPr>
        <w:spacing w:before="156" w:beforeLines="50" w:line="500" w:lineRule="exact"/>
        <w:jc w:val="center"/>
        <w:rPr>
          <w:rFonts w:ascii="黑体" w:hAnsi="仿宋" w:eastAsia="黑体" w:cs="黑体"/>
          <w:b/>
          <w:bCs/>
          <w:sz w:val="32"/>
          <w:szCs w:val="32"/>
        </w:rPr>
      </w:pPr>
    </w:p>
    <w:p w14:paraId="42B26E9F">
      <w:pPr>
        <w:rPr>
          <w:rFonts w:ascii="黑体" w:hAnsi="仿宋" w:eastAsia="黑体" w:cs="黑体"/>
          <w:b/>
          <w:bCs/>
          <w:sz w:val="32"/>
          <w:szCs w:val="32"/>
        </w:rPr>
      </w:pPr>
      <w:r>
        <w:rPr>
          <w:rFonts w:hint="eastAsia" w:ascii="黑体" w:hAnsi="仿宋" w:eastAsia="黑体" w:cs="黑体"/>
          <w:b/>
          <w:bCs/>
          <w:sz w:val="32"/>
          <w:szCs w:val="32"/>
        </w:rPr>
        <w:br w:type="page"/>
      </w:r>
    </w:p>
    <w:p w14:paraId="577DAF0D">
      <w:pPr>
        <w:spacing w:before="156" w:beforeLines="50" w:line="360" w:lineRule="auto"/>
        <w:jc w:val="center"/>
        <w:rPr>
          <w:rFonts w:ascii="黑体" w:hAnsi="仿宋" w:eastAsia="黑体" w:cs="黑体"/>
          <w:b/>
          <w:bCs/>
          <w:sz w:val="32"/>
          <w:szCs w:val="32"/>
        </w:rPr>
      </w:pPr>
      <w:r>
        <w:rPr>
          <w:rFonts w:hint="eastAsia" w:ascii="黑体" w:hAnsi="仿宋" w:eastAsia="黑体" w:cs="黑体"/>
          <w:b/>
          <w:bCs/>
          <w:sz w:val="32"/>
          <w:szCs w:val="32"/>
        </w:rPr>
        <w:t>（四）商务条款响应表格式</w:t>
      </w:r>
    </w:p>
    <w:p w14:paraId="0BDB07A5">
      <w:pPr>
        <w:pStyle w:val="26"/>
        <w:widowControl/>
        <w:spacing w:line="360" w:lineRule="auto"/>
        <w:ind w:firstLine="0" w:firstLineChars="0"/>
        <w:jc w:val="center"/>
        <w:rPr>
          <w:rFonts w:cs="华文仿宋"/>
          <w:b/>
          <w:bCs/>
          <w:sz w:val="30"/>
          <w:szCs w:val="30"/>
        </w:rPr>
      </w:pPr>
      <w:r>
        <w:rPr>
          <w:rFonts w:hint="eastAsia" w:cs="华文仿宋"/>
          <w:b/>
          <w:bCs/>
          <w:sz w:val="30"/>
          <w:szCs w:val="30"/>
        </w:rPr>
        <w:t>商务条款响应表</w:t>
      </w:r>
    </w:p>
    <w:tbl>
      <w:tblPr>
        <w:tblStyle w:val="2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14:paraId="7550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49DD8A71">
            <w:pPr>
              <w:spacing w:line="360" w:lineRule="auto"/>
              <w:jc w:val="center"/>
              <w:rPr>
                <w:rFonts w:ascii="黑体" w:hAnsi="黑体" w:eastAsia="黑体" w:cs="黑体"/>
                <w:sz w:val="24"/>
              </w:rPr>
            </w:pPr>
            <w:r>
              <w:rPr>
                <w:rFonts w:hint="eastAsia" w:ascii="黑体" w:hAnsi="黑体" w:eastAsia="黑体" w:cs="黑体"/>
                <w:sz w:val="24"/>
              </w:rPr>
              <w:t>序号</w:t>
            </w:r>
          </w:p>
        </w:tc>
        <w:tc>
          <w:tcPr>
            <w:tcW w:w="5945" w:type="dxa"/>
            <w:vAlign w:val="center"/>
          </w:tcPr>
          <w:p w14:paraId="534E68F4">
            <w:pPr>
              <w:spacing w:line="360" w:lineRule="auto"/>
              <w:jc w:val="center"/>
              <w:rPr>
                <w:rFonts w:ascii="黑体" w:hAnsi="黑体" w:eastAsia="黑体" w:cs="黑体"/>
                <w:sz w:val="24"/>
              </w:rPr>
            </w:pPr>
            <w:r>
              <w:rPr>
                <w:rFonts w:hint="eastAsia" w:ascii="黑体" w:hAnsi="黑体" w:eastAsia="黑体" w:cs="黑体"/>
                <w:sz w:val="24"/>
              </w:rPr>
              <w:t>一般商务条款要求</w:t>
            </w:r>
          </w:p>
        </w:tc>
        <w:tc>
          <w:tcPr>
            <w:tcW w:w="1428" w:type="dxa"/>
            <w:vAlign w:val="center"/>
          </w:tcPr>
          <w:p w14:paraId="7F1EFBA0">
            <w:pPr>
              <w:spacing w:line="360" w:lineRule="auto"/>
              <w:jc w:val="center"/>
              <w:rPr>
                <w:rFonts w:ascii="黑体" w:hAnsi="黑体" w:eastAsia="黑体" w:cs="黑体"/>
                <w:sz w:val="24"/>
              </w:rPr>
            </w:pPr>
            <w:r>
              <w:rPr>
                <w:rFonts w:hint="eastAsia" w:ascii="黑体" w:hAnsi="黑体" w:eastAsia="黑体" w:cs="黑体"/>
                <w:sz w:val="24"/>
              </w:rPr>
              <w:t>是否响应</w:t>
            </w:r>
          </w:p>
        </w:tc>
        <w:tc>
          <w:tcPr>
            <w:tcW w:w="1255" w:type="dxa"/>
            <w:vAlign w:val="center"/>
          </w:tcPr>
          <w:p w14:paraId="23270F9D">
            <w:pPr>
              <w:spacing w:line="360" w:lineRule="auto"/>
              <w:jc w:val="center"/>
              <w:rPr>
                <w:rFonts w:ascii="黑体" w:hAnsi="黑体" w:eastAsia="黑体" w:cs="黑体"/>
                <w:sz w:val="24"/>
              </w:rPr>
            </w:pPr>
            <w:r>
              <w:rPr>
                <w:rFonts w:hint="eastAsia" w:ascii="黑体" w:hAnsi="黑体" w:eastAsia="黑体" w:cs="黑体"/>
                <w:sz w:val="24"/>
              </w:rPr>
              <w:t>偏离说明</w:t>
            </w:r>
          </w:p>
        </w:tc>
      </w:tr>
      <w:tr w14:paraId="7D5C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F100FC3">
            <w:pPr>
              <w:spacing w:line="360" w:lineRule="auto"/>
              <w:jc w:val="center"/>
              <w:rPr>
                <w:rFonts w:ascii="黑体" w:hAnsi="黑体" w:eastAsia="黑体" w:cs="黑体"/>
                <w:sz w:val="24"/>
              </w:rPr>
            </w:pPr>
            <w:r>
              <w:rPr>
                <w:rFonts w:hint="eastAsia" w:ascii="黑体" w:hAnsi="黑体" w:eastAsia="黑体" w:cs="黑体"/>
                <w:sz w:val="24"/>
              </w:rPr>
              <w:t>1</w:t>
            </w:r>
          </w:p>
        </w:tc>
        <w:tc>
          <w:tcPr>
            <w:tcW w:w="5945" w:type="dxa"/>
          </w:tcPr>
          <w:p w14:paraId="78DB0EF7">
            <w:pPr>
              <w:spacing w:line="360" w:lineRule="auto"/>
              <w:jc w:val="left"/>
              <w:rPr>
                <w:rFonts w:ascii="宋体" w:hAnsi="宋体"/>
              </w:rPr>
            </w:pPr>
            <w:r>
              <w:rPr>
                <w:rFonts w:hint="eastAsia" w:ascii="宋体" w:hAnsi="宋体"/>
              </w:rPr>
              <w:t>完全理解并接受合同条款的要求</w:t>
            </w:r>
          </w:p>
        </w:tc>
        <w:tc>
          <w:tcPr>
            <w:tcW w:w="1428" w:type="dxa"/>
          </w:tcPr>
          <w:p w14:paraId="2D3D73BD">
            <w:pPr>
              <w:spacing w:line="360" w:lineRule="auto"/>
              <w:jc w:val="center"/>
              <w:rPr>
                <w:rFonts w:ascii="宋体" w:hAnsi="宋体"/>
              </w:rPr>
            </w:pPr>
          </w:p>
        </w:tc>
        <w:tc>
          <w:tcPr>
            <w:tcW w:w="1255" w:type="dxa"/>
          </w:tcPr>
          <w:p w14:paraId="799F3673">
            <w:pPr>
              <w:spacing w:line="360" w:lineRule="auto"/>
              <w:jc w:val="center"/>
              <w:rPr>
                <w:rFonts w:ascii="宋体" w:hAnsi="宋体"/>
              </w:rPr>
            </w:pPr>
          </w:p>
        </w:tc>
      </w:tr>
      <w:tr w14:paraId="539A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DCAF63A">
            <w:pPr>
              <w:spacing w:line="360" w:lineRule="auto"/>
              <w:jc w:val="center"/>
              <w:rPr>
                <w:rFonts w:ascii="黑体" w:hAnsi="黑体" w:eastAsia="黑体" w:cs="黑体"/>
                <w:sz w:val="24"/>
              </w:rPr>
            </w:pPr>
            <w:r>
              <w:rPr>
                <w:rFonts w:hint="eastAsia" w:ascii="黑体" w:hAnsi="黑体" w:eastAsia="黑体" w:cs="黑体"/>
                <w:sz w:val="24"/>
              </w:rPr>
              <w:t>2</w:t>
            </w:r>
          </w:p>
        </w:tc>
        <w:tc>
          <w:tcPr>
            <w:tcW w:w="5945" w:type="dxa"/>
          </w:tcPr>
          <w:p w14:paraId="0AE95271">
            <w:pPr>
              <w:spacing w:line="360" w:lineRule="auto"/>
              <w:jc w:val="left"/>
              <w:rPr>
                <w:rFonts w:ascii="宋体" w:hAnsi="宋体"/>
              </w:rPr>
            </w:pPr>
            <w:r>
              <w:rPr>
                <w:rFonts w:hint="eastAsia" w:ascii="宋体" w:hAnsi="宋体"/>
              </w:rPr>
              <w:t>完全理解并接受对合格供应商、合格服务的要求</w:t>
            </w:r>
          </w:p>
        </w:tc>
        <w:tc>
          <w:tcPr>
            <w:tcW w:w="1428" w:type="dxa"/>
          </w:tcPr>
          <w:p w14:paraId="69EDACFF">
            <w:pPr>
              <w:spacing w:line="360" w:lineRule="auto"/>
              <w:jc w:val="center"/>
              <w:rPr>
                <w:rFonts w:ascii="宋体" w:hAnsi="宋体"/>
              </w:rPr>
            </w:pPr>
          </w:p>
        </w:tc>
        <w:tc>
          <w:tcPr>
            <w:tcW w:w="1255" w:type="dxa"/>
          </w:tcPr>
          <w:p w14:paraId="058C07A1">
            <w:pPr>
              <w:spacing w:line="360" w:lineRule="auto"/>
              <w:jc w:val="center"/>
              <w:rPr>
                <w:rFonts w:ascii="宋体" w:hAnsi="宋体"/>
              </w:rPr>
            </w:pPr>
          </w:p>
        </w:tc>
      </w:tr>
      <w:tr w14:paraId="6772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9351C48">
            <w:pPr>
              <w:spacing w:line="360" w:lineRule="auto"/>
              <w:jc w:val="center"/>
              <w:rPr>
                <w:rFonts w:ascii="黑体" w:hAnsi="黑体" w:eastAsia="黑体" w:cs="黑体"/>
                <w:sz w:val="24"/>
              </w:rPr>
            </w:pPr>
            <w:r>
              <w:rPr>
                <w:rFonts w:hint="eastAsia" w:ascii="黑体" w:hAnsi="黑体" w:eastAsia="黑体" w:cs="黑体"/>
                <w:sz w:val="24"/>
              </w:rPr>
              <w:t>3</w:t>
            </w:r>
          </w:p>
        </w:tc>
        <w:tc>
          <w:tcPr>
            <w:tcW w:w="5945" w:type="dxa"/>
          </w:tcPr>
          <w:p w14:paraId="410D7B81">
            <w:pPr>
              <w:spacing w:line="360" w:lineRule="auto"/>
              <w:jc w:val="left"/>
              <w:rPr>
                <w:rFonts w:ascii="宋体" w:hAnsi="宋体"/>
              </w:rPr>
            </w:pPr>
            <w:r>
              <w:rPr>
                <w:rFonts w:hint="eastAsia" w:ascii="宋体" w:hAnsi="宋体"/>
              </w:rPr>
              <w:t>完全理解并接受对供应商须知、规约要求和责任义务</w:t>
            </w:r>
          </w:p>
        </w:tc>
        <w:tc>
          <w:tcPr>
            <w:tcW w:w="1428" w:type="dxa"/>
          </w:tcPr>
          <w:p w14:paraId="67EE41DC">
            <w:pPr>
              <w:spacing w:line="360" w:lineRule="auto"/>
              <w:jc w:val="center"/>
              <w:rPr>
                <w:rFonts w:ascii="宋体" w:hAnsi="宋体"/>
              </w:rPr>
            </w:pPr>
          </w:p>
        </w:tc>
        <w:tc>
          <w:tcPr>
            <w:tcW w:w="1255" w:type="dxa"/>
          </w:tcPr>
          <w:p w14:paraId="40D0EBD7">
            <w:pPr>
              <w:spacing w:line="360" w:lineRule="auto"/>
              <w:jc w:val="center"/>
              <w:rPr>
                <w:rFonts w:ascii="宋体" w:hAnsi="宋体"/>
              </w:rPr>
            </w:pPr>
          </w:p>
        </w:tc>
      </w:tr>
      <w:tr w14:paraId="3E48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9CB369A">
            <w:pPr>
              <w:spacing w:line="360" w:lineRule="auto"/>
              <w:jc w:val="center"/>
              <w:rPr>
                <w:rFonts w:ascii="黑体" w:hAnsi="黑体" w:eastAsia="黑体" w:cs="黑体"/>
                <w:sz w:val="24"/>
              </w:rPr>
            </w:pPr>
            <w:r>
              <w:rPr>
                <w:rFonts w:hint="eastAsia" w:ascii="黑体" w:hAnsi="黑体" w:eastAsia="黑体" w:cs="黑体"/>
                <w:sz w:val="24"/>
              </w:rPr>
              <w:t>4</w:t>
            </w:r>
          </w:p>
        </w:tc>
        <w:tc>
          <w:tcPr>
            <w:tcW w:w="5945" w:type="dxa"/>
          </w:tcPr>
          <w:p w14:paraId="0F7F5815">
            <w:pPr>
              <w:spacing w:line="360" w:lineRule="auto"/>
              <w:jc w:val="left"/>
              <w:rPr>
                <w:rFonts w:ascii="宋体" w:hAnsi="宋体"/>
              </w:rPr>
            </w:pPr>
            <w:r>
              <w:rPr>
                <w:rFonts w:hint="eastAsia" w:ascii="宋体" w:hAnsi="宋体"/>
              </w:rPr>
              <w:t>响应有效期：自响应截止起不少于90日</w:t>
            </w:r>
          </w:p>
        </w:tc>
        <w:tc>
          <w:tcPr>
            <w:tcW w:w="1428" w:type="dxa"/>
          </w:tcPr>
          <w:p w14:paraId="5ED76839">
            <w:pPr>
              <w:spacing w:line="360" w:lineRule="auto"/>
              <w:jc w:val="center"/>
              <w:rPr>
                <w:rFonts w:ascii="宋体" w:hAnsi="宋体"/>
              </w:rPr>
            </w:pPr>
          </w:p>
        </w:tc>
        <w:tc>
          <w:tcPr>
            <w:tcW w:w="1255" w:type="dxa"/>
          </w:tcPr>
          <w:p w14:paraId="2A99CBBA">
            <w:pPr>
              <w:spacing w:line="360" w:lineRule="auto"/>
              <w:jc w:val="center"/>
              <w:rPr>
                <w:rFonts w:ascii="宋体" w:hAnsi="宋体"/>
              </w:rPr>
            </w:pPr>
          </w:p>
        </w:tc>
      </w:tr>
      <w:tr w14:paraId="4C1A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C20E6B0">
            <w:pPr>
              <w:spacing w:line="360" w:lineRule="auto"/>
              <w:jc w:val="center"/>
              <w:rPr>
                <w:rFonts w:ascii="黑体" w:hAnsi="黑体" w:eastAsia="黑体" w:cs="黑体"/>
                <w:sz w:val="24"/>
              </w:rPr>
            </w:pPr>
            <w:r>
              <w:rPr>
                <w:rFonts w:hint="eastAsia" w:ascii="黑体" w:hAnsi="黑体" w:eastAsia="黑体" w:cs="黑体"/>
                <w:sz w:val="24"/>
              </w:rPr>
              <w:t>5</w:t>
            </w:r>
          </w:p>
        </w:tc>
        <w:tc>
          <w:tcPr>
            <w:tcW w:w="5945" w:type="dxa"/>
          </w:tcPr>
          <w:p w14:paraId="35C89B7F">
            <w:pPr>
              <w:spacing w:line="360" w:lineRule="auto"/>
              <w:jc w:val="left"/>
              <w:rPr>
                <w:rFonts w:ascii="宋体" w:hAnsi="宋体"/>
              </w:rPr>
            </w:pPr>
            <w:r>
              <w:rPr>
                <w:rFonts w:hint="eastAsia" w:ascii="宋体" w:hAnsi="宋体"/>
              </w:rPr>
              <w:t>报价内容涵盖报价要求之一切费用和伴随服务</w:t>
            </w:r>
          </w:p>
        </w:tc>
        <w:tc>
          <w:tcPr>
            <w:tcW w:w="1428" w:type="dxa"/>
          </w:tcPr>
          <w:p w14:paraId="063763CC">
            <w:pPr>
              <w:spacing w:line="360" w:lineRule="auto"/>
              <w:jc w:val="center"/>
              <w:rPr>
                <w:rFonts w:ascii="宋体" w:hAnsi="宋体"/>
              </w:rPr>
            </w:pPr>
          </w:p>
        </w:tc>
        <w:tc>
          <w:tcPr>
            <w:tcW w:w="1255" w:type="dxa"/>
          </w:tcPr>
          <w:p w14:paraId="3BB73523">
            <w:pPr>
              <w:spacing w:line="360" w:lineRule="auto"/>
              <w:jc w:val="center"/>
              <w:rPr>
                <w:rFonts w:ascii="宋体" w:hAnsi="宋体"/>
              </w:rPr>
            </w:pPr>
          </w:p>
        </w:tc>
      </w:tr>
      <w:tr w14:paraId="243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0AC9728">
            <w:pPr>
              <w:spacing w:line="360" w:lineRule="auto"/>
              <w:jc w:val="center"/>
              <w:rPr>
                <w:rFonts w:ascii="黑体" w:hAnsi="黑体" w:eastAsia="黑体" w:cs="黑体"/>
                <w:sz w:val="24"/>
              </w:rPr>
            </w:pPr>
            <w:r>
              <w:rPr>
                <w:rFonts w:hint="eastAsia" w:ascii="黑体" w:hAnsi="黑体" w:eastAsia="黑体" w:cs="黑体"/>
                <w:sz w:val="24"/>
              </w:rPr>
              <w:t>6</w:t>
            </w:r>
          </w:p>
        </w:tc>
        <w:tc>
          <w:tcPr>
            <w:tcW w:w="5945" w:type="dxa"/>
          </w:tcPr>
          <w:p w14:paraId="0A0F0BDE">
            <w:pPr>
              <w:spacing w:line="360" w:lineRule="auto"/>
              <w:jc w:val="left"/>
              <w:rPr>
                <w:rFonts w:ascii="宋体" w:hAnsi="宋体"/>
              </w:rPr>
            </w:pPr>
            <w:r>
              <w:rPr>
                <w:rFonts w:hint="eastAsia" w:ascii="宋体" w:hAnsi="宋体"/>
              </w:rPr>
              <w:t>同意接受磋商文件要求的付款方式</w:t>
            </w:r>
          </w:p>
        </w:tc>
        <w:tc>
          <w:tcPr>
            <w:tcW w:w="1428" w:type="dxa"/>
          </w:tcPr>
          <w:p w14:paraId="4CD1FA22">
            <w:pPr>
              <w:spacing w:line="360" w:lineRule="auto"/>
              <w:jc w:val="center"/>
              <w:rPr>
                <w:rFonts w:ascii="宋体" w:hAnsi="宋体"/>
              </w:rPr>
            </w:pPr>
          </w:p>
        </w:tc>
        <w:tc>
          <w:tcPr>
            <w:tcW w:w="1255" w:type="dxa"/>
          </w:tcPr>
          <w:p w14:paraId="260B3203">
            <w:pPr>
              <w:spacing w:line="360" w:lineRule="auto"/>
              <w:jc w:val="center"/>
              <w:rPr>
                <w:rFonts w:ascii="宋体" w:hAnsi="宋体"/>
              </w:rPr>
            </w:pPr>
          </w:p>
        </w:tc>
      </w:tr>
      <w:tr w14:paraId="6A98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9A06A48">
            <w:pPr>
              <w:spacing w:line="360" w:lineRule="auto"/>
              <w:jc w:val="center"/>
              <w:rPr>
                <w:rFonts w:ascii="黑体" w:hAnsi="黑体" w:eastAsia="黑体" w:cs="黑体"/>
                <w:sz w:val="24"/>
              </w:rPr>
            </w:pPr>
            <w:r>
              <w:rPr>
                <w:rFonts w:hint="eastAsia" w:ascii="黑体" w:hAnsi="黑体" w:eastAsia="黑体" w:cs="黑体"/>
                <w:sz w:val="24"/>
              </w:rPr>
              <w:t>7</w:t>
            </w:r>
          </w:p>
        </w:tc>
        <w:tc>
          <w:tcPr>
            <w:tcW w:w="5945" w:type="dxa"/>
          </w:tcPr>
          <w:p w14:paraId="2FC8EE74">
            <w:pPr>
              <w:spacing w:line="360" w:lineRule="auto"/>
              <w:jc w:val="left"/>
              <w:rPr>
                <w:rFonts w:ascii="宋体" w:hAnsi="宋体"/>
              </w:rPr>
            </w:pPr>
            <w:r>
              <w:rPr>
                <w:rFonts w:hint="eastAsia" w:ascii="宋体" w:hAnsi="宋体"/>
              </w:rPr>
              <w:t>同意接受磋商文件要求的服务期</w:t>
            </w:r>
          </w:p>
        </w:tc>
        <w:tc>
          <w:tcPr>
            <w:tcW w:w="1428" w:type="dxa"/>
          </w:tcPr>
          <w:p w14:paraId="6DB4D804">
            <w:pPr>
              <w:spacing w:line="360" w:lineRule="auto"/>
              <w:jc w:val="center"/>
              <w:rPr>
                <w:rFonts w:ascii="宋体" w:hAnsi="宋体"/>
              </w:rPr>
            </w:pPr>
          </w:p>
        </w:tc>
        <w:tc>
          <w:tcPr>
            <w:tcW w:w="1255" w:type="dxa"/>
          </w:tcPr>
          <w:p w14:paraId="2EBA1EB4">
            <w:pPr>
              <w:spacing w:line="360" w:lineRule="auto"/>
              <w:jc w:val="center"/>
              <w:rPr>
                <w:rFonts w:ascii="宋体" w:hAnsi="宋体"/>
              </w:rPr>
            </w:pPr>
          </w:p>
        </w:tc>
      </w:tr>
      <w:tr w14:paraId="151A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225B2AD4">
            <w:pPr>
              <w:spacing w:line="360" w:lineRule="auto"/>
              <w:jc w:val="center"/>
              <w:rPr>
                <w:rFonts w:ascii="黑体" w:hAnsi="黑体" w:eastAsia="黑体" w:cs="黑体"/>
                <w:sz w:val="24"/>
              </w:rPr>
            </w:pPr>
            <w:r>
              <w:rPr>
                <w:rFonts w:hint="eastAsia" w:ascii="黑体" w:hAnsi="黑体" w:eastAsia="黑体" w:cs="黑体"/>
                <w:sz w:val="24"/>
              </w:rPr>
              <w:t>8</w:t>
            </w:r>
          </w:p>
        </w:tc>
        <w:tc>
          <w:tcPr>
            <w:tcW w:w="5945" w:type="dxa"/>
          </w:tcPr>
          <w:p w14:paraId="3511096D">
            <w:pPr>
              <w:spacing w:line="360" w:lineRule="auto"/>
              <w:jc w:val="left"/>
              <w:rPr>
                <w:rFonts w:ascii="宋体" w:hAnsi="宋体"/>
              </w:rPr>
            </w:pPr>
            <w:r>
              <w:rPr>
                <w:rFonts w:hint="eastAsia" w:ascii="宋体" w:hAnsi="宋体"/>
              </w:rPr>
              <w:t>同意接受磋商文件要求的售后服务的各项要求</w:t>
            </w:r>
          </w:p>
        </w:tc>
        <w:tc>
          <w:tcPr>
            <w:tcW w:w="1428" w:type="dxa"/>
          </w:tcPr>
          <w:p w14:paraId="7C84E7C4">
            <w:pPr>
              <w:spacing w:line="360" w:lineRule="auto"/>
              <w:jc w:val="center"/>
              <w:rPr>
                <w:rFonts w:ascii="宋体" w:hAnsi="宋体"/>
              </w:rPr>
            </w:pPr>
          </w:p>
        </w:tc>
        <w:tc>
          <w:tcPr>
            <w:tcW w:w="1255" w:type="dxa"/>
          </w:tcPr>
          <w:p w14:paraId="68475877">
            <w:pPr>
              <w:spacing w:line="360" w:lineRule="auto"/>
              <w:jc w:val="center"/>
              <w:rPr>
                <w:rFonts w:ascii="宋体" w:hAnsi="宋体"/>
              </w:rPr>
            </w:pPr>
          </w:p>
        </w:tc>
      </w:tr>
      <w:tr w14:paraId="4203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1766A696">
            <w:pPr>
              <w:spacing w:line="360" w:lineRule="auto"/>
              <w:jc w:val="center"/>
              <w:rPr>
                <w:rFonts w:ascii="黑体" w:hAnsi="黑体" w:eastAsia="黑体" w:cs="黑体"/>
                <w:sz w:val="24"/>
              </w:rPr>
            </w:pPr>
            <w:r>
              <w:rPr>
                <w:rFonts w:hint="eastAsia" w:ascii="黑体" w:hAnsi="黑体" w:eastAsia="黑体" w:cs="黑体"/>
                <w:sz w:val="24"/>
              </w:rPr>
              <w:t>9</w:t>
            </w:r>
          </w:p>
        </w:tc>
        <w:tc>
          <w:tcPr>
            <w:tcW w:w="5945" w:type="dxa"/>
          </w:tcPr>
          <w:p w14:paraId="21C20175">
            <w:pPr>
              <w:spacing w:line="360" w:lineRule="auto"/>
              <w:jc w:val="left"/>
              <w:rPr>
                <w:rFonts w:ascii="宋体" w:hAnsi="宋体"/>
              </w:rPr>
            </w:pPr>
            <w:r>
              <w:rPr>
                <w:rFonts w:hint="eastAsia" w:ascii="宋体" w:hAnsi="宋体"/>
              </w:rPr>
              <w:t>同意接受合同范本所列的各项条款</w:t>
            </w:r>
          </w:p>
        </w:tc>
        <w:tc>
          <w:tcPr>
            <w:tcW w:w="1428" w:type="dxa"/>
          </w:tcPr>
          <w:p w14:paraId="6DEA4351">
            <w:pPr>
              <w:spacing w:line="360" w:lineRule="auto"/>
              <w:jc w:val="center"/>
              <w:rPr>
                <w:rFonts w:ascii="宋体" w:hAnsi="宋体"/>
              </w:rPr>
            </w:pPr>
          </w:p>
        </w:tc>
        <w:tc>
          <w:tcPr>
            <w:tcW w:w="1255" w:type="dxa"/>
          </w:tcPr>
          <w:p w14:paraId="17AC2DC9">
            <w:pPr>
              <w:spacing w:line="360" w:lineRule="auto"/>
              <w:jc w:val="center"/>
              <w:rPr>
                <w:rFonts w:ascii="宋体" w:hAnsi="宋体"/>
              </w:rPr>
            </w:pPr>
          </w:p>
        </w:tc>
      </w:tr>
      <w:tr w14:paraId="53D3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3B5EFF1B">
            <w:pPr>
              <w:spacing w:line="360" w:lineRule="auto"/>
              <w:jc w:val="center"/>
              <w:rPr>
                <w:rFonts w:ascii="黑体" w:hAnsi="黑体" w:eastAsia="黑体" w:cs="黑体"/>
                <w:sz w:val="24"/>
              </w:rPr>
            </w:pPr>
            <w:r>
              <w:rPr>
                <w:rFonts w:hint="eastAsia" w:ascii="黑体" w:hAnsi="黑体" w:eastAsia="黑体" w:cs="黑体"/>
                <w:sz w:val="24"/>
              </w:rPr>
              <w:t>10</w:t>
            </w:r>
          </w:p>
        </w:tc>
        <w:tc>
          <w:tcPr>
            <w:tcW w:w="5945" w:type="dxa"/>
          </w:tcPr>
          <w:p w14:paraId="393C5461">
            <w:pPr>
              <w:spacing w:line="360" w:lineRule="auto"/>
              <w:jc w:val="left"/>
              <w:rPr>
                <w:rFonts w:ascii="宋体" w:hAnsi="宋体"/>
              </w:rPr>
            </w:pPr>
            <w:r>
              <w:rPr>
                <w:rFonts w:hint="eastAsia" w:ascii="宋体" w:hAnsi="宋体"/>
              </w:rPr>
              <w:t>同意按照本项目要求缴付各项款项</w:t>
            </w:r>
          </w:p>
        </w:tc>
        <w:tc>
          <w:tcPr>
            <w:tcW w:w="1428" w:type="dxa"/>
          </w:tcPr>
          <w:p w14:paraId="4D76CB9F">
            <w:pPr>
              <w:spacing w:line="360" w:lineRule="auto"/>
              <w:jc w:val="center"/>
              <w:rPr>
                <w:rFonts w:ascii="宋体" w:hAnsi="宋体"/>
              </w:rPr>
            </w:pPr>
          </w:p>
        </w:tc>
        <w:tc>
          <w:tcPr>
            <w:tcW w:w="1255" w:type="dxa"/>
          </w:tcPr>
          <w:p w14:paraId="08C4DB98">
            <w:pPr>
              <w:spacing w:line="360" w:lineRule="auto"/>
              <w:jc w:val="center"/>
              <w:rPr>
                <w:rFonts w:ascii="宋体" w:hAnsi="宋体"/>
              </w:rPr>
            </w:pPr>
          </w:p>
        </w:tc>
      </w:tr>
      <w:tr w14:paraId="3FF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AB80164">
            <w:pPr>
              <w:spacing w:line="360" w:lineRule="auto"/>
              <w:jc w:val="center"/>
              <w:rPr>
                <w:rFonts w:ascii="黑体" w:hAnsi="黑体" w:eastAsia="黑体" w:cs="黑体"/>
                <w:sz w:val="24"/>
              </w:rPr>
            </w:pPr>
            <w:r>
              <w:rPr>
                <w:rFonts w:hint="eastAsia" w:ascii="黑体" w:hAnsi="黑体" w:eastAsia="黑体" w:cs="黑体"/>
                <w:sz w:val="24"/>
              </w:rPr>
              <w:t>11</w:t>
            </w:r>
          </w:p>
        </w:tc>
        <w:tc>
          <w:tcPr>
            <w:tcW w:w="5945" w:type="dxa"/>
          </w:tcPr>
          <w:p w14:paraId="4E13FF9A">
            <w:pPr>
              <w:spacing w:line="360" w:lineRule="auto"/>
              <w:jc w:val="left"/>
              <w:rPr>
                <w:rFonts w:ascii="宋体" w:hAnsi="宋体"/>
              </w:rPr>
            </w:pPr>
            <w:r>
              <w:rPr>
                <w:rFonts w:hint="eastAsia" w:ascii="宋体" w:hAnsi="宋体"/>
              </w:rPr>
              <w:t>同意采购方以各种方式对我方提供的响应文件内容的真实性、有效性进行审查、验证</w:t>
            </w:r>
          </w:p>
        </w:tc>
        <w:tc>
          <w:tcPr>
            <w:tcW w:w="1428" w:type="dxa"/>
          </w:tcPr>
          <w:p w14:paraId="03EBC50A">
            <w:pPr>
              <w:spacing w:line="360" w:lineRule="auto"/>
              <w:jc w:val="center"/>
              <w:rPr>
                <w:rFonts w:ascii="宋体" w:hAnsi="宋体"/>
              </w:rPr>
            </w:pPr>
          </w:p>
        </w:tc>
        <w:tc>
          <w:tcPr>
            <w:tcW w:w="1255" w:type="dxa"/>
          </w:tcPr>
          <w:p w14:paraId="5505238C">
            <w:pPr>
              <w:spacing w:line="360" w:lineRule="auto"/>
              <w:jc w:val="center"/>
              <w:rPr>
                <w:rFonts w:ascii="宋体" w:hAnsi="宋体"/>
              </w:rPr>
            </w:pPr>
          </w:p>
        </w:tc>
      </w:tr>
      <w:tr w14:paraId="2589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BB9CD94">
            <w:pPr>
              <w:spacing w:line="360" w:lineRule="auto"/>
              <w:jc w:val="center"/>
              <w:rPr>
                <w:rFonts w:ascii="黑体" w:hAnsi="黑体" w:eastAsia="黑体" w:cs="黑体"/>
                <w:sz w:val="24"/>
              </w:rPr>
            </w:pPr>
            <w:r>
              <w:rPr>
                <w:rFonts w:hint="eastAsia" w:ascii="黑体" w:hAnsi="黑体" w:eastAsia="黑体" w:cs="黑体"/>
                <w:sz w:val="24"/>
              </w:rPr>
              <w:t>12</w:t>
            </w:r>
          </w:p>
        </w:tc>
        <w:tc>
          <w:tcPr>
            <w:tcW w:w="5945" w:type="dxa"/>
          </w:tcPr>
          <w:p w14:paraId="3F46BA84">
            <w:pPr>
              <w:spacing w:line="360" w:lineRule="auto"/>
              <w:jc w:val="left"/>
              <w:rPr>
                <w:rFonts w:ascii="宋体" w:hAnsi="宋体"/>
              </w:rPr>
            </w:pPr>
            <w:r>
              <w:rPr>
                <w:rFonts w:hint="eastAsia" w:ascii="宋体" w:hAnsi="宋体"/>
              </w:rPr>
              <w:t>其他商务条款偏离说明：</w:t>
            </w:r>
          </w:p>
        </w:tc>
        <w:tc>
          <w:tcPr>
            <w:tcW w:w="1428" w:type="dxa"/>
          </w:tcPr>
          <w:p w14:paraId="079DFE98">
            <w:pPr>
              <w:spacing w:line="360" w:lineRule="auto"/>
              <w:jc w:val="center"/>
              <w:rPr>
                <w:rFonts w:ascii="宋体" w:hAnsi="宋体"/>
              </w:rPr>
            </w:pPr>
          </w:p>
        </w:tc>
        <w:tc>
          <w:tcPr>
            <w:tcW w:w="1255" w:type="dxa"/>
          </w:tcPr>
          <w:p w14:paraId="4AFC6F68">
            <w:pPr>
              <w:spacing w:line="360" w:lineRule="auto"/>
              <w:jc w:val="center"/>
              <w:rPr>
                <w:rFonts w:ascii="宋体" w:hAnsi="宋体"/>
              </w:rPr>
            </w:pPr>
          </w:p>
        </w:tc>
      </w:tr>
    </w:tbl>
    <w:p w14:paraId="51E7775C">
      <w:pPr>
        <w:spacing w:line="360" w:lineRule="auto"/>
        <w:ind w:firstLine="422" w:firstLineChars="200"/>
        <w:jc w:val="left"/>
        <w:rPr>
          <w:rFonts w:ascii="宋体" w:hAnsi="宋体"/>
          <w:b/>
          <w:bCs/>
          <w:u w:val="single"/>
        </w:rPr>
      </w:pPr>
      <w:r>
        <w:rPr>
          <w:rFonts w:hint="eastAsia" w:ascii="宋体" w:hAnsi="宋体"/>
          <w:b/>
          <w:bCs/>
          <w:u w:val="single"/>
        </w:rPr>
        <w:t>注：对于上述要求，如供应商完全响应，则在“是否响应”栏打“√”，空白或打“Х”视偏离，请在“偏离说明”栏</w:t>
      </w:r>
      <w:r>
        <w:rPr>
          <w:rFonts w:hint="eastAsia" w:ascii="宋体" w:hAnsi="宋体"/>
          <w:b/>
          <w:bCs/>
          <w:u w:val="single"/>
          <w:lang w:val="en-GB"/>
        </w:rPr>
        <w:t>扼要叙述。</w:t>
      </w:r>
    </w:p>
    <w:p w14:paraId="2DD85097">
      <w:pPr>
        <w:spacing w:line="480" w:lineRule="auto"/>
        <w:ind w:firstLine="480" w:firstLineChars="200"/>
        <w:jc w:val="left"/>
        <w:rPr>
          <w:rFonts w:ascii="宋体" w:hAnsi="宋体"/>
          <w:sz w:val="24"/>
        </w:rPr>
      </w:pPr>
    </w:p>
    <w:p w14:paraId="6A27BB57">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供应商</w:t>
      </w:r>
      <w:r>
        <w:rPr>
          <w:rFonts w:hint="eastAsia" w:ascii="宋体" w:hAnsi="宋体"/>
          <w:sz w:val="24"/>
        </w:rPr>
        <w:t>（公章</w:t>
      </w:r>
      <w:r>
        <w:rPr>
          <w:rFonts w:ascii="宋体" w:hAnsi="宋体"/>
          <w:sz w:val="24"/>
        </w:rPr>
        <w:t>）：</w:t>
      </w:r>
      <w:r>
        <w:rPr>
          <w:rFonts w:hint="eastAsia" w:ascii="宋体" w:hAnsi="宋体"/>
          <w:sz w:val="24"/>
        </w:rPr>
        <w:t xml:space="preserve"> </w:t>
      </w:r>
      <w:r>
        <w:rPr>
          <w:rFonts w:hint="eastAsia" w:ascii="宋体" w:hAnsi="宋体"/>
          <w:sz w:val="24"/>
          <w:u w:val="single"/>
        </w:rPr>
        <w:t>名称</w:t>
      </w:r>
      <w:r>
        <w:rPr>
          <w:rFonts w:hint="eastAsia" w:ascii="宋体" w:hAnsi="宋体"/>
          <w:sz w:val="24"/>
        </w:rPr>
        <w:t>（加盖公章）</w:t>
      </w:r>
    </w:p>
    <w:p w14:paraId="5EEAF7A8">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0953D29A">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E9FF00D">
      <w:pPr>
        <w:rPr>
          <w:rFonts w:ascii="黑体" w:hAnsi="黑体" w:eastAsia="黑体" w:cs="黑体"/>
          <w:b/>
          <w:bCs/>
          <w:sz w:val="32"/>
          <w:szCs w:val="32"/>
        </w:rPr>
      </w:pPr>
      <w:r>
        <w:rPr>
          <w:rFonts w:hint="eastAsia" w:ascii="宋体"/>
          <w:b/>
          <w:szCs w:val="21"/>
          <w:lang w:val="en-GB"/>
        </w:rPr>
        <w:br w:type="page"/>
      </w:r>
    </w:p>
    <w:p w14:paraId="0C804EA0">
      <w:pPr>
        <w:spacing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三、响应方案</w:t>
      </w:r>
    </w:p>
    <w:p w14:paraId="38F9250B">
      <w:pPr>
        <w:pStyle w:val="26"/>
        <w:widowControl/>
        <w:ind w:firstLine="0" w:firstLineChars="0"/>
        <w:jc w:val="center"/>
        <w:rPr>
          <w:rFonts w:cs="华文仿宋"/>
          <w:b/>
          <w:bCs/>
          <w:sz w:val="30"/>
          <w:szCs w:val="30"/>
        </w:rPr>
      </w:pPr>
      <w:r>
        <w:rPr>
          <w:rFonts w:hint="eastAsia" w:cs="华文仿宋"/>
          <w:b/>
          <w:bCs/>
          <w:sz w:val="30"/>
          <w:szCs w:val="30"/>
        </w:rPr>
        <w:t>评审分项自查表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14:paraId="1C4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0CCECCE2">
            <w:pPr>
              <w:spacing w:line="360" w:lineRule="auto"/>
              <w:jc w:val="center"/>
              <w:rPr>
                <w:rFonts w:ascii="黑体" w:hAnsi="黑体" w:eastAsia="黑体" w:cs="Times New Roman"/>
                <w:sz w:val="24"/>
              </w:rPr>
            </w:pPr>
            <w:r>
              <w:rPr>
                <w:rFonts w:hint="eastAsia" w:ascii="黑体" w:hAnsi="黑体" w:eastAsia="黑体" w:cs="黑体"/>
                <w:sz w:val="24"/>
              </w:rPr>
              <w:t>序号</w:t>
            </w:r>
          </w:p>
        </w:tc>
        <w:tc>
          <w:tcPr>
            <w:tcW w:w="1825" w:type="dxa"/>
            <w:vAlign w:val="center"/>
          </w:tcPr>
          <w:p w14:paraId="0958A531">
            <w:pPr>
              <w:spacing w:line="360" w:lineRule="auto"/>
              <w:jc w:val="center"/>
              <w:rPr>
                <w:rFonts w:ascii="黑体" w:hAnsi="黑体" w:eastAsia="黑体" w:cs="Times New Roman"/>
                <w:sz w:val="24"/>
              </w:rPr>
            </w:pPr>
            <w:r>
              <w:rPr>
                <w:rFonts w:hint="eastAsia" w:ascii="黑体" w:hAnsi="黑体" w:eastAsia="黑体" w:cs="黑体"/>
                <w:sz w:val="24"/>
              </w:rPr>
              <w:t>评审分项</w:t>
            </w:r>
          </w:p>
        </w:tc>
        <w:tc>
          <w:tcPr>
            <w:tcW w:w="3150" w:type="dxa"/>
            <w:vAlign w:val="center"/>
          </w:tcPr>
          <w:p w14:paraId="0975FBB2">
            <w:pPr>
              <w:spacing w:line="360" w:lineRule="auto"/>
              <w:jc w:val="center"/>
              <w:rPr>
                <w:rFonts w:ascii="黑体" w:hAnsi="黑体" w:eastAsia="黑体" w:cs="Times New Roman"/>
                <w:sz w:val="24"/>
              </w:rPr>
            </w:pPr>
            <w:r>
              <w:rPr>
                <w:rFonts w:hint="eastAsia" w:ascii="黑体" w:hAnsi="黑体" w:eastAsia="黑体" w:cs="黑体"/>
                <w:sz w:val="24"/>
              </w:rPr>
              <w:t>内容</w:t>
            </w:r>
          </w:p>
        </w:tc>
        <w:tc>
          <w:tcPr>
            <w:tcW w:w="2863" w:type="dxa"/>
            <w:vAlign w:val="center"/>
          </w:tcPr>
          <w:p w14:paraId="6939E0ED">
            <w:pPr>
              <w:spacing w:line="360" w:lineRule="auto"/>
              <w:jc w:val="center"/>
              <w:rPr>
                <w:rFonts w:ascii="黑体" w:hAnsi="黑体" w:eastAsia="黑体" w:cs="Times New Roman"/>
                <w:sz w:val="24"/>
              </w:rPr>
            </w:pPr>
            <w:r>
              <w:rPr>
                <w:rFonts w:hint="eastAsia" w:ascii="黑体" w:hAnsi="黑体" w:eastAsia="黑体" w:cs="黑体"/>
                <w:sz w:val="24"/>
              </w:rPr>
              <w:t>证明文件（如有）</w:t>
            </w:r>
          </w:p>
        </w:tc>
      </w:tr>
      <w:tr w14:paraId="605D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72B9AB3B">
            <w:pPr>
              <w:spacing w:line="360" w:lineRule="auto"/>
              <w:jc w:val="center"/>
              <w:rPr>
                <w:rFonts w:ascii="宋体" w:hAnsi="宋体"/>
              </w:rPr>
            </w:pPr>
            <w:r>
              <w:rPr>
                <w:rFonts w:hint="eastAsia" w:ascii="宋体" w:hAnsi="宋体"/>
              </w:rPr>
              <w:t>1</w:t>
            </w:r>
          </w:p>
        </w:tc>
        <w:tc>
          <w:tcPr>
            <w:tcW w:w="1825" w:type="dxa"/>
            <w:vAlign w:val="center"/>
          </w:tcPr>
          <w:p w14:paraId="5732E91E">
            <w:pPr>
              <w:spacing w:line="360" w:lineRule="auto"/>
              <w:jc w:val="center"/>
              <w:rPr>
                <w:rFonts w:ascii="宋体" w:hAnsi="宋体"/>
              </w:rPr>
            </w:pPr>
          </w:p>
        </w:tc>
        <w:tc>
          <w:tcPr>
            <w:tcW w:w="3150" w:type="dxa"/>
            <w:vAlign w:val="center"/>
          </w:tcPr>
          <w:p w14:paraId="496E0A0F">
            <w:pPr>
              <w:spacing w:line="360" w:lineRule="auto"/>
              <w:jc w:val="center"/>
              <w:rPr>
                <w:rFonts w:ascii="宋体" w:hAnsi="宋体"/>
              </w:rPr>
            </w:pPr>
          </w:p>
        </w:tc>
        <w:tc>
          <w:tcPr>
            <w:tcW w:w="2863" w:type="dxa"/>
            <w:vAlign w:val="center"/>
          </w:tcPr>
          <w:p w14:paraId="72C6866E">
            <w:pPr>
              <w:spacing w:line="360" w:lineRule="auto"/>
              <w:jc w:val="center"/>
              <w:rPr>
                <w:rFonts w:ascii="宋体" w:hAnsi="宋体"/>
              </w:rPr>
            </w:pPr>
            <w:r>
              <w:rPr>
                <w:rFonts w:hint="eastAsia" w:ascii="宋体" w:hAnsi="宋体"/>
              </w:rPr>
              <w:t>见响应文件（）页</w:t>
            </w:r>
          </w:p>
        </w:tc>
      </w:tr>
      <w:tr w14:paraId="4C90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A706B66">
            <w:pPr>
              <w:spacing w:line="360" w:lineRule="auto"/>
              <w:jc w:val="center"/>
              <w:rPr>
                <w:rFonts w:ascii="宋体" w:hAnsi="宋体"/>
              </w:rPr>
            </w:pPr>
            <w:r>
              <w:rPr>
                <w:rFonts w:hint="eastAsia" w:ascii="宋体" w:hAnsi="宋体"/>
              </w:rPr>
              <w:t>2</w:t>
            </w:r>
          </w:p>
        </w:tc>
        <w:tc>
          <w:tcPr>
            <w:tcW w:w="1825" w:type="dxa"/>
            <w:vAlign w:val="center"/>
          </w:tcPr>
          <w:p w14:paraId="3EC1EDE4">
            <w:pPr>
              <w:spacing w:line="360" w:lineRule="auto"/>
              <w:jc w:val="center"/>
              <w:rPr>
                <w:rFonts w:ascii="宋体" w:hAnsi="宋体"/>
              </w:rPr>
            </w:pPr>
          </w:p>
        </w:tc>
        <w:tc>
          <w:tcPr>
            <w:tcW w:w="3150" w:type="dxa"/>
            <w:vAlign w:val="center"/>
          </w:tcPr>
          <w:p w14:paraId="0CD2F64D">
            <w:pPr>
              <w:spacing w:line="360" w:lineRule="auto"/>
              <w:jc w:val="center"/>
              <w:rPr>
                <w:rFonts w:ascii="宋体" w:hAnsi="宋体"/>
              </w:rPr>
            </w:pPr>
          </w:p>
        </w:tc>
        <w:tc>
          <w:tcPr>
            <w:tcW w:w="2863" w:type="dxa"/>
            <w:vAlign w:val="center"/>
          </w:tcPr>
          <w:p w14:paraId="0BB085C5">
            <w:pPr>
              <w:spacing w:line="360" w:lineRule="auto"/>
              <w:jc w:val="center"/>
              <w:rPr>
                <w:rFonts w:ascii="宋体" w:hAnsi="宋体"/>
              </w:rPr>
            </w:pPr>
            <w:r>
              <w:rPr>
                <w:rFonts w:hint="eastAsia" w:ascii="宋体" w:hAnsi="宋体"/>
              </w:rPr>
              <w:t>见响应文件（）页</w:t>
            </w:r>
          </w:p>
        </w:tc>
      </w:tr>
      <w:tr w14:paraId="08D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3560DD04">
            <w:pPr>
              <w:spacing w:line="360" w:lineRule="auto"/>
              <w:jc w:val="center"/>
              <w:rPr>
                <w:rFonts w:ascii="宋体" w:hAnsi="宋体"/>
              </w:rPr>
            </w:pPr>
            <w:r>
              <w:rPr>
                <w:rFonts w:hint="eastAsia" w:ascii="宋体" w:hAnsi="宋体"/>
              </w:rPr>
              <w:t>3</w:t>
            </w:r>
          </w:p>
        </w:tc>
        <w:tc>
          <w:tcPr>
            <w:tcW w:w="1825" w:type="dxa"/>
            <w:vAlign w:val="center"/>
          </w:tcPr>
          <w:p w14:paraId="09290C29">
            <w:pPr>
              <w:spacing w:line="360" w:lineRule="auto"/>
              <w:jc w:val="center"/>
              <w:rPr>
                <w:rFonts w:ascii="宋体" w:hAnsi="宋体"/>
              </w:rPr>
            </w:pPr>
          </w:p>
        </w:tc>
        <w:tc>
          <w:tcPr>
            <w:tcW w:w="3150" w:type="dxa"/>
            <w:vAlign w:val="center"/>
          </w:tcPr>
          <w:p w14:paraId="79A1097F">
            <w:pPr>
              <w:spacing w:line="360" w:lineRule="auto"/>
              <w:jc w:val="center"/>
              <w:rPr>
                <w:rFonts w:ascii="宋体" w:hAnsi="宋体"/>
              </w:rPr>
            </w:pPr>
          </w:p>
        </w:tc>
        <w:tc>
          <w:tcPr>
            <w:tcW w:w="2863" w:type="dxa"/>
            <w:vAlign w:val="center"/>
          </w:tcPr>
          <w:p w14:paraId="05B301F8">
            <w:pPr>
              <w:spacing w:line="360" w:lineRule="auto"/>
              <w:jc w:val="center"/>
              <w:rPr>
                <w:rFonts w:ascii="宋体" w:hAnsi="宋体"/>
              </w:rPr>
            </w:pPr>
            <w:r>
              <w:rPr>
                <w:rFonts w:hint="eastAsia" w:ascii="宋体" w:hAnsi="宋体"/>
              </w:rPr>
              <w:t>见响应文件（）页</w:t>
            </w:r>
          </w:p>
        </w:tc>
      </w:tr>
      <w:tr w14:paraId="25CB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4AAFCAED">
            <w:pPr>
              <w:spacing w:line="360" w:lineRule="auto"/>
              <w:jc w:val="center"/>
              <w:rPr>
                <w:rFonts w:ascii="宋体" w:hAnsi="宋体"/>
              </w:rPr>
            </w:pPr>
            <w:r>
              <w:rPr>
                <w:rFonts w:hint="eastAsia" w:ascii="宋体" w:hAnsi="宋体"/>
              </w:rPr>
              <w:t>4</w:t>
            </w:r>
          </w:p>
        </w:tc>
        <w:tc>
          <w:tcPr>
            <w:tcW w:w="1825" w:type="dxa"/>
            <w:vAlign w:val="center"/>
          </w:tcPr>
          <w:p w14:paraId="08478AA5">
            <w:pPr>
              <w:spacing w:line="360" w:lineRule="auto"/>
              <w:jc w:val="center"/>
              <w:rPr>
                <w:rFonts w:ascii="宋体" w:hAnsi="宋体"/>
              </w:rPr>
            </w:pPr>
          </w:p>
        </w:tc>
        <w:tc>
          <w:tcPr>
            <w:tcW w:w="3150" w:type="dxa"/>
            <w:vAlign w:val="center"/>
          </w:tcPr>
          <w:p w14:paraId="357A7BC5">
            <w:pPr>
              <w:spacing w:line="360" w:lineRule="auto"/>
              <w:jc w:val="center"/>
              <w:rPr>
                <w:rFonts w:ascii="宋体" w:hAnsi="宋体"/>
              </w:rPr>
            </w:pPr>
          </w:p>
        </w:tc>
        <w:tc>
          <w:tcPr>
            <w:tcW w:w="2863" w:type="dxa"/>
            <w:vAlign w:val="center"/>
          </w:tcPr>
          <w:p w14:paraId="066DAD76">
            <w:pPr>
              <w:spacing w:line="360" w:lineRule="auto"/>
              <w:jc w:val="center"/>
              <w:rPr>
                <w:rFonts w:ascii="宋体" w:hAnsi="宋体"/>
              </w:rPr>
            </w:pPr>
            <w:r>
              <w:rPr>
                <w:rFonts w:hint="eastAsia" w:ascii="宋体" w:hAnsi="宋体"/>
              </w:rPr>
              <w:t>见响应文件（）页</w:t>
            </w:r>
          </w:p>
        </w:tc>
      </w:tr>
      <w:tr w14:paraId="67DD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2CAA13F9">
            <w:pPr>
              <w:spacing w:line="360" w:lineRule="auto"/>
              <w:jc w:val="center"/>
              <w:rPr>
                <w:rFonts w:ascii="宋体" w:hAnsi="宋体"/>
              </w:rPr>
            </w:pPr>
            <w:r>
              <w:rPr>
                <w:rFonts w:hint="eastAsia" w:ascii="宋体" w:hAnsi="宋体"/>
              </w:rPr>
              <w:t>5</w:t>
            </w:r>
          </w:p>
        </w:tc>
        <w:tc>
          <w:tcPr>
            <w:tcW w:w="1825" w:type="dxa"/>
            <w:vAlign w:val="center"/>
          </w:tcPr>
          <w:p w14:paraId="3FDAF59B">
            <w:pPr>
              <w:spacing w:line="360" w:lineRule="auto"/>
              <w:jc w:val="center"/>
              <w:rPr>
                <w:rFonts w:ascii="宋体" w:hAnsi="宋体"/>
              </w:rPr>
            </w:pPr>
          </w:p>
        </w:tc>
        <w:tc>
          <w:tcPr>
            <w:tcW w:w="3150" w:type="dxa"/>
            <w:vAlign w:val="center"/>
          </w:tcPr>
          <w:p w14:paraId="4033490C">
            <w:pPr>
              <w:spacing w:line="360" w:lineRule="auto"/>
              <w:jc w:val="center"/>
              <w:rPr>
                <w:rFonts w:ascii="宋体" w:hAnsi="宋体"/>
              </w:rPr>
            </w:pPr>
          </w:p>
        </w:tc>
        <w:tc>
          <w:tcPr>
            <w:tcW w:w="2863" w:type="dxa"/>
            <w:vAlign w:val="center"/>
          </w:tcPr>
          <w:p w14:paraId="4B18FFDA">
            <w:pPr>
              <w:spacing w:line="360" w:lineRule="auto"/>
              <w:jc w:val="center"/>
              <w:rPr>
                <w:rFonts w:ascii="宋体" w:hAnsi="宋体"/>
              </w:rPr>
            </w:pPr>
            <w:r>
              <w:rPr>
                <w:rFonts w:hint="eastAsia" w:ascii="宋体" w:hAnsi="宋体"/>
              </w:rPr>
              <w:t>见响应文件（）页</w:t>
            </w:r>
          </w:p>
        </w:tc>
      </w:tr>
      <w:tr w14:paraId="76CE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5D36D855">
            <w:pPr>
              <w:spacing w:line="360" w:lineRule="auto"/>
              <w:jc w:val="center"/>
              <w:rPr>
                <w:rFonts w:ascii="宋体" w:hAnsi="宋体"/>
              </w:rPr>
            </w:pPr>
            <w:r>
              <w:rPr>
                <w:rFonts w:hint="eastAsia" w:ascii="宋体" w:hAnsi="宋体"/>
              </w:rPr>
              <w:t>6</w:t>
            </w:r>
          </w:p>
        </w:tc>
        <w:tc>
          <w:tcPr>
            <w:tcW w:w="1825" w:type="dxa"/>
            <w:vAlign w:val="center"/>
          </w:tcPr>
          <w:p w14:paraId="6AC66DFE">
            <w:pPr>
              <w:spacing w:line="360" w:lineRule="auto"/>
              <w:jc w:val="center"/>
              <w:rPr>
                <w:rFonts w:ascii="宋体" w:hAnsi="宋体"/>
              </w:rPr>
            </w:pPr>
          </w:p>
        </w:tc>
        <w:tc>
          <w:tcPr>
            <w:tcW w:w="3150" w:type="dxa"/>
            <w:vAlign w:val="center"/>
          </w:tcPr>
          <w:p w14:paraId="6D9499D4">
            <w:pPr>
              <w:spacing w:line="360" w:lineRule="auto"/>
              <w:jc w:val="center"/>
              <w:rPr>
                <w:rFonts w:ascii="宋体" w:hAnsi="宋体"/>
              </w:rPr>
            </w:pPr>
          </w:p>
        </w:tc>
        <w:tc>
          <w:tcPr>
            <w:tcW w:w="2863" w:type="dxa"/>
            <w:vAlign w:val="center"/>
          </w:tcPr>
          <w:p w14:paraId="3D7384E4">
            <w:pPr>
              <w:spacing w:line="360" w:lineRule="auto"/>
              <w:jc w:val="center"/>
              <w:rPr>
                <w:rFonts w:ascii="宋体" w:hAnsi="宋体"/>
              </w:rPr>
            </w:pPr>
            <w:r>
              <w:rPr>
                <w:rFonts w:hint="eastAsia" w:ascii="宋体" w:hAnsi="宋体"/>
              </w:rPr>
              <w:t>见响应文件（）页</w:t>
            </w:r>
          </w:p>
        </w:tc>
      </w:tr>
      <w:tr w14:paraId="7FBC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388DC1FE">
            <w:pPr>
              <w:spacing w:line="360" w:lineRule="auto"/>
              <w:jc w:val="center"/>
              <w:rPr>
                <w:rFonts w:ascii="宋体" w:hAnsi="宋体"/>
              </w:rPr>
            </w:pPr>
            <w:r>
              <w:rPr>
                <w:rFonts w:hint="eastAsia" w:ascii="宋体" w:hAnsi="宋体"/>
              </w:rPr>
              <w:t>7</w:t>
            </w:r>
          </w:p>
        </w:tc>
        <w:tc>
          <w:tcPr>
            <w:tcW w:w="1825" w:type="dxa"/>
            <w:vAlign w:val="center"/>
          </w:tcPr>
          <w:p w14:paraId="6A868AEE">
            <w:pPr>
              <w:spacing w:line="360" w:lineRule="auto"/>
              <w:jc w:val="center"/>
              <w:rPr>
                <w:rFonts w:ascii="宋体" w:hAnsi="宋体"/>
              </w:rPr>
            </w:pPr>
          </w:p>
        </w:tc>
        <w:tc>
          <w:tcPr>
            <w:tcW w:w="3150" w:type="dxa"/>
            <w:vAlign w:val="center"/>
          </w:tcPr>
          <w:p w14:paraId="2D691206">
            <w:pPr>
              <w:spacing w:line="360" w:lineRule="auto"/>
              <w:jc w:val="center"/>
              <w:rPr>
                <w:rFonts w:ascii="宋体" w:hAnsi="宋体"/>
              </w:rPr>
            </w:pPr>
          </w:p>
        </w:tc>
        <w:tc>
          <w:tcPr>
            <w:tcW w:w="2863" w:type="dxa"/>
            <w:vAlign w:val="center"/>
          </w:tcPr>
          <w:p w14:paraId="36B25543">
            <w:pPr>
              <w:spacing w:line="360" w:lineRule="auto"/>
              <w:jc w:val="center"/>
              <w:rPr>
                <w:rFonts w:ascii="宋体" w:hAnsi="宋体"/>
              </w:rPr>
            </w:pPr>
            <w:r>
              <w:rPr>
                <w:rFonts w:hint="eastAsia" w:ascii="宋体" w:hAnsi="宋体"/>
              </w:rPr>
              <w:t>见响应文件（）页</w:t>
            </w:r>
          </w:p>
        </w:tc>
      </w:tr>
      <w:tr w14:paraId="1DDD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5F68C204">
            <w:pPr>
              <w:spacing w:line="360" w:lineRule="auto"/>
              <w:jc w:val="center"/>
              <w:rPr>
                <w:rFonts w:ascii="宋体" w:hAnsi="宋体"/>
              </w:rPr>
            </w:pPr>
            <w:r>
              <w:rPr>
                <w:rFonts w:hint="eastAsia" w:ascii="宋体" w:hAnsi="宋体"/>
              </w:rPr>
              <w:t>8</w:t>
            </w:r>
          </w:p>
        </w:tc>
        <w:tc>
          <w:tcPr>
            <w:tcW w:w="1825" w:type="dxa"/>
            <w:vAlign w:val="center"/>
          </w:tcPr>
          <w:p w14:paraId="1B937D65">
            <w:pPr>
              <w:spacing w:line="360" w:lineRule="auto"/>
              <w:jc w:val="center"/>
              <w:rPr>
                <w:rFonts w:ascii="宋体" w:hAnsi="宋体"/>
              </w:rPr>
            </w:pPr>
          </w:p>
        </w:tc>
        <w:tc>
          <w:tcPr>
            <w:tcW w:w="3150" w:type="dxa"/>
            <w:vAlign w:val="center"/>
          </w:tcPr>
          <w:p w14:paraId="7AF166BE">
            <w:pPr>
              <w:spacing w:line="360" w:lineRule="auto"/>
              <w:jc w:val="center"/>
              <w:rPr>
                <w:rFonts w:ascii="宋体" w:hAnsi="宋体"/>
              </w:rPr>
            </w:pPr>
          </w:p>
        </w:tc>
        <w:tc>
          <w:tcPr>
            <w:tcW w:w="2863" w:type="dxa"/>
            <w:vAlign w:val="center"/>
          </w:tcPr>
          <w:p w14:paraId="0F238116">
            <w:pPr>
              <w:spacing w:line="360" w:lineRule="auto"/>
              <w:jc w:val="center"/>
              <w:rPr>
                <w:rFonts w:ascii="宋体" w:hAnsi="宋体"/>
              </w:rPr>
            </w:pPr>
            <w:r>
              <w:rPr>
                <w:rFonts w:hint="eastAsia" w:ascii="宋体" w:hAnsi="宋体"/>
              </w:rPr>
              <w:t>见响应文件（）页</w:t>
            </w:r>
          </w:p>
        </w:tc>
      </w:tr>
      <w:tr w14:paraId="3208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7B701D1">
            <w:pPr>
              <w:spacing w:line="360" w:lineRule="auto"/>
              <w:jc w:val="center"/>
              <w:rPr>
                <w:rFonts w:ascii="宋体" w:hAnsi="宋体"/>
              </w:rPr>
            </w:pPr>
            <w:r>
              <w:rPr>
                <w:rFonts w:hint="eastAsia" w:ascii="宋体" w:hAnsi="宋体"/>
              </w:rPr>
              <w:t>9</w:t>
            </w:r>
          </w:p>
        </w:tc>
        <w:tc>
          <w:tcPr>
            <w:tcW w:w="1825" w:type="dxa"/>
            <w:vAlign w:val="center"/>
          </w:tcPr>
          <w:p w14:paraId="46E3645B">
            <w:pPr>
              <w:spacing w:line="360" w:lineRule="auto"/>
              <w:jc w:val="center"/>
              <w:rPr>
                <w:rFonts w:ascii="宋体" w:hAnsi="宋体"/>
              </w:rPr>
            </w:pPr>
          </w:p>
        </w:tc>
        <w:tc>
          <w:tcPr>
            <w:tcW w:w="3150" w:type="dxa"/>
            <w:vAlign w:val="center"/>
          </w:tcPr>
          <w:p w14:paraId="58AF468C">
            <w:pPr>
              <w:spacing w:line="360" w:lineRule="auto"/>
              <w:jc w:val="center"/>
              <w:rPr>
                <w:rFonts w:ascii="宋体" w:hAnsi="宋体"/>
              </w:rPr>
            </w:pPr>
          </w:p>
        </w:tc>
        <w:tc>
          <w:tcPr>
            <w:tcW w:w="2863" w:type="dxa"/>
            <w:vAlign w:val="center"/>
          </w:tcPr>
          <w:p w14:paraId="4079D12D">
            <w:pPr>
              <w:spacing w:line="360" w:lineRule="auto"/>
              <w:jc w:val="center"/>
              <w:rPr>
                <w:rFonts w:ascii="宋体" w:hAnsi="宋体"/>
              </w:rPr>
            </w:pPr>
            <w:r>
              <w:rPr>
                <w:rFonts w:hint="eastAsia" w:ascii="宋体" w:hAnsi="宋体"/>
              </w:rPr>
              <w:t>见响应文件（）页</w:t>
            </w:r>
          </w:p>
        </w:tc>
      </w:tr>
      <w:tr w14:paraId="41BF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02F4F9E4">
            <w:pPr>
              <w:spacing w:line="360" w:lineRule="auto"/>
              <w:jc w:val="center"/>
              <w:rPr>
                <w:rFonts w:ascii="宋体" w:hAnsi="宋体"/>
              </w:rPr>
            </w:pPr>
            <w:r>
              <w:rPr>
                <w:rFonts w:hint="eastAsia" w:ascii="宋体" w:hAnsi="宋体"/>
              </w:rPr>
              <w:t>…</w:t>
            </w:r>
          </w:p>
        </w:tc>
        <w:tc>
          <w:tcPr>
            <w:tcW w:w="1825" w:type="dxa"/>
            <w:vAlign w:val="center"/>
          </w:tcPr>
          <w:p w14:paraId="3284D7CD">
            <w:pPr>
              <w:spacing w:line="360" w:lineRule="auto"/>
              <w:jc w:val="center"/>
              <w:rPr>
                <w:rFonts w:ascii="宋体" w:hAnsi="宋体"/>
              </w:rPr>
            </w:pPr>
          </w:p>
        </w:tc>
        <w:tc>
          <w:tcPr>
            <w:tcW w:w="3150" w:type="dxa"/>
            <w:vAlign w:val="center"/>
          </w:tcPr>
          <w:p w14:paraId="674E9986">
            <w:pPr>
              <w:spacing w:line="360" w:lineRule="auto"/>
              <w:jc w:val="center"/>
              <w:rPr>
                <w:rFonts w:ascii="宋体" w:hAnsi="宋体"/>
              </w:rPr>
            </w:pPr>
          </w:p>
        </w:tc>
        <w:tc>
          <w:tcPr>
            <w:tcW w:w="2863" w:type="dxa"/>
            <w:vAlign w:val="center"/>
          </w:tcPr>
          <w:p w14:paraId="5D9FF858">
            <w:pPr>
              <w:spacing w:line="360" w:lineRule="auto"/>
              <w:jc w:val="center"/>
              <w:rPr>
                <w:rFonts w:ascii="宋体" w:hAnsi="宋体"/>
              </w:rPr>
            </w:pPr>
          </w:p>
        </w:tc>
      </w:tr>
    </w:tbl>
    <w:p w14:paraId="02459571">
      <w:pPr>
        <w:wordWrap w:val="0"/>
        <w:topLinePunct/>
        <w:spacing w:line="500" w:lineRule="exact"/>
        <w:ind w:firstLine="422" w:firstLineChars="200"/>
        <w:rPr>
          <w:rFonts w:ascii="宋体" w:cs="Times New Roman"/>
          <w:b/>
          <w:bCs/>
          <w:u w:val="single"/>
          <w:lang w:val="en-GB"/>
        </w:rPr>
      </w:pPr>
      <w:r>
        <w:rPr>
          <w:rFonts w:hint="eastAsia" w:ascii="宋体" w:hAnsi="宋体"/>
          <w:b/>
          <w:bCs/>
          <w:u w:val="single"/>
          <w:lang w:val="en-GB"/>
        </w:rPr>
        <w:t>注：</w:t>
      </w:r>
      <w:r>
        <w:rPr>
          <w:rFonts w:hint="eastAsia" w:ascii="宋体" w:hAnsi="宋体"/>
          <w:b/>
          <w:bCs/>
          <w:u w:val="single"/>
        </w:rPr>
        <w:t>供应商应根据《评审要素及分值一览表》的各项内容填写此表</w:t>
      </w:r>
      <w:r>
        <w:rPr>
          <w:rFonts w:hint="eastAsia" w:ascii="宋体" w:hAnsi="宋体"/>
          <w:b/>
          <w:bCs/>
          <w:u w:val="single"/>
          <w:lang w:val="en-GB"/>
        </w:rPr>
        <w:t>。</w:t>
      </w:r>
    </w:p>
    <w:p w14:paraId="73ABF002">
      <w:pPr>
        <w:spacing w:line="360" w:lineRule="auto"/>
        <w:rPr>
          <w:rFonts w:ascii="黑体" w:hAnsi="仿宋" w:eastAsia="黑体" w:cs="黑体"/>
          <w:b/>
          <w:bCs/>
          <w:sz w:val="32"/>
          <w:szCs w:val="32"/>
        </w:rPr>
      </w:pPr>
      <w:r>
        <w:rPr>
          <w:rFonts w:hint="eastAsia" w:ascii="宋体" w:hAnsi="宋体"/>
          <w:sz w:val="24"/>
        </w:rPr>
        <w:br w:type="page"/>
      </w:r>
      <w:r>
        <w:rPr>
          <w:rFonts w:hint="eastAsia" w:ascii="宋体" w:hAnsi="宋体"/>
          <w:sz w:val="24"/>
        </w:rPr>
        <w:t xml:space="preserve">    供应商应按照磋商文件的要求，根据《用户需求书》《评审要素及分值一览表》要求内容做出全面响应并编制技术方案。技术方案必须科学合理、真实可行，能充分体现出自身技术和专业优势。对含糊不清或欠具体明确之处，磋商小组可视为供应商履约能力不足或响应不全。其要点和主要内容为：</w:t>
      </w:r>
    </w:p>
    <w:p w14:paraId="29429D61">
      <w:pPr>
        <w:spacing w:line="360" w:lineRule="auto"/>
        <w:ind w:firstLine="482" w:firstLineChars="200"/>
        <w:rPr>
          <w:rFonts w:ascii="宋体" w:hAnsi="宋体"/>
          <w:b/>
          <w:bCs/>
          <w:sz w:val="24"/>
        </w:rPr>
      </w:pPr>
      <w:r>
        <w:rPr>
          <w:rFonts w:hint="eastAsia" w:ascii="宋体" w:hAnsi="宋体"/>
          <w:b/>
          <w:bCs/>
          <w:sz w:val="24"/>
        </w:rPr>
        <w:t>1.供应商简介</w:t>
      </w:r>
    </w:p>
    <w:p w14:paraId="5674FD52">
      <w:pPr>
        <w:spacing w:line="360" w:lineRule="auto"/>
        <w:ind w:firstLine="482" w:firstLineChars="200"/>
        <w:rPr>
          <w:rFonts w:ascii="宋体" w:hAnsi="宋体"/>
          <w:b/>
          <w:bCs/>
          <w:sz w:val="24"/>
        </w:rPr>
      </w:pPr>
      <w:r>
        <w:rPr>
          <w:rFonts w:hint="eastAsia" w:ascii="宋体" w:hAnsi="宋体"/>
          <w:b/>
          <w:bCs/>
          <w:sz w:val="24"/>
        </w:rPr>
        <w:t>2.服务方案；</w:t>
      </w:r>
    </w:p>
    <w:p w14:paraId="3AF9FA7C">
      <w:pPr>
        <w:spacing w:line="360" w:lineRule="auto"/>
        <w:ind w:firstLine="482" w:firstLineChars="200"/>
        <w:jc w:val="left"/>
        <w:rPr>
          <w:rFonts w:ascii="宋体" w:hAnsi="宋体"/>
          <w:b/>
          <w:bCs/>
          <w:sz w:val="24"/>
        </w:rPr>
      </w:pPr>
      <w:r>
        <w:rPr>
          <w:rFonts w:hint="eastAsia" w:ascii="宋体" w:hAnsi="宋体"/>
          <w:b/>
          <w:bCs/>
          <w:sz w:val="24"/>
        </w:rPr>
        <w:t>3.供应商履约情况证明材料</w:t>
      </w:r>
    </w:p>
    <w:p w14:paraId="0DFF1B5D">
      <w:pPr>
        <w:spacing w:line="360" w:lineRule="auto"/>
        <w:ind w:firstLine="480" w:firstLineChars="200"/>
        <w:jc w:val="left"/>
        <w:rPr>
          <w:rFonts w:ascii="宋体" w:hAnsi="宋体"/>
          <w:b/>
          <w:bCs/>
          <w:sz w:val="24"/>
        </w:rPr>
      </w:pPr>
      <w:r>
        <w:rPr>
          <w:rFonts w:hint="eastAsia" w:ascii="宋体" w:hAnsi="宋体"/>
          <w:sz w:val="24"/>
        </w:rPr>
        <w:t>3.1资质证书/获奖证书/荣誉证书/信用等级证书/产品授权书等</w:t>
      </w:r>
    </w:p>
    <w:p w14:paraId="591A2531">
      <w:pPr>
        <w:spacing w:line="360" w:lineRule="auto"/>
        <w:ind w:firstLine="482" w:firstLineChars="200"/>
        <w:jc w:val="left"/>
        <w:rPr>
          <w:rFonts w:ascii="宋体" w:hAnsi="宋体"/>
          <w:b/>
          <w:bCs/>
          <w:sz w:val="24"/>
        </w:rPr>
      </w:pPr>
    </w:p>
    <w:p w14:paraId="2B17F369">
      <w:pPr>
        <w:spacing w:line="360" w:lineRule="auto"/>
        <w:ind w:firstLine="480" w:firstLineChars="200"/>
        <w:jc w:val="left"/>
        <w:rPr>
          <w:rFonts w:ascii="宋体" w:hAnsi="宋体"/>
          <w:sz w:val="24"/>
        </w:rPr>
      </w:pPr>
      <w:r>
        <w:rPr>
          <w:rFonts w:hint="eastAsia" w:ascii="宋体" w:hAnsi="宋体"/>
          <w:sz w:val="24"/>
        </w:rPr>
        <w:t>3.2同类项目业绩</w:t>
      </w:r>
    </w:p>
    <w:p w14:paraId="23175577">
      <w:pPr>
        <w:pStyle w:val="14"/>
        <w:spacing w:line="360" w:lineRule="auto"/>
        <w:ind w:left="-120" w:leftChars="-57" w:firstLine="602" w:firstLineChars="250"/>
        <w:rPr>
          <w:rFonts w:ascii="仿宋_GB2312" w:hAnsi="仿宋" w:eastAsia="仿宋_GB2312" w:cs="仿宋"/>
          <w:b/>
          <w:bCs/>
          <w:sz w:val="24"/>
          <w:szCs w:val="24"/>
        </w:rPr>
      </w:pPr>
    </w:p>
    <w:p w14:paraId="700AE481">
      <w:pPr>
        <w:pStyle w:val="26"/>
        <w:widowControl/>
        <w:ind w:firstLine="0" w:firstLineChars="0"/>
        <w:jc w:val="center"/>
        <w:rPr>
          <w:rFonts w:cs="华文仿宋"/>
          <w:b/>
          <w:bCs/>
          <w:sz w:val="30"/>
          <w:szCs w:val="30"/>
        </w:rPr>
      </w:pPr>
      <w:r>
        <w:rPr>
          <w:rFonts w:hint="eastAsia" w:cs="华文仿宋"/>
          <w:b/>
          <w:bCs/>
          <w:sz w:val="30"/>
          <w:szCs w:val="30"/>
        </w:rPr>
        <w:t>同类项目业绩</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14:paraId="2D9A2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vAlign w:val="center"/>
          </w:tcPr>
          <w:p w14:paraId="19A0807A">
            <w:pPr>
              <w:spacing w:line="360" w:lineRule="auto"/>
              <w:jc w:val="center"/>
              <w:rPr>
                <w:rFonts w:ascii="宋体" w:hAnsi="宋体"/>
                <w:sz w:val="24"/>
              </w:rPr>
            </w:pPr>
            <w:r>
              <w:rPr>
                <w:rFonts w:hint="eastAsia" w:ascii="宋体" w:hAnsi="宋体"/>
                <w:sz w:val="24"/>
              </w:rPr>
              <w:t>合同签订时间</w:t>
            </w:r>
          </w:p>
        </w:tc>
        <w:tc>
          <w:tcPr>
            <w:tcW w:w="1145" w:type="dxa"/>
            <w:vAlign w:val="center"/>
          </w:tcPr>
          <w:p w14:paraId="2FD7CA91">
            <w:pPr>
              <w:spacing w:line="360" w:lineRule="auto"/>
              <w:jc w:val="center"/>
              <w:rPr>
                <w:rFonts w:ascii="宋体" w:hAnsi="宋体"/>
                <w:sz w:val="24"/>
              </w:rPr>
            </w:pPr>
            <w:r>
              <w:rPr>
                <w:rFonts w:hint="eastAsia" w:ascii="宋体" w:hAnsi="宋体"/>
                <w:sz w:val="24"/>
              </w:rPr>
              <w:t>用户名称</w:t>
            </w:r>
          </w:p>
        </w:tc>
        <w:tc>
          <w:tcPr>
            <w:tcW w:w="1320" w:type="dxa"/>
            <w:vAlign w:val="center"/>
          </w:tcPr>
          <w:p w14:paraId="67808353">
            <w:pPr>
              <w:spacing w:line="360" w:lineRule="auto"/>
              <w:jc w:val="center"/>
              <w:rPr>
                <w:rFonts w:ascii="宋体" w:hAnsi="宋体"/>
                <w:sz w:val="24"/>
              </w:rPr>
            </w:pPr>
            <w:r>
              <w:rPr>
                <w:rFonts w:hint="eastAsia" w:ascii="宋体" w:hAnsi="宋体"/>
                <w:sz w:val="24"/>
              </w:rPr>
              <w:t>项目名称</w:t>
            </w:r>
          </w:p>
        </w:tc>
        <w:tc>
          <w:tcPr>
            <w:tcW w:w="1161" w:type="dxa"/>
            <w:vAlign w:val="center"/>
          </w:tcPr>
          <w:p w14:paraId="50498E64">
            <w:pPr>
              <w:spacing w:line="360" w:lineRule="auto"/>
              <w:jc w:val="center"/>
              <w:rPr>
                <w:rFonts w:ascii="宋体" w:hAnsi="宋体"/>
                <w:sz w:val="24"/>
              </w:rPr>
            </w:pPr>
            <w:r>
              <w:rPr>
                <w:rFonts w:hint="eastAsia" w:ascii="宋体" w:hAnsi="宋体"/>
                <w:sz w:val="24"/>
              </w:rPr>
              <w:t>完成时间</w:t>
            </w:r>
          </w:p>
        </w:tc>
        <w:tc>
          <w:tcPr>
            <w:tcW w:w="1260" w:type="dxa"/>
            <w:vAlign w:val="center"/>
          </w:tcPr>
          <w:p w14:paraId="46BDD51E">
            <w:pPr>
              <w:spacing w:line="360" w:lineRule="auto"/>
              <w:jc w:val="center"/>
              <w:rPr>
                <w:rFonts w:ascii="宋体" w:hAnsi="宋体"/>
                <w:sz w:val="24"/>
              </w:rPr>
            </w:pPr>
            <w:r>
              <w:rPr>
                <w:rFonts w:hint="eastAsia" w:ascii="宋体" w:hAnsi="宋体"/>
                <w:sz w:val="24"/>
              </w:rPr>
              <w:t>合同金额</w:t>
            </w:r>
          </w:p>
        </w:tc>
        <w:tc>
          <w:tcPr>
            <w:tcW w:w="2041" w:type="dxa"/>
            <w:gridSpan w:val="2"/>
            <w:tcBorders>
              <w:right w:val="single" w:color="auto" w:sz="4" w:space="0"/>
            </w:tcBorders>
            <w:vAlign w:val="center"/>
          </w:tcPr>
          <w:p w14:paraId="3BE2433F">
            <w:pPr>
              <w:spacing w:line="360" w:lineRule="auto"/>
              <w:jc w:val="center"/>
              <w:rPr>
                <w:rFonts w:ascii="宋体" w:hAnsi="宋体"/>
                <w:sz w:val="24"/>
              </w:rPr>
            </w:pPr>
            <w:r>
              <w:rPr>
                <w:rFonts w:hint="eastAsia" w:ascii="宋体" w:hAnsi="宋体"/>
                <w:sz w:val="24"/>
              </w:rPr>
              <w:t>是否通过验收</w:t>
            </w:r>
          </w:p>
        </w:tc>
        <w:tc>
          <w:tcPr>
            <w:tcW w:w="886" w:type="dxa"/>
            <w:tcBorders>
              <w:left w:val="single" w:color="auto" w:sz="4" w:space="0"/>
            </w:tcBorders>
            <w:vAlign w:val="center"/>
          </w:tcPr>
          <w:p w14:paraId="40066759">
            <w:pPr>
              <w:spacing w:line="360" w:lineRule="auto"/>
              <w:jc w:val="center"/>
              <w:rPr>
                <w:rFonts w:ascii="宋体" w:hAnsi="宋体"/>
                <w:sz w:val="24"/>
              </w:rPr>
            </w:pPr>
            <w:r>
              <w:rPr>
                <w:rFonts w:hint="eastAsia" w:ascii="宋体" w:hAnsi="宋体"/>
                <w:sz w:val="24"/>
              </w:rPr>
              <w:t>备注</w:t>
            </w:r>
          </w:p>
        </w:tc>
      </w:tr>
      <w:tr w14:paraId="1BFDE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0FAA5E7A">
            <w:pPr>
              <w:widowControl/>
              <w:spacing w:line="360" w:lineRule="atLeast"/>
              <w:ind w:firstLine="470" w:firstLineChars="196"/>
              <w:jc w:val="left"/>
              <w:rPr>
                <w:rFonts w:ascii="宋体" w:hAnsi="宋体"/>
                <w:sz w:val="24"/>
              </w:rPr>
            </w:pPr>
          </w:p>
        </w:tc>
        <w:tc>
          <w:tcPr>
            <w:tcW w:w="1145" w:type="dxa"/>
            <w:vAlign w:val="center"/>
          </w:tcPr>
          <w:p w14:paraId="22E26E29">
            <w:pPr>
              <w:widowControl/>
              <w:spacing w:line="360" w:lineRule="atLeast"/>
              <w:ind w:firstLine="470" w:firstLineChars="196"/>
              <w:jc w:val="left"/>
              <w:rPr>
                <w:rFonts w:ascii="宋体" w:hAnsi="宋体"/>
                <w:sz w:val="24"/>
              </w:rPr>
            </w:pPr>
          </w:p>
        </w:tc>
        <w:tc>
          <w:tcPr>
            <w:tcW w:w="1320" w:type="dxa"/>
            <w:vAlign w:val="center"/>
          </w:tcPr>
          <w:p w14:paraId="6C7A1F1D">
            <w:pPr>
              <w:widowControl/>
              <w:spacing w:line="360" w:lineRule="atLeast"/>
              <w:ind w:firstLine="470" w:firstLineChars="196"/>
              <w:jc w:val="left"/>
              <w:rPr>
                <w:rFonts w:ascii="宋体" w:hAnsi="宋体"/>
                <w:sz w:val="24"/>
              </w:rPr>
            </w:pPr>
          </w:p>
        </w:tc>
        <w:tc>
          <w:tcPr>
            <w:tcW w:w="1161" w:type="dxa"/>
            <w:vAlign w:val="center"/>
          </w:tcPr>
          <w:p w14:paraId="71A87DF8">
            <w:pPr>
              <w:widowControl/>
              <w:spacing w:line="360" w:lineRule="atLeast"/>
              <w:ind w:firstLine="470" w:firstLineChars="196"/>
              <w:jc w:val="left"/>
              <w:rPr>
                <w:rFonts w:ascii="宋体" w:hAnsi="宋体"/>
                <w:sz w:val="24"/>
              </w:rPr>
            </w:pPr>
          </w:p>
        </w:tc>
        <w:tc>
          <w:tcPr>
            <w:tcW w:w="1260" w:type="dxa"/>
            <w:vAlign w:val="center"/>
          </w:tcPr>
          <w:p w14:paraId="4A349EEA">
            <w:pPr>
              <w:widowControl/>
              <w:spacing w:line="360" w:lineRule="atLeast"/>
              <w:ind w:firstLine="470" w:firstLineChars="196"/>
              <w:jc w:val="left"/>
              <w:rPr>
                <w:rFonts w:ascii="宋体" w:hAnsi="宋体"/>
                <w:sz w:val="24"/>
              </w:rPr>
            </w:pPr>
          </w:p>
        </w:tc>
        <w:tc>
          <w:tcPr>
            <w:tcW w:w="2041" w:type="dxa"/>
            <w:gridSpan w:val="2"/>
            <w:tcBorders>
              <w:right w:val="single" w:color="auto" w:sz="4" w:space="0"/>
            </w:tcBorders>
            <w:vAlign w:val="center"/>
          </w:tcPr>
          <w:p w14:paraId="55D5BA61">
            <w:pPr>
              <w:widowControl/>
              <w:spacing w:line="360" w:lineRule="atLeast"/>
              <w:ind w:firstLine="470" w:firstLineChars="196"/>
              <w:jc w:val="left"/>
              <w:rPr>
                <w:rFonts w:ascii="宋体" w:hAnsi="宋体"/>
                <w:sz w:val="24"/>
              </w:rPr>
            </w:pPr>
          </w:p>
        </w:tc>
        <w:tc>
          <w:tcPr>
            <w:tcW w:w="886" w:type="dxa"/>
            <w:tcBorders>
              <w:left w:val="single" w:color="auto" w:sz="4" w:space="0"/>
            </w:tcBorders>
            <w:vAlign w:val="center"/>
          </w:tcPr>
          <w:p w14:paraId="07C41050">
            <w:pPr>
              <w:widowControl/>
              <w:spacing w:line="360" w:lineRule="atLeast"/>
              <w:ind w:firstLine="470" w:firstLineChars="196"/>
              <w:jc w:val="left"/>
              <w:rPr>
                <w:rFonts w:ascii="宋体" w:hAnsi="宋体"/>
                <w:sz w:val="24"/>
              </w:rPr>
            </w:pPr>
          </w:p>
        </w:tc>
      </w:tr>
      <w:tr w14:paraId="42A70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57ACAC76">
            <w:pPr>
              <w:widowControl/>
              <w:spacing w:line="360" w:lineRule="atLeast"/>
              <w:ind w:firstLine="470" w:firstLineChars="196"/>
              <w:jc w:val="left"/>
              <w:rPr>
                <w:rFonts w:ascii="宋体" w:hAnsi="宋体"/>
                <w:sz w:val="24"/>
              </w:rPr>
            </w:pPr>
          </w:p>
        </w:tc>
        <w:tc>
          <w:tcPr>
            <w:tcW w:w="1145" w:type="dxa"/>
            <w:vAlign w:val="center"/>
          </w:tcPr>
          <w:p w14:paraId="32532FBE">
            <w:pPr>
              <w:widowControl/>
              <w:spacing w:line="360" w:lineRule="atLeast"/>
              <w:ind w:firstLine="470" w:firstLineChars="196"/>
              <w:jc w:val="left"/>
              <w:rPr>
                <w:rFonts w:ascii="宋体" w:hAnsi="宋体"/>
                <w:sz w:val="24"/>
              </w:rPr>
            </w:pPr>
          </w:p>
        </w:tc>
        <w:tc>
          <w:tcPr>
            <w:tcW w:w="1320" w:type="dxa"/>
            <w:vAlign w:val="center"/>
          </w:tcPr>
          <w:p w14:paraId="6F9B9401">
            <w:pPr>
              <w:widowControl/>
              <w:spacing w:line="360" w:lineRule="atLeast"/>
              <w:ind w:firstLine="470" w:firstLineChars="196"/>
              <w:jc w:val="left"/>
              <w:rPr>
                <w:rFonts w:ascii="宋体" w:hAnsi="宋体"/>
                <w:sz w:val="24"/>
              </w:rPr>
            </w:pPr>
          </w:p>
        </w:tc>
        <w:tc>
          <w:tcPr>
            <w:tcW w:w="1161" w:type="dxa"/>
            <w:vAlign w:val="center"/>
          </w:tcPr>
          <w:p w14:paraId="56D15618">
            <w:pPr>
              <w:widowControl/>
              <w:spacing w:line="360" w:lineRule="atLeast"/>
              <w:ind w:firstLine="470" w:firstLineChars="196"/>
              <w:jc w:val="left"/>
              <w:rPr>
                <w:rFonts w:ascii="宋体" w:hAnsi="宋体"/>
                <w:sz w:val="24"/>
              </w:rPr>
            </w:pPr>
          </w:p>
        </w:tc>
        <w:tc>
          <w:tcPr>
            <w:tcW w:w="1260" w:type="dxa"/>
            <w:vAlign w:val="center"/>
          </w:tcPr>
          <w:p w14:paraId="6679D339">
            <w:pPr>
              <w:widowControl/>
              <w:spacing w:line="360" w:lineRule="atLeast"/>
              <w:ind w:firstLine="470" w:firstLineChars="196"/>
              <w:jc w:val="left"/>
              <w:rPr>
                <w:rFonts w:ascii="宋体" w:hAnsi="宋体"/>
                <w:sz w:val="24"/>
              </w:rPr>
            </w:pPr>
          </w:p>
        </w:tc>
        <w:tc>
          <w:tcPr>
            <w:tcW w:w="2041" w:type="dxa"/>
            <w:gridSpan w:val="2"/>
            <w:tcBorders>
              <w:right w:val="single" w:color="auto" w:sz="4" w:space="0"/>
            </w:tcBorders>
            <w:vAlign w:val="center"/>
          </w:tcPr>
          <w:p w14:paraId="6E71C04D">
            <w:pPr>
              <w:widowControl/>
              <w:spacing w:line="360" w:lineRule="atLeast"/>
              <w:ind w:firstLine="470" w:firstLineChars="196"/>
              <w:jc w:val="left"/>
              <w:rPr>
                <w:rFonts w:ascii="宋体" w:hAnsi="宋体"/>
                <w:sz w:val="24"/>
              </w:rPr>
            </w:pPr>
          </w:p>
        </w:tc>
        <w:tc>
          <w:tcPr>
            <w:tcW w:w="886" w:type="dxa"/>
            <w:tcBorders>
              <w:left w:val="single" w:color="auto" w:sz="4" w:space="0"/>
            </w:tcBorders>
            <w:vAlign w:val="center"/>
          </w:tcPr>
          <w:p w14:paraId="620F2635">
            <w:pPr>
              <w:widowControl/>
              <w:spacing w:line="360" w:lineRule="atLeast"/>
              <w:ind w:firstLine="470" w:firstLineChars="196"/>
              <w:jc w:val="left"/>
              <w:rPr>
                <w:rFonts w:ascii="宋体" w:hAnsi="宋体"/>
                <w:sz w:val="24"/>
              </w:rPr>
            </w:pPr>
          </w:p>
        </w:tc>
      </w:tr>
      <w:tr w14:paraId="3D8A76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38CB9196">
            <w:pPr>
              <w:widowControl/>
              <w:spacing w:line="360" w:lineRule="atLeast"/>
              <w:ind w:firstLine="470" w:firstLineChars="196"/>
              <w:jc w:val="left"/>
              <w:rPr>
                <w:rFonts w:ascii="宋体" w:hAnsi="宋体"/>
                <w:sz w:val="24"/>
              </w:rPr>
            </w:pPr>
          </w:p>
        </w:tc>
        <w:tc>
          <w:tcPr>
            <w:tcW w:w="1145" w:type="dxa"/>
            <w:vAlign w:val="center"/>
          </w:tcPr>
          <w:p w14:paraId="77F6FF6C">
            <w:pPr>
              <w:widowControl/>
              <w:spacing w:line="360" w:lineRule="atLeast"/>
              <w:ind w:firstLine="470" w:firstLineChars="196"/>
              <w:jc w:val="left"/>
              <w:rPr>
                <w:rFonts w:ascii="宋体" w:hAnsi="宋体"/>
                <w:sz w:val="24"/>
              </w:rPr>
            </w:pPr>
          </w:p>
        </w:tc>
        <w:tc>
          <w:tcPr>
            <w:tcW w:w="1320" w:type="dxa"/>
            <w:vAlign w:val="center"/>
          </w:tcPr>
          <w:p w14:paraId="3FB1AF1C">
            <w:pPr>
              <w:widowControl/>
              <w:spacing w:line="360" w:lineRule="atLeast"/>
              <w:ind w:firstLine="470" w:firstLineChars="196"/>
              <w:jc w:val="left"/>
              <w:rPr>
                <w:rFonts w:ascii="宋体" w:hAnsi="宋体"/>
                <w:sz w:val="24"/>
              </w:rPr>
            </w:pPr>
          </w:p>
        </w:tc>
        <w:tc>
          <w:tcPr>
            <w:tcW w:w="1161" w:type="dxa"/>
            <w:vAlign w:val="center"/>
          </w:tcPr>
          <w:p w14:paraId="25ADEFDB">
            <w:pPr>
              <w:widowControl/>
              <w:spacing w:line="360" w:lineRule="atLeast"/>
              <w:ind w:firstLine="470" w:firstLineChars="196"/>
              <w:jc w:val="left"/>
              <w:rPr>
                <w:rFonts w:ascii="宋体" w:hAnsi="宋体"/>
                <w:sz w:val="24"/>
              </w:rPr>
            </w:pPr>
          </w:p>
        </w:tc>
        <w:tc>
          <w:tcPr>
            <w:tcW w:w="1260" w:type="dxa"/>
            <w:vAlign w:val="center"/>
          </w:tcPr>
          <w:p w14:paraId="21C625C0">
            <w:pPr>
              <w:widowControl/>
              <w:spacing w:line="360" w:lineRule="atLeast"/>
              <w:ind w:firstLine="470" w:firstLineChars="196"/>
              <w:jc w:val="left"/>
              <w:rPr>
                <w:rFonts w:ascii="宋体" w:hAnsi="宋体"/>
                <w:sz w:val="24"/>
              </w:rPr>
            </w:pPr>
          </w:p>
        </w:tc>
        <w:tc>
          <w:tcPr>
            <w:tcW w:w="2041" w:type="dxa"/>
            <w:gridSpan w:val="2"/>
            <w:tcBorders>
              <w:right w:val="single" w:color="auto" w:sz="4" w:space="0"/>
            </w:tcBorders>
            <w:vAlign w:val="center"/>
          </w:tcPr>
          <w:p w14:paraId="5E1F5470">
            <w:pPr>
              <w:widowControl/>
              <w:spacing w:line="360" w:lineRule="atLeast"/>
              <w:ind w:firstLine="470" w:firstLineChars="196"/>
              <w:jc w:val="left"/>
              <w:rPr>
                <w:rFonts w:ascii="宋体" w:hAnsi="宋体"/>
                <w:sz w:val="24"/>
              </w:rPr>
            </w:pPr>
          </w:p>
        </w:tc>
        <w:tc>
          <w:tcPr>
            <w:tcW w:w="886" w:type="dxa"/>
            <w:tcBorders>
              <w:left w:val="single" w:color="auto" w:sz="4" w:space="0"/>
            </w:tcBorders>
            <w:vAlign w:val="center"/>
          </w:tcPr>
          <w:p w14:paraId="6EBD3E45">
            <w:pPr>
              <w:widowControl/>
              <w:spacing w:line="360" w:lineRule="atLeast"/>
              <w:ind w:firstLine="470" w:firstLineChars="196"/>
              <w:jc w:val="left"/>
              <w:rPr>
                <w:rFonts w:ascii="宋体" w:hAnsi="宋体"/>
                <w:sz w:val="24"/>
              </w:rPr>
            </w:pPr>
          </w:p>
        </w:tc>
      </w:tr>
      <w:tr w14:paraId="79CB6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50B827E8">
            <w:pPr>
              <w:widowControl/>
              <w:spacing w:line="360" w:lineRule="atLeast"/>
              <w:ind w:firstLine="470" w:firstLineChars="196"/>
              <w:jc w:val="left"/>
              <w:rPr>
                <w:rFonts w:ascii="宋体" w:hAnsi="宋体"/>
                <w:sz w:val="24"/>
              </w:rPr>
            </w:pPr>
          </w:p>
        </w:tc>
        <w:tc>
          <w:tcPr>
            <w:tcW w:w="1145" w:type="dxa"/>
            <w:tcBorders>
              <w:right w:val="single" w:color="auto" w:sz="4" w:space="0"/>
            </w:tcBorders>
            <w:vAlign w:val="center"/>
          </w:tcPr>
          <w:p w14:paraId="051CCAFD">
            <w:pPr>
              <w:widowControl/>
              <w:spacing w:line="360" w:lineRule="atLeast"/>
              <w:ind w:firstLine="470" w:firstLineChars="196"/>
              <w:jc w:val="left"/>
              <w:rPr>
                <w:rFonts w:ascii="宋体" w:hAnsi="宋体"/>
                <w:sz w:val="24"/>
              </w:rPr>
            </w:pPr>
          </w:p>
        </w:tc>
        <w:tc>
          <w:tcPr>
            <w:tcW w:w="1320" w:type="dxa"/>
            <w:tcBorders>
              <w:left w:val="single" w:color="auto" w:sz="4" w:space="0"/>
            </w:tcBorders>
            <w:vAlign w:val="center"/>
          </w:tcPr>
          <w:p w14:paraId="02D1E1E7">
            <w:pPr>
              <w:widowControl/>
              <w:spacing w:line="360" w:lineRule="atLeast"/>
              <w:ind w:firstLine="470" w:firstLineChars="196"/>
              <w:jc w:val="left"/>
              <w:rPr>
                <w:rFonts w:ascii="宋体" w:hAnsi="宋体"/>
                <w:sz w:val="24"/>
              </w:rPr>
            </w:pPr>
          </w:p>
        </w:tc>
        <w:tc>
          <w:tcPr>
            <w:tcW w:w="1161" w:type="dxa"/>
            <w:vAlign w:val="center"/>
          </w:tcPr>
          <w:p w14:paraId="51E53993">
            <w:pPr>
              <w:widowControl/>
              <w:spacing w:line="360" w:lineRule="atLeast"/>
              <w:ind w:firstLine="470" w:firstLineChars="196"/>
              <w:jc w:val="left"/>
              <w:rPr>
                <w:rFonts w:ascii="宋体" w:hAnsi="宋体"/>
                <w:sz w:val="24"/>
              </w:rPr>
            </w:pPr>
          </w:p>
        </w:tc>
        <w:tc>
          <w:tcPr>
            <w:tcW w:w="1260" w:type="dxa"/>
            <w:vAlign w:val="center"/>
          </w:tcPr>
          <w:p w14:paraId="0F2D31C9">
            <w:pPr>
              <w:widowControl/>
              <w:spacing w:line="360" w:lineRule="atLeast"/>
              <w:ind w:firstLine="470" w:firstLineChars="196"/>
              <w:jc w:val="left"/>
              <w:rPr>
                <w:rFonts w:ascii="宋体" w:hAnsi="宋体"/>
                <w:sz w:val="24"/>
              </w:rPr>
            </w:pPr>
          </w:p>
        </w:tc>
        <w:tc>
          <w:tcPr>
            <w:tcW w:w="2041" w:type="dxa"/>
            <w:gridSpan w:val="2"/>
            <w:tcBorders>
              <w:right w:val="single" w:color="auto" w:sz="4" w:space="0"/>
            </w:tcBorders>
            <w:vAlign w:val="center"/>
          </w:tcPr>
          <w:p w14:paraId="36039298">
            <w:pPr>
              <w:widowControl/>
              <w:spacing w:line="360" w:lineRule="atLeast"/>
              <w:ind w:firstLine="470" w:firstLineChars="196"/>
              <w:jc w:val="left"/>
              <w:rPr>
                <w:rFonts w:ascii="宋体" w:hAnsi="宋体"/>
                <w:sz w:val="24"/>
              </w:rPr>
            </w:pPr>
          </w:p>
        </w:tc>
        <w:tc>
          <w:tcPr>
            <w:tcW w:w="886" w:type="dxa"/>
            <w:tcBorders>
              <w:left w:val="single" w:color="auto" w:sz="4" w:space="0"/>
            </w:tcBorders>
            <w:vAlign w:val="center"/>
          </w:tcPr>
          <w:p w14:paraId="2079F55F">
            <w:pPr>
              <w:widowControl/>
              <w:spacing w:line="360" w:lineRule="atLeast"/>
              <w:ind w:firstLine="470" w:firstLineChars="196"/>
              <w:jc w:val="left"/>
              <w:rPr>
                <w:rFonts w:ascii="宋体" w:hAnsi="宋体"/>
                <w:sz w:val="24"/>
              </w:rPr>
            </w:pPr>
          </w:p>
        </w:tc>
      </w:tr>
      <w:tr w14:paraId="46CCE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vAlign w:val="center"/>
          </w:tcPr>
          <w:p w14:paraId="24C908A2">
            <w:pPr>
              <w:widowControl/>
              <w:spacing w:line="360" w:lineRule="atLeast"/>
              <w:ind w:firstLine="470" w:firstLineChars="196"/>
              <w:jc w:val="left"/>
              <w:rPr>
                <w:rFonts w:ascii="宋体" w:hAnsi="宋体"/>
                <w:sz w:val="24"/>
              </w:rPr>
            </w:pPr>
          </w:p>
        </w:tc>
        <w:tc>
          <w:tcPr>
            <w:tcW w:w="1145" w:type="dxa"/>
            <w:tcBorders>
              <w:left w:val="single" w:color="auto" w:sz="4" w:space="0"/>
              <w:right w:val="single" w:color="auto" w:sz="4" w:space="0"/>
            </w:tcBorders>
            <w:vAlign w:val="center"/>
          </w:tcPr>
          <w:p w14:paraId="5521EF47">
            <w:pPr>
              <w:widowControl/>
              <w:spacing w:line="360" w:lineRule="atLeast"/>
              <w:ind w:firstLine="470" w:firstLineChars="196"/>
              <w:jc w:val="left"/>
              <w:rPr>
                <w:rFonts w:ascii="宋体" w:hAnsi="宋体"/>
                <w:sz w:val="24"/>
              </w:rPr>
            </w:pPr>
          </w:p>
        </w:tc>
        <w:tc>
          <w:tcPr>
            <w:tcW w:w="1320" w:type="dxa"/>
            <w:tcBorders>
              <w:left w:val="single" w:color="auto" w:sz="4" w:space="0"/>
              <w:right w:val="single" w:color="auto" w:sz="4" w:space="0"/>
            </w:tcBorders>
            <w:vAlign w:val="center"/>
          </w:tcPr>
          <w:p w14:paraId="44D0A4A4">
            <w:pPr>
              <w:widowControl/>
              <w:spacing w:line="360" w:lineRule="atLeast"/>
              <w:ind w:firstLine="470" w:firstLineChars="196"/>
              <w:jc w:val="left"/>
              <w:rPr>
                <w:rFonts w:ascii="宋体" w:hAnsi="宋体"/>
                <w:sz w:val="24"/>
              </w:rPr>
            </w:pPr>
          </w:p>
        </w:tc>
        <w:tc>
          <w:tcPr>
            <w:tcW w:w="1161" w:type="dxa"/>
            <w:tcBorders>
              <w:left w:val="single" w:color="auto" w:sz="4" w:space="0"/>
              <w:right w:val="single" w:color="auto" w:sz="4" w:space="0"/>
            </w:tcBorders>
            <w:vAlign w:val="center"/>
          </w:tcPr>
          <w:p w14:paraId="1C3FA6DB">
            <w:pPr>
              <w:widowControl/>
              <w:spacing w:line="360" w:lineRule="atLeast"/>
              <w:ind w:firstLine="470" w:firstLineChars="196"/>
              <w:jc w:val="left"/>
              <w:rPr>
                <w:rFonts w:ascii="宋体" w:hAnsi="宋体"/>
                <w:sz w:val="24"/>
              </w:rPr>
            </w:pPr>
          </w:p>
        </w:tc>
        <w:tc>
          <w:tcPr>
            <w:tcW w:w="1269" w:type="dxa"/>
            <w:gridSpan w:val="2"/>
            <w:tcBorders>
              <w:left w:val="single" w:color="auto" w:sz="4" w:space="0"/>
              <w:right w:val="single" w:color="auto" w:sz="4" w:space="0"/>
            </w:tcBorders>
            <w:vAlign w:val="center"/>
          </w:tcPr>
          <w:p w14:paraId="7F74475F">
            <w:pPr>
              <w:widowControl/>
              <w:spacing w:line="360" w:lineRule="atLeast"/>
              <w:ind w:firstLine="470" w:firstLineChars="196"/>
              <w:jc w:val="left"/>
              <w:rPr>
                <w:rFonts w:ascii="宋体" w:hAnsi="宋体"/>
                <w:sz w:val="24"/>
              </w:rPr>
            </w:pPr>
          </w:p>
        </w:tc>
        <w:tc>
          <w:tcPr>
            <w:tcW w:w="2032" w:type="dxa"/>
            <w:tcBorders>
              <w:left w:val="single" w:color="auto" w:sz="4" w:space="0"/>
              <w:right w:val="single" w:color="auto" w:sz="4" w:space="0"/>
            </w:tcBorders>
            <w:vAlign w:val="center"/>
          </w:tcPr>
          <w:p w14:paraId="2BE24531">
            <w:pPr>
              <w:widowControl/>
              <w:spacing w:line="360" w:lineRule="atLeast"/>
              <w:ind w:firstLine="470" w:firstLineChars="196"/>
              <w:jc w:val="left"/>
              <w:rPr>
                <w:rFonts w:ascii="宋体" w:hAnsi="宋体"/>
                <w:sz w:val="24"/>
              </w:rPr>
            </w:pPr>
          </w:p>
        </w:tc>
        <w:tc>
          <w:tcPr>
            <w:tcW w:w="886" w:type="dxa"/>
            <w:tcBorders>
              <w:left w:val="single" w:color="auto" w:sz="4" w:space="0"/>
            </w:tcBorders>
            <w:vAlign w:val="center"/>
          </w:tcPr>
          <w:p w14:paraId="72809291">
            <w:pPr>
              <w:widowControl/>
              <w:spacing w:line="360" w:lineRule="atLeast"/>
              <w:ind w:firstLine="470" w:firstLineChars="196"/>
              <w:jc w:val="left"/>
              <w:rPr>
                <w:rFonts w:ascii="宋体" w:hAnsi="宋体"/>
                <w:sz w:val="24"/>
              </w:rPr>
            </w:pPr>
          </w:p>
        </w:tc>
      </w:tr>
      <w:tr w14:paraId="40A6F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vAlign w:val="center"/>
          </w:tcPr>
          <w:p w14:paraId="6CB7C420">
            <w:pPr>
              <w:widowControl/>
              <w:spacing w:line="360" w:lineRule="atLeast"/>
              <w:ind w:firstLine="470" w:firstLineChars="196"/>
              <w:jc w:val="left"/>
              <w:rPr>
                <w:rFonts w:ascii="宋体" w:hAnsi="宋体"/>
                <w:sz w:val="24"/>
              </w:rPr>
            </w:pPr>
          </w:p>
        </w:tc>
        <w:tc>
          <w:tcPr>
            <w:tcW w:w="1145" w:type="dxa"/>
            <w:tcBorders>
              <w:top w:val="single" w:color="auto" w:sz="4" w:space="0"/>
            </w:tcBorders>
            <w:vAlign w:val="center"/>
          </w:tcPr>
          <w:p w14:paraId="62684273">
            <w:pPr>
              <w:widowControl/>
              <w:spacing w:line="360" w:lineRule="atLeast"/>
              <w:ind w:firstLine="470" w:firstLineChars="196"/>
              <w:jc w:val="left"/>
              <w:rPr>
                <w:rFonts w:ascii="宋体" w:hAnsi="宋体"/>
                <w:sz w:val="24"/>
              </w:rPr>
            </w:pPr>
          </w:p>
        </w:tc>
        <w:tc>
          <w:tcPr>
            <w:tcW w:w="1320" w:type="dxa"/>
            <w:tcBorders>
              <w:top w:val="single" w:color="auto" w:sz="4" w:space="0"/>
            </w:tcBorders>
            <w:vAlign w:val="center"/>
          </w:tcPr>
          <w:p w14:paraId="64409483">
            <w:pPr>
              <w:widowControl/>
              <w:spacing w:line="360" w:lineRule="atLeast"/>
              <w:ind w:firstLine="470" w:firstLineChars="196"/>
              <w:jc w:val="left"/>
              <w:rPr>
                <w:rFonts w:ascii="宋体" w:hAnsi="宋体"/>
                <w:sz w:val="24"/>
              </w:rPr>
            </w:pPr>
          </w:p>
        </w:tc>
        <w:tc>
          <w:tcPr>
            <w:tcW w:w="1161" w:type="dxa"/>
            <w:tcBorders>
              <w:top w:val="single" w:color="auto" w:sz="4" w:space="0"/>
            </w:tcBorders>
            <w:vAlign w:val="center"/>
          </w:tcPr>
          <w:p w14:paraId="220AEF23">
            <w:pPr>
              <w:widowControl/>
              <w:spacing w:line="360" w:lineRule="atLeast"/>
              <w:ind w:firstLine="470" w:firstLineChars="196"/>
              <w:jc w:val="left"/>
              <w:rPr>
                <w:rFonts w:ascii="宋体" w:hAnsi="宋体"/>
                <w:sz w:val="24"/>
              </w:rPr>
            </w:pPr>
          </w:p>
        </w:tc>
        <w:tc>
          <w:tcPr>
            <w:tcW w:w="1269" w:type="dxa"/>
            <w:gridSpan w:val="2"/>
            <w:tcBorders>
              <w:top w:val="single" w:color="auto" w:sz="4" w:space="0"/>
              <w:right w:val="single" w:color="auto" w:sz="4" w:space="0"/>
            </w:tcBorders>
            <w:vAlign w:val="center"/>
          </w:tcPr>
          <w:p w14:paraId="4451BA93">
            <w:pPr>
              <w:widowControl/>
              <w:spacing w:line="360" w:lineRule="atLeast"/>
              <w:ind w:firstLine="470" w:firstLineChars="196"/>
              <w:jc w:val="left"/>
              <w:rPr>
                <w:rFonts w:ascii="宋体" w:hAnsi="宋体"/>
                <w:sz w:val="24"/>
              </w:rPr>
            </w:pPr>
          </w:p>
        </w:tc>
        <w:tc>
          <w:tcPr>
            <w:tcW w:w="2032" w:type="dxa"/>
            <w:tcBorders>
              <w:top w:val="single" w:color="auto" w:sz="4" w:space="0"/>
              <w:left w:val="single" w:color="auto" w:sz="4" w:space="0"/>
              <w:right w:val="single" w:color="auto" w:sz="4" w:space="0"/>
            </w:tcBorders>
            <w:vAlign w:val="center"/>
          </w:tcPr>
          <w:p w14:paraId="1ED0694A">
            <w:pPr>
              <w:widowControl/>
              <w:spacing w:line="360" w:lineRule="atLeast"/>
              <w:ind w:firstLine="470" w:firstLineChars="196"/>
              <w:jc w:val="left"/>
              <w:rPr>
                <w:rFonts w:ascii="宋体" w:hAnsi="宋体"/>
                <w:sz w:val="24"/>
              </w:rPr>
            </w:pPr>
          </w:p>
        </w:tc>
        <w:tc>
          <w:tcPr>
            <w:tcW w:w="886" w:type="dxa"/>
            <w:tcBorders>
              <w:top w:val="single" w:color="auto" w:sz="4" w:space="0"/>
              <w:left w:val="single" w:color="auto" w:sz="4" w:space="0"/>
            </w:tcBorders>
            <w:vAlign w:val="center"/>
          </w:tcPr>
          <w:p w14:paraId="1391BDBA">
            <w:pPr>
              <w:widowControl/>
              <w:spacing w:line="360" w:lineRule="atLeast"/>
              <w:ind w:firstLine="470" w:firstLineChars="196"/>
              <w:jc w:val="left"/>
              <w:rPr>
                <w:rFonts w:ascii="宋体" w:hAnsi="宋体"/>
                <w:sz w:val="24"/>
              </w:rPr>
            </w:pPr>
          </w:p>
        </w:tc>
      </w:tr>
    </w:tbl>
    <w:p w14:paraId="13B827EB">
      <w:pPr>
        <w:widowControl/>
        <w:spacing w:line="360" w:lineRule="atLeast"/>
        <w:ind w:firstLine="470" w:firstLineChars="196"/>
        <w:jc w:val="left"/>
        <w:rPr>
          <w:rFonts w:ascii="宋体"/>
          <w:sz w:val="24"/>
        </w:rPr>
      </w:pPr>
    </w:p>
    <w:p w14:paraId="7C3B0CFE">
      <w:pPr>
        <w:spacing w:line="360" w:lineRule="auto"/>
        <w:ind w:firstLine="422" w:firstLineChars="200"/>
        <w:rPr>
          <w:rFonts w:ascii="宋体" w:hAnsi="宋体"/>
          <w:b/>
          <w:bCs/>
          <w:u w:val="single"/>
        </w:rPr>
      </w:pPr>
      <w:r>
        <w:rPr>
          <w:rFonts w:hint="eastAsia" w:ascii="宋体" w:hAnsi="宋体"/>
          <w:b/>
          <w:bCs/>
          <w:u w:val="single"/>
        </w:rPr>
        <w:t>注：</w:t>
      </w:r>
    </w:p>
    <w:p w14:paraId="17453137">
      <w:pPr>
        <w:spacing w:line="360" w:lineRule="auto"/>
        <w:ind w:firstLine="422" w:firstLineChars="200"/>
        <w:rPr>
          <w:rFonts w:ascii="宋体" w:hAnsi="宋体"/>
          <w:b/>
          <w:bCs/>
          <w:u w:val="single"/>
        </w:rPr>
      </w:pPr>
      <w:r>
        <w:rPr>
          <w:rFonts w:hint="eastAsia" w:ascii="宋体" w:hAnsi="宋体"/>
          <w:b/>
          <w:bCs/>
          <w:u w:val="single"/>
        </w:rPr>
        <w:t>1.供应商（仅限于供应商自己实施的）以上业绩需提供有关书面证明材料。“合同金额”需提供合同复印件；“是否通过验收”需提供合同验收合格或用户单位书面证明材料。</w:t>
      </w:r>
    </w:p>
    <w:p w14:paraId="12F3751B">
      <w:pPr>
        <w:spacing w:line="360" w:lineRule="auto"/>
        <w:ind w:firstLine="422" w:firstLineChars="200"/>
        <w:rPr>
          <w:rFonts w:ascii="仿宋_GB2312" w:hAnsi="仿宋" w:eastAsia="仿宋_GB2312" w:cs="仿宋"/>
          <w:b/>
          <w:bCs/>
          <w:u w:val="single"/>
        </w:rPr>
      </w:pPr>
      <w:r>
        <w:rPr>
          <w:rFonts w:hint="eastAsia" w:ascii="宋体" w:hAnsi="宋体"/>
          <w:b/>
          <w:bCs/>
          <w:u w:val="single"/>
        </w:rPr>
        <w:t>2.对于证明材料的特殊要求参照评审表。</w:t>
      </w:r>
    </w:p>
    <w:p w14:paraId="4FA35359">
      <w:pPr>
        <w:spacing w:line="360" w:lineRule="atLeast"/>
        <w:jc w:val="center"/>
        <w:rPr>
          <w:rFonts w:ascii="仿宋_GB2312" w:hAnsi="仿宋" w:eastAsia="仿宋_GB2312" w:cs="仿宋"/>
          <w:sz w:val="24"/>
        </w:rPr>
      </w:pPr>
    </w:p>
    <w:p w14:paraId="42D2A753">
      <w:pPr>
        <w:spacing w:line="360" w:lineRule="auto"/>
        <w:ind w:firstLine="480" w:firstLineChars="200"/>
        <w:jc w:val="left"/>
        <w:rPr>
          <w:rFonts w:ascii="宋体" w:hAnsi="宋体"/>
          <w:sz w:val="24"/>
        </w:rPr>
      </w:pPr>
    </w:p>
    <w:p w14:paraId="6AA842FB">
      <w:pPr>
        <w:spacing w:line="360" w:lineRule="auto"/>
        <w:ind w:firstLine="480" w:firstLineChars="200"/>
        <w:jc w:val="left"/>
        <w:rPr>
          <w:rFonts w:ascii="宋体" w:hAnsi="宋体"/>
          <w:sz w:val="24"/>
        </w:rPr>
      </w:pPr>
    </w:p>
    <w:p w14:paraId="086280D0">
      <w:pPr>
        <w:spacing w:line="360" w:lineRule="auto"/>
        <w:ind w:firstLine="480" w:firstLineChars="200"/>
        <w:jc w:val="left"/>
        <w:rPr>
          <w:rFonts w:ascii="宋体" w:hAnsi="宋体"/>
          <w:sz w:val="24"/>
        </w:rPr>
      </w:pPr>
    </w:p>
    <w:p w14:paraId="47CC832F">
      <w:pPr>
        <w:spacing w:line="360" w:lineRule="auto"/>
        <w:ind w:firstLine="480" w:firstLineChars="200"/>
        <w:jc w:val="left"/>
        <w:rPr>
          <w:rFonts w:ascii="宋体" w:hAnsi="宋体"/>
          <w:sz w:val="24"/>
        </w:rPr>
      </w:pPr>
      <w:r>
        <w:rPr>
          <w:rFonts w:hint="eastAsia" w:ascii="宋体" w:hAnsi="宋体"/>
          <w:sz w:val="24"/>
        </w:rPr>
        <w:t>3.3本项目管理、技术、服务人员情况表</w:t>
      </w:r>
    </w:p>
    <w:p w14:paraId="216F4C4A">
      <w:pPr>
        <w:spacing w:line="360" w:lineRule="auto"/>
        <w:ind w:firstLine="482" w:firstLineChars="200"/>
        <w:jc w:val="left"/>
        <w:rPr>
          <w:rFonts w:ascii="宋体" w:hAnsi="宋体"/>
          <w:b/>
          <w:bCs/>
          <w:sz w:val="24"/>
        </w:rPr>
      </w:pPr>
    </w:p>
    <w:p w14:paraId="7C578E2C">
      <w:pPr>
        <w:pStyle w:val="26"/>
        <w:widowControl/>
        <w:ind w:firstLine="0" w:firstLineChars="0"/>
        <w:jc w:val="center"/>
        <w:rPr>
          <w:rFonts w:cs="华文仿宋"/>
          <w:b/>
          <w:bCs/>
          <w:sz w:val="30"/>
          <w:szCs w:val="30"/>
        </w:rPr>
      </w:pPr>
      <w:r>
        <w:rPr>
          <w:rFonts w:hint="eastAsia" w:cs="华文仿宋"/>
          <w:b/>
          <w:bCs/>
          <w:sz w:val="30"/>
          <w:szCs w:val="30"/>
        </w:rPr>
        <w:t>本项目管理、技术、服务人员情况表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14:paraId="7F7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14:paraId="2BEC040A">
            <w:pPr>
              <w:spacing w:line="360" w:lineRule="auto"/>
              <w:jc w:val="center"/>
              <w:rPr>
                <w:rFonts w:ascii="黑体" w:hAnsi="黑体" w:eastAsia="黑体" w:cs="黑体"/>
                <w:sz w:val="24"/>
              </w:rPr>
            </w:pPr>
            <w:r>
              <w:rPr>
                <w:rFonts w:hint="eastAsia" w:ascii="黑体" w:hAnsi="黑体" w:eastAsia="黑体" w:cs="黑体"/>
                <w:sz w:val="24"/>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076AF751">
            <w:pPr>
              <w:spacing w:line="360" w:lineRule="auto"/>
              <w:jc w:val="center"/>
              <w:rPr>
                <w:rFonts w:ascii="黑体" w:hAnsi="黑体" w:eastAsia="黑体" w:cs="黑体"/>
                <w:sz w:val="24"/>
              </w:rPr>
            </w:pPr>
            <w:r>
              <w:rPr>
                <w:rFonts w:hint="eastAsia" w:ascii="黑体" w:hAnsi="黑体" w:eastAsia="黑体" w:cs="黑体"/>
                <w:sz w:val="24"/>
              </w:rPr>
              <w:t>姓名</w:t>
            </w:r>
          </w:p>
        </w:tc>
        <w:tc>
          <w:tcPr>
            <w:tcW w:w="1192" w:type="dxa"/>
            <w:tcBorders>
              <w:top w:val="single" w:color="auto" w:sz="4" w:space="0"/>
              <w:left w:val="single" w:color="auto" w:sz="4" w:space="0"/>
              <w:bottom w:val="single" w:color="auto" w:sz="4" w:space="0"/>
              <w:right w:val="single" w:color="auto" w:sz="4" w:space="0"/>
            </w:tcBorders>
            <w:vAlign w:val="center"/>
          </w:tcPr>
          <w:p w14:paraId="5F8CEC46">
            <w:pPr>
              <w:spacing w:line="360" w:lineRule="auto"/>
              <w:jc w:val="center"/>
              <w:rPr>
                <w:rFonts w:ascii="黑体" w:hAnsi="黑体" w:eastAsia="黑体" w:cs="黑体"/>
                <w:sz w:val="24"/>
              </w:rPr>
            </w:pPr>
            <w:r>
              <w:rPr>
                <w:rFonts w:hint="eastAsia" w:ascii="黑体" w:hAnsi="黑体" w:eastAsia="黑体" w:cs="黑体"/>
                <w:sz w:val="24"/>
              </w:rPr>
              <w:t>现职务</w:t>
            </w:r>
          </w:p>
        </w:tc>
        <w:tc>
          <w:tcPr>
            <w:tcW w:w="2196" w:type="dxa"/>
            <w:tcBorders>
              <w:top w:val="single" w:color="auto" w:sz="4" w:space="0"/>
              <w:left w:val="single" w:color="auto" w:sz="4" w:space="0"/>
              <w:bottom w:val="single" w:color="auto" w:sz="4" w:space="0"/>
              <w:right w:val="single" w:color="auto" w:sz="4" w:space="0"/>
            </w:tcBorders>
            <w:vAlign w:val="center"/>
          </w:tcPr>
          <w:p w14:paraId="53836E83">
            <w:pPr>
              <w:spacing w:line="360" w:lineRule="auto"/>
              <w:jc w:val="center"/>
              <w:rPr>
                <w:rFonts w:ascii="黑体" w:hAnsi="黑体" w:eastAsia="黑体" w:cs="黑体"/>
                <w:sz w:val="24"/>
              </w:rPr>
            </w:pPr>
            <w:r>
              <w:rPr>
                <w:rFonts w:hint="eastAsia" w:ascii="黑体" w:hAnsi="黑体" w:eastAsia="黑体" w:cs="黑体"/>
                <w:sz w:val="24"/>
              </w:rPr>
              <w:t>曾主持/参与的</w:t>
            </w:r>
          </w:p>
          <w:p w14:paraId="39C0F1EE">
            <w:pPr>
              <w:spacing w:line="360" w:lineRule="auto"/>
              <w:jc w:val="center"/>
              <w:rPr>
                <w:rFonts w:ascii="黑体" w:hAnsi="黑体" w:eastAsia="黑体" w:cs="黑体"/>
                <w:sz w:val="24"/>
              </w:rPr>
            </w:pPr>
            <w:r>
              <w:rPr>
                <w:rFonts w:hint="eastAsia" w:ascii="黑体" w:hAnsi="黑体" w:eastAsia="黑体" w:cs="黑体"/>
                <w:sz w:val="24"/>
              </w:rPr>
              <w:t>同类项目经历</w:t>
            </w:r>
          </w:p>
        </w:tc>
        <w:tc>
          <w:tcPr>
            <w:tcW w:w="749" w:type="dxa"/>
            <w:tcBorders>
              <w:top w:val="single" w:color="auto" w:sz="4" w:space="0"/>
              <w:left w:val="single" w:color="auto" w:sz="4" w:space="0"/>
              <w:bottom w:val="single" w:color="auto" w:sz="4" w:space="0"/>
              <w:right w:val="single" w:color="auto" w:sz="4" w:space="0"/>
            </w:tcBorders>
            <w:vAlign w:val="center"/>
          </w:tcPr>
          <w:p w14:paraId="258F51DF">
            <w:pPr>
              <w:spacing w:line="360" w:lineRule="auto"/>
              <w:jc w:val="center"/>
              <w:rPr>
                <w:rFonts w:ascii="黑体" w:hAnsi="黑体" w:eastAsia="黑体" w:cs="黑体"/>
                <w:sz w:val="24"/>
              </w:rPr>
            </w:pPr>
            <w:r>
              <w:rPr>
                <w:rFonts w:hint="eastAsia" w:ascii="黑体" w:hAnsi="黑体" w:eastAsia="黑体" w:cs="黑体"/>
                <w:sz w:val="24"/>
              </w:rPr>
              <w:t>职称</w:t>
            </w:r>
          </w:p>
        </w:tc>
        <w:tc>
          <w:tcPr>
            <w:tcW w:w="818" w:type="dxa"/>
            <w:tcBorders>
              <w:top w:val="single" w:color="auto" w:sz="4" w:space="0"/>
              <w:left w:val="single" w:color="auto" w:sz="4" w:space="0"/>
              <w:bottom w:val="single" w:color="auto" w:sz="4" w:space="0"/>
              <w:right w:val="single" w:color="auto" w:sz="4" w:space="0"/>
            </w:tcBorders>
            <w:vAlign w:val="center"/>
          </w:tcPr>
          <w:p w14:paraId="7B027CDF">
            <w:pPr>
              <w:spacing w:line="360" w:lineRule="auto"/>
              <w:jc w:val="center"/>
              <w:rPr>
                <w:rFonts w:ascii="黑体" w:hAnsi="黑体" w:eastAsia="黑体" w:cs="黑体"/>
                <w:sz w:val="24"/>
              </w:rPr>
            </w:pPr>
            <w:r>
              <w:rPr>
                <w:rFonts w:hint="eastAsia" w:ascii="黑体" w:hAnsi="黑体" w:eastAsia="黑体" w:cs="黑体"/>
                <w:sz w:val="24"/>
              </w:rPr>
              <w:t>专业</w:t>
            </w:r>
          </w:p>
          <w:p w14:paraId="0685BD52">
            <w:pPr>
              <w:spacing w:line="360" w:lineRule="auto"/>
              <w:jc w:val="center"/>
              <w:rPr>
                <w:rFonts w:ascii="黑体" w:hAnsi="黑体" w:eastAsia="黑体" w:cs="黑体"/>
                <w:sz w:val="24"/>
              </w:rPr>
            </w:pPr>
            <w:r>
              <w:rPr>
                <w:rFonts w:hint="eastAsia" w:ascii="黑体" w:hAnsi="黑体" w:eastAsia="黑体" w:cs="黑体"/>
                <w:sz w:val="24"/>
              </w:rPr>
              <w:t>工龄</w:t>
            </w:r>
          </w:p>
        </w:tc>
        <w:tc>
          <w:tcPr>
            <w:tcW w:w="1236" w:type="dxa"/>
            <w:tcBorders>
              <w:top w:val="single" w:color="auto" w:sz="4" w:space="0"/>
              <w:left w:val="single" w:color="auto" w:sz="4" w:space="0"/>
              <w:bottom w:val="single" w:color="auto" w:sz="4" w:space="0"/>
              <w:right w:val="single" w:color="auto" w:sz="4" w:space="0"/>
            </w:tcBorders>
            <w:vAlign w:val="center"/>
          </w:tcPr>
          <w:p w14:paraId="42548193">
            <w:pPr>
              <w:spacing w:line="360" w:lineRule="auto"/>
              <w:jc w:val="center"/>
              <w:rPr>
                <w:rFonts w:ascii="黑体" w:hAnsi="黑体" w:eastAsia="黑体" w:cs="黑体"/>
                <w:sz w:val="24"/>
              </w:rPr>
            </w:pPr>
            <w:r>
              <w:rPr>
                <w:rFonts w:hint="eastAsia" w:ascii="黑体" w:hAnsi="黑体" w:eastAsia="黑体" w:cs="黑体"/>
                <w:sz w:val="24"/>
              </w:rPr>
              <w:t>联系电话</w:t>
            </w:r>
          </w:p>
        </w:tc>
      </w:tr>
      <w:tr w14:paraId="3AC1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vAlign w:val="center"/>
          </w:tcPr>
          <w:p w14:paraId="1A7D158E">
            <w:pPr>
              <w:spacing w:line="360" w:lineRule="auto"/>
              <w:jc w:val="center"/>
              <w:rPr>
                <w:rFonts w:ascii="黑体" w:hAnsi="黑体" w:eastAsia="黑体" w:cs="黑体"/>
                <w:sz w:val="24"/>
              </w:rPr>
            </w:pPr>
            <w:r>
              <w:rPr>
                <w:rFonts w:hint="eastAsia" w:ascii="黑体" w:hAnsi="黑体" w:eastAsia="黑体" w:cs="黑体"/>
                <w:sz w:val="24"/>
              </w:rPr>
              <w:t>总负责人</w:t>
            </w:r>
          </w:p>
        </w:tc>
        <w:tc>
          <w:tcPr>
            <w:tcW w:w="1231" w:type="dxa"/>
            <w:tcBorders>
              <w:top w:val="single" w:color="auto" w:sz="4" w:space="0"/>
              <w:left w:val="single" w:color="auto" w:sz="4" w:space="0"/>
              <w:bottom w:val="nil"/>
              <w:right w:val="single" w:color="auto" w:sz="4" w:space="0"/>
            </w:tcBorders>
            <w:vAlign w:val="center"/>
          </w:tcPr>
          <w:p w14:paraId="384CA4B2">
            <w:pPr>
              <w:jc w:val="center"/>
              <w:rPr>
                <w:rFonts w:ascii="宋体" w:hAnsi="宋体"/>
              </w:rPr>
            </w:pPr>
          </w:p>
        </w:tc>
        <w:tc>
          <w:tcPr>
            <w:tcW w:w="1192" w:type="dxa"/>
            <w:tcBorders>
              <w:top w:val="single" w:color="auto" w:sz="4" w:space="0"/>
              <w:left w:val="single" w:color="auto" w:sz="4" w:space="0"/>
              <w:bottom w:val="nil"/>
              <w:right w:val="single" w:color="auto" w:sz="4" w:space="0"/>
            </w:tcBorders>
            <w:vAlign w:val="center"/>
          </w:tcPr>
          <w:p w14:paraId="17B0DFB3">
            <w:pPr>
              <w:jc w:val="center"/>
              <w:rPr>
                <w:rFonts w:ascii="宋体" w:hAnsi="宋体"/>
              </w:rPr>
            </w:pPr>
          </w:p>
        </w:tc>
        <w:tc>
          <w:tcPr>
            <w:tcW w:w="2196" w:type="dxa"/>
            <w:tcBorders>
              <w:top w:val="single" w:color="auto" w:sz="4" w:space="0"/>
              <w:left w:val="single" w:color="auto" w:sz="4" w:space="0"/>
              <w:bottom w:val="nil"/>
              <w:right w:val="single" w:color="auto" w:sz="4" w:space="0"/>
            </w:tcBorders>
            <w:vAlign w:val="center"/>
          </w:tcPr>
          <w:p w14:paraId="2526741E">
            <w:pPr>
              <w:pStyle w:val="36"/>
              <w:keepNext w:val="0"/>
              <w:adjustRightInd/>
              <w:spacing w:before="0" w:after="0" w:line="240" w:lineRule="auto"/>
              <w:rPr>
                <w:rFonts w:ascii="宋体" w:hAnsi="宋体"/>
                <w:spacing w:val="0"/>
                <w:kern w:val="2"/>
                <w:sz w:val="21"/>
                <w:szCs w:val="21"/>
              </w:rPr>
            </w:pPr>
          </w:p>
        </w:tc>
        <w:tc>
          <w:tcPr>
            <w:tcW w:w="749" w:type="dxa"/>
            <w:tcBorders>
              <w:top w:val="single" w:color="auto" w:sz="4" w:space="0"/>
              <w:left w:val="single" w:color="auto" w:sz="4" w:space="0"/>
              <w:bottom w:val="nil"/>
              <w:right w:val="single" w:color="auto" w:sz="4" w:space="0"/>
            </w:tcBorders>
            <w:vAlign w:val="center"/>
          </w:tcPr>
          <w:p w14:paraId="461630D5">
            <w:pPr>
              <w:jc w:val="center"/>
              <w:rPr>
                <w:rFonts w:ascii="宋体" w:hAnsi="宋体"/>
              </w:rPr>
            </w:pPr>
          </w:p>
        </w:tc>
        <w:tc>
          <w:tcPr>
            <w:tcW w:w="818" w:type="dxa"/>
            <w:tcBorders>
              <w:top w:val="single" w:color="auto" w:sz="4" w:space="0"/>
              <w:left w:val="single" w:color="auto" w:sz="4" w:space="0"/>
              <w:bottom w:val="nil"/>
              <w:right w:val="single" w:color="auto" w:sz="4" w:space="0"/>
            </w:tcBorders>
            <w:vAlign w:val="center"/>
          </w:tcPr>
          <w:p w14:paraId="006FD656">
            <w:pPr>
              <w:ind w:firstLine="12"/>
              <w:jc w:val="center"/>
              <w:rPr>
                <w:rFonts w:ascii="宋体" w:hAnsi="宋体"/>
              </w:rPr>
            </w:pPr>
          </w:p>
        </w:tc>
        <w:tc>
          <w:tcPr>
            <w:tcW w:w="1236" w:type="dxa"/>
            <w:tcBorders>
              <w:top w:val="single" w:color="auto" w:sz="4" w:space="0"/>
              <w:left w:val="single" w:color="auto" w:sz="4" w:space="0"/>
              <w:bottom w:val="nil"/>
              <w:right w:val="single" w:color="auto" w:sz="4" w:space="0"/>
            </w:tcBorders>
            <w:vAlign w:val="center"/>
          </w:tcPr>
          <w:p w14:paraId="52F4A704">
            <w:pPr>
              <w:ind w:firstLine="12"/>
              <w:jc w:val="center"/>
              <w:rPr>
                <w:rFonts w:ascii="宋体" w:hAnsi="宋体"/>
              </w:rPr>
            </w:pPr>
          </w:p>
        </w:tc>
      </w:tr>
      <w:tr w14:paraId="0F07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1DA06D6F">
            <w:pPr>
              <w:spacing w:line="360" w:lineRule="auto"/>
              <w:jc w:val="center"/>
              <w:rPr>
                <w:rFonts w:ascii="黑体" w:hAnsi="黑体" w:eastAsia="黑体" w:cs="黑体"/>
                <w:sz w:val="24"/>
              </w:rPr>
            </w:pPr>
            <w:r>
              <w:rPr>
                <w:rFonts w:hint="eastAsia" w:ascii="黑体" w:hAnsi="黑体" w:eastAsia="黑体" w:cs="黑体"/>
                <w:sz w:val="24"/>
              </w:rPr>
              <w:t>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06AA8454">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4BA320F1">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67E0770A">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4BF950E5">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02DB29D6">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25032DBF">
            <w:pPr>
              <w:jc w:val="center"/>
              <w:rPr>
                <w:rFonts w:ascii="宋体" w:hAnsi="宋体"/>
              </w:rPr>
            </w:pPr>
          </w:p>
        </w:tc>
      </w:tr>
      <w:tr w14:paraId="6781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466BE517">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4FBFA06C">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1E8502C8">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457ADF76">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7C6E5DC6">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5529AA0E">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416EF1C2">
            <w:pPr>
              <w:jc w:val="center"/>
              <w:rPr>
                <w:rFonts w:ascii="宋体" w:hAnsi="宋体"/>
              </w:rPr>
            </w:pPr>
          </w:p>
        </w:tc>
      </w:tr>
      <w:tr w14:paraId="414E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75DC5AC5">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1421AF51">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14:paraId="63038830">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3F1C18E4">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0A882F84">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6A676F4B">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2B1043BF">
            <w:pPr>
              <w:jc w:val="center"/>
              <w:rPr>
                <w:rFonts w:ascii="宋体" w:hAnsi="宋体"/>
              </w:rPr>
            </w:pPr>
          </w:p>
        </w:tc>
      </w:tr>
      <w:tr w14:paraId="1A16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3896886B">
            <w:pPr>
              <w:spacing w:line="360" w:lineRule="auto"/>
              <w:jc w:val="center"/>
              <w:rPr>
                <w:rFonts w:ascii="黑体" w:hAnsi="黑体" w:eastAsia="黑体" w:cs="黑体"/>
                <w:sz w:val="24"/>
              </w:rPr>
            </w:pPr>
            <w:r>
              <w:rPr>
                <w:rFonts w:hint="eastAsia" w:ascii="黑体" w:hAnsi="黑体" w:eastAsia="黑体" w:cs="黑体"/>
                <w:sz w:val="24"/>
              </w:rPr>
              <w:t>主要售后服务人员</w:t>
            </w:r>
          </w:p>
        </w:tc>
        <w:tc>
          <w:tcPr>
            <w:tcW w:w="1231" w:type="dxa"/>
            <w:tcBorders>
              <w:top w:val="single" w:color="auto" w:sz="4" w:space="0"/>
              <w:left w:val="single" w:color="auto" w:sz="4" w:space="0"/>
              <w:bottom w:val="single" w:color="auto" w:sz="4" w:space="0"/>
              <w:right w:val="single" w:color="auto" w:sz="4" w:space="0"/>
            </w:tcBorders>
            <w:vAlign w:val="center"/>
          </w:tcPr>
          <w:p w14:paraId="098E82F4">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45325FC1">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3F4F32FC">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6D2A4B79">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2F4C08D9">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3B4714AF">
            <w:pPr>
              <w:jc w:val="center"/>
              <w:rPr>
                <w:rFonts w:ascii="宋体" w:hAnsi="宋体"/>
              </w:rPr>
            </w:pPr>
          </w:p>
        </w:tc>
      </w:tr>
      <w:tr w14:paraId="3A79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295912F2">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2571E137">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17203FBF">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53D3B8D9">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22C36A77">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1433BF8E">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624B1E8F">
            <w:pPr>
              <w:jc w:val="center"/>
              <w:rPr>
                <w:rFonts w:ascii="宋体" w:hAnsi="宋体"/>
              </w:rPr>
            </w:pPr>
          </w:p>
        </w:tc>
      </w:tr>
      <w:tr w14:paraId="4A0B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51D44FE8">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4F2220EB">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14:paraId="40F2A53C">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1C3E1A8A">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769C936B">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0A1AF32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6B75D934">
            <w:pPr>
              <w:jc w:val="center"/>
              <w:rPr>
                <w:rFonts w:ascii="宋体" w:hAnsi="宋体"/>
              </w:rPr>
            </w:pPr>
          </w:p>
        </w:tc>
      </w:tr>
    </w:tbl>
    <w:p w14:paraId="75344502">
      <w:pPr>
        <w:spacing w:line="360" w:lineRule="auto"/>
        <w:ind w:firstLine="422" w:firstLineChars="200"/>
        <w:rPr>
          <w:rFonts w:ascii="宋体" w:hAnsi="宋体"/>
          <w:b/>
          <w:bCs/>
          <w:u w:val="single"/>
        </w:rPr>
      </w:pPr>
      <w:r>
        <w:rPr>
          <w:rFonts w:hint="eastAsia" w:ascii="宋体" w:hAnsi="宋体"/>
          <w:b/>
          <w:bCs/>
          <w:u w:val="single"/>
        </w:rPr>
        <w:t>注：</w:t>
      </w:r>
    </w:p>
    <w:p w14:paraId="3EFCAB5B">
      <w:pPr>
        <w:spacing w:line="360" w:lineRule="auto"/>
        <w:ind w:firstLine="422" w:firstLineChars="200"/>
        <w:rPr>
          <w:rFonts w:ascii="宋体" w:hAnsi="宋体"/>
          <w:b/>
          <w:bCs/>
          <w:u w:val="single"/>
        </w:rPr>
      </w:pPr>
      <w:r>
        <w:rPr>
          <w:rFonts w:hint="eastAsia" w:ascii="宋体" w:hAnsi="宋体"/>
          <w:b/>
          <w:bCs/>
          <w:u w:val="single"/>
        </w:rPr>
        <w:t>1.对于主要管理、技术、服务人员可另页单独介绍。</w:t>
      </w:r>
    </w:p>
    <w:p w14:paraId="1A6A949D">
      <w:pPr>
        <w:spacing w:line="360" w:lineRule="auto"/>
        <w:ind w:firstLine="422" w:firstLineChars="200"/>
        <w:rPr>
          <w:rFonts w:ascii="宋体" w:hAnsi="宋体"/>
          <w:b/>
          <w:bCs/>
          <w:u w:val="single"/>
        </w:rPr>
      </w:pPr>
      <w:r>
        <w:rPr>
          <w:rFonts w:hint="eastAsia" w:ascii="宋体" w:hAnsi="宋体"/>
          <w:b/>
          <w:bCs/>
          <w:u w:val="single"/>
        </w:rPr>
        <w:t>2.对于证明材料的特殊要求参照评审表。</w:t>
      </w:r>
    </w:p>
    <w:p w14:paraId="43BF7A90">
      <w:pPr>
        <w:spacing w:line="360" w:lineRule="auto"/>
        <w:jc w:val="left"/>
        <w:rPr>
          <w:rFonts w:ascii="宋体" w:hAnsi="宋体"/>
          <w:b/>
          <w:bCs/>
          <w:sz w:val="24"/>
        </w:rPr>
      </w:pPr>
    </w:p>
    <w:p w14:paraId="60948D26">
      <w:pPr>
        <w:spacing w:line="360" w:lineRule="auto"/>
        <w:ind w:firstLine="482" w:firstLineChars="200"/>
        <w:rPr>
          <w:rFonts w:ascii="宋体" w:hAnsi="宋体"/>
          <w:b/>
          <w:bCs/>
          <w:sz w:val="24"/>
        </w:rPr>
      </w:pPr>
      <w:r>
        <w:rPr>
          <w:rFonts w:hint="eastAsia" w:ascii="宋体" w:hAnsi="宋体"/>
          <w:b/>
          <w:bCs/>
          <w:sz w:val="24"/>
        </w:rPr>
        <w:t>4.供应商认为对响应有利的其他资料。</w:t>
      </w:r>
    </w:p>
    <w:p w14:paraId="56294F16">
      <w:pPr>
        <w:rPr>
          <w:rFonts w:ascii="黑体" w:hAnsi="黑体" w:eastAsia="黑体" w:cs="黑体"/>
          <w:b/>
          <w:bCs/>
          <w:sz w:val="32"/>
          <w:szCs w:val="32"/>
        </w:rPr>
      </w:pPr>
      <w:r>
        <w:rPr>
          <w:rFonts w:hint="eastAsia" w:ascii="黑体" w:hAnsi="黑体" w:eastAsia="黑体" w:cs="黑体"/>
          <w:b/>
          <w:bCs/>
          <w:sz w:val="32"/>
          <w:szCs w:val="32"/>
        </w:rPr>
        <w:br w:type="page"/>
      </w:r>
    </w:p>
    <w:p w14:paraId="174BD00E">
      <w:pPr>
        <w:spacing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四、其他附件</w:t>
      </w:r>
    </w:p>
    <w:p w14:paraId="1BEA2A46">
      <w:pPr>
        <w:spacing w:before="156" w:beforeLines="50" w:line="500" w:lineRule="exact"/>
        <w:jc w:val="center"/>
        <w:rPr>
          <w:rFonts w:ascii="黑体" w:hAnsi="仿宋" w:eastAsia="黑体" w:cs="黑体"/>
          <w:b/>
          <w:bCs/>
          <w:sz w:val="32"/>
          <w:szCs w:val="32"/>
          <w:lang w:val="en-GB"/>
        </w:rPr>
      </w:pPr>
      <w:r>
        <w:rPr>
          <w:rFonts w:hint="eastAsia" w:ascii="黑体" w:hAnsi="仿宋" w:eastAsia="黑体" w:cs="黑体"/>
          <w:b/>
          <w:bCs/>
          <w:sz w:val="32"/>
          <w:szCs w:val="32"/>
        </w:rPr>
        <w:t>（一）</w:t>
      </w:r>
      <w:r>
        <w:rPr>
          <w:rFonts w:hint="eastAsia" w:ascii="黑体" w:hAnsi="仿宋" w:eastAsia="黑体" w:cs="黑体"/>
          <w:b/>
          <w:bCs/>
          <w:sz w:val="32"/>
          <w:szCs w:val="32"/>
          <w:lang w:val="en-GB"/>
        </w:rPr>
        <w:t>中小企业声明函</w:t>
      </w:r>
      <w:r>
        <w:rPr>
          <w:rFonts w:hint="eastAsia" w:ascii="黑体" w:hAnsi="仿宋" w:eastAsia="黑体" w:cs="黑体"/>
          <w:b/>
          <w:bCs/>
          <w:sz w:val="32"/>
          <w:szCs w:val="32"/>
        </w:rPr>
        <w:t>格式</w:t>
      </w:r>
      <w:r>
        <w:rPr>
          <w:rFonts w:hint="eastAsia" w:ascii="黑体" w:hAnsi="仿宋" w:eastAsia="黑体" w:cs="黑体"/>
          <w:b/>
          <w:bCs/>
          <w:sz w:val="32"/>
          <w:szCs w:val="32"/>
          <w:lang w:val="en-GB"/>
        </w:rPr>
        <w:t>、</w:t>
      </w:r>
      <w:r>
        <w:rPr>
          <w:rFonts w:hint="eastAsia" w:ascii="黑体" w:hAnsi="仿宋" w:eastAsia="黑体" w:cs="黑体"/>
          <w:b/>
          <w:bCs/>
          <w:sz w:val="32"/>
          <w:szCs w:val="32"/>
        </w:rPr>
        <w:t>监狱企业证明文件、残疾人福利单位声明函格式</w:t>
      </w:r>
    </w:p>
    <w:p w14:paraId="3F0C8E27">
      <w:pPr>
        <w:spacing w:line="360" w:lineRule="auto"/>
        <w:ind w:firstLine="482" w:firstLineChars="200"/>
        <w:rPr>
          <w:rFonts w:ascii="宋体" w:hAnsi="宋体"/>
          <w:b/>
          <w:bCs/>
          <w:sz w:val="24"/>
        </w:rPr>
      </w:pPr>
      <w:r>
        <w:rPr>
          <w:rFonts w:hint="eastAsia" w:ascii="宋体" w:hAnsi="宋体"/>
          <w:b/>
          <w:bCs/>
          <w:sz w:val="24"/>
          <w:u w:val="single"/>
        </w:rPr>
        <w:t>特别提醒：成交供应商的《中小企业声明函》、《残疾人福利性单位声明函》或监狱企业证明文件将随成交结果公告一同公布，接受社会监督。</w:t>
      </w:r>
    </w:p>
    <w:p w14:paraId="095F4F41">
      <w:pPr>
        <w:spacing w:line="360" w:lineRule="auto"/>
        <w:ind w:firstLine="480" w:firstLineChars="200"/>
        <w:rPr>
          <w:rFonts w:ascii="宋体" w:hAnsi="宋体"/>
          <w:sz w:val="24"/>
        </w:rPr>
      </w:pPr>
      <w:bookmarkStart w:id="133" w:name="_Toc2800"/>
      <w:bookmarkStart w:id="134" w:name="_Toc278794817"/>
      <w:r>
        <w:rPr>
          <w:rFonts w:hint="eastAsia" w:ascii="宋体" w:hAnsi="宋体"/>
          <w:sz w:val="24"/>
        </w:rPr>
        <w:t>（1）关于中小企业判定</w:t>
      </w:r>
    </w:p>
    <w:p w14:paraId="1E18841F">
      <w:pPr>
        <w:spacing w:line="360" w:lineRule="atLeast"/>
        <w:jc w:val="center"/>
        <w:rPr>
          <w:rFonts w:ascii="黑体" w:hAnsi="仿宋" w:eastAsia="黑体" w:cs="黑体"/>
          <w:sz w:val="32"/>
          <w:szCs w:val="32"/>
        </w:rPr>
      </w:pPr>
      <w:r>
        <w:rPr>
          <w:rFonts w:hint="eastAsia" w:ascii="黑体" w:hAnsi="仿宋" w:eastAsia="黑体" w:cs="黑体"/>
          <w:sz w:val="32"/>
          <w:szCs w:val="32"/>
        </w:rPr>
        <w:t>中小企业声明函（服务）</w:t>
      </w:r>
    </w:p>
    <w:p w14:paraId="7A9A84B5">
      <w:pPr>
        <w:spacing w:line="360" w:lineRule="auto"/>
        <w:ind w:firstLine="567"/>
        <w:rPr>
          <w:rFonts w:ascii="宋体" w:hAnsi="宋体"/>
          <w:kern w:val="0"/>
          <w:sz w:val="24"/>
          <w:szCs w:val="20"/>
        </w:rPr>
      </w:pPr>
      <w:r>
        <w:rPr>
          <w:rFonts w:hint="eastAsia" w:ascii="宋体" w:hAnsi="宋体"/>
          <w:kern w:val="0"/>
          <w:sz w:val="24"/>
          <w:szCs w:val="20"/>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kern w:val="0"/>
          <w:sz w:val="24"/>
          <w:szCs w:val="20"/>
        </w:rPr>
        <w:t>的</w:t>
      </w:r>
      <w:r>
        <w:rPr>
          <w:rFonts w:hint="eastAsia" w:ascii="宋体" w:hAnsi="宋体"/>
          <w:kern w:val="0"/>
          <w:sz w:val="24"/>
          <w:szCs w:val="20"/>
          <w:u w:val="single"/>
        </w:rPr>
        <w:t>（项目名称）</w:t>
      </w:r>
      <w:r>
        <w:rPr>
          <w:rFonts w:hint="eastAsia" w:ascii="宋体" w:hAnsi="宋体"/>
          <w:kern w:val="0"/>
          <w:sz w:val="24"/>
          <w:szCs w:val="20"/>
        </w:rPr>
        <w:t>采购活动，服务全部由符合政策要求的中小企业承接。相关企业（含联合体中的中小企业、签订分包意向协议的中小企业）的具体情况如下：</w:t>
      </w:r>
    </w:p>
    <w:p w14:paraId="1BD9F3BC">
      <w:pPr>
        <w:spacing w:line="360" w:lineRule="auto"/>
        <w:ind w:firstLine="567"/>
        <w:rPr>
          <w:rFonts w:ascii="宋体" w:hAnsi="宋体"/>
          <w:kern w:val="0"/>
          <w:sz w:val="24"/>
          <w:szCs w:val="20"/>
        </w:rPr>
      </w:pPr>
      <w:r>
        <w:rPr>
          <w:rFonts w:hint="eastAsia" w:ascii="宋体" w:hAnsi="宋体"/>
          <w:kern w:val="0"/>
          <w:sz w:val="24"/>
          <w:szCs w:val="20"/>
        </w:rPr>
        <w:t>1.</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14:paraId="3A57C43A">
      <w:pPr>
        <w:spacing w:line="360" w:lineRule="auto"/>
        <w:ind w:firstLine="567"/>
        <w:rPr>
          <w:rFonts w:ascii="宋体" w:hAnsi="宋体"/>
          <w:kern w:val="0"/>
          <w:sz w:val="24"/>
          <w:szCs w:val="20"/>
        </w:rPr>
      </w:pPr>
      <w:r>
        <w:rPr>
          <w:rFonts w:hint="eastAsia" w:ascii="宋体" w:hAnsi="宋体"/>
          <w:kern w:val="0"/>
          <w:sz w:val="24"/>
          <w:szCs w:val="20"/>
        </w:rPr>
        <w:t>2.</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14:paraId="764C279E">
      <w:pPr>
        <w:spacing w:line="360" w:lineRule="auto"/>
        <w:ind w:firstLine="567"/>
        <w:rPr>
          <w:rFonts w:ascii="宋体" w:hAnsi="宋体"/>
          <w:kern w:val="0"/>
          <w:sz w:val="24"/>
          <w:szCs w:val="20"/>
        </w:rPr>
      </w:pPr>
      <w:r>
        <w:rPr>
          <w:rFonts w:hint="eastAsia" w:ascii="宋体" w:hAnsi="宋体"/>
          <w:kern w:val="0"/>
          <w:sz w:val="24"/>
          <w:szCs w:val="20"/>
        </w:rPr>
        <w:t>……</w:t>
      </w:r>
    </w:p>
    <w:p w14:paraId="4AEC990D">
      <w:pPr>
        <w:spacing w:line="360" w:lineRule="auto"/>
        <w:ind w:firstLine="567"/>
        <w:rPr>
          <w:rFonts w:ascii="宋体" w:hAnsi="宋体"/>
          <w:kern w:val="0"/>
          <w:sz w:val="24"/>
          <w:szCs w:val="20"/>
        </w:rPr>
      </w:pPr>
      <w:r>
        <w:rPr>
          <w:rFonts w:hint="eastAsia" w:ascii="宋体" w:hAnsi="宋体"/>
          <w:kern w:val="0"/>
          <w:sz w:val="24"/>
          <w:szCs w:val="20"/>
        </w:rPr>
        <w:t>以上企业，不属于大企业的分支机构，不存在控股股东为大企业的情形，也不存在与大企业的负责人为同一人的情形。</w:t>
      </w:r>
    </w:p>
    <w:p w14:paraId="334EAFE6">
      <w:pPr>
        <w:spacing w:line="360" w:lineRule="auto"/>
        <w:ind w:firstLine="567"/>
        <w:rPr>
          <w:rFonts w:ascii="宋体" w:hAnsi="宋体"/>
          <w:kern w:val="0"/>
          <w:sz w:val="24"/>
          <w:szCs w:val="20"/>
        </w:rPr>
      </w:pPr>
      <w:r>
        <w:rPr>
          <w:rFonts w:hint="eastAsia" w:ascii="宋体" w:hAnsi="宋体"/>
          <w:kern w:val="0"/>
          <w:sz w:val="24"/>
          <w:szCs w:val="20"/>
        </w:rPr>
        <w:t>本企业对上述声明内容的真实性负责。如有虚假，将依法承担相应责任。</w:t>
      </w:r>
    </w:p>
    <w:p w14:paraId="38E3F67D">
      <w:pPr>
        <w:spacing w:line="360" w:lineRule="auto"/>
        <w:ind w:firstLine="567"/>
        <w:rPr>
          <w:rFonts w:ascii="宋体" w:hAnsi="宋体"/>
          <w:kern w:val="0"/>
          <w:sz w:val="24"/>
          <w:szCs w:val="20"/>
        </w:rPr>
      </w:pPr>
      <w:r>
        <w:rPr>
          <w:rFonts w:hint="eastAsia" w:ascii="宋体" w:hAnsi="宋体"/>
          <w:kern w:val="0"/>
          <w:sz w:val="24"/>
          <w:szCs w:val="20"/>
        </w:rPr>
        <w:t>供应商名称（盖章）：</w:t>
      </w:r>
    </w:p>
    <w:p w14:paraId="54A64CC7">
      <w:pPr>
        <w:spacing w:line="360" w:lineRule="auto"/>
        <w:ind w:firstLine="567"/>
        <w:rPr>
          <w:rFonts w:ascii="宋体" w:hAnsi="宋体"/>
          <w:kern w:val="0"/>
          <w:sz w:val="24"/>
          <w:szCs w:val="20"/>
        </w:rPr>
      </w:pPr>
      <w:r>
        <w:rPr>
          <w:rFonts w:hint="eastAsia" w:ascii="宋体" w:hAnsi="宋体"/>
          <w:kern w:val="0"/>
          <w:sz w:val="24"/>
          <w:szCs w:val="20"/>
        </w:rPr>
        <w:t>日 期：</w:t>
      </w:r>
      <w:r>
        <w:rPr>
          <w:rFonts w:hint="eastAsia" w:ascii="宋体" w:hAnsi="宋体"/>
          <w:sz w:val="24"/>
        </w:rPr>
        <w:t>年月日</w:t>
      </w:r>
    </w:p>
    <w:p w14:paraId="50684EB6">
      <w:pPr>
        <w:spacing w:line="360" w:lineRule="auto"/>
        <w:ind w:firstLine="567"/>
        <w:rPr>
          <w:rFonts w:ascii="宋体" w:hAnsi="宋体"/>
          <w:kern w:val="0"/>
          <w:sz w:val="24"/>
          <w:szCs w:val="20"/>
        </w:rPr>
      </w:pPr>
    </w:p>
    <w:p w14:paraId="69EBBF39">
      <w:pPr>
        <w:spacing w:line="360" w:lineRule="auto"/>
        <w:ind w:firstLine="567"/>
        <w:rPr>
          <w:rFonts w:ascii="宋体" w:hAnsi="宋体"/>
          <w:color w:val="000000"/>
          <w:kern w:val="0"/>
          <w:sz w:val="18"/>
          <w:szCs w:val="18"/>
          <w:lang w:bidi="ar"/>
        </w:rPr>
      </w:pPr>
      <w:r>
        <w:rPr>
          <w:sz w:val="1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14:paraId="0BFDA246">
      <w:pPr>
        <w:widowControl/>
        <w:jc w:val="left"/>
        <w:rPr>
          <w:rFonts w:ascii="宋体" w:hAnsi="宋体"/>
          <w:color w:val="000000"/>
          <w:kern w:val="0"/>
          <w:szCs w:val="21"/>
          <w:lang w:bidi="ar"/>
        </w:rPr>
      </w:pPr>
      <w:r>
        <w:rPr>
          <w:rFonts w:hint="eastAsia" w:ascii="宋体" w:hAnsi="宋体"/>
          <w:b/>
          <w:bCs/>
          <w:color w:val="000000"/>
          <w:kern w:val="0"/>
          <w:szCs w:val="21"/>
          <w:lang w:bidi="ar"/>
        </w:rPr>
        <w:t>备注：</w:t>
      </w:r>
      <w:r>
        <w:rPr>
          <w:rFonts w:hint="eastAsia" w:ascii="宋体" w:hAnsi="宋体"/>
          <w:color w:val="000000"/>
          <w:kern w:val="0"/>
          <w:szCs w:val="21"/>
          <w:lang w:bidi="ar"/>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14:paraId="7FCD11E4">
      <w:pPr>
        <w:widowControl/>
        <w:jc w:val="left"/>
        <w:rPr>
          <w:rFonts w:ascii="宋体" w:hAnsi="宋体"/>
          <w:color w:val="000000"/>
          <w:kern w:val="0"/>
          <w:szCs w:val="21"/>
          <w:lang w:bidi="ar"/>
        </w:rPr>
      </w:pPr>
      <w:r>
        <w:rPr>
          <w:rFonts w:hint="eastAsia" w:ascii="宋体" w:hAnsi="宋体"/>
          <w:color w:val="000000"/>
          <w:kern w:val="0"/>
          <w:szCs w:val="21"/>
          <w:lang w:bidi="ar"/>
        </w:rPr>
        <w:t>2.从业人员、营业收入、资产总额填报上一年度数据，无上一年度数据的新成立企业可不填报。</w:t>
      </w:r>
    </w:p>
    <w:p w14:paraId="072DA027">
      <w:pPr>
        <w:spacing w:line="360" w:lineRule="auto"/>
        <w:ind w:firstLine="482" w:firstLineChars="200"/>
        <w:rPr>
          <w:rFonts w:ascii="宋体" w:hAnsi="宋体"/>
          <w:sz w:val="24"/>
        </w:rPr>
      </w:pPr>
      <w:r>
        <w:rPr>
          <w:rFonts w:hint="eastAsia" w:ascii="宋体" w:hAnsi="宋体"/>
          <w:b/>
          <w:bCs/>
          <w:sz w:val="24"/>
        </w:rPr>
        <w:br w:type="page"/>
      </w:r>
      <w:r>
        <w:rPr>
          <w:rFonts w:hint="eastAsia" w:ascii="宋体" w:hAnsi="宋体"/>
          <w:sz w:val="24"/>
        </w:rPr>
        <w:t>（2）关于监狱企业的证明文件</w:t>
      </w:r>
    </w:p>
    <w:p w14:paraId="00095141">
      <w:pPr>
        <w:pStyle w:val="26"/>
        <w:widowControl/>
        <w:ind w:firstLine="0" w:firstLineChars="0"/>
        <w:jc w:val="center"/>
        <w:rPr>
          <w:rFonts w:cs="华文仿宋"/>
          <w:b/>
          <w:bCs/>
          <w:sz w:val="30"/>
          <w:szCs w:val="30"/>
        </w:rPr>
      </w:pPr>
      <w:r>
        <w:rPr>
          <w:rFonts w:hint="eastAsia" w:cs="华文仿宋"/>
          <w:b/>
          <w:bCs/>
          <w:sz w:val="30"/>
          <w:szCs w:val="30"/>
        </w:rPr>
        <w:t>关于监狱企业的证明文件</w:t>
      </w:r>
    </w:p>
    <w:p w14:paraId="49E43F9C">
      <w:pPr>
        <w:spacing w:line="360" w:lineRule="auto"/>
        <w:ind w:firstLine="480" w:firstLineChars="200"/>
        <w:rPr>
          <w:rFonts w:ascii="宋体" w:hAnsi="宋体"/>
          <w:sz w:val="24"/>
        </w:rPr>
      </w:pPr>
      <w:r>
        <w:rPr>
          <w:rFonts w:hint="eastAsia" w:ascii="宋体" w:hAnsi="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E53330">
      <w:pPr>
        <w:spacing w:line="360" w:lineRule="auto"/>
        <w:ind w:firstLine="480" w:firstLineChars="200"/>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w:t>
      </w:r>
    </w:p>
    <w:p w14:paraId="4821602C">
      <w:pPr>
        <w:spacing w:line="360" w:lineRule="auto"/>
        <w:ind w:firstLine="480" w:firstLineChars="200"/>
        <w:rPr>
          <w:rFonts w:ascii="宋体" w:hAnsi="宋体"/>
          <w:sz w:val="24"/>
        </w:rPr>
      </w:pPr>
    </w:p>
    <w:p w14:paraId="6FD0D75D">
      <w:pPr>
        <w:spacing w:line="360" w:lineRule="auto"/>
        <w:ind w:firstLine="482" w:firstLineChars="200"/>
        <w:rPr>
          <w:rFonts w:ascii="宋体" w:hAnsi="宋体"/>
          <w:sz w:val="24"/>
        </w:rPr>
      </w:pPr>
      <w:r>
        <w:rPr>
          <w:rFonts w:hint="eastAsia" w:ascii="宋体" w:hAnsi="宋体"/>
          <w:b/>
          <w:bCs/>
          <w:sz w:val="24"/>
        </w:rPr>
        <w:br w:type="page"/>
      </w:r>
      <w:r>
        <w:rPr>
          <w:rFonts w:hint="eastAsia" w:ascii="宋体" w:hAnsi="宋体"/>
          <w:sz w:val="24"/>
        </w:rPr>
        <w:t>（3）关于残疾人福利性单位判定</w:t>
      </w:r>
    </w:p>
    <w:p w14:paraId="7D799C64">
      <w:pPr>
        <w:pStyle w:val="26"/>
        <w:widowControl/>
        <w:ind w:firstLine="0" w:firstLineChars="0"/>
        <w:jc w:val="center"/>
        <w:rPr>
          <w:rFonts w:cs="华文仿宋"/>
          <w:b/>
          <w:bCs/>
          <w:sz w:val="30"/>
          <w:szCs w:val="30"/>
        </w:rPr>
      </w:pPr>
      <w:r>
        <w:rPr>
          <w:rFonts w:hint="eastAsia" w:cs="华文仿宋"/>
          <w:b/>
          <w:bCs/>
          <w:sz w:val="30"/>
          <w:szCs w:val="30"/>
        </w:rPr>
        <w:t>残疾人福利单位声明函</w:t>
      </w:r>
    </w:p>
    <w:p w14:paraId="6F9F8E36">
      <w:pPr>
        <w:spacing w:line="360" w:lineRule="auto"/>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中国残疾人联合会关于促进残疾人就业政府采购政策的通知》（财库〔2017〕141号）的规定，本单位为符合条件的残疾人福利性单位，且本单位参加（采购代理机构名称）</w:t>
      </w:r>
      <w:r>
        <w:rPr>
          <w:rFonts w:hint="eastAsia" w:ascii="宋体" w:hAnsi="宋体"/>
          <w:kern w:val="0"/>
          <w:sz w:val="24"/>
          <w:szCs w:val="20"/>
          <w:u w:val="single"/>
        </w:rPr>
        <w:t>（项目名称）</w:t>
      </w:r>
      <w:r>
        <w:rPr>
          <w:rFonts w:hint="eastAsia" w:ascii="宋体" w:hAnsi="宋体"/>
          <w:kern w:val="0"/>
          <w:sz w:val="24"/>
          <w:szCs w:val="20"/>
        </w:rPr>
        <w:t>采购活动提供本单位制造的货物（由本单位承担工程/提供服务），或者提供其他残疾人福利性单位制造的货物（不包括使用非残疾人福利性单位注册商标的货物）。</w:t>
      </w:r>
    </w:p>
    <w:p w14:paraId="18F37F52">
      <w:pPr>
        <w:spacing w:line="360" w:lineRule="auto"/>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14:paraId="4F5A4511">
      <w:pPr>
        <w:spacing w:line="360" w:lineRule="auto"/>
        <w:ind w:left="1080" w:leftChars="257" w:hanging="540"/>
        <w:jc w:val="center"/>
        <w:rPr>
          <w:rFonts w:ascii="宋体" w:hAnsi="宋体"/>
          <w:kern w:val="0"/>
          <w:sz w:val="24"/>
          <w:szCs w:val="20"/>
        </w:rPr>
      </w:pPr>
    </w:p>
    <w:p w14:paraId="537B174C">
      <w:pPr>
        <w:spacing w:line="360" w:lineRule="auto"/>
        <w:ind w:left="1080" w:leftChars="257" w:hanging="540"/>
        <w:jc w:val="center"/>
        <w:rPr>
          <w:rFonts w:ascii="宋体" w:hAnsi="宋体"/>
          <w:kern w:val="0"/>
          <w:sz w:val="24"/>
          <w:szCs w:val="20"/>
        </w:rPr>
      </w:pPr>
    </w:p>
    <w:p w14:paraId="6E9FD932">
      <w:pPr>
        <w:spacing w:line="360" w:lineRule="auto"/>
        <w:ind w:firstLine="480" w:firstLineChars="200"/>
        <w:rPr>
          <w:rFonts w:ascii="宋体" w:cs="Times New Roman"/>
          <w:sz w:val="24"/>
          <w:u w:val="single"/>
        </w:rPr>
      </w:pPr>
      <w:r>
        <w:rPr>
          <w:rFonts w:hint="eastAsia" w:ascii="宋体" w:hAnsi="宋体"/>
          <w:sz w:val="24"/>
        </w:rPr>
        <w:t>供应商名称（盖章）：</w:t>
      </w:r>
      <w:r>
        <w:rPr>
          <w:rFonts w:ascii="宋体" w:hAnsi="宋体"/>
          <w:sz w:val="24"/>
          <w:u w:val="single"/>
        </w:rPr>
        <w:t xml:space="preserve">                        </w:t>
      </w:r>
    </w:p>
    <w:p w14:paraId="6CE00363">
      <w:pPr>
        <w:spacing w:line="360" w:lineRule="auto"/>
        <w:ind w:firstLine="480" w:firstLineChars="200"/>
        <w:rPr>
          <w:rFonts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629FB81">
      <w:pPr>
        <w:spacing w:line="360" w:lineRule="auto"/>
        <w:ind w:firstLine="567"/>
        <w:rPr>
          <w:rFonts w:ascii="宋体" w:hAnsi="宋体"/>
          <w:color w:val="000000"/>
          <w:kern w:val="0"/>
          <w:sz w:val="18"/>
          <w:szCs w:val="18"/>
          <w:lang w:bidi="ar"/>
        </w:rPr>
      </w:pPr>
      <w:r>
        <w:rPr>
          <w:sz w:val="1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9" name="直接连接符 9"/>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Y4uMekBAAC0AwAADgAAAGRycy9lMm9Eb2MueG1srVPNjtMwEL4j&#10;8Q6W7zT9ods2arqHrZYLgkrAA0wdJ7HkP3m8TfsSvAASNzhx5M7b7PIYjN2wLMtlD+TgzNhfvpnv&#10;82R9eTSaHWRA5WzFJ6MxZ9IKVyvbVvzD++sXS84wgq1BOysrfpLILzfPn617X8qp65yuZWBEYrHs&#10;fcW7GH1ZFCg6aQBHzktLh40LBiKloS3qAD2xG11Mx+OLoneh9sEJiUi72/MhHxjDUwhd0yght07c&#10;GGnjmTVIDZEkYac88k3utmmkiG+bBmVkuuKkNOaVilC8T2uxWUPZBvCdEkML8JQWHmkyoCwVvafa&#10;QgR2E9Q/VEaJ4NA1cSScKc5CsiOkYjJ+5M27DrzMWshq9Pem4/+jFW8Ou8BUXfEVZxYMXfjdp++3&#10;H7/8/PGZ1rtvX9kqmdR7LAl7ZXdhyNDvQlJ8bIJJb9LCjjRQk9liupxzdiLK2XwxuxhMlsfIRAIs&#10;V/OXCwIIQuSz4g+JDxhfSWdYCiqulU36oYTDa4xUmKC/IWnbumuldb5DbVlPFefTxAw0lw3NA4XG&#10;kza0LWegWxp4EUNmRKdVnb5OPBja/ZUO7ABpTPKTRFO1v2Cp9BawO+Py0QDTNtHIPHBDp8mxs0cp&#10;2rv6lK0rUkaXmdmHwUvT8jCn+OHPt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GOLjHp&#10;AQAAtAMAAA4AAAAAAAAAAQAgAAAAIQEAAGRycy9lMm9Eb2MueG1sUEsFBgAAAAAGAAYAWQEAAHwF&#10;AAAAAA==&#10;">
                <v:fill on="f" focussize="0,0"/>
                <v:stroke color="#000000" joinstyle="round"/>
                <v:imagedata o:title=""/>
                <o:lock v:ext="edit" aspectratio="f"/>
              </v:line>
            </w:pict>
          </mc:Fallback>
        </mc:AlternateContent>
      </w:r>
    </w:p>
    <w:p w14:paraId="13376EE4">
      <w:pPr>
        <w:widowControl/>
        <w:jc w:val="left"/>
        <w:rPr>
          <w:szCs w:val="21"/>
        </w:rPr>
      </w:pPr>
      <w:r>
        <w:rPr>
          <w:rFonts w:hint="eastAsia" w:ascii="宋体" w:hAnsi="宋体"/>
          <w:b/>
          <w:bCs/>
          <w:color w:val="000000"/>
          <w:kern w:val="0"/>
          <w:szCs w:val="21"/>
          <w:lang w:bidi="ar"/>
        </w:rPr>
        <w:t>备注：</w:t>
      </w:r>
      <w:r>
        <w:rPr>
          <w:rFonts w:hint="eastAsia" w:ascii="宋体" w:hAnsi="宋体"/>
          <w:color w:val="000000"/>
          <w:kern w:val="0"/>
          <w:szCs w:val="21"/>
          <w:lang w:bidi="ar"/>
        </w:rPr>
        <w:t xml:space="preserve">根据《财政部 民政部 中国残疾人联合会关于促进残疾人就业政府采购政策的通知》（财库 </w:t>
      </w:r>
    </w:p>
    <w:p w14:paraId="100F37B6">
      <w:pPr>
        <w:widowControl/>
        <w:jc w:val="left"/>
        <w:rPr>
          <w:szCs w:val="21"/>
        </w:rPr>
      </w:pPr>
      <w:r>
        <w:rPr>
          <w:rFonts w:hint="eastAsia" w:ascii="宋体" w:hAnsi="宋体"/>
          <w:color w:val="000000"/>
          <w:kern w:val="0"/>
          <w:szCs w:val="21"/>
          <w:lang w:bidi="ar"/>
        </w:rPr>
        <w:t>〔2017〕141 号）的规定：</w:t>
      </w:r>
    </w:p>
    <w:p w14:paraId="77BF4363">
      <w:pPr>
        <w:widowControl/>
        <w:jc w:val="left"/>
        <w:rPr>
          <w:szCs w:val="21"/>
        </w:rPr>
      </w:pPr>
      <w:r>
        <w:rPr>
          <w:rFonts w:hint="eastAsia" w:ascii="宋体" w:hAnsi="宋体"/>
          <w:color w:val="000000"/>
          <w:kern w:val="0"/>
          <w:szCs w:val="21"/>
          <w:lang w:bidi="ar"/>
        </w:rPr>
        <w:t>一、享受政府采购支持政策的残疾人福利性单位应当同时满足以下条件：</w:t>
      </w:r>
    </w:p>
    <w:p w14:paraId="7BB4353D">
      <w:pPr>
        <w:widowControl/>
        <w:jc w:val="left"/>
        <w:rPr>
          <w:szCs w:val="21"/>
        </w:rPr>
      </w:pPr>
      <w:r>
        <w:rPr>
          <w:rFonts w:hint="eastAsia" w:ascii="宋体" w:hAnsi="宋体"/>
          <w:color w:val="000000"/>
          <w:kern w:val="0"/>
          <w:szCs w:val="21"/>
          <w:lang w:bidi="ar"/>
        </w:rPr>
        <w:t xml:space="preserve">（一）安置的残疾人占本单位在职职工人数的比例不低于 </w:t>
      </w:r>
      <w:r>
        <w:rPr>
          <w:rFonts w:ascii="仿宋" w:hAnsi="仿宋" w:eastAsia="仿宋" w:cs="仿宋"/>
          <w:color w:val="000000"/>
          <w:kern w:val="0"/>
          <w:szCs w:val="21"/>
          <w:lang w:bidi="ar"/>
        </w:rPr>
        <w:t>25</w:t>
      </w:r>
      <w:r>
        <w:rPr>
          <w:rFonts w:hint="eastAsia" w:ascii="宋体" w:hAnsi="宋体"/>
          <w:color w:val="000000"/>
          <w:kern w:val="0"/>
          <w:szCs w:val="21"/>
          <w:lang w:bidi="ar"/>
        </w:rPr>
        <w:t xml:space="preserve">%（含 </w:t>
      </w:r>
      <w:r>
        <w:rPr>
          <w:rFonts w:hint="eastAsia" w:ascii="仿宋" w:hAnsi="仿宋" w:eastAsia="仿宋" w:cs="仿宋"/>
          <w:color w:val="000000"/>
          <w:kern w:val="0"/>
          <w:szCs w:val="21"/>
          <w:lang w:bidi="ar"/>
        </w:rPr>
        <w:t>25</w:t>
      </w:r>
      <w:r>
        <w:rPr>
          <w:rFonts w:hint="eastAsia" w:ascii="宋体" w:hAnsi="宋体"/>
          <w:color w:val="000000"/>
          <w:kern w:val="0"/>
          <w:szCs w:val="21"/>
          <w:lang w:bidi="ar"/>
        </w:rPr>
        <w:t>%），并且安置的残疾人人数不少于10人（含10人）；</w:t>
      </w:r>
    </w:p>
    <w:p w14:paraId="0D04865F">
      <w:pPr>
        <w:widowControl/>
        <w:jc w:val="left"/>
        <w:rPr>
          <w:szCs w:val="21"/>
        </w:rPr>
      </w:pPr>
      <w:r>
        <w:rPr>
          <w:rFonts w:hint="eastAsia" w:ascii="宋体" w:hAnsi="宋体"/>
          <w:color w:val="000000"/>
          <w:kern w:val="0"/>
          <w:szCs w:val="21"/>
          <w:lang w:bidi="ar"/>
        </w:rPr>
        <w:t>（二）依法与安置的每位残疾人签订了一年以上（含一年）的劳动合同或服务协议；</w:t>
      </w:r>
    </w:p>
    <w:p w14:paraId="5EAEFB32">
      <w:pPr>
        <w:widowControl/>
        <w:jc w:val="left"/>
        <w:rPr>
          <w:szCs w:val="21"/>
        </w:rPr>
      </w:pPr>
      <w:r>
        <w:rPr>
          <w:rFonts w:hint="eastAsia" w:ascii="宋体" w:hAnsi="宋体"/>
          <w:color w:val="000000"/>
          <w:kern w:val="0"/>
          <w:szCs w:val="21"/>
          <w:lang w:bidi="ar"/>
        </w:rPr>
        <w:t>（三）为安置的每位残疾人按月足额缴纳了基本养老保险、基本医疗保险、失业保险、工伤保险和生育保险等社会保险费；</w:t>
      </w:r>
    </w:p>
    <w:p w14:paraId="7560EEEE">
      <w:pPr>
        <w:widowControl/>
        <w:jc w:val="left"/>
        <w:rPr>
          <w:szCs w:val="21"/>
        </w:rPr>
      </w:pPr>
      <w:r>
        <w:rPr>
          <w:rFonts w:hint="eastAsia" w:ascii="宋体" w:hAnsi="宋体"/>
          <w:color w:val="000000"/>
          <w:kern w:val="0"/>
          <w:szCs w:val="21"/>
          <w:lang w:bidi="ar"/>
        </w:rPr>
        <w:t>（四）通过银行等金融机构向安置的每位残疾人，按月支付了不低于单位所在区县适用的经省级人民政府批准的月最低工资标准的工资；</w:t>
      </w:r>
    </w:p>
    <w:p w14:paraId="79AF2060">
      <w:pPr>
        <w:widowControl/>
        <w:jc w:val="left"/>
        <w:rPr>
          <w:rFonts w:ascii="宋体" w:hAnsi="宋体"/>
          <w:color w:val="000000"/>
          <w:kern w:val="0"/>
          <w:szCs w:val="21"/>
          <w:lang w:bidi="ar"/>
        </w:rPr>
      </w:pPr>
      <w:r>
        <w:rPr>
          <w:rFonts w:hint="eastAsia" w:ascii="宋体" w:hAnsi="宋体"/>
          <w:color w:val="000000"/>
          <w:kern w:val="0"/>
          <w:szCs w:val="21"/>
          <w:lang w:bidi="ar"/>
        </w:rPr>
        <w:t>（五）提供本单位制造的货物、承担的工程或者服务（以下简称产品），或者提供其他残疾人福利性单位制造的货物（不包括使用非残疾人福利性单位注册商标的货物）。</w:t>
      </w:r>
    </w:p>
    <w:p w14:paraId="0D91B212">
      <w:pPr>
        <w:widowControl/>
        <w:jc w:val="left"/>
        <w:rPr>
          <w:szCs w:val="21"/>
        </w:rPr>
      </w:pPr>
      <w:r>
        <w:rPr>
          <w:rFonts w:hint="eastAsia" w:ascii="宋体" w:hAnsi="宋体"/>
          <w:color w:val="000000"/>
          <w:kern w:val="0"/>
          <w:szCs w:val="21"/>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741601">
      <w:pPr>
        <w:widowControl/>
        <w:jc w:val="left"/>
        <w:rPr>
          <w:szCs w:val="21"/>
        </w:rPr>
      </w:pPr>
      <w:r>
        <w:rPr>
          <w:rFonts w:hint="eastAsia" w:ascii="宋体" w:hAnsi="宋体"/>
          <w:color w:val="000000"/>
          <w:kern w:val="0"/>
          <w:szCs w:val="21"/>
          <w:lang w:bidi="ar"/>
        </w:rPr>
        <w:t>二、中标、成交供应商为残疾人福利性单位的，采购人或者其委托的采购代理机构应当随中标、成交结果同时公告其《残疾人福利性单位声明函》，接受社会监督。</w:t>
      </w:r>
    </w:p>
    <w:p w14:paraId="1CDEB045">
      <w:pPr>
        <w:spacing w:line="360" w:lineRule="auto"/>
        <w:jc w:val="center"/>
        <w:rPr>
          <w:rFonts w:ascii="黑体" w:hAnsi="仿宋" w:eastAsia="黑体" w:cs="黑体"/>
          <w:b/>
          <w:bCs/>
          <w:sz w:val="32"/>
          <w:szCs w:val="32"/>
          <w:lang w:val="en-GB"/>
        </w:rPr>
      </w:pPr>
      <w:r>
        <w:rPr>
          <w:rFonts w:hint="eastAsia" w:ascii="宋体" w:hAnsi="宋体"/>
          <w:b/>
          <w:bCs/>
          <w:sz w:val="24"/>
        </w:rPr>
        <w:br w:type="page"/>
      </w:r>
      <w:bookmarkEnd w:id="133"/>
      <w:r>
        <w:rPr>
          <w:rFonts w:hint="eastAsia" w:ascii="黑体" w:hAnsi="仿宋" w:eastAsia="黑体" w:cs="黑体"/>
          <w:b/>
          <w:bCs/>
          <w:sz w:val="32"/>
          <w:szCs w:val="32"/>
        </w:rPr>
        <w:t>（二）</w:t>
      </w:r>
      <w:r>
        <w:rPr>
          <w:rFonts w:hint="eastAsia" w:ascii="黑体" w:hAnsi="仿宋" w:eastAsia="黑体" w:cs="黑体"/>
          <w:b/>
          <w:bCs/>
          <w:sz w:val="32"/>
          <w:szCs w:val="32"/>
          <w:lang w:val="en-GB"/>
        </w:rPr>
        <w:t>名称变更证明</w:t>
      </w:r>
    </w:p>
    <w:p w14:paraId="522C95FC">
      <w:pPr>
        <w:pStyle w:val="26"/>
        <w:widowControl/>
        <w:ind w:firstLine="0" w:firstLineChars="0"/>
        <w:jc w:val="center"/>
        <w:rPr>
          <w:rFonts w:cs="华文仿宋"/>
          <w:b/>
          <w:bCs/>
          <w:sz w:val="30"/>
          <w:szCs w:val="30"/>
          <w:lang w:val="en-GB"/>
        </w:rPr>
      </w:pPr>
      <w:r>
        <w:rPr>
          <w:rFonts w:hint="eastAsia" w:cs="华文仿宋"/>
          <w:b/>
          <w:bCs/>
          <w:sz w:val="30"/>
          <w:szCs w:val="30"/>
          <w:lang w:val="en-GB"/>
        </w:rPr>
        <w:t>名称变更</w:t>
      </w:r>
      <w:r>
        <w:rPr>
          <w:rFonts w:hint="eastAsia" w:cs="华文仿宋"/>
          <w:b/>
          <w:bCs/>
          <w:sz w:val="30"/>
          <w:szCs w:val="30"/>
        </w:rPr>
        <w:t>证明</w:t>
      </w:r>
    </w:p>
    <w:p w14:paraId="0F942945">
      <w:pPr>
        <w:pStyle w:val="14"/>
        <w:spacing w:line="500" w:lineRule="exact"/>
        <w:ind w:left="-120" w:leftChars="-57" w:firstLine="527" w:firstLineChars="250"/>
        <w:rPr>
          <w:b/>
          <w:bCs/>
          <w:u w:val="single"/>
        </w:rPr>
      </w:pPr>
      <w:r>
        <w:rPr>
          <w:rFonts w:hint="eastAsia" w:hAnsi="宋体"/>
          <w:b/>
          <w:bCs/>
          <w:u w:val="single"/>
        </w:rPr>
        <w:t>注：供应商如果有名称变更的，应提供由工商管理部门出具的变更证明文件。（复印件加盖供应商公章）</w:t>
      </w:r>
    </w:p>
    <w:p w14:paraId="68C34A98"/>
    <w:p w14:paraId="25EAF654"/>
    <w:p w14:paraId="7DD95FCA"/>
    <w:p w14:paraId="44277E0E"/>
    <w:p w14:paraId="1E1A85BA"/>
    <w:p w14:paraId="4F2765C0"/>
    <w:p w14:paraId="4862C050"/>
    <w:p w14:paraId="711F4012"/>
    <w:p w14:paraId="2EF738F7"/>
    <w:p w14:paraId="257336DA"/>
    <w:p w14:paraId="1FDBEDF8">
      <w:pPr>
        <w:spacing w:line="360" w:lineRule="auto"/>
        <w:ind w:firstLine="643" w:firstLineChars="200"/>
        <w:rPr>
          <w:rFonts w:ascii="黑体" w:hAnsi="仿宋" w:eastAsia="黑体" w:cs="黑体"/>
          <w:b/>
          <w:bCs/>
          <w:sz w:val="32"/>
          <w:szCs w:val="32"/>
        </w:rPr>
      </w:pPr>
    </w:p>
    <w:p w14:paraId="74F9D6BB">
      <w:pPr>
        <w:spacing w:line="360" w:lineRule="auto"/>
        <w:ind w:firstLine="482" w:firstLineChars="200"/>
        <w:rPr>
          <w:rFonts w:ascii="宋体" w:hAnsi="宋体"/>
          <w:b/>
          <w:bCs/>
          <w:sz w:val="24"/>
        </w:rPr>
      </w:pPr>
    </w:p>
    <w:p w14:paraId="778AE7BD">
      <w:pPr>
        <w:spacing w:line="360" w:lineRule="auto"/>
        <w:jc w:val="center"/>
        <w:rPr>
          <w:rFonts w:ascii="黑体" w:hAnsi="仿宋" w:eastAsia="黑体" w:cs="黑体"/>
          <w:b/>
          <w:bCs/>
          <w:sz w:val="32"/>
          <w:szCs w:val="32"/>
        </w:rPr>
      </w:pPr>
    </w:p>
    <w:p w14:paraId="2B178626">
      <w:pPr>
        <w:spacing w:line="360" w:lineRule="auto"/>
        <w:jc w:val="center"/>
        <w:rPr>
          <w:rFonts w:ascii="黑体" w:hAnsi="仿宋" w:eastAsia="黑体" w:cs="黑体"/>
          <w:b/>
          <w:bCs/>
          <w:sz w:val="32"/>
          <w:szCs w:val="32"/>
        </w:rPr>
      </w:pPr>
    </w:p>
    <w:p w14:paraId="60FCC583">
      <w:pPr>
        <w:spacing w:line="360" w:lineRule="auto"/>
        <w:rPr>
          <w:rFonts w:ascii="宋体" w:hAnsi="宋体"/>
          <w:b/>
          <w:bCs/>
          <w:sz w:val="24"/>
        </w:rPr>
      </w:pPr>
    </w:p>
    <w:p w14:paraId="734BCC8B">
      <w:pPr>
        <w:spacing w:line="360" w:lineRule="auto"/>
        <w:ind w:left="-2" w:leftChars="-1" w:firstLine="2"/>
        <w:jc w:val="center"/>
        <w:rPr>
          <w:rFonts w:ascii="黑体" w:hAnsi="仿宋" w:eastAsia="黑体" w:cs="黑体"/>
          <w:b/>
          <w:bCs/>
          <w:sz w:val="32"/>
          <w:szCs w:val="32"/>
        </w:rPr>
      </w:pPr>
      <w:r>
        <w:rPr>
          <w:rFonts w:hint="eastAsia" w:ascii="宋体" w:hAnsi="宋体"/>
          <w:b/>
          <w:bCs/>
          <w:sz w:val="24"/>
        </w:rPr>
        <w:br w:type="page"/>
      </w:r>
      <w:bookmarkEnd w:id="134"/>
      <w:bookmarkStart w:id="135" w:name="_Toc56347960"/>
      <w:bookmarkStart w:id="136" w:name="_Toc11405"/>
      <w:r>
        <w:rPr>
          <w:rFonts w:hint="eastAsia" w:ascii="黑体" w:hAnsi="仿宋" w:eastAsia="黑体" w:cs="黑体"/>
          <w:b/>
          <w:bCs/>
          <w:sz w:val="32"/>
          <w:szCs w:val="32"/>
        </w:rPr>
        <w:t>（三）开票资料说明函</w:t>
      </w:r>
      <w:bookmarkEnd w:id="135"/>
      <w:bookmarkEnd w:id="136"/>
    </w:p>
    <w:p w14:paraId="6B8036C8">
      <w:pPr>
        <w:pStyle w:val="26"/>
        <w:widowControl/>
        <w:ind w:firstLine="0" w:firstLineChars="0"/>
        <w:jc w:val="center"/>
        <w:rPr>
          <w:rFonts w:cs="华文仿宋"/>
          <w:b/>
          <w:bCs/>
          <w:sz w:val="30"/>
          <w:szCs w:val="30"/>
        </w:rPr>
      </w:pPr>
      <w:r>
        <w:rPr>
          <w:rFonts w:hint="eastAsia" w:cs="华文仿宋"/>
          <w:b/>
          <w:bCs/>
          <w:sz w:val="30"/>
          <w:szCs w:val="30"/>
        </w:rPr>
        <w:t>开票资料说明函</w:t>
      </w:r>
    </w:p>
    <w:p w14:paraId="0686DA05">
      <w:pPr>
        <w:adjustRightInd w:val="0"/>
        <w:snapToGrid w:val="0"/>
        <w:spacing w:line="360" w:lineRule="auto"/>
        <w:rPr>
          <w:rFonts w:ascii="宋体" w:hAnsi="宋体" w:cs="等线"/>
          <w:b/>
          <w:sz w:val="24"/>
        </w:rPr>
      </w:pPr>
      <w:r>
        <w:rPr>
          <w:rFonts w:hint="eastAsia" w:ascii="宋体" w:hAnsi="宋体" w:cs="等线"/>
          <w:b/>
          <w:sz w:val="24"/>
        </w:rPr>
        <w:t>陕西德勤招标有限公司:</w:t>
      </w:r>
    </w:p>
    <w:p w14:paraId="129AF802">
      <w:pPr>
        <w:adjustRightInd w:val="0"/>
        <w:snapToGrid w:val="0"/>
        <w:spacing w:line="360" w:lineRule="auto"/>
        <w:ind w:firstLine="480" w:firstLineChars="200"/>
        <w:rPr>
          <w:rFonts w:ascii="宋体" w:hAnsi="宋体" w:cs="等线"/>
          <w:sz w:val="24"/>
        </w:rPr>
      </w:pPr>
      <w:r>
        <w:rPr>
          <w:rFonts w:hint="eastAsia" w:ascii="宋体" w:hAnsi="宋体" w:cs="等线"/>
          <w:sz w:val="24"/>
        </w:rPr>
        <w:t>本公司</w:t>
      </w:r>
      <w:r>
        <w:rPr>
          <w:rFonts w:hint="eastAsia" w:ascii="宋体" w:hAnsi="宋体" w:cs="等线"/>
          <w:sz w:val="24"/>
          <w:u w:val="single"/>
        </w:rPr>
        <w:t xml:space="preserve">       (供应商名称)      </w:t>
      </w:r>
      <w:r>
        <w:rPr>
          <w:rFonts w:hint="eastAsia" w:ascii="宋体" w:hAnsi="宋体" w:cs="等线"/>
          <w:sz w:val="24"/>
        </w:rPr>
        <w:t>在参加在贵公司举行的</w:t>
      </w:r>
      <w:r>
        <w:rPr>
          <w:rFonts w:hint="eastAsia" w:ascii="宋体" w:hAnsi="宋体" w:cs="等线"/>
          <w:sz w:val="24"/>
          <w:u w:val="single"/>
        </w:rPr>
        <w:t xml:space="preserve">       (项目名称)      </w:t>
      </w:r>
      <w:r>
        <w:rPr>
          <w:rFonts w:hint="eastAsia" w:ascii="宋体" w:hAnsi="宋体" w:cs="等线"/>
          <w:sz w:val="24"/>
        </w:rPr>
        <w:t>(项目编号：</w:t>
      </w:r>
      <w:r>
        <w:rPr>
          <w:rFonts w:hint="eastAsia" w:ascii="宋体" w:hAnsi="宋体" w:cs="等线"/>
          <w:sz w:val="24"/>
          <w:u w:val="single"/>
        </w:rPr>
        <w:t xml:space="preserve">              </w:t>
      </w:r>
      <w:r>
        <w:rPr>
          <w:rFonts w:hint="eastAsia" w:ascii="宋体" w:hAnsi="宋体" w:cs="等线"/>
          <w:sz w:val="24"/>
        </w:rPr>
        <w:t>)的磋商中如成交，则开票类型选择</w:t>
      </w:r>
      <w:r>
        <w:rPr>
          <w:rFonts w:hint="eastAsia" w:ascii="宋体" w:hAnsi="宋体" w:cs="等线"/>
          <w:b/>
          <w:sz w:val="24"/>
          <w:u w:val="single"/>
        </w:rPr>
        <w:t>□增值税普通发票□增值税专用发票</w:t>
      </w:r>
      <w:r>
        <w:rPr>
          <w:rFonts w:hint="eastAsia" w:ascii="宋体" w:hAnsi="宋体" w:cs="等线"/>
          <w:sz w:val="24"/>
        </w:rPr>
        <w:t>（</w:t>
      </w:r>
      <w:r>
        <w:rPr>
          <w:rFonts w:hint="eastAsia" w:ascii="宋体" w:hAnsi="宋体" w:cs="等线"/>
          <w:b/>
          <w:sz w:val="24"/>
        </w:rPr>
        <w:t>请在对应的“□”打“√”，且只能选择其中一项）</w:t>
      </w:r>
      <w:r>
        <w:rPr>
          <w:rFonts w:hint="eastAsia" w:ascii="宋体" w:hAnsi="宋体" w:cs="等线"/>
          <w:sz w:val="24"/>
        </w:rPr>
        <w:t>以及我司的开票资料如下：</w:t>
      </w:r>
    </w:p>
    <w:tbl>
      <w:tblPr>
        <w:tblStyle w:val="2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712"/>
        <w:gridCol w:w="1416"/>
        <w:gridCol w:w="1426"/>
      </w:tblGrid>
      <w:tr w14:paraId="22F4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12FA7273">
            <w:pPr>
              <w:spacing w:line="360" w:lineRule="auto"/>
              <w:jc w:val="center"/>
              <w:rPr>
                <w:rFonts w:ascii="宋体" w:hAnsi="宋体" w:cs="等线"/>
                <w:sz w:val="24"/>
              </w:rPr>
            </w:pPr>
            <w:r>
              <w:rPr>
                <w:rFonts w:hint="eastAsia" w:ascii="宋体" w:hAnsi="宋体" w:cs="等线"/>
                <w:sz w:val="24"/>
              </w:rPr>
              <w:t>单位名称</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34FCF045">
            <w:pPr>
              <w:spacing w:line="360" w:lineRule="auto"/>
              <w:jc w:val="center"/>
              <w:rPr>
                <w:rFonts w:ascii="宋体" w:hAnsi="宋体" w:cs="等线"/>
                <w:sz w:val="24"/>
              </w:rPr>
            </w:pPr>
          </w:p>
        </w:tc>
      </w:tr>
      <w:tr w14:paraId="2EB8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40C6263D">
            <w:pPr>
              <w:spacing w:line="360" w:lineRule="auto"/>
              <w:jc w:val="center"/>
              <w:rPr>
                <w:rFonts w:ascii="宋体" w:hAnsi="宋体" w:cs="等线"/>
                <w:sz w:val="24"/>
              </w:rPr>
            </w:pPr>
            <w:r>
              <w:rPr>
                <w:rFonts w:hint="eastAsia" w:ascii="宋体" w:hAnsi="宋体" w:cs="等线"/>
                <w:sz w:val="24"/>
              </w:rPr>
              <w:t>纳税人识别号</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33E5E42E">
            <w:pPr>
              <w:spacing w:line="360" w:lineRule="auto"/>
              <w:jc w:val="center"/>
              <w:rPr>
                <w:rFonts w:ascii="宋体" w:hAnsi="宋体" w:cs="等线"/>
                <w:sz w:val="24"/>
              </w:rPr>
            </w:pPr>
          </w:p>
        </w:tc>
      </w:tr>
      <w:tr w14:paraId="616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26A7FF11">
            <w:pPr>
              <w:spacing w:line="360" w:lineRule="auto"/>
              <w:jc w:val="center"/>
              <w:rPr>
                <w:rFonts w:ascii="宋体" w:hAnsi="宋体" w:cs="等线"/>
                <w:sz w:val="24"/>
              </w:rPr>
            </w:pPr>
            <w:r>
              <w:rPr>
                <w:rFonts w:hint="eastAsia" w:ascii="宋体" w:hAnsi="宋体" w:cs="等线"/>
                <w:sz w:val="24"/>
              </w:rPr>
              <w:t>地址</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75081A86">
            <w:pPr>
              <w:spacing w:line="360" w:lineRule="auto"/>
              <w:jc w:val="center"/>
              <w:rPr>
                <w:rFonts w:ascii="宋体" w:hAnsi="宋体" w:cs="等线"/>
                <w:sz w:val="24"/>
              </w:rPr>
            </w:pPr>
          </w:p>
        </w:tc>
      </w:tr>
      <w:tr w14:paraId="5803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36B120A3">
            <w:pPr>
              <w:spacing w:line="360" w:lineRule="auto"/>
              <w:jc w:val="center"/>
              <w:rPr>
                <w:rFonts w:ascii="宋体" w:hAnsi="宋体" w:cs="等线"/>
                <w:sz w:val="24"/>
              </w:rPr>
            </w:pPr>
            <w:r>
              <w:rPr>
                <w:rFonts w:hint="eastAsia" w:ascii="宋体" w:hAnsi="宋体" w:cs="等线"/>
                <w:sz w:val="24"/>
              </w:rPr>
              <w:t>开户银行</w:t>
            </w:r>
          </w:p>
          <w:p w14:paraId="51FF4541">
            <w:pPr>
              <w:spacing w:line="360" w:lineRule="auto"/>
              <w:jc w:val="center"/>
              <w:rPr>
                <w:rFonts w:ascii="宋体" w:hAnsi="宋体" w:cs="等线"/>
                <w:sz w:val="24"/>
              </w:rPr>
            </w:pPr>
            <w:r>
              <w:rPr>
                <w:rFonts w:hint="eastAsia" w:ascii="宋体" w:hAnsi="宋体" w:cs="等线"/>
                <w:sz w:val="24"/>
              </w:rPr>
              <w:t>（具体到X银行X支行）</w:t>
            </w:r>
          </w:p>
        </w:tc>
        <w:tc>
          <w:tcPr>
            <w:tcW w:w="3712" w:type="dxa"/>
            <w:tcBorders>
              <w:top w:val="single" w:color="auto" w:sz="4" w:space="0"/>
              <w:left w:val="single" w:color="auto" w:sz="4" w:space="0"/>
              <w:bottom w:val="single" w:color="auto" w:sz="4" w:space="0"/>
              <w:right w:val="single" w:color="auto" w:sz="4" w:space="0"/>
            </w:tcBorders>
            <w:vAlign w:val="center"/>
          </w:tcPr>
          <w:p w14:paraId="6145AB7C">
            <w:pPr>
              <w:spacing w:line="360" w:lineRule="auto"/>
              <w:jc w:val="center"/>
              <w:rPr>
                <w:rFonts w:ascii="宋体" w:hAnsi="宋体" w:cs="等线"/>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56F6F8C0">
            <w:pPr>
              <w:spacing w:line="360" w:lineRule="auto"/>
              <w:jc w:val="center"/>
              <w:rPr>
                <w:rFonts w:ascii="宋体" w:hAnsi="宋体" w:cs="等线"/>
                <w:sz w:val="24"/>
              </w:rPr>
            </w:pPr>
            <w:r>
              <w:rPr>
                <w:rFonts w:hint="eastAsia" w:ascii="宋体" w:hAnsi="宋体" w:cs="等线"/>
                <w:sz w:val="24"/>
              </w:rPr>
              <w:t>电话号码</w:t>
            </w:r>
          </w:p>
          <w:p w14:paraId="3EA02F65">
            <w:pPr>
              <w:spacing w:line="360" w:lineRule="auto"/>
              <w:jc w:val="center"/>
              <w:rPr>
                <w:rFonts w:ascii="宋体" w:hAnsi="宋体" w:cs="等线"/>
                <w:sz w:val="24"/>
              </w:rPr>
            </w:pPr>
            <w:r>
              <w:rPr>
                <w:rFonts w:hint="eastAsia" w:ascii="宋体" w:hAnsi="宋体" w:cs="等线"/>
                <w:sz w:val="24"/>
              </w:rPr>
              <w:t>（固定电话）</w:t>
            </w:r>
          </w:p>
        </w:tc>
        <w:tc>
          <w:tcPr>
            <w:tcW w:w="1426" w:type="dxa"/>
            <w:tcBorders>
              <w:top w:val="single" w:color="auto" w:sz="4" w:space="0"/>
              <w:left w:val="single" w:color="auto" w:sz="4" w:space="0"/>
              <w:bottom w:val="single" w:color="auto" w:sz="4" w:space="0"/>
              <w:right w:val="single" w:color="auto" w:sz="4" w:space="0"/>
            </w:tcBorders>
            <w:vAlign w:val="center"/>
          </w:tcPr>
          <w:p w14:paraId="449E7633">
            <w:pPr>
              <w:spacing w:line="360" w:lineRule="auto"/>
              <w:jc w:val="center"/>
              <w:rPr>
                <w:rFonts w:ascii="宋体" w:hAnsi="宋体" w:cs="等线"/>
                <w:sz w:val="24"/>
              </w:rPr>
            </w:pPr>
          </w:p>
        </w:tc>
      </w:tr>
      <w:tr w14:paraId="131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62F45F5C">
            <w:pPr>
              <w:spacing w:line="360" w:lineRule="auto"/>
              <w:jc w:val="center"/>
              <w:rPr>
                <w:rFonts w:ascii="宋体" w:hAnsi="宋体" w:cs="等线"/>
                <w:sz w:val="24"/>
              </w:rPr>
            </w:pPr>
            <w:r>
              <w:rPr>
                <w:rFonts w:hint="eastAsia" w:ascii="宋体" w:hAnsi="宋体" w:cs="等线"/>
                <w:sz w:val="24"/>
              </w:rPr>
              <w:t>账    号</w:t>
            </w:r>
          </w:p>
        </w:tc>
        <w:tc>
          <w:tcPr>
            <w:tcW w:w="3712" w:type="dxa"/>
            <w:tcBorders>
              <w:top w:val="single" w:color="auto" w:sz="4" w:space="0"/>
              <w:left w:val="single" w:color="auto" w:sz="4" w:space="0"/>
              <w:bottom w:val="single" w:color="auto" w:sz="4" w:space="0"/>
              <w:right w:val="single" w:color="auto" w:sz="4" w:space="0"/>
            </w:tcBorders>
            <w:vAlign w:val="center"/>
          </w:tcPr>
          <w:p w14:paraId="682AB6FB">
            <w:pPr>
              <w:spacing w:line="360" w:lineRule="auto"/>
              <w:jc w:val="center"/>
              <w:rPr>
                <w:rFonts w:ascii="宋体" w:hAnsi="宋体" w:cs="等线"/>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1BFB0818">
            <w:pPr>
              <w:spacing w:line="360" w:lineRule="auto"/>
              <w:jc w:val="center"/>
              <w:rPr>
                <w:rFonts w:ascii="宋体" w:hAnsi="宋体" w:cs="等线"/>
                <w:sz w:val="24"/>
              </w:rPr>
            </w:pPr>
            <w:r>
              <w:rPr>
                <w:rFonts w:hint="eastAsia" w:ascii="宋体" w:hAnsi="宋体" w:cs="等线"/>
                <w:sz w:val="24"/>
              </w:rPr>
              <w:t>联系人及联系方式</w:t>
            </w:r>
          </w:p>
        </w:tc>
        <w:tc>
          <w:tcPr>
            <w:tcW w:w="1426" w:type="dxa"/>
            <w:tcBorders>
              <w:top w:val="single" w:color="auto" w:sz="4" w:space="0"/>
              <w:left w:val="single" w:color="auto" w:sz="4" w:space="0"/>
              <w:bottom w:val="single" w:color="auto" w:sz="4" w:space="0"/>
              <w:right w:val="single" w:color="auto" w:sz="4" w:space="0"/>
            </w:tcBorders>
            <w:vAlign w:val="center"/>
          </w:tcPr>
          <w:p w14:paraId="2E781ECF">
            <w:pPr>
              <w:spacing w:line="360" w:lineRule="auto"/>
              <w:jc w:val="center"/>
              <w:rPr>
                <w:rFonts w:ascii="宋体" w:hAnsi="宋体" w:cs="等线"/>
                <w:sz w:val="24"/>
              </w:rPr>
            </w:pPr>
          </w:p>
        </w:tc>
      </w:tr>
    </w:tbl>
    <w:p w14:paraId="36C505C2">
      <w:pPr>
        <w:adjustRightInd w:val="0"/>
        <w:snapToGrid w:val="0"/>
        <w:spacing w:line="360" w:lineRule="auto"/>
        <w:ind w:firstLine="482" w:firstLineChars="200"/>
        <w:rPr>
          <w:rFonts w:ascii="宋体" w:hAnsi="宋体" w:cs="等线"/>
          <w:b/>
          <w:sz w:val="24"/>
          <w:u w:val="single"/>
        </w:rPr>
      </w:pPr>
    </w:p>
    <w:p w14:paraId="0564CC8F">
      <w:pPr>
        <w:adjustRightInd w:val="0"/>
        <w:snapToGrid w:val="0"/>
        <w:spacing w:line="360" w:lineRule="auto"/>
        <w:ind w:firstLine="482" w:firstLineChars="200"/>
        <w:rPr>
          <w:rFonts w:ascii="宋体" w:hAnsi="宋体" w:cs="等线"/>
          <w:b/>
          <w:sz w:val="24"/>
          <w:u w:val="single"/>
        </w:rPr>
      </w:pPr>
      <w:r>
        <w:rPr>
          <w:rFonts w:hint="eastAsia" w:ascii="宋体" w:hAnsi="宋体" w:cs="等线"/>
          <w:b/>
          <w:sz w:val="24"/>
          <w:u w:val="single"/>
        </w:rPr>
        <w:t>如我公司未按该要求填写、未提供有效的开票资料、未确认开具发票类型或确认的发票类型有误。同意不予更换发票类型。并愿承担由此引起的一切后果。</w:t>
      </w:r>
    </w:p>
    <w:p w14:paraId="7E01B33F">
      <w:pPr>
        <w:adjustRightInd w:val="0"/>
        <w:snapToGrid w:val="0"/>
        <w:spacing w:line="360" w:lineRule="auto"/>
        <w:ind w:firstLine="482" w:firstLineChars="200"/>
        <w:rPr>
          <w:rFonts w:ascii="宋体" w:hAnsi="宋体" w:cs="等线"/>
          <w:b/>
          <w:sz w:val="24"/>
          <w:u w:val="single"/>
        </w:rPr>
      </w:pPr>
      <w:r>
        <w:rPr>
          <w:rFonts w:hint="eastAsia" w:ascii="宋体" w:hAnsi="宋体" w:cs="等线"/>
          <w:b/>
          <w:sz w:val="24"/>
          <w:u w:val="single"/>
        </w:rPr>
        <w:t xml:space="preserve">发票及成交通知书邮寄地址（如邮寄请填写，顺丰到付寄丢不补，不填自取）：                   。 </w:t>
      </w:r>
    </w:p>
    <w:p w14:paraId="2E991384">
      <w:pPr>
        <w:spacing w:line="360" w:lineRule="auto"/>
        <w:ind w:left="4725"/>
        <w:rPr>
          <w:rFonts w:ascii="宋体" w:hAnsi="宋体" w:cs="等线"/>
          <w:sz w:val="24"/>
        </w:rPr>
      </w:pPr>
      <w:r>
        <w:rPr>
          <w:rFonts w:hint="eastAsia" w:ascii="宋体" w:hAnsi="宋体" w:cs="等线"/>
          <w:sz w:val="24"/>
        </w:rPr>
        <w:tab/>
      </w:r>
    </w:p>
    <w:p w14:paraId="40CF40CB">
      <w:pPr>
        <w:spacing w:line="360" w:lineRule="auto"/>
        <w:ind w:left="4725"/>
        <w:jc w:val="right"/>
        <w:rPr>
          <w:rFonts w:ascii="宋体" w:hAnsi="宋体" w:cs="等线"/>
          <w:sz w:val="24"/>
        </w:rPr>
      </w:pPr>
    </w:p>
    <w:p w14:paraId="4D5A4AC9">
      <w:pPr>
        <w:spacing w:line="360" w:lineRule="auto"/>
        <w:jc w:val="center"/>
        <w:rPr>
          <w:rFonts w:ascii="宋体" w:hAnsi="宋体" w:cs="等线"/>
          <w:sz w:val="24"/>
        </w:rPr>
      </w:pPr>
      <w:r>
        <w:rPr>
          <w:rFonts w:hint="eastAsia" w:ascii="宋体" w:hAnsi="宋体" w:cs="等线"/>
          <w:sz w:val="24"/>
        </w:rPr>
        <w:t xml:space="preserve">                                         供应商名称（公章）：</w:t>
      </w:r>
    </w:p>
    <w:p w14:paraId="3372DEAA">
      <w:pPr>
        <w:spacing w:line="360" w:lineRule="auto"/>
        <w:jc w:val="center"/>
        <w:rPr>
          <w:rFonts w:ascii="宋体" w:hAnsi="宋体" w:cs="等线"/>
          <w:sz w:val="24"/>
        </w:rPr>
      </w:pPr>
      <w:r>
        <w:rPr>
          <w:rFonts w:hint="eastAsia" w:ascii="宋体" w:hAnsi="宋体" w:cs="等线"/>
          <w:sz w:val="24"/>
        </w:rPr>
        <w:t xml:space="preserve">                                                        年   月   日</w:t>
      </w:r>
    </w:p>
    <w:p w14:paraId="426576AB">
      <w:pPr>
        <w:rPr>
          <w:rFonts w:ascii="黑体" w:hAnsi="仿宋" w:eastAsia="黑体" w:cs="仿宋"/>
          <w:b/>
          <w:sz w:val="32"/>
          <w:szCs w:val="32"/>
          <w:lang w:val="en-GB"/>
        </w:rPr>
      </w:pPr>
      <w:r>
        <w:rPr>
          <w:rFonts w:hint="eastAsia" w:ascii="黑体" w:hAnsi="仿宋" w:eastAsia="黑体" w:cs="仿宋"/>
          <w:b/>
          <w:sz w:val="32"/>
          <w:szCs w:val="32"/>
          <w:lang w:val="en-GB"/>
        </w:rPr>
        <w:br w:type="page"/>
      </w:r>
    </w:p>
    <w:p w14:paraId="39CE607D">
      <w:pPr>
        <w:spacing w:line="360" w:lineRule="auto"/>
        <w:jc w:val="center"/>
        <w:outlineLvl w:val="0"/>
        <w:rPr>
          <w:rFonts w:ascii="黑体" w:hAnsi="仿宋" w:eastAsia="黑体" w:cs="仿宋"/>
          <w:b/>
          <w:sz w:val="32"/>
          <w:szCs w:val="32"/>
          <w:lang w:val="en-GB"/>
        </w:rPr>
      </w:pPr>
      <w:bookmarkStart w:id="137" w:name="_Toc23582"/>
      <w:r>
        <w:rPr>
          <w:rFonts w:hint="eastAsia" w:ascii="黑体" w:hAnsi="仿宋" w:eastAsia="黑体" w:cs="仿宋"/>
          <w:b/>
          <w:sz w:val="32"/>
          <w:szCs w:val="32"/>
          <w:lang w:val="en-GB"/>
        </w:rPr>
        <w:t>封袋正面标识式样</w:t>
      </w:r>
      <w:bookmarkEnd w:id="137"/>
    </w:p>
    <w:p w14:paraId="47836DA9">
      <w:pPr>
        <w:spacing w:line="360" w:lineRule="atLeast"/>
        <w:jc w:val="center"/>
        <w:rPr>
          <w:rFonts w:ascii="黑体" w:hAnsi="仿宋" w:eastAsia="黑体" w:cs="仿宋"/>
          <w:b/>
          <w:sz w:val="24"/>
          <w:lang w:val="en-GB"/>
        </w:rPr>
      </w:pPr>
    </w:p>
    <w:p w14:paraId="3B82C646">
      <w:pPr>
        <w:pStyle w:val="24"/>
        <w:adjustRightInd w:val="0"/>
        <w:snapToGrid w:val="0"/>
        <w:spacing w:before="0" w:beforeAutospacing="0" w:after="0" w:afterAutospacing="0" w:line="360" w:lineRule="auto"/>
        <w:ind w:firstLine="481"/>
        <w:jc w:val="both"/>
        <w:rPr>
          <w:b/>
          <w:bCs/>
          <w:color w:val="auto"/>
          <w:kern w:val="2"/>
        </w:rPr>
      </w:pPr>
      <w:r>
        <w:rPr>
          <w:rFonts w:hint="eastAsia"/>
          <w:b/>
          <w:bCs/>
          <w:color w:val="auto"/>
          <w:kern w:val="2"/>
        </w:rPr>
        <w:t>格式A：响应文件封袋正面标识式样</w:t>
      </w:r>
    </w:p>
    <w:p w14:paraId="287A30A0">
      <w:pPr>
        <w:pStyle w:val="24"/>
        <w:adjustRightInd w:val="0"/>
        <w:snapToGrid w:val="0"/>
        <w:spacing w:before="0" w:beforeAutospacing="0" w:after="0" w:afterAutospacing="0" w:line="360" w:lineRule="auto"/>
        <w:ind w:left="479" w:leftChars="228" w:firstLine="65" w:firstLineChars="27"/>
        <w:jc w:val="both"/>
        <w:rPr>
          <w:b/>
          <w:bCs/>
          <w:color w:val="auto"/>
          <w:kern w:val="2"/>
        </w:rPr>
      </w:pPr>
      <w:r>
        <w:rPr>
          <w:rFonts w:hint="eastAsia" w:ascii="仿宋_GB2312" w:hAnsi="仿宋" w:eastAsia="仿宋_GB2312" w:cs="仿宋"/>
          <w:b/>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9A1804">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38A38F15">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26850EC0">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14:paraId="65B1DBE5">
                            <w:pPr>
                              <w:rPr>
                                <w:rFonts w:ascii="仿宋" w:hAnsi="仿宋" w:eastAsia="仿宋" w:cs="仿宋"/>
                                <w:color w:val="FF0000"/>
                                <w:sz w:val="28"/>
                                <w:szCs w:val="28"/>
                              </w:rPr>
                            </w:pPr>
                            <w:r>
                              <w:rPr>
                                <w:rFonts w:hint="eastAsia" w:ascii="仿宋" w:hAnsi="仿宋" w:eastAsia="仿宋" w:cs="仿宋"/>
                                <w:sz w:val="28"/>
                                <w:szCs w:val="28"/>
                              </w:rPr>
                              <w:t xml:space="preserve">                          </w:t>
                            </w:r>
                          </w:p>
                          <w:p w14:paraId="6491DC2A">
                            <w:pPr>
                              <w:jc w:val="center"/>
                              <w:rPr>
                                <w:rFonts w:ascii="黑体" w:hAnsi="黑体" w:eastAsia="黑体" w:cs="黑体"/>
                                <w:b/>
                                <w:sz w:val="40"/>
                                <w:szCs w:val="40"/>
                              </w:rPr>
                            </w:pPr>
                            <w:r>
                              <w:rPr>
                                <w:rFonts w:hint="eastAsia" w:ascii="黑体" w:hAnsi="黑体" w:eastAsia="黑体" w:cs="黑体"/>
                                <w:b/>
                                <w:sz w:val="40"/>
                                <w:szCs w:val="40"/>
                              </w:rPr>
                              <w:t>响应文件（正本）</w:t>
                            </w:r>
                          </w:p>
                          <w:p w14:paraId="6BCC112A">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1957FEBC">
                            <w:pPr>
                              <w:widowControl/>
                              <w:tabs>
                                <w:tab w:val="left" w:pos="6300"/>
                              </w:tabs>
                              <w:snapToGrid w:val="0"/>
                              <w:spacing w:line="360" w:lineRule="auto"/>
                              <w:jc w:val="left"/>
                              <w:rPr>
                                <w:rFonts w:ascii="宋体" w:hAnsi="宋体"/>
                                <w:sz w:val="28"/>
                                <w:szCs w:val="28"/>
                              </w:rPr>
                            </w:pPr>
                          </w:p>
                          <w:p w14:paraId="54D15A9A">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360A0FD8">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14:paraId="769A1804">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38A38F15">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26850EC0">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14:paraId="65B1DBE5">
                      <w:pPr>
                        <w:rPr>
                          <w:rFonts w:ascii="仿宋" w:hAnsi="仿宋" w:eastAsia="仿宋" w:cs="仿宋"/>
                          <w:color w:val="FF0000"/>
                          <w:sz w:val="28"/>
                          <w:szCs w:val="28"/>
                        </w:rPr>
                      </w:pPr>
                      <w:r>
                        <w:rPr>
                          <w:rFonts w:hint="eastAsia" w:ascii="仿宋" w:hAnsi="仿宋" w:eastAsia="仿宋" w:cs="仿宋"/>
                          <w:sz w:val="28"/>
                          <w:szCs w:val="28"/>
                        </w:rPr>
                        <w:t xml:space="preserve">                          </w:t>
                      </w:r>
                    </w:p>
                    <w:p w14:paraId="6491DC2A">
                      <w:pPr>
                        <w:jc w:val="center"/>
                        <w:rPr>
                          <w:rFonts w:ascii="黑体" w:hAnsi="黑体" w:eastAsia="黑体" w:cs="黑体"/>
                          <w:b/>
                          <w:sz w:val="40"/>
                          <w:szCs w:val="40"/>
                        </w:rPr>
                      </w:pPr>
                      <w:r>
                        <w:rPr>
                          <w:rFonts w:hint="eastAsia" w:ascii="黑体" w:hAnsi="黑体" w:eastAsia="黑体" w:cs="黑体"/>
                          <w:b/>
                          <w:sz w:val="40"/>
                          <w:szCs w:val="40"/>
                        </w:rPr>
                        <w:t>响应文件（正本）</w:t>
                      </w:r>
                    </w:p>
                    <w:p w14:paraId="6BCC112A">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1957FEBC">
                      <w:pPr>
                        <w:widowControl/>
                        <w:tabs>
                          <w:tab w:val="left" w:pos="6300"/>
                        </w:tabs>
                        <w:snapToGrid w:val="0"/>
                        <w:spacing w:line="360" w:lineRule="auto"/>
                        <w:jc w:val="left"/>
                        <w:rPr>
                          <w:rFonts w:ascii="宋体" w:hAnsi="宋体"/>
                          <w:sz w:val="28"/>
                          <w:szCs w:val="28"/>
                        </w:rPr>
                      </w:pPr>
                    </w:p>
                    <w:p w14:paraId="54D15A9A">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360A0FD8">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rPr>
        <w:t>格式B：响应文件封袋正面标识式样</w:t>
      </w:r>
    </w:p>
    <w:p w14:paraId="3F12EABC">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169B8">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AFA6E23">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47E94F39">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14:paraId="39B55673">
                            <w:pPr>
                              <w:rPr>
                                <w:rFonts w:ascii="仿宋" w:hAnsi="仿宋" w:eastAsia="仿宋" w:cs="仿宋"/>
                                <w:color w:val="FF0000"/>
                                <w:sz w:val="28"/>
                                <w:szCs w:val="28"/>
                              </w:rPr>
                            </w:pPr>
                            <w:r>
                              <w:rPr>
                                <w:rFonts w:hint="eastAsia" w:ascii="仿宋" w:hAnsi="仿宋" w:eastAsia="仿宋" w:cs="仿宋"/>
                                <w:sz w:val="28"/>
                                <w:szCs w:val="28"/>
                              </w:rPr>
                              <w:t xml:space="preserve">                          </w:t>
                            </w:r>
                          </w:p>
                          <w:p w14:paraId="13FAAA26">
                            <w:pPr>
                              <w:jc w:val="center"/>
                              <w:rPr>
                                <w:rFonts w:ascii="黑体" w:hAnsi="黑体" w:eastAsia="黑体" w:cs="黑体"/>
                                <w:b/>
                                <w:sz w:val="40"/>
                                <w:szCs w:val="40"/>
                              </w:rPr>
                            </w:pPr>
                            <w:r>
                              <w:rPr>
                                <w:rFonts w:hint="eastAsia" w:ascii="黑体" w:hAnsi="黑体" w:eastAsia="黑体" w:cs="黑体"/>
                                <w:b/>
                                <w:sz w:val="40"/>
                                <w:szCs w:val="40"/>
                              </w:rPr>
                              <w:t>响应文件（副本）</w:t>
                            </w:r>
                          </w:p>
                          <w:p w14:paraId="51DF8B77">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15F6971C">
                            <w:pPr>
                              <w:widowControl/>
                              <w:tabs>
                                <w:tab w:val="left" w:pos="6300"/>
                              </w:tabs>
                              <w:snapToGrid w:val="0"/>
                              <w:spacing w:line="360" w:lineRule="auto"/>
                              <w:jc w:val="left"/>
                              <w:rPr>
                                <w:rFonts w:ascii="宋体" w:hAnsi="宋体"/>
                                <w:sz w:val="28"/>
                                <w:szCs w:val="28"/>
                              </w:rPr>
                            </w:pPr>
                          </w:p>
                          <w:p w14:paraId="300DC843">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5DCAB55B">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14:paraId="61E169B8">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AFA6E23">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47E94F39">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14:paraId="39B55673">
                      <w:pPr>
                        <w:rPr>
                          <w:rFonts w:ascii="仿宋" w:hAnsi="仿宋" w:eastAsia="仿宋" w:cs="仿宋"/>
                          <w:color w:val="FF0000"/>
                          <w:sz w:val="28"/>
                          <w:szCs w:val="28"/>
                        </w:rPr>
                      </w:pPr>
                      <w:r>
                        <w:rPr>
                          <w:rFonts w:hint="eastAsia" w:ascii="仿宋" w:hAnsi="仿宋" w:eastAsia="仿宋" w:cs="仿宋"/>
                          <w:sz w:val="28"/>
                          <w:szCs w:val="28"/>
                        </w:rPr>
                        <w:t xml:space="preserve">                          </w:t>
                      </w:r>
                    </w:p>
                    <w:p w14:paraId="13FAAA26">
                      <w:pPr>
                        <w:jc w:val="center"/>
                        <w:rPr>
                          <w:rFonts w:ascii="黑体" w:hAnsi="黑体" w:eastAsia="黑体" w:cs="黑体"/>
                          <w:b/>
                          <w:sz w:val="40"/>
                          <w:szCs w:val="40"/>
                        </w:rPr>
                      </w:pPr>
                      <w:r>
                        <w:rPr>
                          <w:rFonts w:hint="eastAsia" w:ascii="黑体" w:hAnsi="黑体" w:eastAsia="黑体" w:cs="黑体"/>
                          <w:b/>
                          <w:sz w:val="40"/>
                          <w:szCs w:val="40"/>
                        </w:rPr>
                        <w:t>响应文件（副本）</w:t>
                      </w:r>
                    </w:p>
                    <w:p w14:paraId="51DF8B77">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15F6971C">
                      <w:pPr>
                        <w:widowControl/>
                        <w:tabs>
                          <w:tab w:val="left" w:pos="6300"/>
                        </w:tabs>
                        <w:snapToGrid w:val="0"/>
                        <w:spacing w:line="360" w:lineRule="auto"/>
                        <w:jc w:val="left"/>
                        <w:rPr>
                          <w:rFonts w:ascii="宋体" w:hAnsi="宋体"/>
                          <w:sz w:val="28"/>
                          <w:szCs w:val="28"/>
                        </w:rPr>
                      </w:pPr>
                    </w:p>
                    <w:p w14:paraId="300DC843">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5DCAB55B">
                      <w:pPr>
                        <w:rPr>
                          <w:sz w:val="28"/>
                          <w:szCs w:val="28"/>
                        </w:rPr>
                      </w:pPr>
                      <w:r>
                        <w:rPr>
                          <w:rFonts w:hint="eastAsia"/>
                          <w:sz w:val="28"/>
                          <w:szCs w:val="28"/>
                        </w:rPr>
                        <w:t xml:space="preserve">                                </w:t>
                      </w:r>
                    </w:p>
                  </w:txbxContent>
                </v:textbox>
                <w10:wrap type="none"/>
                <w10:anchorlock/>
              </v:rect>
            </w:pict>
          </mc:Fallback>
        </mc:AlternateContent>
      </w:r>
    </w:p>
    <w:p w14:paraId="1E1E8E41">
      <w:pPr>
        <w:pStyle w:val="24"/>
        <w:adjustRightInd w:val="0"/>
        <w:snapToGrid w:val="0"/>
        <w:spacing w:before="0" w:beforeAutospacing="0" w:after="0" w:afterAutospacing="0" w:line="360" w:lineRule="auto"/>
        <w:ind w:firstLine="481"/>
        <w:jc w:val="both"/>
        <w:rPr>
          <w:b/>
          <w:bCs/>
          <w:color w:val="auto"/>
          <w:kern w:val="2"/>
        </w:rPr>
      </w:pPr>
    </w:p>
    <w:p w14:paraId="11084230">
      <w:pPr>
        <w:pStyle w:val="24"/>
        <w:adjustRightInd w:val="0"/>
        <w:snapToGrid w:val="0"/>
        <w:spacing w:before="0" w:beforeAutospacing="0" w:after="0" w:afterAutospacing="0" w:line="360" w:lineRule="auto"/>
        <w:ind w:firstLine="481"/>
        <w:jc w:val="both"/>
        <w:rPr>
          <w:b/>
          <w:bCs/>
          <w:color w:val="auto"/>
          <w:kern w:val="2"/>
        </w:rPr>
      </w:pPr>
    </w:p>
    <w:p w14:paraId="1C593EB1">
      <w:pPr>
        <w:pStyle w:val="24"/>
        <w:adjustRightInd w:val="0"/>
        <w:snapToGrid w:val="0"/>
        <w:spacing w:before="0" w:beforeAutospacing="0" w:after="0" w:afterAutospacing="0" w:line="360" w:lineRule="auto"/>
        <w:ind w:firstLine="481"/>
        <w:jc w:val="both"/>
        <w:rPr>
          <w:b/>
          <w:bCs/>
          <w:color w:val="auto"/>
          <w:kern w:val="2"/>
        </w:rPr>
      </w:pPr>
      <w:r>
        <w:rPr>
          <w:rFonts w:hint="eastAsia"/>
          <w:b/>
          <w:bCs/>
          <w:color w:val="auto"/>
          <w:kern w:val="2"/>
        </w:rPr>
        <w:t>格式C：响应文件封袋正面标识式样</w:t>
      </w:r>
    </w:p>
    <w:p w14:paraId="38DF27F6">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5A15E">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23ED668C">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6285FEC6">
                            <w:pPr>
                              <w:widowControl/>
                              <w:tabs>
                                <w:tab w:val="left" w:pos="6300"/>
                              </w:tabs>
                              <w:snapToGrid w:val="0"/>
                              <w:spacing w:line="360" w:lineRule="auto"/>
                              <w:jc w:val="left"/>
                            </w:pPr>
                            <w:r>
                              <w:rPr>
                                <w:rFonts w:hint="eastAsia" w:ascii="宋体" w:hAnsi="宋体"/>
                                <w:sz w:val="28"/>
                                <w:szCs w:val="28"/>
                              </w:rPr>
                              <w:t>项目名称：</w:t>
                            </w:r>
                          </w:p>
                          <w:p w14:paraId="3192CB78">
                            <w:pPr>
                              <w:rPr>
                                <w:rFonts w:ascii="仿宋" w:hAnsi="仿宋" w:eastAsia="仿宋" w:cs="仿宋"/>
                                <w:color w:val="FF0000"/>
                                <w:sz w:val="28"/>
                                <w:szCs w:val="28"/>
                              </w:rPr>
                            </w:pPr>
                            <w:r>
                              <w:rPr>
                                <w:rFonts w:hint="eastAsia" w:ascii="仿宋" w:hAnsi="仿宋" w:eastAsia="仿宋" w:cs="仿宋"/>
                                <w:sz w:val="28"/>
                                <w:szCs w:val="28"/>
                              </w:rPr>
                              <w:t xml:space="preserve">                          </w:t>
                            </w:r>
                          </w:p>
                          <w:p w14:paraId="7A16641B">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5739B760">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2BD9EFBA">
                            <w:pPr>
                              <w:widowControl/>
                              <w:tabs>
                                <w:tab w:val="left" w:pos="6300"/>
                              </w:tabs>
                              <w:snapToGrid w:val="0"/>
                              <w:spacing w:line="360" w:lineRule="auto"/>
                              <w:jc w:val="left"/>
                              <w:rPr>
                                <w:rFonts w:ascii="宋体" w:hAnsi="宋体"/>
                                <w:sz w:val="28"/>
                                <w:szCs w:val="28"/>
                              </w:rPr>
                            </w:pPr>
                          </w:p>
                          <w:p w14:paraId="2926B14C">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078F1B0E">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14:paraId="4F15A15E">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23ED668C">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14:paraId="6285FEC6">
                      <w:pPr>
                        <w:widowControl/>
                        <w:tabs>
                          <w:tab w:val="left" w:pos="6300"/>
                        </w:tabs>
                        <w:snapToGrid w:val="0"/>
                        <w:spacing w:line="360" w:lineRule="auto"/>
                        <w:jc w:val="left"/>
                      </w:pPr>
                      <w:r>
                        <w:rPr>
                          <w:rFonts w:hint="eastAsia" w:ascii="宋体" w:hAnsi="宋体"/>
                          <w:sz w:val="28"/>
                          <w:szCs w:val="28"/>
                        </w:rPr>
                        <w:t>项目名称：</w:t>
                      </w:r>
                    </w:p>
                    <w:p w14:paraId="3192CB78">
                      <w:pPr>
                        <w:rPr>
                          <w:rFonts w:ascii="仿宋" w:hAnsi="仿宋" w:eastAsia="仿宋" w:cs="仿宋"/>
                          <w:color w:val="FF0000"/>
                          <w:sz w:val="28"/>
                          <w:szCs w:val="28"/>
                        </w:rPr>
                      </w:pPr>
                      <w:r>
                        <w:rPr>
                          <w:rFonts w:hint="eastAsia" w:ascii="仿宋" w:hAnsi="仿宋" w:eastAsia="仿宋" w:cs="仿宋"/>
                          <w:sz w:val="28"/>
                          <w:szCs w:val="28"/>
                        </w:rPr>
                        <w:t xml:space="preserve">                          </w:t>
                      </w:r>
                    </w:p>
                    <w:p w14:paraId="7A16641B">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5739B760">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14:paraId="2BD9EFBA">
                      <w:pPr>
                        <w:widowControl/>
                        <w:tabs>
                          <w:tab w:val="left" w:pos="6300"/>
                        </w:tabs>
                        <w:snapToGrid w:val="0"/>
                        <w:spacing w:line="360" w:lineRule="auto"/>
                        <w:jc w:val="left"/>
                        <w:rPr>
                          <w:rFonts w:ascii="宋体" w:hAnsi="宋体"/>
                          <w:sz w:val="28"/>
                          <w:szCs w:val="28"/>
                        </w:rPr>
                      </w:pPr>
                    </w:p>
                    <w:p w14:paraId="2926B14C">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14:paraId="078F1B0E">
                      <w:pPr>
                        <w:rPr>
                          <w:sz w:val="28"/>
                          <w:szCs w:val="28"/>
                        </w:rPr>
                      </w:pPr>
                      <w:r>
                        <w:rPr>
                          <w:rFonts w:hint="eastAsia"/>
                          <w:sz w:val="28"/>
                          <w:szCs w:val="28"/>
                        </w:rPr>
                        <w:t xml:space="preserve">                                </w:t>
                      </w:r>
                    </w:p>
                  </w:txbxContent>
                </v:textbox>
                <w10:wrap type="none"/>
                <w10:anchorlock/>
              </v:rect>
            </w:pict>
          </mc:Fallback>
        </mc:AlternateContent>
      </w:r>
    </w:p>
    <w:p w14:paraId="09523EBC">
      <w:pPr>
        <w:spacing w:line="360" w:lineRule="auto"/>
        <w:ind w:firstLine="422" w:firstLineChars="200"/>
        <w:rPr>
          <w:b/>
          <w:bCs/>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9" w:usb3="00000000" w:csb0="000001FF"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411E">
    <w:pPr>
      <w:pStyle w:val="19"/>
      <w:pBdr>
        <w:bottom w:val="double" w:color="auto" w:sz="8" w:space="1"/>
      </w:pBdr>
      <w:jc w:val="left"/>
      <w:rPr>
        <w:rFonts w:ascii="黑体" w:hAnsi="黑体" w:eastAsia="黑体" w:cs="黑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14:paraId="4D233F5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wps:txbx>
                    <wps:bodyPr lIns="0" tIns="0" rIns="0" bIns="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0288;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M488nbIAQAAiQMAAA4AAABkcnMvZTJvRG9jLnhtbK1TS27bMBDd&#10;F8gdCO5ryU5cOILloIWRokDRFkhyAJoiLQL8gUNb8gXaG3TVTfc9l8+RISU7QbLJohtqOJ83895Q&#10;y5veaLIXAZSzNZ1OSkqE5a5RdlvTh/vb9wtKIDLbMO2sqOlBAL1ZXbxbdr4SM9c63YhAEMRC1fma&#10;tjH6qiiAt8IwmDgvLAalC4ZFvIZt0QTWIbrRxawsPxSdC40PjgsA9K6HIB0Rw1sAnZSKi7XjOyNs&#10;HFCD0CwiJWiVB7rK00opePwuJYhIdE2RacwnNkF7k85itWTVNjDfKj6OwN4ywgtOhimLTc9QaxYZ&#10;2QX1CsooHhw4GSfcmWIgkhVBFtPyhTZ3LfMic0GpwZ9Fh/8Hy7/tfwSimppeUmKZwYUff/86/vl3&#10;/PuTXCZ5Og8VZt15zIv9J9fjozn5AZ2JdS+DSV/kQzCO4h7O4oo+Eo7O6+t5eTWnhGNoupgtFmVW&#10;v3iq9gHiZ+EMSUZNAy4va8r2XyHiJJh6SknNrLtVWucFaks67DCfzXPBOYIV2mJh4jDMmqzYb/qR&#10;2MY1B+Slv1jUNL2PkxFOxmY0UkfwH3cRu+ZhEtJQPjbADeUZx9eUnsDze856+oN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5gyzTAAAABQEAAA8AAAAAAAAAAQAgAAAAIgAAAGRycy9kb3ducmV2&#10;LnhtbFBLAQIUABQAAAAIAIdO4kDOPPJ2yAEAAIkDAAAOAAAAAAAAAAEAIAAAACIBAABkcnMvZTJv&#10;RG9jLnhtbFBLBQYAAAAABgAGAFkBAABcBQAAAAA=&#10;">
              <v:fill on="f" focussize="0,0"/>
              <v:stroke on="f"/>
              <v:imagedata o:title=""/>
              <o:lock v:ext="edit" aspectratio="f"/>
              <v:textbox inset="0mm,0mm,0mm,0mm" style="mso-fit-shape-to-text:t;">
                <w:txbxContent>
                  <w:p w14:paraId="4D233F5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84FE">
    <w:pPr>
      <w:pStyle w:val="19"/>
      <w:pBdr>
        <w:bottom w:val="double" w:color="auto" w:sz="8" w:space="1"/>
      </w:pBdr>
      <w:jc w:val="left"/>
      <w:rPr>
        <w:rFonts w:ascii="黑体" w:hAnsi="黑体" w:eastAsia="黑体" w:cs="黑体"/>
      </w:rPr>
    </w:pPr>
    <w:r>
      <w:rPr>
        <w:rFonts w:hint="eastAsia" w:ascii="黑体" w:hAnsi="黑体" w:eastAsia="黑体" w:cs="黑体"/>
        <w:lang w:eastAsia="zh-CN"/>
      </w:rPr>
      <w:t>省级信息安全系统运维项目采购</w:t>
    </w:r>
    <w:r>
      <w:rPr>
        <w:rFonts w:hint="eastAsia" w:ascii="黑体" w:hAnsi="黑体" w:eastAsia="黑体" w:cs="黑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A7921"/>
    <w:multiLevelType w:val="singleLevel"/>
    <w:tmpl w:val="A99A7921"/>
    <w:lvl w:ilvl="0" w:tentative="0">
      <w:start w:val="14"/>
      <w:numFmt w:val="decimal"/>
      <w:lvlText w:val="%1."/>
      <w:lvlJc w:val="left"/>
      <w:pPr>
        <w:tabs>
          <w:tab w:val="left" w:pos="312"/>
        </w:tabs>
      </w:pPr>
    </w:lvl>
  </w:abstractNum>
  <w:abstractNum w:abstractNumId="1">
    <w:nsid w:val="0A505B32"/>
    <w:multiLevelType w:val="multilevel"/>
    <w:tmpl w:val="0A505B3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58167E"/>
    <w:multiLevelType w:val="multilevel"/>
    <w:tmpl w:val="1858167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88C6FAD"/>
    <w:multiLevelType w:val="multilevel"/>
    <w:tmpl w:val="488C6F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EA9DAD"/>
    <w:multiLevelType w:val="singleLevel"/>
    <w:tmpl w:val="6FEA9DAD"/>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MTcxODczODNkNjg0NGQ4ODVkZWU3OWJjN2Y2ZjYifQ=="/>
  </w:docVars>
  <w:rsids>
    <w:rsidRoot w:val="617C2A61"/>
    <w:rsid w:val="00015C14"/>
    <w:rsid w:val="00027678"/>
    <w:rsid w:val="00073B21"/>
    <w:rsid w:val="000F4AA2"/>
    <w:rsid w:val="001427C2"/>
    <w:rsid w:val="001B1AAB"/>
    <w:rsid w:val="002212C3"/>
    <w:rsid w:val="0022744F"/>
    <w:rsid w:val="0023708E"/>
    <w:rsid w:val="0025703B"/>
    <w:rsid w:val="002645D2"/>
    <w:rsid w:val="002B1EBE"/>
    <w:rsid w:val="00365B52"/>
    <w:rsid w:val="00385F1C"/>
    <w:rsid w:val="00391A9E"/>
    <w:rsid w:val="00394DD7"/>
    <w:rsid w:val="004A4474"/>
    <w:rsid w:val="004A621D"/>
    <w:rsid w:val="004B580B"/>
    <w:rsid w:val="004B7923"/>
    <w:rsid w:val="005575D0"/>
    <w:rsid w:val="005A4CEC"/>
    <w:rsid w:val="005C7608"/>
    <w:rsid w:val="005E1A09"/>
    <w:rsid w:val="005E5E0A"/>
    <w:rsid w:val="0060727A"/>
    <w:rsid w:val="00635E20"/>
    <w:rsid w:val="00667CE4"/>
    <w:rsid w:val="006C1B63"/>
    <w:rsid w:val="006D2B4D"/>
    <w:rsid w:val="0072699E"/>
    <w:rsid w:val="007563DF"/>
    <w:rsid w:val="00797060"/>
    <w:rsid w:val="007B7F64"/>
    <w:rsid w:val="00830366"/>
    <w:rsid w:val="008B5C39"/>
    <w:rsid w:val="008C2394"/>
    <w:rsid w:val="009563E2"/>
    <w:rsid w:val="00967B40"/>
    <w:rsid w:val="00972806"/>
    <w:rsid w:val="009C7811"/>
    <w:rsid w:val="00A05FC2"/>
    <w:rsid w:val="00A452FB"/>
    <w:rsid w:val="00A53810"/>
    <w:rsid w:val="00AA5CD0"/>
    <w:rsid w:val="00AB677D"/>
    <w:rsid w:val="00B35C62"/>
    <w:rsid w:val="00BB2C30"/>
    <w:rsid w:val="00BD573F"/>
    <w:rsid w:val="00C55968"/>
    <w:rsid w:val="00C718B9"/>
    <w:rsid w:val="00C77772"/>
    <w:rsid w:val="00C810C1"/>
    <w:rsid w:val="00CC74CD"/>
    <w:rsid w:val="00D00C4C"/>
    <w:rsid w:val="00D03E39"/>
    <w:rsid w:val="00E270D3"/>
    <w:rsid w:val="00E6246B"/>
    <w:rsid w:val="00EC61F7"/>
    <w:rsid w:val="01392227"/>
    <w:rsid w:val="01E36F83"/>
    <w:rsid w:val="024408EC"/>
    <w:rsid w:val="024C78F9"/>
    <w:rsid w:val="028445EC"/>
    <w:rsid w:val="03426734"/>
    <w:rsid w:val="03534455"/>
    <w:rsid w:val="0375430C"/>
    <w:rsid w:val="039019E1"/>
    <w:rsid w:val="03CE3EC1"/>
    <w:rsid w:val="03EE0A1C"/>
    <w:rsid w:val="04421579"/>
    <w:rsid w:val="04651CD8"/>
    <w:rsid w:val="04D924AF"/>
    <w:rsid w:val="04DC01EC"/>
    <w:rsid w:val="05C07B8D"/>
    <w:rsid w:val="05C57234"/>
    <w:rsid w:val="06663F14"/>
    <w:rsid w:val="06711BDB"/>
    <w:rsid w:val="06861187"/>
    <w:rsid w:val="068D5C4C"/>
    <w:rsid w:val="06B86A37"/>
    <w:rsid w:val="06E23AB3"/>
    <w:rsid w:val="071977CA"/>
    <w:rsid w:val="07743DDC"/>
    <w:rsid w:val="08285411"/>
    <w:rsid w:val="089A79C2"/>
    <w:rsid w:val="08AE4A25"/>
    <w:rsid w:val="09240D1F"/>
    <w:rsid w:val="09660AAA"/>
    <w:rsid w:val="09AB18D7"/>
    <w:rsid w:val="09CE4698"/>
    <w:rsid w:val="0A1026E6"/>
    <w:rsid w:val="0A3B3B14"/>
    <w:rsid w:val="0B3A5964"/>
    <w:rsid w:val="0C3342E6"/>
    <w:rsid w:val="0C8C4370"/>
    <w:rsid w:val="0CA4781F"/>
    <w:rsid w:val="0DEA2616"/>
    <w:rsid w:val="0E2D6EE3"/>
    <w:rsid w:val="0E5B539D"/>
    <w:rsid w:val="0EA35FE3"/>
    <w:rsid w:val="0F272618"/>
    <w:rsid w:val="0F8C6A7D"/>
    <w:rsid w:val="0F9D3A55"/>
    <w:rsid w:val="0FA15454"/>
    <w:rsid w:val="0FB75ADD"/>
    <w:rsid w:val="0FE87B2E"/>
    <w:rsid w:val="0FFF04C0"/>
    <w:rsid w:val="100F64D3"/>
    <w:rsid w:val="119E5C63"/>
    <w:rsid w:val="11A445D7"/>
    <w:rsid w:val="11DA5AB3"/>
    <w:rsid w:val="11E76F04"/>
    <w:rsid w:val="127021BC"/>
    <w:rsid w:val="12FE6DF1"/>
    <w:rsid w:val="13705C7A"/>
    <w:rsid w:val="1408553C"/>
    <w:rsid w:val="140F22EF"/>
    <w:rsid w:val="14B1213B"/>
    <w:rsid w:val="14E34033"/>
    <w:rsid w:val="1501536A"/>
    <w:rsid w:val="156E6238"/>
    <w:rsid w:val="15CF16A7"/>
    <w:rsid w:val="16646293"/>
    <w:rsid w:val="16825C82"/>
    <w:rsid w:val="16CF452D"/>
    <w:rsid w:val="18792207"/>
    <w:rsid w:val="18C654B9"/>
    <w:rsid w:val="1A0A54AD"/>
    <w:rsid w:val="1AE5550F"/>
    <w:rsid w:val="1B942062"/>
    <w:rsid w:val="1BA4249C"/>
    <w:rsid w:val="1BE5423F"/>
    <w:rsid w:val="1CB81654"/>
    <w:rsid w:val="1D427BC4"/>
    <w:rsid w:val="1E4F5A7B"/>
    <w:rsid w:val="1E881677"/>
    <w:rsid w:val="1FFD299A"/>
    <w:rsid w:val="20375807"/>
    <w:rsid w:val="21793E62"/>
    <w:rsid w:val="217D3465"/>
    <w:rsid w:val="22574461"/>
    <w:rsid w:val="225C194C"/>
    <w:rsid w:val="227916F9"/>
    <w:rsid w:val="228826BC"/>
    <w:rsid w:val="230218F2"/>
    <w:rsid w:val="230F302B"/>
    <w:rsid w:val="23AF3EE9"/>
    <w:rsid w:val="23F24EDE"/>
    <w:rsid w:val="241218F0"/>
    <w:rsid w:val="24AD73A0"/>
    <w:rsid w:val="24D26BA3"/>
    <w:rsid w:val="25B46E47"/>
    <w:rsid w:val="260823CB"/>
    <w:rsid w:val="26591245"/>
    <w:rsid w:val="265D28C0"/>
    <w:rsid w:val="267D04DC"/>
    <w:rsid w:val="26C45CE5"/>
    <w:rsid w:val="26C807D1"/>
    <w:rsid w:val="27BA32C8"/>
    <w:rsid w:val="28043432"/>
    <w:rsid w:val="28820782"/>
    <w:rsid w:val="288F427A"/>
    <w:rsid w:val="28BE6FEB"/>
    <w:rsid w:val="28D42BF9"/>
    <w:rsid w:val="28D63020"/>
    <w:rsid w:val="28F316C1"/>
    <w:rsid w:val="28FA4E70"/>
    <w:rsid w:val="291C346A"/>
    <w:rsid w:val="291E73BB"/>
    <w:rsid w:val="29260D2C"/>
    <w:rsid w:val="29CE5A60"/>
    <w:rsid w:val="2A1F2A07"/>
    <w:rsid w:val="2ADE10A4"/>
    <w:rsid w:val="2B5B79A3"/>
    <w:rsid w:val="2B856638"/>
    <w:rsid w:val="2C3A38C6"/>
    <w:rsid w:val="2D213381"/>
    <w:rsid w:val="2E3C7C90"/>
    <w:rsid w:val="2F0B154A"/>
    <w:rsid w:val="2F9E5F1A"/>
    <w:rsid w:val="3011734D"/>
    <w:rsid w:val="30D36097"/>
    <w:rsid w:val="312D19CC"/>
    <w:rsid w:val="315F792B"/>
    <w:rsid w:val="31AD282D"/>
    <w:rsid w:val="320A1909"/>
    <w:rsid w:val="323B7BCC"/>
    <w:rsid w:val="33B277B5"/>
    <w:rsid w:val="344477C7"/>
    <w:rsid w:val="34624D8C"/>
    <w:rsid w:val="34854DFA"/>
    <w:rsid w:val="34F474AA"/>
    <w:rsid w:val="353E6D29"/>
    <w:rsid w:val="359E1D04"/>
    <w:rsid w:val="37207864"/>
    <w:rsid w:val="37685DEA"/>
    <w:rsid w:val="37F63E0A"/>
    <w:rsid w:val="38521F98"/>
    <w:rsid w:val="38AB7C44"/>
    <w:rsid w:val="39425056"/>
    <w:rsid w:val="395963ED"/>
    <w:rsid w:val="3A1952FA"/>
    <w:rsid w:val="3A19684F"/>
    <w:rsid w:val="3A4E260F"/>
    <w:rsid w:val="3A5656CD"/>
    <w:rsid w:val="3A607983"/>
    <w:rsid w:val="3C060596"/>
    <w:rsid w:val="3C161516"/>
    <w:rsid w:val="3D535B26"/>
    <w:rsid w:val="3DC41242"/>
    <w:rsid w:val="3E4D3884"/>
    <w:rsid w:val="3EAD7F28"/>
    <w:rsid w:val="3F250382"/>
    <w:rsid w:val="404448BC"/>
    <w:rsid w:val="41102C51"/>
    <w:rsid w:val="41930014"/>
    <w:rsid w:val="42092077"/>
    <w:rsid w:val="42C00539"/>
    <w:rsid w:val="436875EB"/>
    <w:rsid w:val="439C5F61"/>
    <w:rsid w:val="43B41D58"/>
    <w:rsid w:val="4467501D"/>
    <w:rsid w:val="447D6872"/>
    <w:rsid w:val="44891C4D"/>
    <w:rsid w:val="44E14F36"/>
    <w:rsid w:val="45014C2B"/>
    <w:rsid w:val="45303661"/>
    <w:rsid w:val="456654AD"/>
    <w:rsid w:val="45834AE1"/>
    <w:rsid w:val="45C274ED"/>
    <w:rsid w:val="45E12F90"/>
    <w:rsid w:val="46F77971"/>
    <w:rsid w:val="47AC1E96"/>
    <w:rsid w:val="482254E2"/>
    <w:rsid w:val="491F618D"/>
    <w:rsid w:val="492928A1"/>
    <w:rsid w:val="49A83EA5"/>
    <w:rsid w:val="49AF76EC"/>
    <w:rsid w:val="49B760FE"/>
    <w:rsid w:val="49CF51F6"/>
    <w:rsid w:val="49E35703"/>
    <w:rsid w:val="4C6D1C55"/>
    <w:rsid w:val="4C963723"/>
    <w:rsid w:val="4DC24777"/>
    <w:rsid w:val="4DC85289"/>
    <w:rsid w:val="4DFF0278"/>
    <w:rsid w:val="4EDC589A"/>
    <w:rsid w:val="4F015476"/>
    <w:rsid w:val="4F4420B0"/>
    <w:rsid w:val="4F5F526E"/>
    <w:rsid w:val="4FAD0170"/>
    <w:rsid w:val="4FB915A4"/>
    <w:rsid w:val="4FEC5C84"/>
    <w:rsid w:val="5037643E"/>
    <w:rsid w:val="50432573"/>
    <w:rsid w:val="511B583B"/>
    <w:rsid w:val="51981FA8"/>
    <w:rsid w:val="51C63972"/>
    <w:rsid w:val="51E76D85"/>
    <w:rsid w:val="52081BED"/>
    <w:rsid w:val="523E4BD7"/>
    <w:rsid w:val="52B73695"/>
    <w:rsid w:val="52E27482"/>
    <w:rsid w:val="53355980"/>
    <w:rsid w:val="533E0AE0"/>
    <w:rsid w:val="54291207"/>
    <w:rsid w:val="543930AE"/>
    <w:rsid w:val="544F298E"/>
    <w:rsid w:val="546B4EB8"/>
    <w:rsid w:val="54D9517B"/>
    <w:rsid w:val="55B57FCA"/>
    <w:rsid w:val="56AE003B"/>
    <w:rsid w:val="56BC2AC2"/>
    <w:rsid w:val="56CD45A9"/>
    <w:rsid w:val="57790E97"/>
    <w:rsid w:val="57D91936"/>
    <w:rsid w:val="58585849"/>
    <w:rsid w:val="586A76A9"/>
    <w:rsid w:val="58AE00FF"/>
    <w:rsid w:val="58D63144"/>
    <w:rsid w:val="58F00A48"/>
    <w:rsid w:val="59B038CE"/>
    <w:rsid w:val="59B2243E"/>
    <w:rsid w:val="5A2636E6"/>
    <w:rsid w:val="5A554CDC"/>
    <w:rsid w:val="5A6B0001"/>
    <w:rsid w:val="5A791FD7"/>
    <w:rsid w:val="5B8222CD"/>
    <w:rsid w:val="5BC16D26"/>
    <w:rsid w:val="5C1D4723"/>
    <w:rsid w:val="5CAD2799"/>
    <w:rsid w:val="5CC56163"/>
    <w:rsid w:val="5D810DF0"/>
    <w:rsid w:val="5DBF2EEB"/>
    <w:rsid w:val="5DCD7F52"/>
    <w:rsid w:val="5E437DA5"/>
    <w:rsid w:val="5E752CEA"/>
    <w:rsid w:val="5E9F7435"/>
    <w:rsid w:val="5F465B03"/>
    <w:rsid w:val="5F7F7431"/>
    <w:rsid w:val="602B68C3"/>
    <w:rsid w:val="60432042"/>
    <w:rsid w:val="604C342F"/>
    <w:rsid w:val="60822B6A"/>
    <w:rsid w:val="617A528A"/>
    <w:rsid w:val="617C2A61"/>
    <w:rsid w:val="625C5BC9"/>
    <w:rsid w:val="62D8451C"/>
    <w:rsid w:val="63D454B4"/>
    <w:rsid w:val="65461FD1"/>
    <w:rsid w:val="65A15DC7"/>
    <w:rsid w:val="667173B8"/>
    <w:rsid w:val="66FB157C"/>
    <w:rsid w:val="671244F9"/>
    <w:rsid w:val="672C55DE"/>
    <w:rsid w:val="67B51A77"/>
    <w:rsid w:val="67F82970"/>
    <w:rsid w:val="68035B34"/>
    <w:rsid w:val="688370ED"/>
    <w:rsid w:val="698931BC"/>
    <w:rsid w:val="6A1A2066"/>
    <w:rsid w:val="6A855EEE"/>
    <w:rsid w:val="6A9B532B"/>
    <w:rsid w:val="6AB8445C"/>
    <w:rsid w:val="6ADE2CC8"/>
    <w:rsid w:val="6ADF15F7"/>
    <w:rsid w:val="6AE94E76"/>
    <w:rsid w:val="6CAA6BE6"/>
    <w:rsid w:val="6D2D6E53"/>
    <w:rsid w:val="6D582D10"/>
    <w:rsid w:val="6EFB6535"/>
    <w:rsid w:val="6F3C2A7E"/>
    <w:rsid w:val="6F5E29F5"/>
    <w:rsid w:val="6F75237F"/>
    <w:rsid w:val="6FA1557F"/>
    <w:rsid w:val="6FBB308A"/>
    <w:rsid w:val="6FF4023B"/>
    <w:rsid w:val="6FFC691F"/>
    <w:rsid w:val="70737E30"/>
    <w:rsid w:val="70905CC7"/>
    <w:rsid w:val="70E02425"/>
    <w:rsid w:val="70EA6ACB"/>
    <w:rsid w:val="70F20B74"/>
    <w:rsid w:val="713E7841"/>
    <w:rsid w:val="71CD3369"/>
    <w:rsid w:val="72A84721"/>
    <w:rsid w:val="72EF0E04"/>
    <w:rsid w:val="73362E22"/>
    <w:rsid w:val="73CE5F00"/>
    <w:rsid w:val="747807AC"/>
    <w:rsid w:val="75D30C43"/>
    <w:rsid w:val="76554A32"/>
    <w:rsid w:val="76B851FC"/>
    <w:rsid w:val="772559B4"/>
    <w:rsid w:val="77A056C8"/>
    <w:rsid w:val="785C59A7"/>
    <w:rsid w:val="7955751A"/>
    <w:rsid w:val="795D3FA6"/>
    <w:rsid w:val="79841F42"/>
    <w:rsid w:val="79B853F7"/>
    <w:rsid w:val="79BE42D9"/>
    <w:rsid w:val="79DD7FF0"/>
    <w:rsid w:val="7A4B0019"/>
    <w:rsid w:val="7A7A343F"/>
    <w:rsid w:val="7AFD7441"/>
    <w:rsid w:val="7BB80BF5"/>
    <w:rsid w:val="7C052E4F"/>
    <w:rsid w:val="7C134B67"/>
    <w:rsid w:val="7CD945F1"/>
    <w:rsid w:val="7D58112F"/>
    <w:rsid w:val="7DB0367D"/>
    <w:rsid w:val="7DD547CA"/>
    <w:rsid w:val="7E8471DF"/>
    <w:rsid w:val="7F2F234A"/>
    <w:rsid w:val="7FB4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kern w:val="44"/>
      <w:sz w:val="30"/>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semiHidden/>
    <w:unhideWhenUsed/>
    <w:qFormat/>
    <w:uiPriority w:val="0"/>
    <w:pPr>
      <w:keepNext/>
      <w:keepLines/>
      <w:spacing w:before="260" w:after="260" w:line="412" w:lineRule="auto"/>
      <w:outlineLvl w:val="2"/>
    </w:pPr>
    <w:rPr>
      <w:b/>
      <w:sz w:val="32"/>
    </w:rPr>
  </w:style>
  <w:style w:type="paragraph" w:styleId="7">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99"/>
    <w:pPr>
      <w:ind w:firstLine="200" w:firstLineChars="200"/>
    </w:pPr>
  </w:style>
  <w:style w:type="paragraph" w:styleId="6">
    <w:name w:val="toc 4"/>
    <w:basedOn w:val="1"/>
    <w:next w:val="1"/>
    <w:semiHidden/>
    <w:qFormat/>
    <w:uiPriority w:val="0"/>
    <w:pPr>
      <w:ind w:left="630"/>
      <w:jc w:val="left"/>
    </w:pPr>
    <w:rPr>
      <w:rFonts w:ascii="Times New Roman" w:hAnsi="Times New Roman" w:cs="Times New Roman"/>
      <w:sz w:val="18"/>
      <w:szCs w:val="18"/>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52"/>
    <w:qFormat/>
    <w:uiPriority w:val="0"/>
    <w:pPr>
      <w:jc w:val="left"/>
    </w:pPr>
  </w:style>
  <w:style w:type="paragraph" w:styleId="10">
    <w:name w:val="Body Text 3"/>
    <w:basedOn w:val="1"/>
    <w:autoRedefine/>
    <w:qFormat/>
    <w:uiPriority w:val="0"/>
    <w:pPr>
      <w:spacing w:after="120"/>
    </w:pPr>
    <w:rPr>
      <w:rFonts w:ascii="Times New Roman" w:hAnsi="Times New Roman"/>
      <w:sz w:val="16"/>
      <w:szCs w:val="16"/>
    </w:rPr>
  </w:style>
  <w:style w:type="paragraph" w:styleId="11">
    <w:name w:val="Body Text"/>
    <w:basedOn w:val="1"/>
    <w:link w:val="54"/>
    <w:qFormat/>
    <w:uiPriority w:val="99"/>
    <w:rPr>
      <w:rFonts w:cs="Times New Roman"/>
      <w:kern w:val="0"/>
    </w:rPr>
  </w:style>
  <w:style w:type="paragraph" w:styleId="12">
    <w:name w:val="Body Text Indent"/>
    <w:basedOn w:val="1"/>
    <w:autoRedefine/>
    <w:qFormat/>
    <w:uiPriority w:val="0"/>
    <w:pPr>
      <w:ind w:firstLine="480"/>
    </w:pPr>
    <w:rPr>
      <w:rFonts w:ascii="宋体" w:hAnsi="宋体"/>
    </w:rPr>
  </w:style>
  <w:style w:type="paragraph" w:styleId="13">
    <w:name w:val="toc 3"/>
    <w:basedOn w:val="1"/>
    <w:next w:val="1"/>
    <w:semiHidden/>
    <w:qFormat/>
    <w:uiPriority w:val="0"/>
    <w:pPr>
      <w:ind w:left="420"/>
      <w:jc w:val="left"/>
    </w:pPr>
    <w:rPr>
      <w:rFonts w:ascii="Times New Roman" w:hAnsi="Times New Roman" w:cs="Times New Roman"/>
      <w:i/>
      <w:iCs/>
      <w:sz w:val="20"/>
      <w:szCs w:val="20"/>
    </w:rPr>
  </w:style>
  <w:style w:type="paragraph" w:styleId="14">
    <w:name w:val="Plain Text"/>
    <w:basedOn w:val="1"/>
    <w:next w:val="15"/>
    <w:qFormat/>
    <w:uiPriority w:val="0"/>
    <w:rPr>
      <w:rFonts w:ascii="宋体" w:hAnsi="Courier New"/>
      <w:szCs w:val="21"/>
    </w:rPr>
  </w:style>
  <w:style w:type="paragraph" w:customStyle="1" w:styleId="15">
    <w:name w:val="Default"/>
    <w:next w:val="1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qFormat/>
    <w:uiPriority w:val="0"/>
    <w:pPr>
      <w:autoSpaceDE w:val="0"/>
      <w:autoSpaceDN w:val="0"/>
      <w:adjustRightInd w:val="0"/>
      <w:textAlignment w:val="baseline"/>
    </w:pPr>
    <w:rPr>
      <w:rFonts w:ascii="宋体"/>
      <w:sz w:val="2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style>
  <w:style w:type="paragraph" w:styleId="21">
    <w:name w:val="index heading"/>
    <w:basedOn w:val="1"/>
    <w:next w:val="22"/>
    <w:autoRedefine/>
    <w:qFormat/>
    <w:uiPriority w:val="0"/>
    <w:rPr>
      <w:rFonts w:ascii="Times New Roman" w:hAnsi="Times New Roman"/>
      <w:szCs w:val="20"/>
    </w:rPr>
  </w:style>
  <w:style w:type="paragraph" w:styleId="22">
    <w:name w:val="index 1"/>
    <w:basedOn w:val="1"/>
    <w:next w:val="1"/>
    <w:autoRedefine/>
    <w:qFormat/>
    <w:uiPriority w:val="0"/>
    <w:pPr>
      <w:tabs>
        <w:tab w:val="left" w:pos="7740"/>
      </w:tabs>
      <w:jc w:val="center"/>
    </w:pPr>
    <w:rPr>
      <w:rFonts w:ascii="仿宋" w:hAnsi="仿宋" w:eastAsia="仿宋"/>
      <w:b/>
      <w:sz w:val="28"/>
      <w:szCs w:val="28"/>
    </w:rPr>
  </w:style>
  <w:style w:type="paragraph" w:styleId="23">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2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5">
    <w:name w:val="annotation subject"/>
    <w:basedOn w:val="9"/>
    <w:next w:val="9"/>
    <w:link w:val="53"/>
    <w:qFormat/>
    <w:uiPriority w:val="0"/>
    <w:rPr>
      <w:b/>
      <w:bCs/>
    </w:rPr>
  </w:style>
  <w:style w:type="paragraph" w:styleId="26">
    <w:name w:val="Body Text First Indent"/>
    <w:basedOn w:val="11"/>
    <w:next w:val="27"/>
    <w:unhideWhenUsed/>
    <w:qFormat/>
    <w:uiPriority w:val="99"/>
    <w:pPr>
      <w:ind w:firstLine="420" w:firstLineChars="100"/>
    </w:pPr>
  </w:style>
  <w:style w:type="paragraph" w:styleId="27">
    <w:name w:val="Body Text First Indent 2"/>
    <w:basedOn w:val="12"/>
    <w:next w:val="1"/>
    <w:qFormat/>
    <w:uiPriority w:val="0"/>
    <w:pPr>
      <w:tabs>
        <w:tab w:val="left" w:pos="0"/>
      </w:tabs>
      <w:ind w:firstLine="420" w:firstLineChars="200"/>
    </w:pPr>
    <w:rPr>
      <w:rFonts w:eastAsia="楷体_GB2312"/>
      <w:b/>
    </w:rPr>
  </w:style>
  <w:style w:type="table" w:styleId="29">
    <w:name w:val="Table Grid"/>
    <w:basedOn w:val="28"/>
    <w:autoRedefine/>
    <w:qFormat/>
    <w:uiPriority w:val="39"/>
    <w:rPr>
      <w:rFonts w:asciiTheme="minorHAnsi" w:hAnsiTheme="minorHAnsi" w:eastAsiaTheme="minorEastAsia" w:cstheme="minorBidi"/>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99"/>
    <w:rPr>
      <w:rFonts w:ascii="Tahoma" w:hAnsi="Tahoma" w:eastAsia="宋体" w:cs="Tahoma"/>
      <w:b/>
      <w:bCs/>
      <w:spacing w:val="10"/>
      <w:sz w:val="24"/>
      <w:szCs w:val="24"/>
      <w:lang w:val="en-US" w:eastAsia="zh-CN"/>
    </w:rPr>
  </w:style>
  <w:style w:type="character" w:styleId="32">
    <w:name w:val="FollowedHyperlink"/>
    <w:basedOn w:val="30"/>
    <w:qFormat/>
    <w:uiPriority w:val="0"/>
    <w:rPr>
      <w:color w:val="800080"/>
      <w:u w:val="single"/>
    </w:rPr>
  </w:style>
  <w:style w:type="character" w:styleId="33">
    <w:name w:val="Hyperlink"/>
    <w:autoRedefine/>
    <w:qFormat/>
    <w:uiPriority w:val="99"/>
    <w:rPr>
      <w:color w:val="333333"/>
      <w:u w:val="none"/>
    </w:rPr>
  </w:style>
  <w:style w:type="character" w:styleId="34">
    <w:name w:val="annotation reference"/>
    <w:basedOn w:val="30"/>
    <w:autoRedefine/>
    <w:qFormat/>
    <w:uiPriority w:val="0"/>
    <w:rPr>
      <w:sz w:val="21"/>
      <w:szCs w:val="21"/>
    </w:rPr>
  </w:style>
  <w:style w:type="paragraph" w:customStyle="1" w:styleId="35">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7">
    <w:name w:val="表格文字"/>
    <w:basedOn w:val="1"/>
    <w:autoRedefine/>
    <w:qFormat/>
    <w:uiPriority w:val="0"/>
    <w:pPr>
      <w:spacing w:before="25" w:after="25"/>
      <w:jc w:val="left"/>
    </w:pPr>
    <w:rPr>
      <w:rFonts w:ascii="Times New Roman" w:hAnsi="Times New Roman"/>
      <w:bCs/>
      <w:spacing w:val="10"/>
      <w:kern w:val="0"/>
      <w:sz w:val="24"/>
      <w:szCs w:val="20"/>
    </w:rPr>
  </w:style>
  <w:style w:type="paragraph" w:customStyle="1" w:styleId="38">
    <w:name w:val="_Style 2"/>
    <w:basedOn w:val="1"/>
    <w:autoRedefine/>
    <w:qFormat/>
    <w:uiPriority w:val="34"/>
    <w:pPr>
      <w:ind w:firstLine="420" w:firstLineChars="200"/>
    </w:pPr>
    <w:rPr>
      <w:szCs w:val="20"/>
    </w:rPr>
  </w:style>
  <w:style w:type="paragraph" w:styleId="39">
    <w:name w:val="List Paragraph"/>
    <w:basedOn w:val="1"/>
    <w:autoRedefine/>
    <w:qFormat/>
    <w:uiPriority w:val="0"/>
    <w:pPr>
      <w:ind w:firstLine="420" w:firstLineChars="200"/>
    </w:pPr>
  </w:style>
  <w:style w:type="paragraph" w:customStyle="1" w:styleId="40">
    <w:name w:val="纯文本1"/>
    <w:basedOn w:val="1"/>
    <w:autoRedefine/>
    <w:qFormat/>
    <w:uiPriority w:val="0"/>
    <w:rPr>
      <w:rFonts w:ascii="宋体" w:hAnsi="Courier New" w:cs="Times New Roman"/>
      <w:szCs w:val="22"/>
    </w:rPr>
  </w:style>
  <w:style w:type="paragraph" w:customStyle="1" w:styleId="41">
    <w:name w:val="正文缩进1"/>
    <w:basedOn w:val="1"/>
    <w:autoRedefine/>
    <w:qFormat/>
    <w:uiPriority w:val="0"/>
    <w:pPr>
      <w:autoSpaceDE w:val="0"/>
      <w:autoSpaceDN w:val="0"/>
      <w:adjustRightInd w:val="0"/>
      <w:ind w:firstLine="420"/>
      <w:jc w:val="left"/>
    </w:pPr>
    <w:rPr>
      <w:rFonts w:ascii="宋体"/>
      <w:kern w:val="0"/>
      <w:sz w:val="24"/>
    </w:rPr>
  </w:style>
  <w:style w:type="paragraph" w:customStyle="1" w:styleId="42">
    <w:name w:val="段"/>
    <w:autoRedefine/>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_Style 12"/>
    <w:basedOn w:val="1"/>
    <w:next w:val="39"/>
    <w:autoRedefine/>
    <w:qFormat/>
    <w:uiPriority w:val="34"/>
    <w:pPr>
      <w:spacing w:line="360" w:lineRule="auto"/>
      <w:ind w:firstLine="420" w:firstLineChars="200"/>
    </w:pPr>
    <w:rPr>
      <w:rFonts w:ascii="Arial" w:hAnsi="Arial"/>
      <w:sz w:val="24"/>
      <w:szCs w:val="22"/>
    </w:rPr>
  </w:style>
  <w:style w:type="character" w:customStyle="1" w:styleId="45">
    <w:name w:val="标题 1 Char"/>
    <w:autoRedefine/>
    <w:qFormat/>
    <w:locked/>
    <w:uiPriority w:val="99"/>
    <w:rPr>
      <w:rFonts w:ascii="Calibri" w:hAnsi="Calibri" w:cs="Calibri"/>
      <w:b/>
      <w:bCs/>
      <w:kern w:val="44"/>
      <w:sz w:val="44"/>
      <w:szCs w:val="44"/>
    </w:rPr>
  </w:style>
  <w:style w:type="paragraph" w:customStyle="1" w:styleId="46">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4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Table Paragraph"/>
    <w:basedOn w:val="1"/>
    <w:autoRedefine/>
    <w:qFormat/>
    <w:uiPriority w:val="99"/>
    <w:pPr>
      <w:autoSpaceDE w:val="0"/>
      <w:autoSpaceDN w:val="0"/>
      <w:jc w:val="left"/>
    </w:pPr>
    <w:rPr>
      <w:rFonts w:ascii="宋体" w:hAnsi="宋体"/>
      <w:kern w:val="0"/>
      <w:sz w:val="22"/>
      <w:szCs w:val="22"/>
      <w:lang w:eastAsia="en-US"/>
    </w:rPr>
  </w:style>
  <w:style w:type="paragraph" w:customStyle="1" w:styleId="49">
    <w:name w:val="正文（缩进 2 字符）"/>
    <w:basedOn w:val="1"/>
    <w:autoRedefine/>
    <w:qFormat/>
    <w:uiPriority w:val="99"/>
    <w:pPr>
      <w:ind w:firstLine="200" w:firstLineChars="200"/>
    </w:pPr>
  </w:style>
  <w:style w:type="table" w:customStyle="1" w:styleId="50">
    <w:name w:val="Table Normal"/>
    <w:autoRedefine/>
    <w:semiHidden/>
    <w:unhideWhenUsed/>
    <w:qFormat/>
    <w:uiPriority w:val="0"/>
    <w:tblPr>
      <w:tblCellMar>
        <w:top w:w="0" w:type="dxa"/>
        <w:left w:w="0" w:type="dxa"/>
        <w:bottom w:w="0" w:type="dxa"/>
        <w:right w:w="0" w:type="dxa"/>
      </w:tblCellMar>
    </w:tblPr>
  </w:style>
  <w:style w:type="paragraph" w:customStyle="1" w:styleId="51">
    <w:name w:val="Table Text"/>
    <w:basedOn w:val="1"/>
    <w:autoRedefine/>
    <w:semiHidden/>
    <w:qFormat/>
    <w:uiPriority w:val="0"/>
    <w:rPr>
      <w:rFonts w:ascii="宋体" w:hAnsi="宋体"/>
      <w:sz w:val="23"/>
      <w:szCs w:val="23"/>
      <w:lang w:eastAsia="en-US"/>
    </w:rPr>
  </w:style>
  <w:style w:type="character" w:customStyle="1" w:styleId="52">
    <w:name w:val="批注文字 字符"/>
    <w:basedOn w:val="30"/>
    <w:link w:val="9"/>
    <w:autoRedefine/>
    <w:qFormat/>
    <w:uiPriority w:val="0"/>
    <w:rPr>
      <w:rFonts w:ascii="Calibri" w:hAnsi="Calibri" w:cs="宋体"/>
      <w:kern w:val="2"/>
      <w:sz w:val="21"/>
      <w:szCs w:val="24"/>
    </w:rPr>
  </w:style>
  <w:style w:type="character" w:customStyle="1" w:styleId="53">
    <w:name w:val="批注主题 字符"/>
    <w:basedOn w:val="52"/>
    <w:link w:val="25"/>
    <w:autoRedefine/>
    <w:qFormat/>
    <w:uiPriority w:val="0"/>
    <w:rPr>
      <w:rFonts w:ascii="Calibri" w:hAnsi="Calibri" w:cs="宋体"/>
      <w:b/>
      <w:bCs/>
      <w:kern w:val="2"/>
      <w:sz w:val="21"/>
      <w:szCs w:val="24"/>
    </w:rPr>
  </w:style>
  <w:style w:type="character" w:customStyle="1" w:styleId="54">
    <w:name w:val="正文文本 字符"/>
    <w:basedOn w:val="30"/>
    <w:link w:val="11"/>
    <w:autoRedefine/>
    <w:qFormat/>
    <w:uiPriority w:val="99"/>
    <w:rPr>
      <w:rFonts w:ascii="Calibri" w:hAnsi="Calibri"/>
      <w:sz w:val="21"/>
      <w:szCs w:val="24"/>
    </w:rPr>
  </w:style>
  <w:style w:type="character" w:customStyle="1" w:styleId="55">
    <w:name w:val="cm-builtin"/>
    <w:basedOn w:val="30"/>
    <w:qFormat/>
    <w:uiPriority w:val="0"/>
    <w:rPr>
      <w:color w:val="FF9D00"/>
    </w:rPr>
  </w:style>
  <w:style w:type="character" w:customStyle="1" w:styleId="56">
    <w:name w:val="cm-attribute"/>
    <w:basedOn w:val="30"/>
    <w:qFormat/>
    <w:uiPriority w:val="0"/>
    <w:rPr>
      <w:color w:val="82C6E0"/>
    </w:rPr>
  </w:style>
  <w:style w:type="character" w:customStyle="1" w:styleId="57">
    <w:name w:val="cm-attribute1"/>
    <w:basedOn w:val="30"/>
    <w:qFormat/>
    <w:uiPriority w:val="0"/>
    <w:rPr>
      <w:color w:val="3300AA"/>
    </w:rPr>
  </w:style>
  <w:style w:type="character" w:customStyle="1" w:styleId="58">
    <w:name w:val="cm-attribute2"/>
    <w:basedOn w:val="30"/>
    <w:qFormat/>
    <w:uiPriority w:val="0"/>
    <w:rPr>
      <w:color w:val="90A959"/>
    </w:rPr>
  </w:style>
  <w:style w:type="character" w:customStyle="1" w:styleId="59">
    <w:name w:val="cm-attribute3"/>
    <w:basedOn w:val="30"/>
    <w:qFormat/>
    <w:uiPriority w:val="0"/>
    <w:rPr>
      <w:color w:val="66D9EF"/>
    </w:rPr>
  </w:style>
  <w:style w:type="character" w:customStyle="1" w:styleId="60">
    <w:name w:val="cm-attribute4"/>
    <w:basedOn w:val="30"/>
    <w:qFormat/>
    <w:uiPriority w:val="0"/>
    <w:rPr>
      <w:color w:val="3300AA"/>
    </w:rPr>
  </w:style>
  <w:style w:type="character" w:customStyle="1" w:styleId="61">
    <w:name w:val="cm-attribute5"/>
    <w:basedOn w:val="30"/>
    <w:qFormat/>
    <w:uiPriority w:val="0"/>
    <w:rPr>
      <w:color w:val="FF9E59"/>
    </w:rPr>
  </w:style>
  <w:style w:type="character" w:customStyle="1" w:styleId="62">
    <w:name w:val="cm-attribute6"/>
    <w:basedOn w:val="30"/>
    <w:qFormat/>
    <w:uiPriority w:val="0"/>
    <w:rPr>
      <w:color w:val="50FA7B"/>
    </w:rPr>
  </w:style>
  <w:style w:type="character" w:customStyle="1" w:styleId="63">
    <w:name w:val="cm-attribute7"/>
    <w:basedOn w:val="30"/>
    <w:qFormat/>
    <w:uiPriority w:val="0"/>
    <w:rPr>
      <w:color w:val="2D2006"/>
    </w:rPr>
  </w:style>
  <w:style w:type="character" w:customStyle="1" w:styleId="64">
    <w:name w:val="cm-attribute8"/>
    <w:basedOn w:val="30"/>
    <w:qFormat/>
    <w:uiPriority w:val="0"/>
    <w:rPr>
      <w:color w:val="7EA656"/>
    </w:rPr>
  </w:style>
  <w:style w:type="character" w:customStyle="1" w:styleId="65">
    <w:name w:val="cm-variable-2"/>
    <w:basedOn w:val="30"/>
    <w:qFormat/>
    <w:uiPriority w:val="0"/>
    <w:rPr>
      <w:color w:val="7BD827"/>
    </w:rPr>
  </w:style>
  <w:style w:type="character" w:customStyle="1" w:styleId="66">
    <w:name w:val="cm-special"/>
    <w:basedOn w:val="30"/>
    <w:qFormat/>
    <w:uiPriority w:val="0"/>
    <w:rPr>
      <w:color w:val="FF9D00"/>
    </w:rPr>
  </w:style>
  <w:style w:type="character" w:customStyle="1" w:styleId="67">
    <w:name w:val="cm-tag"/>
    <w:basedOn w:val="30"/>
    <w:qFormat/>
    <w:uiPriority w:val="0"/>
    <w:rPr>
      <w:color w:val="7BD827"/>
    </w:rPr>
  </w:style>
  <w:style w:type="character" w:customStyle="1" w:styleId="68">
    <w:name w:val="cm-tag1"/>
    <w:basedOn w:val="30"/>
    <w:qFormat/>
    <w:uiPriority w:val="0"/>
    <w:rPr>
      <w:color w:val="000000"/>
    </w:rPr>
  </w:style>
  <w:style w:type="character" w:customStyle="1" w:styleId="69">
    <w:name w:val="cm-tag2"/>
    <w:basedOn w:val="30"/>
    <w:qFormat/>
    <w:uiPriority w:val="0"/>
    <w:rPr>
      <w:color w:val="6A9FB5"/>
    </w:rPr>
  </w:style>
  <w:style w:type="character" w:customStyle="1" w:styleId="70">
    <w:name w:val="cm-tag3"/>
    <w:basedOn w:val="30"/>
    <w:qFormat/>
    <w:uiPriority w:val="0"/>
    <w:rPr>
      <w:color w:val="9EFFFF"/>
    </w:rPr>
  </w:style>
  <w:style w:type="character" w:customStyle="1" w:styleId="71">
    <w:name w:val="cm-tag4"/>
    <w:basedOn w:val="30"/>
    <w:qFormat/>
    <w:uiPriority w:val="0"/>
    <w:rPr>
      <w:color w:val="0000C0"/>
    </w:rPr>
  </w:style>
  <w:style w:type="character" w:customStyle="1" w:styleId="72">
    <w:name w:val="cm-tag5"/>
    <w:basedOn w:val="30"/>
    <w:qFormat/>
    <w:uiPriority w:val="0"/>
    <w:rPr>
      <w:color w:val="9EFFFF"/>
    </w:rPr>
  </w:style>
  <w:style w:type="character" w:customStyle="1" w:styleId="73">
    <w:name w:val="cm-tag6"/>
    <w:basedOn w:val="30"/>
    <w:qFormat/>
    <w:uiPriority w:val="0"/>
    <w:rPr>
      <w:color w:val="FFFFFF"/>
    </w:rPr>
  </w:style>
  <w:style w:type="character" w:customStyle="1" w:styleId="74">
    <w:name w:val="cm-tag7"/>
    <w:basedOn w:val="30"/>
    <w:qFormat/>
    <w:uiPriority w:val="0"/>
    <w:rPr>
      <w:color w:val="896724"/>
    </w:rPr>
  </w:style>
  <w:style w:type="character" w:customStyle="1" w:styleId="75">
    <w:name w:val="cm-tag8"/>
    <w:basedOn w:val="30"/>
    <w:qFormat/>
    <w:uiPriority w:val="0"/>
    <w:rPr>
      <w:i/>
      <w:iCs/>
      <w:color w:val="669900"/>
    </w:rPr>
  </w:style>
  <w:style w:type="character" w:customStyle="1" w:styleId="76">
    <w:name w:val="cm-tag9"/>
    <w:basedOn w:val="30"/>
    <w:qFormat/>
    <w:uiPriority w:val="0"/>
    <w:rPr>
      <w:color w:val="000000"/>
    </w:rPr>
  </w:style>
  <w:style w:type="character" w:customStyle="1" w:styleId="77">
    <w:name w:val="not([class*=suffix])"/>
    <w:basedOn w:val="30"/>
    <w:qFormat/>
    <w:uiPriority w:val="0"/>
  </w:style>
  <w:style w:type="character" w:customStyle="1" w:styleId="78">
    <w:name w:val="cm-operator"/>
    <w:basedOn w:val="30"/>
    <w:qFormat/>
    <w:uiPriority w:val="0"/>
    <w:rPr>
      <w:color w:val="000000"/>
    </w:rPr>
  </w:style>
  <w:style w:type="character" w:customStyle="1" w:styleId="79">
    <w:name w:val="cm-unit"/>
    <w:basedOn w:val="30"/>
    <w:qFormat/>
    <w:uiPriority w:val="0"/>
    <w:rPr>
      <w:color w:val="063289"/>
    </w:rPr>
  </w:style>
  <w:style w:type="character" w:customStyle="1" w:styleId="80">
    <w:name w:val="hover"/>
    <w:basedOn w:val="30"/>
    <w:qFormat/>
    <w:uiPriority w:val="0"/>
    <w:rPr>
      <w:color w:val="8B02B5"/>
    </w:rPr>
  </w:style>
  <w:style w:type="character" w:customStyle="1" w:styleId="81">
    <w:name w:val="cm-variable-3"/>
    <w:basedOn w:val="30"/>
    <w:qFormat/>
    <w:uiPriority w:val="0"/>
    <w:rPr>
      <w:color w:val="FFFFFF"/>
    </w:rPr>
  </w:style>
  <w:style w:type="character" w:customStyle="1" w:styleId="82">
    <w:name w:val="cm-variable-31"/>
    <w:basedOn w:val="30"/>
    <w:qFormat/>
    <w:uiPriority w:val="0"/>
    <w:rPr>
      <w:color w:val="000000"/>
    </w:rPr>
  </w:style>
  <w:style w:type="character" w:customStyle="1" w:styleId="83">
    <w:name w:val="cm-variable-32"/>
    <w:basedOn w:val="30"/>
    <w:qFormat/>
    <w:uiPriority w:val="0"/>
    <w:rPr>
      <w:color w:val="66D9EF"/>
    </w:rPr>
  </w:style>
  <w:style w:type="character" w:customStyle="1" w:styleId="84">
    <w:name w:val="cm-variable-33"/>
    <w:basedOn w:val="30"/>
    <w:qFormat/>
    <w:uiPriority w:val="0"/>
    <w:rPr>
      <w:color w:val="000000"/>
    </w:rPr>
  </w:style>
  <w:style w:type="character" w:customStyle="1" w:styleId="85">
    <w:name w:val="cm-variable-34"/>
    <w:basedOn w:val="30"/>
    <w:qFormat/>
    <w:uiPriority w:val="0"/>
    <w:rPr>
      <w:color w:val="FFFFFF"/>
    </w:rPr>
  </w:style>
  <w:style w:type="character" w:customStyle="1" w:styleId="86">
    <w:name w:val="cm-variable-35"/>
    <w:basedOn w:val="30"/>
    <w:qFormat/>
    <w:uiPriority w:val="0"/>
    <w:rPr>
      <w:color w:val="FF79C6"/>
    </w:rPr>
  </w:style>
  <w:style w:type="character" w:customStyle="1" w:styleId="87">
    <w:name w:val="cm-variable-36"/>
    <w:basedOn w:val="30"/>
    <w:qFormat/>
    <w:uiPriority w:val="0"/>
    <w:rPr>
      <w:color w:val="1659DF"/>
    </w:rPr>
  </w:style>
  <w:style w:type="character" w:customStyle="1" w:styleId="88">
    <w:name w:val="cm-variable-37"/>
    <w:basedOn w:val="30"/>
    <w:qFormat/>
    <w:uiPriority w:val="0"/>
    <w:rPr>
      <w:color w:val="0077AA"/>
    </w:rPr>
  </w:style>
  <w:style w:type="character" w:customStyle="1" w:styleId="89">
    <w:name w:val="cm-variable-38"/>
    <w:basedOn w:val="30"/>
    <w:qFormat/>
    <w:uiPriority w:val="0"/>
    <w:rPr>
      <w:color w:val="000000"/>
    </w:rPr>
  </w:style>
  <w:style w:type="character" w:customStyle="1" w:styleId="90">
    <w:name w:val="cm-variable4"/>
    <w:basedOn w:val="30"/>
    <w:qFormat/>
    <w:uiPriority w:val="0"/>
    <w:rPr>
      <w:color w:val="000000"/>
    </w:rPr>
  </w:style>
  <w:style w:type="character" w:customStyle="1" w:styleId="91">
    <w:name w:val="cm-em2"/>
    <w:basedOn w:val="30"/>
    <w:qFormat/>
    <w:uiPriority w:val="0"/>
    <w:rPr>
      <w:color w:val="2D2006"/>
    </w:rPr>
  </w:style>
  <w:style w:type="character" w:customStyle="1" w:styleId="92">
    <w:name w:val="cm-bracket"/>
    <w:basedOn w:val="30"/>
    <w:qFormat/>
    <w:uiPriority w:val="0"/>
    <w:rPr>
      <w:color w:val="FF00FF"/>
    </w:rPr>
  </w:style>
  <w:style w:type="character" w:customStyle="1" w:styleId="93">
    <w:name w:val="cm-bracket1"/>
    <w:basedOn w:val="30"/>
    <w:qFormat/>
    <w:uiPriority w:val="0"/>
    <w:rPr>
      <w:color w:val="CCCC77"/>
      <w:shd w:val="clear" w:fill="FFFAE3"/>
    </w:rPr>
  </w:style>
  <w:style w:type="character" w:customStyle="1" w:styleId="94">
    <w:name w:val="cm-bracket2"/>
    <w:basedOn w:val="30"/>
    <w:qFormat/>
    <w:uiPriority w:val="0"/>
    <w:rPr>
      <w:color w:val="90A959"/>
    </w:rPr>
  </w:style>
  <w:style w:type="character" w:customStyle="1" w:styleId="95">
    <w:name w:val="cm-bracket3"/>
    <w:basedOn w:val="30"/>
    <w:qFormat/>
    <w:uiPriority w:val="0"/>
    <w:rPr>
      <w:color w:val="F8F8F2"/>
    </w:rPr>
  </w:style>
  <w:style w:type="character" w:customStyle="1" w:styleId="96">
    <w:name w:val="cm-bracket4"/>
    <w:basedOn w:val="30"/>
    <w:qFormat/>
    <w:uiPriority w:val="0"/>
    <w:rPr>
      <w:color w:val="000000"/>
      <w:shd w:val="clear" w:fill="E8F2FF"/>
    </w:rPr>
  </w:style>
  <w:style w:type="character" w:customStyle="1" w:styleId="97">
    <w:name w:val="cm-bracket5"/>
    <w:basedOn w:val="30"/>
    <w:qFormat/>
    <w:uiPriority w:val="0"/>
    <w:rPr>
      <w:color w:val="D8D8D8"/>
    </w:rPr>
  </w:style>
  <w:style w:type="character" w:customStyle="1" w:styleId="98">
    <w:name w:val="cm-bracket6"/>
    <w:basedOn w:val="30"/>
    <w:qFormat/>
    <w:uiPriority w:val="0"/>
    <w:rPr>
      <w:color w:val="063289"/>
      <w:shd w:val="clear" w:fill="E3DCCE"/>
    </w:rPr>
  </w:style>
  <w:style w:type="character" w:customStyle="1" w:styleId="99">
    <w:name w:val="cm-bracket7"/>
    <w:basedOn w:val="30"/>
    <w:qFormat/>
    <w:uiPriority w:val="0"/>
    <w:rPr>
      <w:color w:val="000000"/>
      <w:shd w:val="clear" w:fill="E8F2FF"/>
    </w:rPr>
  </w:style>
  <w:style w:type="character" w:customStyle="1" w:styleId="100">
    <w:name w:val="cm-header4"/>
    <w:basedOn w:val="30"/>
    <w:qFormat/>
    <w:uiPriority w:val="0"/>
    <w:rPr>
      <w:color w:val="AE81FF"/>
    </w:rPr>
  </w:style>
  <w:style w:type="character" w:customStyle="1" w:styleId="101">
    <w:name w:val="cm-qualifier"/>
    <w:basedOn w:val="30"/>
    <w:qFormat/>
    <w:uiPriority w:val="0"/>
    <w:rPr>
      <w:color w:val="555555"/>
    </w:rPr>
  </w:style>
  <w:style w:type="character" w:customStyle="1" w:styleId="102">
    <w:name w:val="cm-link6"/>
    <w:basedOn w:val="30"/>
    <w:qFormat/>
    <w:uiPriority w:val="0"/>
    <w:rPr>
      <w:color w:val="F4C20B"/>
    </w:rPr>
  </w:style>
  <w:style w:type="character" w:customStyle="1" w:styleId="103">
    <w:name w:val="cm-link7"/>
    <w:basedOn w:val="30"/>
    <w:qFormat/>
    <w:uiPriority w:val="0"/>
    <w:rPr>
      <w:color w:val="0000FF"/>
    </w:rPr>
  </w:style>
  <w:style w:type="character" w:customStyle="1" w:styleId="104">
    <w:name w:val="cm-link8"/>
    <w:basedOn w:val="30"/>
    <w:qFormat/>
    <w:uiPriority w:val="0"/>
    <w:rPr>
      <w:color w:val="AA759F"/>
    </w:rPr>
  </w:style>
  <w:style w:type="character" w:customStyle="1" w:styleId="105">
    <w:name w:val="cm-link9"/>
    <w:basedOn w:val="30"/>
    <w:qFormat/>
    <w:uiPriority w:val="0"/>
    <w:rPr>
      <w:color w:val="AE81FF"/>
    </w:rPr>
  </w:style>
  <w:style w:type="character" w:customStyle="1" w:styleId="106">
    <w:name w:val="cm-link10"/>
    <w:basedOn w:val="30"/>
    <w:qFormat/>
    <w:uiPriority w:val="0"/>
    <w:rPr>
      <w:color w:val="555555"/>
    </w:rPr>
  </w:style>
  <w:style w:type="character" w:customStyle="1" w:styleId="107">
    <w:name w:val="cm-link11"/>
    <w:basedOn w:val="30"/>
    <w:qFormat/>
    <w:uiPriority w:val="0"/>
    <w:rPr>
      <w:color w:val="845DC4"/>
    </w:rPr>
  </w:style>
  <w:style w:type="character" w:customStyle="1" w:styleId="108">
    <w:name w:val="cm-link12"/>
    <w:basedOn w:val="30"/>
    <w:qFormat/>
    <w:uiPriority w:val="0"/>
    <w:rPr>
      <w:color w:val="063289"/>
    </w:rPr>
  </w:style>
  <w:style w:type="character" w:customStyle="1" w:styleId="109">
    <w:name w:val="cm-number"/>
    <w:basedOn w:val="30"/>
    <w:qFormat/>
    <w:uiPriority w:val="0"/>
    <w:rPr>
      <w:color w:val="82C6E0"/>
    </w:rPr>
  </w:style>
  <w:style w:type="character" w:customStyle="1" w:styleId="110">
    <w:name w:val="cm-number1"/>
    <w:basedOn w:val="30"/>
    <w:qFormat/>
    <w:uiPriority w:val="0"/>
    <w:rPr>
      <w:color w:val="0000FF"/>
    </w:rPr>
  </w:style>
  <w:style w:type="character" w:customStyle="1" w:styleId="111">
    <w:name w:val="cm-number2"/>
    <w:basedOn w:val="30"/>
    <w:qFormat/>
    <w:uiPriority w:val="0"/>
    <w:rPr>
      <w:color w:val="AA759F"/>
    </w:rPr>
  </w:style>
  <w:style w:type="character" w:customStyle="1" w:styleId="112">
    <w:name w:val="cm-number3"/>
    <w:basedOn w:val="30"/>
    <w:qFormat/>
    <w:uiPriority w:val="0"/>
    <w:rPr>
      <w:color w:val="AE81FF"/>
    </w:rPr>
  </w:style>
  <w:style w:type="character" w:customStyle="1" w:styleId="113">
    <w:name w:val="cm-number4"/>
    <w:basedOn w:val="30"/>
    <w:qFormat/>
    <w:uiPriority w:val="0"/>
    <w:rPr>
      <w:color w:val="116644"/>
    </w:rPr>
  </w:style>
  <w:style w:type="character" w:customStyle="1" w:styleId="114">
    <w:name w:val="cm-number5"/>
    <w:basedOn w:val="30"/>
    <w:qFormat/>
    <w:uiPriority w:val="0"/>
    <w:rPr>
      <w:color w:val="FF80E1"/>
    </w:rPr>
  </w:style>
  <w:style w:type="character" w:customStyle="1" w:styleId="115">
    <w:name w:val="cm-number6"/>
    <w:basedOn w:val="30"/>
    <w:qFormat/>
    <w:uiPriority w:val="0"/>
    <w:rPr>
      <w:color w:val="50FA7B"/>
    </w:rPr>
  </w:style>
  <w:style w:type="character" w:customStyle="1" w:styleId="116">
    <w:name w:val="cm-number7"/>
    <w:basedOn w:val="30"/>
    <w:qFormat/>
    <w:uiPriority w:val="0"/>
    <w:rPr>
      <w:color w:val="2D2006"/>
    </w:rPr>
  </w:style>
  <w:style w:type="character" w:customStyle="1" w:styleId="117">
    <w:name w:val="cm-number8"/>
    <w:basedOn w:val="30"/>
    <w:qFormat/>
    <w:uiPriority w:val="0"/>
    <w:rPr>
      <w:color w:val="116644"/>
    </w:rPr>
  </w:style>
  <w:style w:type="character" w:customStyle="1" w:styleId="118">
    <w:name w:val="cm-atom"/>
    <w:basedOn w:val="30"/>
    <w:qFormat/>
    <w:uiPriority w:val="0"/>
    <w:rPr>
      <w:color w:val="F4C20B"/>
    </w:rPr>
  </w:style>
  <w:style w:type="character" w:customStyle="1" w:styleId="119">
    <w:name w:val="cm-atom1"/>
    <w:basedOn w:val="30"/>
    <w:qFormat/>
    <w:uiPriority w:val="0"/>
    <w:rPr>
      <w:b/>
      <w:bCs/>
      <w:color w:val="000080"/>
    </w:rPr>
  </w:style>
  <w:style w:type="character" w:customStyle="1" w:styleId="120">
    <w:name w:val="cm-atom2"/>
    <w:basedOn w:val="30"/>
    <w:qFormat/>
    <w:uiPriority w:val="0"/>
    <w:rPr>
      <w:color w:val="AA759F"/>
    </w:rPr>
  </w:style>
  <w:style w:type="character" w:customStyle="1" w:styleId="121">
    <w:name w:val="cm-atom3"/>
    <w:basedOn w:val="30"/>
    <w:qFormat/>
    <w:uiPriority w:val="0"/>
    <w:rPr>
      <w:color w:val="AE81FF"/>
    </w:rPr>
  </w:style>
  <w:style w:type="character" w:customStyle="1" w:styleId="122">
    <w:name w:val="cm-atom4"/>
    <w:basedOn w:val="30"/>
    <w:qFormat/>
    <w:uiPriority w:val="0"/>
    <w:rPr>
      <w:color w:val="221199"/>
    </w:rPr>
  </w:style>
  <w:style w:type="character" w:customStyle="1" w:styleId="123">
    <w:name w:val="cm-atom5"/>
    <w:basedOn w:val="30"/>
    <w:qFormat/>
    <w:uiPriority w:val="0"/>
    <w:rPr>
      <w:color w:val="845DC4"/>
    </w:rPr>
  </w:style>
  <w:style w:type="character" w:customStyle="1" w:styleId="124">
    <w:name w:val="cm-atom6"/>
    <w:basedOn w:val="30"/>
    <w:qFormat/>
    <w:uiPriority w:val="0"/>
    <w:rPr>
      <w:color w:val="BD93F9"/>
    </w:rPr>
  </w:style>
  <w:style w:type="character" w:customStyle="1" w:styleId="125">
    <w:name w:val="cm-atom7"/>
    <w:basedOn w:val="30"/>
    <w:qFormat/>
    <w:uiPriority w:val="0"/>
    <w:rPr>
      <w:color w:val="063289"/>
    </w:rPr>
  </w:style>
  <w:style w:type="character" w:customStyle="1" w:styleId="126">
    <w:name w:val="cm-atom8"/>
    <w:basedOn w:val="30"/>
    <w:qFormat/>
    <w:uiPriority w:val="0"/>
    <w:rPr>
      <w:color w:val="6C8CD5"/>
    </w:rPr>
  </w:style>
  <w:style w:type="character" w:customStyle="1" w:styleId="127">
    <w:name w:val="cm-comment5"/>
    <w:basedOn w:val="30"/>
    <w:qFormat/>
    <w:uiPriority w:val="0"/>
    <w:rPr>
      <w:i/>
      <w:iCs/>
      <w:color w:val="999999"/>
    </w:rPr>
  </w:style>
  <w:style w:type="character" w:customStyle="1" w:styleId="128">
    <w:name w:val="cm-comment6"/>
    <w:basedOn w:val="30"/>
    <w:qFormat/>
    <w:uiPriority w:val="0"/>
    <w:rPr>
      <w:color w:val="808080"/>
    </w:rPr>
  </w:style>
  <w:style w:type="character" w:customStyle="1" w:styleId="129">
    <w:name w:val="cm-comment7"/>
    <w:basedOn w:val="30"/>
    <w:qFormat/>
    <w:uiPriority w:val="0"/>
    <w:rPr>
      <w:color w:val="8F5536"/>
    </w:rPr>
  </w:style>
  <w:style w:type="character" w:customStyle="1" w:styleId="130">
    <w:name w:val="cm-comment8"/>
    <w:basedOn w:val="30"/>
    <w:qFormat/>
    <w:uiPriority w:val="0"/>
    <w:rPr>
      <w:color w:val="75715E"/>
    </w:rPr>
  </w:style>
  <w:style w:type="character" w:customStyle="1" w:styleId="131">
    <w:name w:val="cm-comment9"/>
    <w:basedOn w:val="30"/>
    <w:qFormat/>
    <w:uiPriority w:val="0"/>
    <w:rPr>
      <w:color w:val="3F7F5F"/>
    </w:rPr>
  </w:style>
  <w:style w:type="character" w:customStyle="1" w:styleId="132">
    <w:name w:val="cm-comment10"/>
    <w:basedOn w:val="30"/>
    <w:qFormat/>
    <w:uiPriority w:val="0"/>
    <w:rPr>
      <w:color w:val="0088FF"/>
    </w:rPr>
  </w:style>
  <w:style w:type="character" w:customStyle="1" w:styleId="133">
    <w:name w:val="cm-comment11"/>
    <w:basedOn w:val="30"/>
    <w:qFormat/>
    <w:uiPriority w:val="0"/>
    <w:rPr>
      <w:color w:val="6272A4"/>
    </w:rPr>
  </w:style>
  <w:style w:type="character" w:customStyle="1" w:styleId="134">
    <w:name w:val="cm-comment12"/>
    <w:basedOn w:val="30"/>
    <w:qFormat/>
    <w:uiPriority w:val="0"/>
    <w:rPr>
      <w:color w:val="B6AD9A"/>
    </w:rPr>
  </w:style>
  <w:style w:type="character" w:customStyle="1" w:styleId="135">
    <w:name w:val="cm-comment13"/>
    <w:basedOn w:val="30"/>
    <w:qFormat/>
    <w:uiPriority w:val="0"/>
    <w:rPr>
      <w:i/>
      <w:iCs/>
      <w:color w:val="0080FF"/>
    </w:rPr>
  </w:style>
  <w:style w:type="character" w:customStyle="1" w:styleId="136">
    <w:name w:val="cm-type"/>
    <w:basedOn w:val="30"/>
    <w:qFormat/>
    <w:uiPriority w:val="0"/>
    <w:rPr>
      <w:color w:val="FFFFFF"/>
    </w:rPr>
  </w:style>
  <w:style w:type="character" w:customStyle="1" w:styleId="137">
    <w:name w:val="cm-type1"/>
    <w:basedOn w:val="30"/>
    <w:qFormat/>
    <w:uiPriority w:val="0"/>
    <w:rPr>
      <w:color w:val="000000"/>
    </w:rPr>
  </w:style>
  <w:style w:type="character" w:customStyle="1" w:styleId="138">
    <w:name w:val="cm-type2"/>
    <w:basedOn w:val="30"/>
    <w:qFormat/>
    <w:uiPriority w:val="0"/>
    <w:rPr>
      <w:color w:val="66D9EF"/>
    </w:rPr>
  </w:style>
  <w:style w:type="character" w:customStyle="1" w:styleId="139">
    <w:name w:val="cm-type3"/>
    <w:basedOn w:val="30"/>
    <w:qFormat/>
    <w:uiPriority w:val="0"/>
    <w:rPr>
      <w:color w:val="0000C0"/>
    </w:rPr>
  </w:style>
  <w:style w:type="character" w:customStyle="1" w:styleId="140">
    <w:name w:val="cm-type4"/>
    <w:basedOn w:val="30"/>
    <w:qFormat/>
    <w:uiPriority w:val="0"/>
    <w:rPr>
      <w:color w:val="FFB86C"/>
    </w:rPr>
  </w:style>
  <w:style w:type="character" w:customStyle="1" w:styleId="141">
    <w:name w:val="cm-type5"/>
    <w:basedOn w:val="30"/>
    <w:qFormat/>
    <w:uiPriority w:val="0"/>
    <w:rPr>
      <w:color w:val="896724"/>
    </w:rPr>
  </w:style>
  <w:style w:type="character" w:customStyle="1" w:styleId="142">
    <w:name w:val="cm-type6"/>
    <w:basedOn w:val="30"/>
    <w:qFormat/>
    <w:uiPriority w:val="0"/>
    <w:rPr>
      <w:color w:val="0077AA"/>
    </w:rPr>
  </w:style>
  <w:style w:type="character" w:customStyle="1" w:styleId="143">
    <w:name w:val="cm-type7"/>
    <w:basedOn w:val="30"/>
    <w:qFormat/>
    <w:uiPriority w:val="0"/>
    <w:rPr>
      <w:color w:val="000000"/>
    </w:rPr>
  </w:style>
  <w:style w:type="character" w:customStyle="1" w:styleId="144">
    <w:name w:val="cm-keyword"/>
    <w:basedOn w:val="30"/>
    <w:qFormat/>
    <w:uiPriority w:val="0"/>
    <w:rPr>
      <w:color w:val="FF00FF"/>
    </w:rPr>
  </w:style>
  <w:style w:type="character" w:customStyle="1" w:styleId="145">
    <w:name w:val="cm-keyword1"/>
    <w:basedOn w:val="30"/>
    <w:qFormat/>
    <w:uiPriority w:val="0"/>
    <w:rPr>
      <w:b/>
      <w:bCs/>
      <w:color w:val="000080"/>
    </w:rPr>
  </w:style>
  <w:style w:type="character" w:customStyle="1" w:styleId="146">
    <w:name w:val="cm-keyword2"/>
    <w:basedOn w:val="30"/>
    <w:qFormat/>
    <w:uiPriority w:val="0"/>
    <w:rPr>
      <w:color w:val="AC4142"/>
    </w:rPr>
  </w:style>
  <w:style w:type="character" w:customStyle="1" w:styleId="147">
    <w:name w:val="cm-keyword3"/>
    <w:basedOn w:val="30"/>
    <w:qFormat/>
    <w:uiPriority w:val="0"/>
    <w:rPr>
      <w:color w:val="F92672"/>
    </w:rPr>
  </w:style>
  <w:style w:type="character" w:customStyle="1" w:styleId="148">
    <w:name w:val="cm-keyword4"/>
    <w:basedOn w:val="30"/>
    <w:qFormat/>
    <w:uiPriority w:val="0"/>
    <w:rPr>
      <w:b/>
      <w:bCs/>
      <w:color w:val="7F0055"/>
    </w:rPr>
  </w:style>
  <w:style w:type="character" w:customStyle="1" w:styleId="149">
    <w:name w:val="cm-keyword5"/>
    <w:basedOn w:val="30"/>
    <w:qFormat/>
    <w:uiPriority w:val="0"/>
    <w:rPr>
      <w:color w:val="FFEE80"/>
    </w:rPr>
  </w:style>
  <w:style w:type="character" w:customStyle="1" w:styleId="150">
    <w:name w:val="cm-keyword6"/>
    <w:basedOn w:val="30"/>
    <w:qFormat/>
    <w:uiPriority w:val="0"/>
    <w:rPr>
      <w:color w:val="FF79C6"/>
    </w:rPr>
  </w:style>
  <w:style w:type="character" w:customStyle="1" w:styleId="151">
    <w:name w:val="cm-keyword7"/>
    <w:basedOn w:val="30"/>
    <w:qFormat/>
    <w:uiPriority w:val="0"/>
    <w:rPr>
      <w:color w:val="063289"/>
    </w:rPr>
  </w:style>
  <w:style w:type="character" w:customStyle="1" w:styleId="152">
    <w:name w:val="cm-keyword8"/>
    <w:basedOn w:val="30"/>
    <w:qFormat/>
    <w:uiPriority w:val="0"/>
    <w:rPr>
      <w:b/>
      <w:bCs/>
      <w:color w:val="5A5CAD"/>
    </w:rPr>
  </w:style>
  <w:style w:type="character" w:customStyle="1" w:styleId="153">
    <w:name w:val="cm-string"/>
    <w:basedOn w:val="30"/>
    <w:qFormat/>
    <w:uiPriority w:val="0"/>
    <w:rPr>
      <w:color w:val="F08047"/>
    </w:rPr>
  </w:style>
  <w:style w:type="character" w:customStyle="1" w:styleId="154">
    <w:name w:val="cm-string1"/>
    <w:basedOn w:val="30"/>
    <w:qFormat/>
    <w:uiPriority w:val="0"/>
    <w:rPr>
      <w:color w:val="008000"/>
    </w:rPr>
  </w:style>
  <w:style w:type="character" w:customStyle="1" w:styleId="155">
    <w:name w:val="cm-string2"/>
    <w:basedOn w:val="30"/>
    <w:qFormat/>
    <w:uiPriority w:val="0"/>
    <w:rPr>
      <w:color w:val="F4BF75"/>
    </w:rPr>
  </w:style>
  <w:style w:type="character" w:customStyle="1" w:styleId="156">
    <w:name w:val="cm-string3"/>
    <w:basedOn w:val="30"/>
    <w:qFormat/>
    <w:uiPriority w:val="0"/>
    <w:rPr>
      <w:color w:val="E6DB74"/>
    </w:rPr>
  </w:style>
  <w:style w:type="character" w:customStyle="1" w:styleId="157">
    <w:name w:val="cm-string4"/>
    <w:basedOn w:val="30"/>
    <w:qFormat/>
    <w:uiPriority w:val="0"/>
    <w:rPr>
      <w:color w:val="2A00FF"/>
    </w:rPr>
  </w:style>
  <w:style w:type="character" w:customStyle="1" w:styleId="158">
    <w:name w:val="cm-string5"/>
    <w:basedOn w:val="30"/>
    <w:qFormat/>
    <w:uiPriority w:val="0"/>
    <w:rPr>
      <w:color w:val="3AD900"/>
    </w:rPr>
  </w:style>
  <w:style w:type="character" w:customStyle="1" w:styleId="159">
    <w:name w:val="cm-string6"/>
    <w:basedOn w:val="30"/>
    <w:qFormat/>
    <w:uiPriority w:val="0"/>
    <w:rPr>
      <w:color w:val="F08047"/>
    </w:rPr>
  </w:style>
  <w:style w:type="character" w:customStyle="1" w:styleId="160">
    <w:name w:val="cm-string7"/>
    <w:basedOn w:val="30"/>
    <w:qFormat/>
    <w:uiPriority w:val="0"/>
    <w:rPr>
      <w:color w:val="F1FA8C"/>
    </w:rPr>
  </w:style>
  <w:style w:type="character" w:customStyle="1" w:styleId="161">
    <w:name w:val="cm-string8"/>
    <w:basedOn w:val="30"/>
    <w:qFormat/>
    <w:uiPriority w:val="0"/>
    <w:rPr>
      <w:color w:val="1659DF"/>
    </w:rPr>
  </w:style>
  <w:style w:type="character" w:customStyle="1" w:styleId="162">
    <w:name w:val="cm-string9"/>
    <w:basedOn w:val="30"/>
    <w:qFormat/>
    <w:uiPriority w:val="0"/>
    <w:rPr>
      <w:color w:val="FF0000"/>
    </w:rPr>
  </w:style>
  <w:style w:type="character" w:customStyle="1" w:styleId="163">
    <w:name w:val="cm-meta"/>
    <w:basedOn w:val="30"/>
    <w:qFormat/>
    <w:uiPriority w:val="0"/>
    <w:rPr>
      <w:color w:val="FF00FF"/>
    </w:rPr>
  </w:style>
  <w:style w:type="character" w:customStyle="1" w:styleId="164">
    <w:name w:val="cm-meta1"/>
    <w:basedOn w:val="30"/>
    <w:qFormat/>
    <w:uiPriority w:val="0"/>
    <w:rPr>
      <w:color w:val="808000"/>
    </w:rPr>
  </w:style>
  <w:style w:type="character" w:customStyle="1" w:styleId="165">
    <w:name w:val="cm-meta2"/>
    <w:basedOn w:val="30"/>
    <w:qFormat/>
    <w:uiPriority w:val="0"/>
    <w:rPr>
      <w:color w:val="FF1717"/>
    </w:rPr>
  </w:style>
  <w:style w:type="character" w:customStyle="1" w:styleId="166">
    <w:name w:val="cm-meta3"/>
    <w:basedOn w:val="30"/>
    <w:qFormat/>
    <w:uiPriority w:val="0"/>
    <w:rPr>
      <w:color w:val="FF9D00"/>
    </w:rPr>
  </w:style>
  <w:style w:type="character" w:customStyle="1" w:styleId="167">
    <w:name w:val="cm-meta4"/>
    <w:basedOn w:val="30"/>
    <w:qFormat/>
    <w:uiPriority w:val="0"/>
    <w:rPr>
      <w:color w:val="F8F8F2"/>
    </w:rPr>
  </w:style>
  <w:style w:type="character" w:customStyle="1" w:styleId="168">
    <w:name w:val="cm-meta5"/>
    <w:basedOn w:val="30"/>
    <w:qFormat/>
    <w:uiPriority w:val="0"/>
    <w:rPr>
      <w:color w:val="FFFF00"/>
    </w:rPr>
  </w:style>
  <w:style w:type="character" w:customStyle="1" w:styleId="169">
    <w:name w:val="cm-def8"/>
    <w:basedOn w:val="30"/>
    <w:qFormat/>
    <w:uiPriority w:val="0"/>
    <w:rPr>
      <w:color w:val="FFFFFF"/>
    </w:rPr>
  </w:style>
  <w:style w:type="character" w:customStyle="1" w:styleId="170">
    <w:name w:val="cm-def9"/>
    <w:basedOn w:val="30"/>
    <w:qFormat/>
    <w:uiPriority w:val="0"/>
    <w:rPr>
      <w:color w:val="000000"/>
    </w:rPr>
  </w:style>
  <w:style w:type="character" w:customStyle="1" w:styleId="171">
    <w:name w:val="cm-def10"/>
    <w:basedOn w:val="30"/>
    <w:qFormat/>
    <w:uiPriority w:val="0"/>
    <w:rPr>
      <w:color w:val="D28445"/>
    </w:rPr>
  </w:style>
  <w:style w:type="character" w:customStyle="1" w:styleId="172">
    <w:name w:val="cm-def11"/>
    <w:basedOn w:val="30"/>
    <w:qFormat/>
    <w:uiPriority w:val="0"/>
    <w:rPr>
      <w:color w:val="FD971F"/>
    </w:rPr>
  </w:style>
  <w:style w:type="character" w:customStyle="1" w:styleId="173">
    <w:name w:val="cm-def12"/>
    <w:basedOn w:val="30"/>
    <w:qFormat/>
    <w:uiPriority w:val="0"/>
    <w:rPr>
      <w:color w:val="0000FF"/>
    </w:rPr>
  </w:style>
  <w:style w:type="character" w:customStyle="1" w:styleId="174">
    <w:name w:val="cm-def13"/>
    <w:basedOn w:val="30"/>
    <w:qFormat/>
    <w:uiPriority w:val="0"/>
    <w:rPr>
      <w:color w:val="FFFFFF"/>
    </w:rPr>
  </w:style>
  <w:style w:type="character" w:customStyle="1" w:styleId="175">
    <w:name w:val="cm-def14"/>
    <w:basedOn w:val="30"/>
    <w:qFormat/>
    <w:uiPriority w:val="0"/>
    <w:rPr>
      <w:color w:val="50FA7B"/>
    </w:rPr>
  </w:style>
  <w:style w:type="character" w:customStyle="1" w:styleId="176">
    <w:name w:val="cm-def15"/>
    <w:basedOn w:val="30"/>
    <w:qFormat/>
    <w:uiPriority w:val="0"/>
    <w:rPr>
      <w:color w:val="2D2006"/>
    </w:rPr>
  </w:style>
  <w:style w:type="character" w:customStyle="1" w:styleId="177">
    <w:name w:val="cm-def16"/>
    <w:basedOn w:val="30"/>
    <w:qFormat/>
    <w:uiPriority w:val="0"/>
    <w:rPr>
      <w:i/>
      <w:iCs/>
      <w:color w:val="0077AA"/>
    </w:rPr>
  </w:style>
  <w:style w:type="character" w:customStyle="1" w:styleId="178">
    <w:name w:val="cm-def17"/>
    <w:basedOn w:val="30"/>
    <w:qFormat/>
    <w:uiPriority w:val="0"/>
    <w:rPr>
      <w:u w:val="single"/>
    </w:rPr>
  </w:style>
  <w:style w:type="character" w:customStyle="1" w:styleId="179">
    <w:name w:val="cm-string-2"/>
    <w:basedOn w:val="30"/>
    <w:qFormat/>
    <w:uiPriority w:val="0"/>
    <w:rPr>
      <w:color w:val="008000"/>
    </w:rPr>
  </w:style>
  <w:style w:type="character" w:customStyle="1" w:styleId="180">
    <w:name w:val="cm-string-21"/>
    <w:basedOn w:val="30"/>
    <w:qFormat/>
    <w:uiPriority w:val="0"/>
    <w:rPr>
      <w:color w:val="F1FA8C"/>
    </w:rPr>
  </w:style>
  <w:style w:type="character" w:customStyle="1" w:styleId="181">
    <w:name w:val="codemirror-matchingbracket"/>
    <w:basedOn w:val="30"/>
    <w:qFormat/>
    <w:uiPriority w:val="0"/>
    <w:rPr>
      <w:color w:val="FF00FF"/>
    </w:rPr>
  </w:style>
  <w:style w:type="character" w:customStyle="1" w:styleId="182">
    <w:name w:val="codemirror-matchingbracket1"/>
    <w:basedOn w:val="30"/>
    <w:qFormat/>
    <w:uiPriority w:val="0"/>
  </w:style>
  <w:style w:type="character" w:customStyle="1" w:styleId="183">
    <w:name w:val="codemirror-matchingbracket2"/>
    <w:basedOn w:val="30"/>
    <w:qFormat/>
    <w:uiPriority w:val="0"/>
    <w:rPr>
      <w:color w:val="00BB00"/>
    </w:rPr>
  </w:style>
  <w:style w:type="character" w:customStyle="1" w:styleId="184">
    <w:name w:val="cm-error"/>
    <w:basedOn w:val="30"/>
    <w:qFormat/>
    <w:uiPriority w:val="0"/>
    <w:rPr>
      <w:color w:val="AF2018"/>
    </w:rPr>
  </w:style>
  <w:style w:type="character" w:customStyle="1" w:styleId="185">
    <w:name w:val="cm-error1"/>
    <w:basedOn w:val="30"/>
    <w:qFormat/>
    <w:uiPriority w:val="0"/>
    <w:rPr>
      <w:color w:val="000000"/>
    </w:rPr>
  </w:style>
  <w:style w:type="character" w:customStyle="1" w:styleId="186">
    <w:name w:val="cm-error2"/>
    <w:basedOn w:val="30"/>
    <w:qFormat/>
    <w:uiPriority w:val="0"/>
    <w:rPr>
      <w:color w:val="505050"/>
      <w:shd w:val="clear" w:fill="AC4142"/>
    </w:rPr>
  </w:style>
  <w:style w:type="character" w:customStyle="1" w:styleId="187">
    <w:name w:val="cm-error3"/>
    <w:basedOn w:val="30"/>
    <w:qFormat/>
    <w:uiPriority w:val="0"/>
    <w:rPr>
      <w:color w:val="FFFFFF"/>
      <w:u w:val="single"/>
      <w:shd w:val="clear" w:fill="F92672"/>
    </w:rPr>
  </w:style>
  <w:style w:type="character" w:customStyle="1" w:styleId="188">
    <w:name w:val="cm-error4"/>
    <w:basedOn w:val="30"/>
    <w:qFormat/>
    <w:uiPriority w:val="0"/>
    <w:rPr>
      <w:color w:val="000000"/>
    </w:rPr>
  </w:style>
  <w:style w:type="character" w:customStyle="1" w:styleId="189">
    <w:name w:val="cm-error5"/>
    <w:basedOn w:val="30"/>
    <w:qFormat/>
    <w:uiPriority w:val="0"/>
    <w:rPr>
      <w:color w:val="9D1E15"/>
    </w:rPr>
  </w:style>
  <w:style w:type="character" w:customStyle="1" w:styleId="190">
    <w:name w:val="cm-error6"/>
    <w:basedOn w:val="30"/>
    <w:qFormat/>
    <w:uiPriority w:val="0"/>
    <w:rPr>
      <w:color w:val="FAF8F5"/>
      <w:u w:val="single"/>
    </w:rPr>
  </w:style>
  <w:style w:type="character" w:customStyle="1" w:styleId="191">
    <w:name w:val="cm-error7"/>
    <w:basedOn w:val="30"/>
    <w:qFormat/>
    <w:uiPriority w:val="0"/>
    <w:rPr>
      <w:color w:val="000000"/>
      <w:shd w:val="clear" w:fill="FFFF00"/>
    </w:rPr>
  </w:style>
  <w:style w:type="character" w:customStyle="1" w:styleId="192">
    <w:name w:val="cm-invalidchar2"/>
    <w:basedOn w:val="30"/>
    <w:qFormat/>
    <w:uiPriority w:val="0"/>
    <w:rPr>
      <w:color w:val="FF0000"/>
    </w:rPr>
  </w:style>
  <w:style w:type="character" w:customStyle="1" w:styleId="193">
    <w:name w:val="cm-property4"/>
    <w:basedOn w:val="30"/>
    <w:qFormat/>
    <w:uiPriority w:val="0"/>
    <w:rPr>
      <w:color w:val="000000"/>
    </w:rPr>
  </w:style>
  <w:style w:type="character" w:customStyle="1" w:styleId="194">
    <w:name w:val="cm-property5"/>
    <w:basedOn w:val="30"/>
    <w:qFormat/>
    <w:uiPriority w:val="0"/>
    <w:rPr>
      <w:color w:val="90A959"/>
    </w:rPr>
  </w:style>
  <w:style w:type="character" w:customStyle="1" w:styleId="195">
    <w:name w:val="cm-property6"/>
    <w:basedOn w:val="30"/>
    <w:qFormat/>
    <w:uiPriority w:val="0"/>
    <w:rPr>
      <w:color w:val="A6E22E"/>
    </w:rPr>
  </w:style>
  <w:style w:type="character" w:customStyle="1" w:styleId="196">
    <w:name w:val="cm-property7"/>
    <w:basedOn w:val="30"/>
    <w:qFormat/>
    <w:uiPriority w:val="0"/>
    <w:rPr>
      <w:color w:val="000000"/>
    </w:rPr>
  </w:style>
  <w:style w:type="character" w:customStyle="1" w:styleId="197">
    <w:name w:val="cm-property8"/>
    <w:basedOn w:val="30"/>
    <w:qFormat/>
    <w:uiPriority w:val="0"/>
    <w:rPr>
      <w:color w:val="66D9EF"/>
    </w:rPr>
  </w:style>
  <w:style w:type="character" w:customStyle="1" w:styleId="198">
    <w:name w:val="cm-property9"/>
    <w:basedOn w:val="30"/>
    <w:qFormat/>
    <w:uiPriority w:val="0"/>
    <w:rPr>
      <w:color w:val="B29762"/>
    </w:rPr>
  </w:style>
  <w:style w:type="character" w:customStyle="1" w:styleId="199">
    <w:name w:val="codemirror-nonmatchingbracket"/>
    <w:basedOn w:val="30"/>
    <w:qFormat/>
    <w:uiPriority w:val="0"/>
    <w:rPr>
      <w:color w:val="AA2222"/>
    </w:rPr>
  </w:style>
  <w:style w:type="character" w:customStyle="1" w:styleId="200">
    <w:name w:val="codemirror-selectedtext"/>
    <w:basedOn w:val="30"/>
    <w:qFormat/>
    <w:uiPriority w:val="0"/>
  </w:style>
  <w:style w:type="character" w:customStyle="1" w:styleId="201">
    <w:name w:val="cm-positive2"/>
    <w:basedOn w:val="30"/>
    <w:qFormat/>
    <w:uiPriority w:val="0"/>
    <w:rPr>
      <w:color w:val="896724"/>
    </w:rPr>
  </w:style>
  <w:style w:type="character" w:customStyle="1" w:styleId="202">
    <w:name w:val="cm-quote2"/>
    <w:basedOn w:val="30"/>
    <w:qFormat/>
    <w:uiPriority w:val="0"/>
    <w:rPr>
      <w:color w:val="063289"/>
    </w:rPr>
  </w:style>
  <w:style w:type="character" w:customStyle="1" w:styleId="203">
    <w:name w:val="cm-punctuation"/>
    <w:basedOn w:val="30"/>
    <w:qFormat/>
    <w:uiPriority w:val="0"/>
    <w:rPr>
      <w:color w:val="063289"/>
    </w:rPr>
  </w:style>
  <w:style w:type="character" w:customStyle="1" w:styleId="204">
    <w:name w:val="cm-url"/>
    <w:basedOn w:val="30"/>
    <w:qFormat/>
    <w:uiPriority w:val="0"/>
    <w:rPr>
      <w:color w:val="896724"/>
    </w:rPr>
  </w:style>
  <w:style w:type="character" w:customStyle="1" w:styleId="205">
    <w:name w:val="cm-negative2"/>
    <w:basedOn w:val="30"/>
    <w:qFormat/>
    <w:uiPriority w:val="0"/>
    <w:rPr>
      <w:color w:val="063289"/>
    </w:rPr>
  </w:style>
  <w:style w:type="character" w:customStyle="1" w:styleId="206">
    <w:name w:val="cm-hr3"/>
    <w:basedOn w:val="30"/>
    <w:qFormat/>
    <w:uiPriority w:val="0"/>
    <w:rPr>
      <w:color w:val="06328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4859</Words>
  <Characters>5271</Characters>
  <Lines>284</Lines>
  <Paragraphs>80</Paragraphs>
  <TotalTime>7</TotalTime>
  <ScaleCrop>false</ScaleCrop>
  <LinksUpToDate>false</LinksUpToDate>
  <CharactersWithSpaces>5387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2024-08-05T12:21:00Z</dcterms:created>
  <dc:creator>Administrator</dc:creator>
  <cp:lastModifiedBy>安颜</cp:lastModifiedBy>
  <cp:lastPrinted>2018-07-09T02:58:00Z</cp:lastPrinted>
  <dcterms:modified xsi:type="dcterms:W3CDTF">2025-06-30T04:07:18Z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F27E5A362A86481EA414D86D378D922D_13</vt:lpwstr>
  </property>
  <property fmtid="{D5CDD505-2E9C-101B-9397-08002B2CF9AE}" pid="4" name="KSOTemplateDocerSaveRecord">
    <vt:lpwstr>eyJoZGlkIjoiMWIxM2MyYTM4NjQxMmZlNDM5Mzc3ZGE5ZmRjMmIzMzUiLCJ1c2VySWQiOiI2NDA3MTUyMzMifQ==</vt:lpwstr>
  </property>
</Properties>
</file>