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175E">
      <w:pPr>
        <w:jc w:val="left"/>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SXZCZB2025-ZCJT-0727</w:t>
      </w:r>
    </w:p>
    <w:p w14:paraId="2DC807B6">
      <w:pPr>
        <w:jc w:val="center"/>
        <w:rPr>
          <w:rFonts w:ascii="宋体" w:hAnsi="宋体" w:cs="宋体"/>
          <w:b/>
          <w:sz w:val="36"/>
          <w:highlight w:val="none"/>
        </w:rPr>
      </w:pPr>
    </w:p>
    <w:p w14:paraId="23E1211A">
      <w:pPr>
        <w:jc w:val="both"/>
        <w:rPr>
          <w:rFonts w:hint="eastAsia" w:ascii="宋体" w:hAnsi="宋体" w:eastAsia="宋体" w:cs="宋体"/>
          <w:b/>
          <w:sz w:val="56"/>
          <w:szCs w:val="56"/>
          <w:highlight w:val="none"/>
          <w:lang w:eastAsia="zh-CN"/>
        </w:rPr>
      </w:pPr>
    </w:p>
    <w:p w14:paraId="29E77695">
      <w:pPr>
        <w:jc w:val="center"/>
        <w:rPr>
          <w:rFonts w:hint="eastAsia" w:ascii="微软雅黑" w:hAnsi="微软雅黑" w:eastAsia="微软雅黑" w:cs="微软雅黑"/>
          <w:b/>
          <w:bCs/>
          <w:i w:val="0"/>
          <w:iCs w:val="0"/>
          <w:caps w:val="0"/>
          <w:color w:val="333333"/>
          <w:spacing w:val="0"/>
          <w:sz w:val="56"/>
          <w:szCs w:val="56"/>
          <w:shd w:val="clear" w:fill="FFFFFF"/>
          <w:lang w:eastAsia="zh-CN"/>
        </w:rPr>
      </w:pPr>
      <w:r>
        <w:rPr>
          <w:rFonts w:hint="eastAsia" w:ascii="宋体" w:hAnsi="宋体" w:cs="宋体"/>
          <w:b/>
          <w:bCs/>
          <w:i w:val="0"/>
          <w:iCs w:val="0"/>
          <w:caps w:val="0"/>
          <w:color w:val="333333"/>
          <w:spacing w:val="0"/>
          <w:sz w:val="56"/>
          <w:szCs w:val="56"/>
          <w:shd w:val="clear" w:fill="FFFFFF"/>
          <w:lang w:eastAsia="zh-CN"/>
        </w:rPr>
        <w:t>山阳中学信息系统安全等级保护定级项目</w:t>
      </w:r>
    </w:p>
    <w:p w14:paraId="7B7EBB1B">
      <w:pPr>
        <w:jc w:val="center"/>
        <w:rPr>
          <w:rFonts w:ascii="宋体" w:hAnsi="宋体" w:cs="宋体"/>
          <w:b/>
          <w:sz w:val="36"/>
          <w:szCs w:val="36"/>
          <w:highlight w:val="none"/>
        </w:rPr>
      </w:pPr>
    </w:p>
    <w:p w14:paraId="6CCD307C">
      <w:pPr>
        <w:jc w:val="center"/>
        <w:rPr>
          <w:rFonts w:ascii="宋体" w:hAnsi="宋体" w:cs="宋体"/>
          <w:b/>
          <w:sz w:val="36"/>
          <w:szCs w:val="36"/>
          <w:highlight w:val="none"/>
        </w:rPr>
      </w:pPr>
    </w:p>
    <w:p w14:paraId="5686769D">
      <w:pPr>
        <w:jc w:val="center"/>
        <w:rPr>
          <w:rFonts w:ascii="宋体" w:hAnsi="宋体" w:cs="宋体"/>
          <w:b/>
          <w:sz w:val="36"/>
          <w:szCs w:val="36"/>
          <w:highlight w:val="none"/>
        </w:rPr>
      </w:pPr>
    </w:p>
    <w:p w14:paraId="5AD67736">
      <w:pPr>
        <w:jc w:val="center"/>
        <w:rPr>
          <w:rFonts w:ascii="宋体" w:hAnsi="宋体" w:cs="宋体"/>
          <w:b/>
          <w:sz w:val="36"/>
          <w:szCs w:val="36"/>
          <w:highlight w:val="none"/>
        </w:rPr>
      </w:pPr>
    </w:p>
    <w:p w14:paraId="27B0C7F2">
      <w:pPr>
        <w:jc w:val="center"/>
        <w:rPr>
          <w:rFonts w:ascii="宋体" w:hAnsi="宋体" w:cs="宋体"/>
          <w:b/>
          <w:sz w:val="36"/>
          <w:szCs w:val="36"/>
          <w:highlight w:val="none"/>
        </w:rPr>
      </w:pPr>
    </w:p>
    <w:p w14:paraId="61EA4751">
      <w:pPr>
        <w:spacing w:line="780" w:lineRule="auto"/>
        <w:jc w:val="center"/>
        <w:rPr>
          <w:rFonts w:ascii="宋体" w:hAnsi="宋体" w:cs="宋体"/>
          <w:b/>
          <w:sz w:val="72"/>
          <w:szCs w:val="72"/>
          <w:highlight w:val="none"/>
        </w:rPr>
      </w:pPr>
      <w:r>
        <w:rPr>
          <w:rFonts w:hint="eastAsia" w:ascii="宋体" w:hAnsi="宋体" w:cs="宋体"/>
          <w:b/>
          <w:sz w:val="72"/>
          <w:szCs w:val="72"/>
          <w:highlight w:val="none"/>
        </w:rPr>
        <w:t>竞争性谈判文件</w:t>
      </w:r>
    </w:p>
    <w:p w14:paraId="68B1C192">
      <w:pPr>
        <w:rPr>
          <w:rFonts w:ascii="宋体" w:hAnsi="宋体" w:cs="宋体"/>
          <w:highlight w:val="none"/>
        </w:rPr>
      </w:pPr>
      <w:bookmarkStart w:id="0" w:name="_Toc363463325"/>
    </w:p>
    <w:p w14:paraId="0A7743FE">
      <w:pPr>
        <w:rPr>
          <w:rFonts w:ascii="宋体" w:hAnsi="宋体" w:cs="宋体"/>
          <w:highlight w:val="none"/>
        </w:rPr>
      </w:pPr>
    </w:p>
    <w:bookmarkEnd w:id="0"/>
    <w:p w14:paraId="044F50B0">
      <w:pPr>
        <w:jc w:val="center"/>
        <w:rPr>
          <w:rFonts w:ascii="宋体" w:hAnsi="宋体" w:cs="宋体"/>
          <w:b/>
          <w:sz w:val="36"/>
          <w:szCs w:val="36"/>
          <w:highlight w:val="none"/>
        </w:rPr>
      </w:pPr>
    </w:p>
    <w:p w14:paraId="26716B82">
      <w:pPr>
        <w:rPr>
          <w:rFonts w:ascii="宋体" w:hAnsi="宋体" w:cs="宋体"/>
          <w:sz w:val="36"/>
          <w:szCs w:val="36"/>
          <w:highlight w:val="none"/>
        </w:rPr>
      </w:pPr>
    </w:p>
    <w:p w14:paraId="12B7F8B2">
      <w:pPr>
        <w:rPr>
          <w:rFonts w:ascii="宋体" w:hAnsi="宋体" w:cs="宋体"/>
          <w:sz w:val="18"/>
          <w:szCs w:val="18"/>
          <w:highlight w:val="none"/>
        </w:rPr>
      </w:pPr>
    </w:p>
    <w:p w14:paraId="5434AD91">
      <w:pPr>
        <w:rPr>
          <w:rFonts w:ascii="宋体" w:hAnsi="宋体" w:cs="宋体"/>
          <w:sz w:val="18"/>
          <w:szCs w:val="18"/>
          <w:highlight w:val="none"/>
        </w:rPr>
      </w:pPr>
    </w:p>
    <w:p w14:paraId="2CB812BC">
      <w:pPr>
        <w:ind w:firstLine="1285" w:firstLineChars="400"/>
        <w:rPr>
          <w:rFonts w:hint="eastAsia" w:hAnsi="宋体" w:eastAsia="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陕西省山阳中学</w:t>
      </w:r>
    </w:p>
    <w:p w14:paraId="54CF4649">
      <w:pPr>
        <w:ind w:firstLine="1285" w:firstLineChars="400"/>
        <w:rPr>
          <w:rFonts w:hAnsi="宋体" w:cs="宋体"/>
          <w:b/>
          <w:bCs/>
          <w:sz w:val="32"/>
          <w:szCs w:val="32"/>
          <w:highlight w:val="none"/>
        </w:rPr>
      </w:pPr>
      <w:r>
        <w:rPr>
          <w:rFonts w:hint="eastAsia" w:hAnsi="宋体" w:cs="宋体"/>
          <w:b/>
          <w:bCs/>
          <w:sz w:val="32"/>
          <w:szCs w:val="32"/>
          <w:highlight w:val="none"/>
        </w:rPr>
        <w:t>代理机构：陕西至诚项目管理集团有限公司</w:t>
      </w:r>
    </w:p>
    <w:p w14:paraId="3F2CF7AF">
      <w:pPr>
        <w:ind w:firstLine="1285" w:firstLineChars="400"/>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七</w:t>
      </w:r>
      <w:r>
        <w:rPr>
          <w:rFonts w:hint="eastAsia" w:hAnsi="宋体" w:cs="宋体"/>
          <w:b/>
          <w:bCs/>
          <w:sz w:val="32"/>
          <w:szCs w:val="32"/>
          <w:highlight w:val="none"/>
        </w:rPr>
        <w:t>月</w:t>
      </w:r>
    </w:p>
    <w:p w14:paraId="2F65A4A2">
      <w:pPr>
        <w:tabs>
          <w:tab w:val="left" w:pos="525"/>
        </w:tabs>
        <w:ind w:left="-2" w:leftChars="-1" w:firstLine="1"/>
        <w:jc w:val="center"/>
        <w:rPr>
          <w:rFonts w:ascii="宋体" w:hAnsi="宋体" w:cs="宋体"/>
          <w:b/>
          <w:sz w:val="44"/>
          <w:szCs w:val="44"/>
          <w:highlight w:val="none"/>
        </w:rPr>
      </w:pPr>
    </w:p>
    <w:p w14:paraId="71D67372">
      <w:pPr>
        <w:pStyle w:val="2"/>
        <w:rPr>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p>
    <w:p w14:paraId="6B804988">
      <w:pPr>
        <w:jc w:val="center"/>
        <w:rPr>
          <w:rFonts w:ascii="宋体" w:hAnsi="宋体" w:cs="宋体"/>
          <w:b/>
          <w:sz w:val="44"/>
          <w:szCs w:val="44"/>
          <w:highlight w:val="none"/>
        </w:rPr>
      </w:pPr>
      <w:r>
        <w:rPr>
          <w:rFonts w:hint="eastAsia" w:ascii="宋体" w:hAnsi="宋体" w:cs="宋体"/>
          <w:b/>
          <w:sz w:val="44"/>
          <w:szCs w:val="44"/>
          <w:highlight w:val="none"/>
        </w:rPr>
        <w:t>目   录</w:t>
      </w:r>
    </w:p>
    <w:p w14:paraId="47DE6EDD">
      <w:pPr>
        <w:pStyle w:val="17"/>
        <w:tabs>
          <w:tab w:val="right" w:leader="dot" w:pos="8788"/>
        </w:tabs>
        <w:spacing w:line="360" w:lineRule="auto"/>
        <w:rPr>
          <w:rFonts w:ascii="宋体" w:hAnsi="宋体" w:cs="宋体"/>
          <w:sz w:val="28"/>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"1-4"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"_Toc11517" </w:instrText>
      </w:r>
      <w:r>
        <w:rPr>
          <w:highlight w:val="none"/>
        </w:rPr>
        <w:fldChar w:fldCharType="separate"/>
      </w:r>
      <w:r>
        <w:rPr>
          <w:rFonts w:hint="eastAsia" w:ascii="宋体" w:hAnsi="宋体" w:cs="宋体"/>
          <w:sz w:val="28"/>
          <w:szCs w:val="32"/>
          <w:highlight w:val="none"/>
        </w:rPr>
        <w:t>第一章  竞争性谈判公告</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_Toc11517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542644">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"_Toc3578" </w:instrText>
      </w:r>
      <w:r>
        <w:rPr>
          <w:highlight w:val="none"/>
        </w:rPr>
        <w:fldChar w:fldCharType="separate"/>
      </w:r>
      <w:r>
        <w:rPr>
          <w:rFonts w:hint="eastAsia" w:ascii="宋体" w:hAnsi="宋体" w:cs="宋体"/>
          <w:sz w:val="28"/>
          <w:szCs w:val="44"/>
          <w:highlight w:val="none"/>
        </w:rPr>
        <w:t>第二章  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_Toc3578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5454048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"_Toc6133" </w:instrText>
      </w:r>
      <w:r>
        <w:rPr>
          <w:highlight w:val="none"/>
        </w:rPr>
        <w:fldChar w:fldCharType="separate"/>
      </w:r>
      <w:r>
        <w:rPr>
          <w:rFonts w:hint="eastAsia" w:ascii="宋体" w:hAnsi="宋体" w:cs="宋体"/>
          <w:sz w:val="28"/>
          <w:szCs w:val="40"/>
          <w:highlight w:val="none"/>
        </w:rPr>
        <w:t>供应商须知前附表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_Toc6133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47DA528">
      <w:pPr>
        <w:pStyle w:val="17"/>
        <w:tabs>
          <w:tab w:val="right" w:leader="dot" w:pos="8788"/>
        </w:tabs>
        <w:spacing w:line="360" w:lineRule="auto"/>
        <w:ind w:firstLine="630" w:firstLineChars="300"/>
        <w:rPr>
          <w:rFonts w:ascii="宋体" w:hAnsi="宋体" w:cs="宋体"/>
          <w:sz w:val="28"/>
          <w:szCs w:val="32"/>
          <w:highlight w:val="none"/>
        </w:rPr>
      </w:pPr>
      <w:r>
        <w:rPr>
          <w:highlight w:val="none"/>
        </w:rPr>
        <w:fldChar w:fldCharType="begin"/>
      </w:r>
      <w:r>
        <w:rPr>
          <w:highlight w:val="none"/>
        </w:rPr>
        <w:instrText xml:space="preserve"> HYPERLINK \l "_Toc5789" </w:instrText>
      </w:r>
      <w:r>
        <w:rPr>
          <w:highlight w:val="none"/>
        </w:rPr>
        <w:fldChar w:fldCharType="separate"/>
      </w:r>
      <w:r>
        <w:rPr>
          <w:rFonts w:hint="eastAsia" w:ascii="宋体" w:hAnsi="宋体" w:cs="宋体"/>
          <w:sz w:val="28"/>
          <w:szCs w:val="40"/>
          <w:highlight w:val="none"/>
        </w:rPr>
        <w:t>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_Toc5789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12</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76FBB0">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"_Toc6792" </w:instrText>
      </w:r>
      <w:r>
        <w:rPr>
          <w:highlight w:val="none"/>
        </w:rPr>
        <w:fldChar w:fldCharType="separate"/>
      </w:r>
      <w:r>
        <w:rPr>
          <w:rFonts w:hint="eastAsia" w:ascii="宋体" w:hAnsi="宋体" w:cs="宋体"/>
          <w:sz w:val="28"/>
          <w:szCs w:val="48"/>
          <w:highlight w:val="none"/>
        </w:rPr>
        <w:t>第三章  竞争性谈判内容及参数</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_Toc6792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23</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6995B75D">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"_Toc24301" </w:instrText>
      </w:r>
      <w:r>
        <w:rPr>
          <w:highlight w:val="none"/>
        </w:rPr>
        <w:fldChar w:fldCharType="separate"/>
      </w:r>
      <w:r>
        <w:rPr>
          <w:rFonts w:hint="eastAsia" w:ascii="宋体" w:hAnsi="宋体" w:cs="宋体"/>
          <w:sz w:val="28"/>
          <w:szCs w:val="48"/>
          <w:highlight w:val="none"/>
        </w:rPr>
        <w:t xml:space="preserve">第四章  </w:t>
      </w:r>
      <w:r>
        <w:rPr>
          <w:rFonts w:hint="eastAsia" w:ascii="宋体" w:hAnsi="宋体" w:cs="宋体"/>
          <w:bCs/>
          <w:sz w:val="28"/>
          <w:szCs w:val="48"/>
          <w:highlight w:val="none"/>
        </w:rPr>
        <w:t>合同条款及格式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_Toc24301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41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111F5289">
      <w:pPr>
        <w:pStyle w:val="18"/>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"_Toc5676" </w:instrText>
      </w:r>
      <w:r>
        <w:rPr>
          <w:highlight w:val="none"/>
        </w:rPr>
        <w:fldChar w:fldCharType="separate"/>
      </w:r>
      <w:r>
        <w:rPr>
          <w:rFonts w:hint="eastAsia" w:ascii="宋体" w:hAnsi="宋体" w:cs="宋体"/>
          <w:sz w:val="28"/>
          <w:szCs w:val="32"/>
          <w:highlight w:val="none"/>
        </w:rPr>
        <w:t>合同条款及格式前附表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_Toc5676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58</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3C00A6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"_Toc7592" </w:instrText>
      </w:r>
      <w:r>
        <w:rPr>
          <w:highlight w:val="none"/>
        </w:rPr>
        <w:fldChar w:fldCharType="separate"/>
      </w:r>
      <w:r>
        <w:rPr>
          <w:rFonts w:hint="eastAsia" w:ascii="宋体" w:hAnsi="宋体" w:cs="宋体"/>
          <w:bCs/>
          <w:sz w:val="28"/>
          <w:szCs w:val="48"/>
          <w:highlight w:val="none"/>
        </w:rPr>
        <w:t>第五章  谈判响应文件格式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_Toc7592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66</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78525B0E">
      <w:pPr>
        <w:spacing w:line="420" w:lineRule="exact"/>
        <w:ind w:firstLine="480" w:firstLineChars="200"/>
        <w:rPr>
          <w:rFonts w:ascii="宋体" w:hAnsi="宋体" w:cs="宋体"/>
          <w:sz w:val="24"/>
          <w:szCs w:val="24"/>
          <w:highlight w:val="none"/>
        </w:rPr>
      </w:pPr>
      <w:r>
        <w:rPr>
          <w:rFonts w:hint="eastAsia" w:ascii="宋体" w:hAnsi="宋体" w:cs="宋体"/>
          <w:sz w:val="24"/>
          <w:szCs w:val="32"/>
          <w:highlight w:val="none"/>
        </w:rPr>
        <w:fldChar w:fldCharType="end"/>
      </w:r>
    </w:p>
    <w:p w14:paraId="04AE7D78">
      <w:pPr>
        <w:pStyle w:val="3"/>
        <w:jc w:val="center"/>
        <w:rPr>
          <w:rFonts w:ascii="宋体" w:hAnsi="宋体" w:cs="宋体"/>
          <w:highlight w:val="none"/>
        </w:rPr>
        <w:sectPr>
          <w:pgSz w:w="11906" w:h="16838"/>
          <w:pgMar w:top="1304" w:right="1361" w:bottom="1304" w:left="1361" w:header="851" w:footer="992" w:gutter="0"/>
          <w:cols w:space="0" w:num="1"/>
          <w:docGrid w:type="lines" w:linePitch="312" w:charSpace="0"/>
        </w:sectPr>
      </w:pPr>
    </w:p>
    <w:p w14:paraId="132D30B5">
      <w:pPr>
        <w:pStyle w:val="3"/>
        <w:jc w:val="center"/>
        <w:rPr>
          <w:rFonts w:ascii="宋体" w:hAnsi="宋体" w:cs="宋体"/>
          <w:sz w:val="36"/>
          <w:szCs w:val="20"/>
          <w:highlight w:val="none"/>
        </w:rPr>
      </w:pPr>
      <w:bookmarkStart w:id="1" w:name="_Toc11517"/>
      <w:r>
        <w:rPr>
          <w:rFonts w:hint="eastAsia" w:ascii="宋体" w:hAnsi="宋体" w:cs="宋体"/>
          <w:sz w:val="36"/>
          <w:szCs w:val="20"/>
          <w:highlight w:val="none"/>
        </w:rPr>
        <w:t>第一章  竞争性谈判公告</w:t>
      </w:r>
      <w:bookmarkEnd w:id="1"/>
    </w:p>
    <w:p w14:paraId="118B284E">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0AC24FD">
      <w:pPr>
        <w:pStyle w:val="39"/>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山阳中学信息系统安全等级保护定级项目采购项目的潜在供应商应在陕西省西安市经济技术开发区未央路171-1号银池道拉斯财富中心21楼03室获取采购文件，并于 2025年07月18日 14时00分 （北京时间）前提交响应文件。</w:t>
      </w:r>
    </w:p>
    <w:p w14:paraId="58D8653F">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A58C08A">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项目编号：SXZCZB2025-ZCJT-0727</w:t>
      </w:r>
    </w:p>
    <w:p w14:paraId="3D0EEA19">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项目名称：山阳中学信息系统安全等级保护定级项目</w:t>
      </w:r>
    </w:p>
    <w:p w14:paraId="1449A1E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采购方式：竞争性谈判</w:t>
      </w:r>
    </w:p>
    <w:p w14:paraId="3DED43F5">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预算金额：473,900.00元</w:t>
      </w:r>
    </w:p>
    <w:p w14:paraId="345A9B62">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1BACAAF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合同包1(山阳中学信息系统安全等级保护定级项目):</w:t>
      </w:r>
    </w:p>
    <w:p w14:paraId="47FB9B3B">
      <w:pPr>
        <w:pStyle w:val="39"/>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合同包预算金额：473,900.00元</w:t>
      </w:r>
    </w:p>
    <w:p w14:paraId="386F6416">
      <w:pPr>
        <w:pStyle w:val="39"/>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合同包最高限价：473,900.00元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7"/>
        <w:gridCol w:w="1527"/>
        <w:gridCol w:w="1527"/>
        <w:gridCol w:w="1527"/>
        <w:gridCol w:w="1527"/>
        <w:gridCol w:w="1562"/>
      </w:tblGrid>
      <w:tr w14:paraId="7D8EC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8" w:hRule="atLeast"/>
        </w:trPr>
        <w:tc>
          <w:tcPr>
            <w:tcW w:w="1527" w:type="dxa"/>
            <w:vAlign w:val="center"/>
          </w:tcPr>
          <w:p w14:paraId="6A32AF8E">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27" w:type="dxa"/>
            <w:vAlign w:val="center"/>
          </w:tcPr>
          <w:p w14:paraId="7A0FD1E0">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27" w:type="dxa"/>
            <w:vAlign w:val="center"/>
          </w:tcPr>
          <w:p w14:paraId="0AE61A38">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27" w:type="dxa"/>
            <w:vAlign w:val="center"/>
          </w:tcPr>
          <w:p w14:paraId="16C3A7D6">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27" w:type="dxa"/>
            <w:vAlign w:val="center"/>
          </w:tcPr>
          <w:p w14:paraId="1B4263E7">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62" w:type="dxa"/>
            <w:vAlign w:val="center"/>
          </w:tcPr>
          <w:p w14:paraId="3A1BD02B">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7882A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2" w:hRule="atLeast"/>
        </w:trPr>
        <w:tc>
          <w:tcPr>
            <w:tcW w:w="1527" w:type="dxa"/>
            <w:vAlign w:val="center"/>
          </w:tcPr>
          <w:p w14:paraId="21707D6D">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27" w:type="dxa"/>
            <w:vAlign w:val="center"/>
          </w:tcPr>
          <w:p w14:paraId="33935380">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安全审计设备</w:t>
            </w:r>
          </w:p>
        </w:tc>
        <w:tc>
          <w:tcPr>
            <w:tcW w:w="1527" w:type="dxa"/>
            <w:vAlign w:val="center"/>
          </w:tcPr>
          <w:p w14:paraId="2D36B751">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473900</w:t>
            </w:r>
          </w:p>
        </w:tc>
        <w:tc>
          <w:tcPr>
            <w:tcW w:w="1527" w:type="dxa"/>
            <w:vAlign w:val="center"/>
          </w:tcPr>
          <w:p w14:paraId="51456D3E">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527" w:type="dxa"/>
            <w:vAlign w:val="center"/>
          </w:tcPr>
          <w:p w14:paraId="1B77AD32">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62" w:type="dxa"/>
            <w:vAlign w:val="center"/>
          </w:tcPr>
          <w:p w14:paraId="19FAC0F1">
            <w:pPr>
              <w:pStyle w:val="39"/>
              <w:spacing w:line="360" w:lineRule="auto"/>
              <w:jc w:val="center"/>
              <w:rPr>
                <w:rFonts w:hint="eastAsia" w:ascii="宋体" w:hAnsi="宋体" w:eastAsia="宋体" w:cs="宋体"/>
                <w:sz w:val="24"/>
                <w:szCs w:val="24"/>
              </w:rPr>
            </w:pPr>
            <w:r>
              <w:rPr>
                <w:rFonts w:hint="eastAsia" w:ascii="宋体" w:hAnsi="宋体" w:eastAsia="宋体" w:cs="宋体"/>
                <w:sz w:val="24"/>
                <w:szCs w:val="24"/>
              </w:rPr>
              <w:t>473,900.00</w:t>
            </w:r>
          </w:p>
        </w:tc>
      </w:tr>
    </w:tbl>
    <w:p w14:paraId="55B713F6">
      <w:pPr>
        <w:pStyle w:val="39"/>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324EF8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0FD68AF3">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516DC5B">
      <w:pPr>
        <w:pStyle w:val="39"/>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833CB86">
      <w:pPr>
        <w:pStyle w:val="39"/>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346E604">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合同包1(山阳中学信息系统安全等级保护定级项目)落实政府采购政策需满足的资格要求如下:</w:t>
      </w:r>
    </w:p>
    <w:p w14:paraId="2E9DAB2E">
      <w:pPr>
        <w:pStyle w:val="39"/>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0787F98B">
      <w:pPr>
        <w:pStyle w:val="39"/>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16BDF72">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合同包1(山阳中学信息系统安全等级保护定级项目)特定资格要求如下:</w:t>
      </w:r>
    </w:p>
    <w:p w14:paraId="4B37355E">
      <w:pPr>
        <w:pStyle w:val="39"/>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（9）本项目不接受联合体谈判（提供承诺书）。</w:t>
      </w:r>
    </w:p>
    <w:p w14:paraId="53060EC8">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E71B16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时间： 2025年07月11日 至 2025年07月15日 ，每天上午 09:00:00 至 12:00:00 ，下午 14:00:00 至 17:00:00 （北京时间）</w:t>
      </w:r>
    </w:p>
    <w:p w14:paraId="2B80E11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349324A9">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11BE859D">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5201A2A7">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6AC2402">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2025年07月18日 14时00分00秒 （北京时间）</w:t>
      </w:r>
    </w:p>
    <w:p w14:paraId="24B1CAE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6D4D8456">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64DD4E14">
      <w:pPr>
        <w:pStyle w:val="39"/>
        <w:spacing w:line="360" w:lineRule="auto"/>
        <w:rPr>
          <w:rFonts w:hint="eastAsia" w:ascii="宋体" w:hAnsi="宋体" w:eastAsia="宋体" w:cs="宋体"/>
          <w:sz w:val="24"/>
          <w:szCs w:val="24"/>
        </w:rPr>
      </w:pPr>
      <w:r>
        <w:rPr>
          <w:rFonts w:hint="eastAsia" w:ascii="宋体" w:hAnsi="宋体" w:eastAsia="宋体" w:cs="宋体"/>
          <w:sz w:val="24"/>
          <w:szCs w:val="24"/>
        </w:rPr>
        <w:t>时间： 2025年07月18日 14时00分00秒 （北京时间）</w:t>
      </w:r>
    </w:p>
    <w:p w14:paraId="38197DE4">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48DA82C8">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7B53D6C7">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5D45E81">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118C681">
      <w:pPr>
        <w:pStyle w:val="39"/>
        <w:spacing w:line="360" w:lineRule="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1D9716A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4350E5BC">
      <w:pPr>
        <w:pStyle w:val="39"/>
        <w:spacing w:line="360" w:lineRule="auto"/>
        <w:jc w:val="both"/>
        <w:rPr>
          <w:rFonts w:hint="eastAsia" w:ascii="宋体" w:hAnsi="宋体" w:eastAsia="宋体" w:cs="宋体"/>
          <w:sz w:val="24"/>
          <w:szCs w:val="24"/>
        </w:rPr>
      </w:pPr>
      <w:r>
        <w:rPr>
          <w:rFonts w:hint="eastAsia" w:ascii="宋体" w:hAnsi="宋体" w:eastAsia="宋体" w:cs="宋体"/>
          <w:sz w:val="24"/>
          <w:szCs w:val="24"/>
        </w:rPr>
        <w:t>（3）本项目不专门面向中小企业采购。</w:t>
      </w:r>
    </w:p>
    <w:p w14:paraId="0B988C60">
      <w:pPr>
        <w:pStyle w:val="39"/>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6FAE56B">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C353040">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名称：陕西省山阳中学</w:t>
      </w:r>
    </w:p>
    <w:p w14:paraId="6989D10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地址：山阳县育才路东段</w:t>
      </w:r>
    </w:p>
    <w:p w14:paraId="7236C313">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联系方式：0914-8383790</w:t>
      </w:r>
    </w:p>
    <w:p w14:paraId="0C775163">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2602919">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023F15BC">
      <w:pPr>
        <w:pStyle w:val="39"/>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w:t>
      </w:r>
    </w:p>
    <w:p w14:paraId="549836F2">
      <w:pPr>
        <w:pStyle w:val="39"/>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616D8D07">
      <w:pPr>
        <w:pStyle w:val="39"/>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D5EE01D">
      <w:pPr>
        <w:pStyle w:val="39"/>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45D1297F">
      <w:pPr>
        <w:pStyle w:val="39"/>
        <w:spacing w:line="360" w:lineRule="auto"/>
        <w:rPr>
          <w:rFonts w:hint="eastAsia" w:ascii="宋体" w:hAnsi="宋体" w:eastAsia="宋体" w:cs="宋体"/>
          <w:sz w:val="24"/>
          <w:szCs w:val="24"/>
        </w:rPr>
      </w:pPr>
      <w:r>
        <w:rPr>
          <w:rFonts w:hint="eastAsia" w:ascii="宋体" w:hAnsi="宋体" w:eastAsia="宋体" w:cs="宋体"/>
          <w:sz w:val="24"/>
          <w:szCs w:val="24"/>
        </w:rPr>
        <w:t>电话：029-88219779</w:t>
      </w:r>
    </w:p>
    <w:p w14:paraId="66D6E9CB">
      <w:pPr>
        <w:pStyle w:val="20"/>
        <w:wordWrap w:val="0"/>
        <w:spacing w:before="0" w:beforeAutospacing="0" w:after="0" w:afterAutospacing="0"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陕西至诚项目管理集团有限公司</w:t>
      </w:r>
    </w:p>
    <w:p w14:paraId="1ECF82B7">
      <w:pPr>
        <w:pStyle w:val="20"/>
        <w:wordWrap/>
        <w:spacing w:before="0" w:beforeAutospacing="0" w:after="0" w:afterAutospacing="0" w:line="360" w:lineRule="auto"/>
        <w:ind w:firstLine="480"/>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2025年07月10日</w:t>
      </w:r>
    </w:p>
    <w:p w14:paraId="67278F9A">
      <w:pPr>
        <w:spacing w:line="360" w:lineRule="auto"/>
        <w:ind w:firstLine="960" w:firstLineChars="400"/>
        <w:jc w:val="center"/>
        <w:rPr>
          <w:rFonts w:ascii="宋体" w:hAnsi="宋体" w:cs="宋体"/>
          <w:kern w:val="0"/>
          <w:sz w:val="24"/>
          <w:szCs w:val="24"/>
          <w:highlight w:val="none"/>
        </w:rPr>
      </w:pPr>
      <w:r>
        <w:rPr>
          <w:rFonts w:hint="eastAsia" w:ascii="宋体" w:hAnsi="宋体" w:cs="宋体"/>
          <w:sz w:val="24"/>
          <w:szCs w:val="24"/>
          <w:highlight w:val="none"/>
        </w:rPr>
        <w:br w:type="page"/>
      </w:r>
    </w:p>
    <w:p w14:paraId="2C1A409B">
      <w:pPr>
        <w:pStyle w:val="3"/>
        <w:jc w:val="center"/>
        <w:rPr>
          <w:rFonts w:ascii="宋体" w:hAnsi="宋体" w:cs="宋体"/>
          <w:sz w:val="36"/>
          <w:szCs w:val="20"/>
          <w:highlight w:val="none"/>
        </w:rPr>
      </w:pPr>
      <w:bookmarkStart w:id="2" w:name="_Toc3578"/>
      <w:r>
        <w:rPr>
          <w:rFonts w:hint="eastAsia" w:ascii="宋体" w:hAnsi="宋体" w:cs="宋体"/>
          <w:sz w:val="36"/>
          <w:szCs w:val="20"/>
          <w:highlight w:val="none"/>
        </w:rPr>
        <w:t>第二章  供应商须知</w:t>
      </w:r>
      <w:bookmarkEnd w:id="2"/>
    </w:p>
    <w:p w14:paraId="441FAC09">
      <w:pPr>
        <w:pStyle w:val="4"/>
        <w:spacing w:before="0" w:after="0" w:line="360" w:lineRule="auto"/>
        <w:jc w:val="center"/>
        <w:rPr>
          <w:rFonts w:ascii="宋体" w:hAnsi="宋体" w:cs="宋体"/>
          <w:sz w:val="30"/>
          <w:szCs w:val="30"/>
          <w:highlight w:val="none"/>
        </w:rPr>
      </w:pPr>
      <w:bookmarkStart w:id="3" w:name="_Toc6133"/>
      <w:r>
        <w:rPr>
          <w:rFonts w:hint="eastAsia" w:ascii="宋体" w:hAnsi="宋体" w:cs="宋体"/>
          <w:sz w:val="30"/>
          <w:szCs w:val="30"/>
          <w:highlight w:val="none"/>
        </w:rPr>
        <w:t>供应商须知前附表</w:t>
      </w:r>
      <w:bookmarkEnd w:id="3"/>
    </w:p>
    <w:tbl>
      <w:tblPr>
        <w:tblStyle w:val="2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15"/>
        <w:gridCol w:w="6708"/>
      </w:tblGrid>
      <w:tr w14:paraId="0024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62" w:type="pct"/>
            <w:vAlign w:val="center"/>
          </w:tcPr>
          <w:p w14:paraId="1D92C7AB">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966" w:type="pct"/>
            <w:vAlign w:val="center"/>
          </w:tcPr>
          <w:p w14:paraId="7B21759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 款 名 称</w:t>
            </w:r>
          </w:p>
        </w:tc>
        <w:tc>
          <w:tcPr>
            <w:tcW w:w="3571" w:type="pct"/>
            <w:vAlign w:val="center"/>
          </w:tcPr>
          <w:p w14:paraId="2B89977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146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462" w:type="pct"/>
            <w:vAlign w:val="center"/>
          </w:tcPr>
          <w:p w14:paraId="52A0C12A">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966" w:type="pct"/>
            <w:vAlign w:val="center"/>
          </w:tcPr>
          <w:p w14:paraId="1CCA89BF">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采购人</w:t>
            </w:r>
          </w:p>
        </w:tc>
        <w:tc>
          <w:tcPr>
            <w:tcW w:w="3571" w:type="pct"/>
            <w:vAlign w:val="center"/>
          </w:tcPr>
          <w:p w14:paraId="0546FEE2">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  称：</w:t>
            </w:r>
            <w:r>
              <w:rPr>
                <w:rFonts w:hint="eastAsia" w:ascii="宋体" w:hAnsi="宋体" w:cs="宋体"/>
                <w:kern w:val="0"/>
                <w:sz w:val="24"/>
                <w:szCs w:val="24"/>
                <w:highlight w:val="none"/>
                <w:lang w:eastAsia="zh-CN"/>
              </w:rPr>
              <w:t>陕西省山阳中学</w:t>
            </w:r>
          </w:p>
          <w:p w14:paraId="0843BEE5">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地  址：</w:t>
            </w:r>
            <w:r>
              <w:rPr>
                <w:rFonts w:hint="eastAsia" w:ascii="宋体" w:hAnsi="宋体" w:cs="宋体"/>
                <w:kern w:val="0"/>
                <w:sz w:val="24"/>
                <w:szCs w:val="24"/>
                <w:highlight w:val="none"/>
                <w:lang w:eastAsia="zh-CN"/>
              </w:rPr>
              <w:t>山阳县育才路东段</w:t>
            </w:r>
          </w:p>
          <w:p w14:paraId="40442E89">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联系电话：</w:t>
            </w:r>
            <w:r>
              <w:rPr>
                <w:rFonts w:hint="eastAsia" w:ascii="宋体" w:hAnsi="宋体" w:cs="宋体"/>
                <w:kern w:val="0"/>
                <w:sz w:val="24"/>
                <w:szCs w:val="24"/>
                <w:highlight w:val="none"/>
                <w:lang w:eastAsia="zh-CN"/>
              </w:rPr>
              <w:t>18992439666</w:t>
            </w:r>
          </w:p>
        </w:tc>
      </w:tr>
      <w:tr w14:paraId="3DB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62" w:type="pct"/>
            <w:vAlign w:val="center"/>
          </w:tcPr>
          <w:p w14:paraId="34FB9B4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966" w:type="pct"/>
            <w:vAlign w:val="center"/>
          </w:tcPr>
          <w:p w14:paraId="45887C5A">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3571" w:type="pct"/>
            <w:vAlign w:val="center"/>
          </w:tcPr>
          <w:p w14:paraId="03D1C6E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名  称：陕西至诚项目管理集团有限公司</w:t>
            </w:r>
          </w:p>
          <w:p w14:paraId="5FAC366E">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地  址：陕西省西安市经济技术开发区未央路171-1号银池道拉斯财富中心21楼</w:t>
            </w:r>
          </w:p>
          <w:p w14:paraId="1181EFFF">
            <w:pPr>
              <w:spacing w:line="360" w:lineRule="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eastAsia="zh-CN"/>
              </w:rPr>
              <w:t>孙洋、康乐、常瑛</w:t>
            </w:r>
          </w:p>
          <w:p w14:paraId="1B839B59">
            <w:pPr>
              <w:spacing w:line="360" w:lineRule="auto"/>
              <w:rPr>
                <w:rFonts w:ascii="宋体" w:hAnsi="宋体" w:cs="宋体"/>
                <w:sz w:val="24"/>
                <w:szCs w:val="24"/>
                <w:highlight w:val="none"/>
              </w:rPr>
            </w:pPr>
            <w:r>
              <w:rPr>
                <w:rFonts w:hint="eastAsia" w:ascii="宋体" w:hAnsi="宋体" w:cs="宋体"/>
                <w:kern w:val="0"/>
                <w:sz w:val="24"/>
                <w:szCs w:val="24"/>
                <w:highlight w:val="none"/>
              </w:rPr>
              <w:t>电话：029-88219779</w:t>
            </w:r>
          </w:p>
        </w:tc>
      </w:tr>
      <w:tr w14:paraId="3C1C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2" w:type="pct"/>
            <w:vAlign w:val="center"/>
          </w:tcPr>
          <w:p w14:paraId="1B27FB36">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966" w:type="pct"/>
            <w:vAlign w:val="center"/>
          </w:tcPr>
          <w:p w14:paraId="5BFBC6A4">
            <w:pPr>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3571" w:type="pct"/>
            <w:vAlign w:val="center"/>
          </w:tcPr>
          <w:p w14:paraId="25571CD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山阳中学信息系统安全等级保护定级项目</w:t>
            </w:r>
          </w:p>
        </w:tc>
      </w:tr>
      <w:tr w14:paraId="7E2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7376DF0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966" w:type="pct"/>
            <w:vAlign w:val="center"/>
          </w:tcPr>
          <w:p w14:paraId="2B0A6EAB">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3571" w:type="pct"/>
            <w:vAlign w:val="center"/>
          </w:tcPr>
          <w:p w14:paraId="5A42C1B6">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SXZCZB2025-ZCJT-0727</w:t>
            </w:r>
          </w:p>
        </w:tc>
      </w:tr>
      <w:tr w14:paraId="414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529AFD79">
            <w:pPr>
              <w:overflowPunct w:val="0"/>
              <w:jc w:val="center"/>
              <w:rPr>
                <w:rFonts w:ascii="宋体" w:hAnsi="宋体" w:cs="宋体"/>
                <w:sz w:val="24"/>
                <w:szCs w:val="24"/>
                <w:highlight w:val="none"/>
              </w:rPr>
            </w:pPr>
            <w:r>
              <w:rPr>
                <w:rFonts w:hint="eastAsia" w:ascii="宋体" w:hAnsi="宋体" w:cs="宋体"/>
                <w:sz w:val="24"/>
                <w:szCs w:val="24"/>
                <w:highlight w:val="none"/>
              </w:rPr>
              <w:t>5</w:t>
            </w:r>
          </w:p>
        </w:tc>
        <w:tc>
          <w:tcPr>
            <w:tcW w:w="966" w:type="pct"/>
            <w:vAlign w:val="center"/>
          </w:tcPr>
          <w:p w14:paraId="5FCF3B03">
            <w:pPr>
              <w:overflowPunct w:val="0"/>
              <w:jc w:val="center"/>
              <w:rPr>
                <w:rFonts w:ascii="宋体" w:hAnsi="宋体" w:cs="宋体"/>
                <w:sz w:val="24"/>
                <w:szCs w:val="24"/>
                <w:highlight w:val="none"/>
              </w:rPr>
            </w:pPr>
            <w:r>
              <w:rPr>
                <w:rFonts w:hint="eastAsia" w:ascii="宋体" w:hAnsi="宋体" w:cs="宋体"/>
                <w:sz w:val="24"/>
                <w:szCs w:val="24"/>
                <w:highlight w:val="none"/>
              </w:rPr>
              <w:t>资金来源</w:t>
            </w:r>
          </w:p>
        </w:tc>
        <w:tc>
          <w:tcPr>
            <w:tcW w:w="3571" w:type="pct"/>
            <w:vAlign w:val="center"/>
          </w:tcPr>
          <w:p w14:paraId="63A6B0BF">
            <w:pPr>
              <w:overflowPunct w:val="0"/>
              <w:rPr>
                <w:rFonts w:ascii="宋体" w:hAnsi="宋体" w:cs="宋体"/>
                <w:sz w:val="24"/>
                <w:szCs w:val="24"/>
                <w:highlight w:val="none"/>
              </w:rPr>
            </w:pPr>
            <w:r>
              <w:rPr>
                <w:rFonts w:hint="eastAsia" w:ascii="宋体" w:hAnsi="宋体" w:cs="宋体"/>
                <w:sz w:val="24"/>
                <w:szCs w:val="24"/>
                <w:highlight w:val="none"/>
              </w:rPr>
              <w:t>其他财政资金</w:t>
            </w:r>
          </w:p>
        </w:tc>
      </w:tr>
      <w:tr w14:paraId="3C1C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F58D130">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966" w:type="pct"/>
            <w:vAlign w:val="center"/>
          </w:tcPr>
          <w:p w14:paraId="7B577D18">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采购内容</w:t>
            </w:r>
          </w:p>
        </w:tc>
        <w:tc>
          <w:tcPr>
            <w:tcW w:w="3571" w:type="pct"/>
            <w:vAlign w:val="center"/>
          </w:tcPr>
          <w:p w14:paraId="71E7545C">
            <w:pPr>
              <w:overflowPunct w:val="0"/>
              <w:spacing w:line="360" w:lineRule="auto"/>
              <w:rPr>
                <w:rFonts w:ascii="宋体" w:hAnsi="宋体" w:cs="宋体"/>
                <w:spacing w:val="-4"/>
                <w:sz w:val="24"/>
                <w:szCs w:val="24"/>
                <w:highlight w:val="none"/>
              </w:rPr>
            </w:pPr>
            <w:r>
              <w:rPr>
                <w:rFonts w:hint="eastAsia" w:ascii="宋体" w:hAnsi="宋体" w:cs="宋体"/>
                <w:sz w:val="24"/>
                <w:szCs w:val="24"/>
                <w:highlight w:val="none"/>
              </w:rPr>
              <w:t>详见第三章</w:t>
            </w:r>
          </w:p>
        </w:tc>
      </w:tr>
      <w:tr w14:paraId="42D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62" w:type="pct"/>
            <w:vAlign w:val="center"/>
          </w:tcPr>
          <w:p w14:paraId="4F3671B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966" w:type="pct"/>
            <w:vAlign w:val="center"/>
          </w:tcPr>
          <w:p w14:paraId="3054D845">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交货地点、时间</w:t>
            </w:r>
          </w:p>
        </w:tc>
        <w:tc>
          <w:tcPr>
            <w:tcW w:w="3571" w:type="pct"/>
            <w:vAlign w:val="center"/>
          </w:tcPr>
          <w:p w14:paraId="62498F98">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交货期：合同签订后7个日历日</w:t>
            </w:r>
          </w:p>
          <w:p w14:paraId="1AFD0679">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交货地点：</w:t>
            </w:r>
            <w:r>
              <w:rPr>
                <w:rFonts w:hint="eastAsia" w:ascii="宋体" w:hAnsi="宋体" w:cs="宋体"/>
                <w:sz w:val="24"/>
                <w:szCs w:val="24"/>
                <w:highlight w:val="none"/>
                <w:lang w:val="en-US" w:eastAsia="zh-CN"/>
              </w:rPr>
              <w:t>采购人指定地点</w:t>
            </w:r>
            <w:r>
              <w:rPr>
                <w:rFonts w:hint="eastAsia" w:ascii="宋体" w:hAnsi="宋体" w:cs="宋体"/>
                <w:sz w:val="24"/>
                <w:szCs w:val="24"/>
                <w:highlight w:val="none"/>
              </w:rPr>
              <w:t>。</w:t>
            </w:r>
          </w:p>
        </w:tc>
      </w:tr>
      <w:tr w14:paraId="13A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2" w:type="pct"/>
            <w:vAlign w:val="center"/>
          </w:tcPr>
          <w:p w14:paraId="6CC5F5EA">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966" w:type="pct"/>
            <w:vAlign w:val="center"/>
          </w:tcPr>
          <w:p w14:paraId="0459E3E6">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质保期</w:t>
            </w:r>
          </w:p>
        </w:tc>
        <w:tc>
          <w:tcPr>
            <w:tcW w:w="3571" w:type="pct"/>
            <w:vAlign w:val="center"/>
          </w:tcPr>
          <w:p w14:paraId="147494DC">
            <w:pPr>
              <w:overflowPunct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自采购人验收合格之日起1年</w:t>
            </w:r>
          </w:p>
        </w:tc>
      </w:tr>
      <w:tr w14:paraId="23B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62" w:type="pct"/>
            <w:vAlign w:val="center"/>
          </w:tcPr>
          <w:p w14:paraId="09786B00">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966" w:type="pct"/>
            <w:vAlign w:val="center"/>
          </w:tcPr>
          <w:p w14:paraId="7C2EE5F9">
            <w:pPr>
              <w:spacing w:line="360" w:lineRule="auto"/>
              <w:jc w:val="center"/>
              <w:rPr>
                <w:rFonts w:ascii="宋体" w:hAnsi="宋体" w:cs="宋体"/>
                <w:spacing w:val="-4"/>
                <w:sz w:val="24"/>
                <w:szCs w:val="24"/>
                <w:highlight w:val="none"/>
              </w:rPr>
            </w:pPr>
            <w:r>
              <w:rPr>
                <w:rFonts w:hint="eastAsia" w:ascii="宋体" w:hAnsi="宋体" w:cs="宋体"/>
                <w:sz w:val="24"/>
                <w:szCs w:val="24"/>
                <w:highlight w:val="none"/>
              </w:rPr>
              <w:t>谈判有效期</w:t>
            </w:r>
          </w:p>
        </w:tc>
        <w:tc>
          <w:tcPr>
            <w:tcW w:w="3571" w:type="pct"/>
            <w:vAlign w:val="center"/>
          </w:tcPr>
          <w:p w14:paraId="6B85DBE8">
            <w:pPr>
              <w:spacing w:line="360" w:lineRule="auto"/>
              <w:rPr>
                <w:rFonts w:ascii="宋体" w:hAnsi="宋体" w:cs="宋体"/>
                <w:kern w:val="0"/>
                <w:sz w:val="24"/>
                <w:szCs w:val="24"/>
                <w:highlight w:val="none"/>
              </w:rPr>
            </w:pPr>
            <w:r>
              <w:rPr>
                <w:rFonts w:hint="eastAsia" w:ascii="宋体" w:hAnsi="宋体" w:cs="宋体"/>
                <w:sz w:val="24"/>
                <w:szCs w:val="24"/>
                <w:highlight w:val="none"/>
              </w:rPr>
              <w:t>90日历天（从投标截止之日算起）</w:t>
            </w:r>
          </w:p>
        </w:tc>
      </w:tr>
      <w:tr w14:paraId="014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62" w:type="pct"/>
            <w:vAlign w:val="center"/>
          </w:tcPr>
          <w:p w14:paraId="6CCA447D">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966" w:type="pct"/>
            <w:vAlign w:val="center"/>
          </w:tcPr>
          <w:p w14:paraId="5ED4A18F">
            <w:pPr>
              <w:spacing w:line="360" w:lineRule="auto"/>
              <w:jc w:val="center"/>
              <w:rPr>
                <w:rFonts w:ascii="宋体" w:hAnsi="宋体" w:cs="宋体"/>
                <w:sz w:val="24"/>
                <w:szCs w:val="24"/>
                <w:highlight w:val="none"/>
              </w:rPr>
            </w:pPr>
            <w:r>
              <w:rPr>
                <w:rFonts w:hint="eastAsia" w:ascii="宋体" w:hAnsi="宋体" w:cs="宋体"/>
                <w:sz w:val="24"/>
                <w:szCs w:val="24"/>
                <w:highlight w:val="none"/>
              </w:rPr>
              <w:t>供应商资质条件</w:t>
            </w:r>
          </w:p>
        </w:tc>
        <w:tc>
          <w:tcPr>
            <w:tcW w:w="3571" w:type="pct"/>
            <w:vAlign w:val="center"/>
          </w:tcPr>
          <w:p w14:paraId="5D7B776D">
            <w:pPr>
              <w:overflowPunct w:val="0"/>
              <w:spacing w:line="360" w:lineRule="auto"/>
              <w:rPr>
                <w:rFonts w:hint="eastAsia" w:ascii="宋体" w:hAnsi="宋体" w:cs="宋体"/>
                <w:sz w:val="24"/>
                <w:szCs w:val="24"/>
                <w:highlight w:val="none"/>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（9）本项目不接受联合体谈判（提供承诺书）。</w:t>
            </w:r>
          </w:p>
          <w:p w14:paraId="6DFDAA9D">
            <w:pPr>
              <w:overflowPunct w:val="0"/>
              <w:spacing w:line="360" w:lineRule="auto"/>
              <w:rPr>
                <w:rFonts w:ascii="宋体" w:hAnsi="宋体" w:cs="宋体"/>
                <w:b/>
                <w:bCs/>
                <w:sz w:val="24"/>
                <w:szCs w:val="24"/>
                <w:highlight w:val="none"/>
              </w:rPr>
            </w:pPr>
            <w:r>
              <w:rPr>
                <w:rFonts w:hint="eastAsia" w:ascii="宋体" w:hAnsi="宋体" w:cs="宋体"/>
                <w:sz w:val="24"/>
                <w:szCs w:val="24"/>
                <w:highlight w:val="none"/>
              </w:rPr>
              <w:t>上述资格证明文件为必备资格，缺项或者符合性、有效性、合法性审核不合格的，按无效响应处理。</w:t>
            </w:r>
          </w:p>
        </w:tc>
      </w:tr>
      <w:tr w14:paraId="45F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462" w:type="pct"/>
            <w:vAlign w:val="center"/>
          </w:tcPr>
          <w:p w14:paraId="0E2DF0A1">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966" w:type="pct"/>
            <w:vAlign w:val="center"/>
          </w:tcPr>
          <w:p w14:paraId="5A899F46">
            <w:pPr>
              <w:spacing w:line="360" w:lineRule="auto"/>
              <w:jc w:val="center"/>
              <w:rPr>
                <w:rFonts w:ascii="宋体" w:hAnsi="宋体" w:cs="宋体"/>
                <w:sz w:val="24"/>
                <w:szCs w:val="24"/>
                <w:highlight w:val="none"/>
              </w:rPr>
            </w:pPr>
            <w:r>
              <w:rPr>
                <w:rFonts w:hint="eastAsia" w:ascii="宋体" w:hAnsi="宋体" w:cs="宋体"/>
                <w:sz w:val="24"/>
                <w:szCs w:val="24"/>
                <w:highlight w:val="none"/>
              </w:rPr>
              <w:t>谈判保证金</w:t>
            </w:r>
          </w:p>
        </w:tc>
        <w:tc>
          <w:tcPr>
            <w:tcW w:w="3571" w:type="pct"/>
            <w:vAlign w:val="center"/>
          </w:tcPr>
          <w:p w14:paraId="0328ADC7">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谈判保证金的缴纳形式：转账、电汇、担保函</w:t>
            </w:r>
          </w:p>
          <w:p w14:paraId="60A7C334">
            <w:pPr>
              <w:spacing w:line="360" w:lineRule="auto"/>
              <w:rPr>
                <w:rFonts w:ascii="宋体" w:hAnsi="宋体" w:cs="宋体"/>
                <w:b/>
                <w:bCs/>
                <w:sz w:val="24"/>
                <w:szCs w:val="24"/>
                <w:highlight w:val="none"/>
              </w:rPr>
            </w:pPr>
            <w:r>
              <w:rPr>
                <w:rFonts w:hint="eastAsia" w:ascii="宋体" w:hAnsi="宋体" w:cs="宋体"/>
                <w:b/>
                <w:bCs/>
                <w:sz w:val="24"/>
                <w:szCs w:val="24"/>
                <w:highlight w:val="none"/>
              </w:rPr>
              <w:t>谈判保证金：本项目不缴纳保证金</w:t>
            </w:r>
          </w:p>
          <w:p w14:paraId="1A46DE83">
            <w:pPr>
              <w:spacing w:line="360" w:lineRule="auto"/>
              <w:rPr>
                <w:rFonts w:ascii="宋体" w:hAnsi="宋体" w:cs="宋体"/>
                <w:sz w:val="24"/>
                <w:szCs w:val="24"/>
                <w:highlight w:val="none"/>
              </w:rPr>
            </w:pPr>
            <w:r>
              <w:rPr>
                <w:rFonts w:hint="eastAsia" w:ascii="宋体" w:hAnsi="宋体" w:cs="宋体"/>
                <w:sz w:val="24"/>
                <w:szCs w:val="24"/>
                <w:highlight w:val="none"/>
              </w:rPr>
              <w:t>供应商应在投标截止时间前提交谈判保证金</w:t>
            </w:r>
          </w:p>
          <w:p w14:paraId="025DC241">
            <w:pPr>
              <w:spacing w:line="360" w:lineRule="auto"/>
              <w:rPr>
                <w:rFonts w:ascii="宋体" w:hAnsi="宋体" w:cs="宋体"/>
                <w:sz w:val="24"/>
                <w:szCs w:val="24"/>
                <w:highlight w:val="none"/>
              </w:rPr>
            </w:pPr>
            <w:r>
              <w:rPr>
                <w:rFonts w:hint="eastAsia" w:ascii="宋体" w:hAnsi="宋体" w:cs="宋体"/>
                <w:sz w:val="24"/>
                <w:szCs w:val="24"/>
                <w:highlight w:val="none"/>
              </w:rPr>
              <w:t>谈判保证金的有效期与谈判有效期一致。担保机构出具的保函的有效期为谈判有效期延长一个月。</w:t>
            </w:r>
          </w:p>
          <w:p w14:paraId="2E84E9BD">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谈判保证金的缴纳形式：转账、电汇、担保机构保函。</w:t>
            </w:r>
          </w:p>
          <w:p w14:paraId="05981431">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谈判人以银行转账、电汇(转账时请注明所投项目编号)形式缴纳谈判保证金的，谈判结束之后以转账形式退到谈判人的账户。</w:t>
            </w:r>
          </w:p>
          <w:p w14:paraId="1DAA5A48">
            <w:pPr>
              <w:spacing w:line="360" w:lineRule="auto"/>
              <w:rPr>
                <w:rFonts w:ascii="宋体" w:hAnsi="宋体" w:cs="宋体"/>
                <w:sz w:val="24"/>
                <w:szCs w:val="24"/>
                <w:highlight w:val="none"/>
              </w:rPr>
            </w:pPr>
            <w:r>
              <w:rPr>
                <w:rFonts w:hint="eastAsia" w:ascii="宋体" w:hAnsi="宋体" w:cs="宋体"/>
                <w:sz w:val="24"/>
                <w:szCs w:val="24"/>
                <w:highlight w:val="none"/>
              </w:rPr>
              <w:t>谈判人以担保机构保函形式缴纳谈判保证金的，须在响应文件递交截止时间前将保函正本原件带到采购代理机构备案，谈判结束之后在规定时间内将保函正本原件退回。</w:t>
            </w:r>
          </w:p>
          <w:p w14:paraId="5E7380BF">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谈判人以银行转账、电汇形式缴纳谈判保证金的截止时间：须在响应文件递交截止时间前存入以下账户。</w:t>
            </w:r>
          </w:p>
          <w:p w14:paraId="60E3F672">
            <w:pPr>
              <w:spacing w:line="360" w:lineRule="auto"/>
              <w:rPr>
                <w:rFonts w:ascii="宋体" w:hAnsi="宋体" w:cs="宋体"/>
                <w:b/>
                <w:bCs/>
                <w:sz w:val="24"/>
                <w:szCs w:val="24"/>
                <w:highlight w:val="none"/>
              </w:rPr>
            </w:pPr>
            <w:r>
              <w:rPr>
                <w:rFonts w:hint="eastAsia" w:ascii="宋体" w:hAnsi="宋体" w:cs="宋体"/>
                <w:b/>
                <w:bCs/>
                <w:sz w:val="24"/>
                <w:szCs w:val="24"/>
                <w:highlight w:val="none"/>
              </w:rPr>
              <w:t>采购代理机构开户名称: 陕西至诚项目管理集团有限公司</w:t>
            </w:r>
          </w:p>
          <w:p w14:paraId="6D8DB1D2">
            <w:pPr>
              <w:spacing w:line="360" w:lineRule="auto"/>
              <w:rPr>
                <w:rFonts w:ascii="宋体" w:hAnsi="宋体" w:cs="宋体"/>
                <w:b/>
                <w:bCs/>
                <w:sz w:val="24"/>
                <w:szCs w:val="24"/>
                <w:highlight w:val="none"/>
              </w:rPr>
            </w:pPr>
            <w:r>
              <w:rPr>
                <w:rFonts w:hint="eastAsia" w:ascii="宋体" w:hAnsi="宋体" w:cs="宋体"/>
                <w:b/>
                <w:bCs/>
                <w:sz w:val="24"/>
                <w:szCs w:val="24"/>
                <w:highlight w:val="none"/>
              </w:rPr>
              <w:t>开户行名称：中国建设银行股份有限公司西安高新技术产业开发区支行</w:t>
            </w:r>
          </w:p>
          <w:p w14:paraId="5750BC62">
            <w:pPr>
              <w:spacing w:line="360" w:lineRule="auto"/>
              <w:rPr>
                <w:rFonts w:ascii="宋体" w:hAnsi="宋体" w:cs="宋体"/>
                <w:b/>
                <w:bCs/>
                <w:sz w:val="24"/>
                <w:szCs w:val="24"/>
                <w:highlight w:val="none"/>
              </w:rPr>
            </w:pPr>
            <w:r>
              <w:rPr>
                <w:rFonts w:hint="eastAsia" w:ascii="宋体" w:hAnsi="宋体" w:cs="宋体"/>
                <w:b/>
                <w:bCs/>
                <w:sz w:val="24"/>
                <w:szCs w:val="24"/>
                <w:highlight w:val="none"/>
              </w:rPr>
              <w:t>账号：61050192090000002152</w:t>
            </w:r>
          </w:p>
          <w:p w14:paraId="41A9D8B0">
            <w:pPr>
              <w:spacing w:line="360" w:lineRule="auto"/>
              <w:rPr>
                <w:rFonts w:ascii="宋体" w:hAnsi="宋体" w:cs="宋体"/>
                <w:sz w:val="24"/>
                <w:szCs w:val="24"/>
                <w:highlight w:val="none"/>
              </w:rPr>
            </w:pPr>
            <w:r>
              <w:rPr>
                <w:rFonts w:hint="eastAsia" w:ascii="宋体" w:hAnsi="宋体" w:cs="宋体"/>
                <w:sz w:val="24"/>
                <w:szCs w:val="24"/>
                <w:highlight w:val="none"/>
              </w:rPr>
              <w:t>投标保证金到达采购代理机构指定账户后，投标人须与陕西至诚项目管理集团有限公司联系确认，确认到帐后，将保证金缴纳凭证复印件或担保机构出具的保函正本复印件粘贴于竞争性谈判文件规定处。</w:t>
            </w:r>
          </w:p>
        </w:tc>
      </w:tr>
      <w:tr w14:paraId="094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050A6EF9">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966" w:type="pct"/>
            <w:vAlign w:val="center"/>
          </w:tcPr>
          <w:p w14:paraId="55D2EC1B">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谈判替代方案</w:t>
            </w:r>
          </w:p>
        </w:tc>
        <w:tc>
          <w:tcPr>
            <w:tcW w:w="3571" w:type="pct"/>
            <w:vAlign w:val="center"/>
          </w:tcPr>
          <w:p w14:paraId="2291521A">
            <w:pPr>
              <w:pStyle w:val="10"/>
              <w:widowControl/>
              <w:spacing w:line="360" w:lineRule="auto"/>
              <w:rPr>
                <w:rFonts w:ascii="宋体" w:hAnsi="宋体" w:cs="宋体"/>
                <w:sz w:val="24"/>
                <w:szCs w:val="24"/>
                <w:highlight w:val="none"/>
              </w:rPr>
            </w:pPr>
            <w:r>
              <w:rPr>
                <w:rFonts w:hint="eastAsia" w:ascii="宋体" w:hAnsi="宋体" w:cs="宋体"/>
                <w:sz w:val="24"/>
                <w:szCs w:val="24"/>
                <w:highlight w:val="none"/>
              </w:rPr>
              <w:t>本项目不允许提交替代方案</w:t>
            </w:r>
          </w:p>
        </w:tc>
      </w:tr>
      <w:tr w14:paraId="682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77181CB4">
            <w:pPr>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966" w:type="pct"/>
            <w:vAlign w:val="center"/>
          </w:tcPr>
          <w:p w14:paraId="1BF39461">
            <w:pPr>
              <w:spacing w:line="360" w:lineRule="auto"/>
              <w:jc w:val="center"/>
              <w:rPr>
                <w:rFonts w:ascii="宋体" w:hAnsi="宋体" w:cs="宋体"/>
                <w:sz w:val="24"/>
                <w:szCs w:val="24"/>
                <w:highlight w:val="none"/>
              </w:rPr>
            </w:pPr>
            <w:r>
              <w:rPr>
                <w:rFonts w:hint="eastAsia" w:ascii="宋体" w:hAnsi="宋体" w:cs="宋体"/>
                <w:sz w:val="24"/>
                <w:szCs w:val="24"/>
                <w:highlight w:val="none"/>
              </w:rPr>
              <w:t>响应资料份数</w:t>
            </w:r>
          </w:p>
        </w:tc>
        <w:tc>
          <w:tcPr>
            <w:tcW w:w="3571" w:type="pct"/>
            <w:vAlign w:val="center"/>
          </w:tcPr>
          <w:p w14:paraId="795EC15E">
            <w:pPr>
              <w:spacing w:line="360" w:lineRule="auto"/>
              <w:rPr>
                <w:rFonts w:ascii="宋体" w:hAnsi="宋体" w:cs="宋体"/>
                <w:sz w:val="24"/>
                <w:szCs w:val="24"/>
                <w:highlight w:val="none"/>
              </w:rPr>
            </w:pPr>
            <w:r>
              <w:rPr>
                <w:rFonts w:hint="eastAsia" w:ascii="宋体" w:hAnsi="宋体" w:cs="宋体"/>
                <w:sz w:val="24"/>
                <w:szCs w:val="24"/>
                <w:highlight w:val="none"/>
              </w:rPr>
              <w:t>正本的份数：壹份；副本的份数：贰份；报价一览表：壹份；电子版（U盘）：壹份（需在盘面上标注供应商全称、项目名称、编号）。</w:t>
            </w:r>
          </w:p>
        </w:tc>
      </w:tr>
      <w:tr w14:paraId="4A9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62" w:type="pct"/>
            <w:vAlign w:val="center"/>
          </w:tcPr>
          <w:p w14:paraId="4894E065">
            <w:pPr>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966" w:type="pct"/>
            <w:vAlign w:val="center"/>
          </w:tcPr>
          <w:p w14:paraId="173091C1">
            <w:pPr>
              <w:spacing w:line="360" w:lineRule="auto"/>
              <w:jc w:val="center"/>
              <w:rPr>
                <w:rFonts w:ascii="宋体" w:hAnsi="宋体" w:cs="宋体"/>
                <w:sz w:val="24"/>
                <w:szCs w:val="24"/>
                <w:highlight w:val="none"/>
              </w:rPr>
            </w:pPr>
            <w:r>
              <w:rPr>
                <w:rFonts w:hint="eastAsia" w:ascii="宋体" w:hAnsi="宋体" w:cs="宋体"/>
                <w:sz w:val="24"/>
                <w:szCs w:val="24"/>
                <w:highlight w:val="none"/>
              </w:rPr>
              <w:t>谈判响应文递交地点及截止时间</w:t>
            </w:r>
          </w:p>
        </w:tc>
        <w:tc>
          <w:tcPr>
            <w:tcW w:w="3571" w:type="pct"/>
            <w:vAlign w:val="center"/>
          </w:tcPr>
          <w:p w14:paraId="591D8BCE">
            <w:pPr>
              <w:spacing w:line="360" w:lineRule="auto"/>
              <w:rPr>
                <w:rFonts w:ascii="宋体" w:hAnsi="宋体" w:cs="宋体"/>
                <w:sz w:val="24"/>
                <w:szCs w:val="24"/>
                <w:highlight w:val="none"/>
              </w:rPr>
            </w:pPr>
            <w:r>
              <w:rPr>
                <w:rFonts w:hint="eastAsia" w:ascii="宋体" w:hAnsi="宋体" w:cs="宋体"/>
                <w:sz w:val="24"/>
                <w:szCs w:val="24"/>
                <w:highlight w:val="none"/>
              </w:rPr>
              <w:t>谈判响应文递交地点：</w:t>
            </w:r>
            <w:r>
              <w:rPr>
                <w:rFonts w:hint="eastAsia" w:ascii="宋体" w:hAnsi="宋体" w:eastAsia="宋体" w:cs="宋体"/>
                <w:sz w:val="24"/>
                <w:szCs w:val="24"/>
              </w:rPr>
              <w:t>陕西省西安市经济技术开发区未央路171-1号银池道拉斯财富中心21楼03室</w:t>
            </w:r>
          </w:p>
          <w:p w14:paraId="5E51CDAB">
            <w:pPr>
              <w:spacing w:line="360" w:lineRule="auto"/>
              <w:rPr>
                <w:rFonts w:ascii="宋体" w:hAnsi="宋体" w:cs="宋体"/>
                <w:sz w:val="24"/>
                <w:szCs w:val="24"/>
                <w:highlight w:val="none"/>
              </w:rPr>
            </w:pPr>
            <w:r>
              <w:rPr>
                <w:rFonts w:hint="eastAsia" w:ascii="宋体" w:hAnsi="宋体" w:cs="宋体"/>
                <w:sz w:val="24"/>
                <w:szCs w:val="24"/>
                <w:highlight w:val="none"/>
              </w:rPr>
              <w:t>谈判响应文递交截止时间：详见谈判公告</w:t>
            </w:r>
          </w:p>
        </w:tc>
      </w:tr>
      <w:tr w14:paraId="54E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14:paraId="0CA51914">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966" w:type="pct"/>
            <w:vAlign w:val="center"/>
          </w:tcPr>
          <w:p w14:paraId="3955C3F9">
            <w:pPr>
              <w:spacing w:line="360" w:lineRule="auto"/>
              <w:jc w:val="center"/>
              <w:rPr>
                <w:rFonts w:ascii="宋体" w:hAnsi="宋体" w:cs="宋体"/>
                <w:sz w:val="24"/>
                <w:szCs w:val="24"/>
                <w:highlight w:val="none"/>
              </w:rPr>
            </w:pPr>
            <w:r>
              <w:rPr>
                <w:rFonts w:hint="eastAsia" w:ascii="宋体" w:hAnsi="宋体" w:cs="宋体"/>
                <w:sz w:val="24"/>
                <w:szCs w:val="24"/>
                <w:highlight w:val="none"/>
              </w:rPr>
              <w:t>谈判</w:t>
            </w:r>
          </w:p>
        </w:tc>
        <w:tc>
          <w:tcPr>
            <w:tcW w:w="3571" w:type="pct"/>
            <w:vAlign w:val="center"/>
          </w:tcPr>
          <w:p w14:paraId="6ABBE33C">
            <w:pPr>
              <w:spacing w:line="360" w:lineRule="auto"/>
              <w:rPr>
                <w:rFonts w:ascii="宋体" w:hAnsi="宋体" w:cs="宋体"/>
                <w:sz w:val="24"/>
                <w:szCs w:val="24"/>
                <w:highlight w:val="none"/>
              </w:rPr>
            </w:pPr>
            <w:r>
              <w:rPr>
                <w:rFonts w:hint="eastAsia" w:ascii="宋体" w:hAnsi="宋体" w:cs="宋体"/>
                <w:sz w:val="24"/>
                <w:szCs w:val="24"/>
                <w:highlight w:val="none"/>
              </w:rPr>
              <w:t>谈判时间：详见谈判公告</w:t>
            </w:r>
          </w:p>
          <w:p w14:paraId="1377BB60">
            <w:pPr>
              <w:spacing w:line="360" w:lineRule="auto"/>
              <w:rPr>
                <w:rFonts w:ascii="宋体" w:hAnsi="宋体" w:cs="宋体"/>
                <w:sz w:val="24"/>
                <w:szCs w:val="24"/>
                <w:highlight w:val="none"/>
              </w:rPr>
            </w:pPr>
            <w:r>
              <w:rPr>
                <w:rFonts w:hint="eastAsia" w:ascii="宋体" w:hAnsi="宋体" w:cs="宋体"/>
                <w:sz w:val="24"/>
                <w:szCs w:val="24"/>
                <w:highlight w:val="none"/>
              </w:rPr>
              <w:t>地    点：</w:t>
            </w:r>
            <w:r>
              <w:rPr>
                <w:rFonts w:hint="eastAsia" w:ascii="宋体" w:hAnsi="宋体" w:eastAsia="宋体" w:cs="宋体"/>
                <w:sz w:val="24"/>
                <w:szCs w:val="24"/>
              </w:rPr>
              <w:t>陕西省西安市经济技术开发区未央路171-1号银池道拉斯财富中心21楼03室</w:t>
            </w:r>
          </w:p>
        </w:tc>
      </w:tr>
      <w:tr w14:paraId="122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 w:type="pct"/>
            <w:vAlign w:val="center"/>
          </w:tcPr>
          <w:p w14:paraId="3F758459">
            <w:pPr>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966" w:type="pct"/>
            <w:vAlign w:val="center"/>
          </w:tcPr>
          <w:p w14:paraId="5C075CB6">
            <w:pPr>
              <w:spacing w:line="360" w:lineRule="auto"/>
              <w:jc w:val="center"/>
              <w:rPr>
                <w:rFonts w:ascii="宋体" w:hAnsi="宋体" w:cs="宋体"/>
                <w:sz w:val="24"/>
                <w:szCs w:val="24"/>
                <w:highlight w:val="none"/>
              </w:rPr>
            </w:pPr>
            <w:r>
              <w:rPr>
                <w:rFonts w:hint="eastAsia" w:ascii="宋体" w:hAnsi="宋体" w:cs="宋体"/>
                <w:sz w:val="24"/>
                <w:szCs w:val="24"/>
                <w:highlight w:val="none"/>
              </w:rPr>
              <w:t>密封和标记</w:t>
            </w:r>
          </w:p>
        </w:tc>
        <w:tc>
          <w:tcPr>
            <w:tcW w:w="3571" w:type="pct"/>
            <w:vAlign w:val="center"/>
          </w:tcPr>
          <w:p w14:paraId="00AE061D">
            <w:pPr>
              <w:spacing w:line="360" w:lineRule="auto"/>
              <w:ind w:left="360" w:hanging="360" w:hangingChars="150"/>
              <w:rPr>
                <w:rFonts w:ascii="宋体" w:hAnsi="宋体" w:cs="宋体"/>
                <w:sz w:val="24"/>
                <w:szCs w:val="24"/>
                <w:highlight w:val="none"/>
              </w:rPr>
            </w:pPr>
            <w:r>
              <w:rPr>
                <w:rFonts w:hint="eastAsia" w:ascii="宋体" w:hAnsi="宋体" w:cs="宋体"/>
                <w:sz w:val="24"/>
                <w:szCs w:val="24"/>
                <w:highlight w:val="none"/>
              </w:rPr>
              <w:t>1、谈判响应文件正、副本应分别装订成册，装订应牢固、不易拆散和换页，不得采用活页装订。</w:t>
            </w:r>
          </w:p>
          <w:p w14:paraId="2103010E">
            <w:pPr>
              <w:spacing w:line="360" w:lineRule="auto"/>
              <w:rPr>
                <w:rFonts w:ascii="宋体" w:hAnsi="宋体" w:cs="宋体"/>
                <w:sz w:val="24"/>
                <w:szCs w:val="24"/>
                <w:highlight w:val="none"/>
              </w:rPr>
            </w:pPr>
            <w:r>
              <w:rPr>
                <w:rFonts w:hint="eastAsia" w:ascii="宋体" w:hAnsi="宋体" w:cs="宋体"/>
                <w:sz w:val="24"/>
                <w:szCs w:val="24"/>
                <w:highlight w:val="none"/>
              </w:rPr>
              <w:t>2、密封包装方式：</w:t>
            </w:r>
          </w:p>
          <w:p w14:paraId="37A754B4">
            <w:pPr>
              <w:spacing w:line="360" w:lineRule="auto"/>
              <w:ind w:left="210" w:leftChars="100" w:firstLine="120" w:firstLineChars="50"/>
              <w:rPr>
                <w:rFonts w:ascii="宋体" w:hAnsi="宋体" w:cs="宋体"/>
                <w:sz w:val="24"/>
                <w:szCs w:val="24"/>
                <w:highlight w:val="none"/>
              </w:rPr>
            </w:pPr>
            <w:r>
              <w:rPr>
                <w:rFonts w:hint="eastAsia" w:ascii="宋体" w:hAnsi="宋体" w:cs="宋体"/>
                <w:sz w:val="24"/>
                <w:szCs w:val="24"/>
                <w:highlight w:val="none"/>
              </w:rPr>
              <w:t>竞争性谈判响应文件正本、电子版本、报价一览表一包密封；所有副本一包密封（封袋不得有破损）。且在封袋正面标明“正本”“副本”封袋应加贴封条，并在封线处加盖供应商公章，封袋正面要粘贴供应商全称、项目名称、编号等标识。</w:t>
            </w:r>
          </w:p>
          <w:p w14:paraId="78925B29">
            <w:pPr>
              <w:spacing w:line="360" w:lineRule="auto"/>
              <w:rPr>
                <w:rFonts w:ascii="宋体" w:hAnsi="宋体" w:cs="宋体"/>
                <w:sz w:val="24"/>
                <w:szCs w:val="24"/>
                <w:highlight w:val="none"/>
              </w:rPr>
            </w:pPr>
            <w:r>
              <w:rPr>
                <w:rFonts w:hint="eastAsia" w:ascii="宋体" w:hAnsi="宋体" w:cs="宋体"/>
                <w:sz w:val="24"/>
                <w:szCs w:val="24"/>
                <w:highlight w:val="none"/>
              </w:rPr>
              <w:t>3、外层包装请按以下要求标记：</w:t>
            </w:r>
          </w:p>
          <w:p w14:paraId="658EC61A">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项目名称： </w:t>
            </w:r>
          </w:p>
          <w:p w14:paraId="2E348290">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招标编号：</w:t>
            </w:r>
          </w:p>
          <w:p w14:paraId="0DD7BD79">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供应商名称： </w:t>
            </w:r>
          </w:p>
          <w:p w14:paraId="57ED7F25">
            <w:pPr>
              <w:spacing w:line="360" w:lineRule="auto"/>
              <w:rPr>
                <w:rFonts w:ascii="宋体" w:hAnsi="宋体" w:cs="宋体"/>
                <w:sz w:val="24"/>
                <w:szCs w:val="24"/>
                <w:highlight w:val="none"/>
              </w:rPr>
            </w:pPr>
            <w:r>
              <w:rPr>
                <w:rFonts w:hint="eastAsia" w:ascii="宋体" w:hAnsi="宋体" w:cs="宋体"/>
                <w:sz w:val="24"/>
                <w:szCs w:val="24"/>
                <w:highlight w:val="none"/>
              </w:rPr>
              <w:t>谈判响应文件在</w:t>
            </w:r>
            <w:r>
              <w:rPr>
                <w:rFonts w:hint="eastAsia" w:ascii="宋体" w:hAnsi="宋体" w:cs="宋体"/>
                <w:sz w:val="24"/>
                <w:szCs w:val="24"/>
                <w:highlight w:val="none"/>
                <w:u w:val="single"/>
              </w:rPr>
              <w:t xml:space="preserve"> 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分前不得开启</w:t>
            </w:r>
          </w:p>
        </w:tc>
      </w:tr>
      <w:tr w14:paraId="2E02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62" w:type="pct"/>
            <w:vAlign w:val="center"/>
          </w:tcPr>
          <w:p w14:paraId="2E487158">
            <w:pPr>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966" w:type="pct"/>
            <w:vAlign w:val="center"/>
          </w:tcPr>
          <w:p w14:paraId="5C9EBF70">
            <w:pPr>
              <w:tabs>
                <w:tab w:val="center" w:pos="4153"/>
                <w:tab w:val="right" w:pos="8306"/>
              </w:tabs>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3571" w:type="pct"/>
            <w:vAlign w:val="center"/>
          </w:tcPr>
          <w:p w14:paraId="5D3DAA4F">
            <w:pPr>
              <w:tabs>
                <w:tab w:val="center" w:pos="4153"/>
                <w:tab w:val="right" w:pos="8306"/>
              </w:tabs>
              <w:snapToGrid w:val="0"/>
              <w:spacing w:line="360" w:lineRule="auto"/>
              <w:rPr>
                <w:rFonts w:ascii="宋体" w:hAnsi="宋体" w:cs="宋体"/>
                <w:sz w:val="24"/>
                <w:szCs w:val="24"/>
                <w:highlight w:val="none"/>
              </w:rPr>
            </w:pPr>
            <w:r>
              <w:rPr>
                <w:rFonts w:hint="eastAsia" w:ascii="宋体" w:hAnsi="宋体" w:cs="宋体"/>
                <w:sz w:val="24"/>
                <w:szCs w:val="24"/>
                <w:highlight w:val="none"/>
              </w:rPr>
              <w:t>纸质谈判响应文件封面及其它有要求盖章的部位应加盖供应商人公章，要求法定代表人或授权委托代理人签章的部位须签字及盖章。</w:t>
            </w:r>
          </w:p>
        </w:tc>
      </w:tr>
      <w:tr w14:paraId="629E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25F8CDE0">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966" w:type="pct"/>
            <w:vAlign w:val="center"/>
          </w:tcPr>
          <w:p w14:paraId="6C886C1A">
            <w:pP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是否退还谈判响应资料</w:t>
            </w:r>
          </w:p>
        </w:tc>
        <w:tc>
          <w:tcPr>
            <w:tcW w:w="3571" w:type="pct"/>
            <w:vAlign w:val="center"/>
          </w:tcPr>
          <w:p w14:paraId="58077B66">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14:paraId="347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618D7FCA">
            <w:pPr>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966" w:type="pct"/>
            <w:vAlign w:val="center"/>
          </w:tcPr>
          <w:p w14:paraId="682D3E5E">
            <w:pPr>
              <w:spacing w:line="360" w:lineRule="auto"/>
              <w:jc w:val="center"/>
              <w:rPr>
                <w:rFonts w:ascii="宋体" w:hAnsi="宋体" w:cs="宋体"/>
                <w:sz w:val="24"/>
                <w:szCs w:val="24"/>
                <w:highlight w:val="none"/>
              </w:rPr>
            </w:pPr>
            <w:r>
              <w:rPr>
                <w:rFonts w:hint="eastAsia" w:ascii="宋体" w:hAnsi="宋体" w:cs="宋体"/>
                <w:sz w:val="24"/>
                <w:szCs w:val="24"/>
                <w:highlight w:val="none"/>
              </w:rPr>
              <w:t>特殊情况处理</w:t>
            </w:r>
          </w:p>
        </w:tc>
        <w:tc>
          <w:tcPr>
            <w:tcW w:w="3571" w:type="pct"/>
            <w:vAlign w:val="center"/>
          </w:tcPr>
          <w:p w14:paraId="7A65A256">
            <w:pPr>
              <w:spacing w:line="360" w:lineRule="auto"/>
              <w:rPr>
                <w:rFonts w:ascii="宋体" w:hAnsi="宋体" w:cs="宋体"/>
                <w:sz w:val="24"/>
                <w:szCs w:val="24"/>
                <w:highlight w:val="none"/>
              </w:rPr>
            </w:pPr>
            <w:r>
              <w:rPr>
                <w:rFonts w:hint="eastAsia" w:ascii="宋体" w:hAnsi="宋体" w:cs="宋体"/>
                <w:sz w:val="24"/>
                <w:szCs w:val="24"/>
                <w:highlight w:val="none"/>
              </w:rPr>
              <w:t>在谈判文件及程序符合法律规定的前提下，递交谈判响应文件或对谈判文件做出实质响应的供应商如果少于3家，应终止谈判，重新组织采购。</w:t>
            </w:r>
          </w:p>
        </w:tc>
      </w:tr>
      <w:tr w14:paraId="523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2" w:type="pct"/>
            <w:vAlign w:val="center"/>
          </w:tcPr>
          <w:p w14:paraId="0D217775">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966" w:type="pct"/>
            <w:vAlign w:val="center"/>
          </w:tcPr>
          <w:p w14:paraId="18119E22">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谈判报价次数、谈判程序和最终报价的产生原则</w:t>
            </w:r>
          </w:p>
        </w:tc>
        <w:tc>
          <w:tcPr>
            <w:tcW w:w="3571" w:type="pct"/>
            <w:vAlign w:val="center"/>
          </w:tcPr>
          <w:p w14:paraId="229F0C64">
            <w:pPr>
              <w:spacing w:line="360" w:lineRule="auto"/>
              <w:rPr>
                <w:rFonts w:ascii="宋体" w:hAnsi="宋体" w:cs="宋体"/>
                <w:sz w:val="24"/>
                <w:szCs w:val="24"/>
                <w:highlight w:val="none"/>
              </w:rPr>
            </w:pPr>
            <w:r>
              <w:rPr>
                <w:rFonts w:hint="eastAsia" w:ascii="宋体" w:hAnsi="宋体" w:cs="宋体"/>
                <w:sz w:val="24"/>
                <w:szCs w:val="24"/>
                <w:highlight w:val="none"/>
              </w:rPr>
              <w:t>本次谈判采用二次报价</w:t>
            </w:r>
          </w:p>
          <w:p w14:paraId="31E2AFB9">
            <w:pPr>
              <w:spacing w:line="360" w:lineRule="auto"/>
              <w:rPr>
                <w:rFonts w:ascii="宋体" w:hAnsi="宋体" w:cs="宋体"/>
                <w:sz w:val="24"/>
                <w:szCs w:val="24"/>
                <w:highlight w:val="none"/>
              </w:rPr>
            </w:pPr>
            <w:r>
              <w:rPr>
                <w:rFonts w:hint="eastAsia" w:ascii="宋体" w:hAnsi="宋体" w:cs="宋体"/>
                <w:sz w:val="24"/>
                <w:szCs w:val="24"/>
                <w:highlight w:val="none"/>
              </w:rPr>
              <w:t>谈判程序为：</w:t>
            </w:r>
          </w:p>
          <w:p w14:paraId="24FC049D">
            <w:pPr>
              <w:spacing w:line="360" w:lineRule="auto"/>
              <w:rPr>
                <w:rFonts w:ascii="宋体" w:hAnsi="宋体" w:cs="宋体"/>
                <w:sz w:val="24"/>
                <w:szCs w:val="24"/>
                <w:highlight w:val="none"/>
              </w:rPr>
            </w:pPr>
            <w:r>
              <w:rPr>
                <w:rFonts w:hint="eastAsia" w:ascii="宋体" w:hAnsi="宋体" w:cs="宋体"/>
                <w:sz w:val="24"/>
                <w:szCs w:val="24"/>
                <w:highlight w:val="none"/>
              </w:rPr>
              <w:t>1、谈判小组对所有提交的谈判响应文件进行审查；</w:t>
            </w:r>
          </w:p>
          <w:p w14:paraId="74BA9A42">
            <w:pPr>
              <w:spacing w:line="360" w:lineRule="auto"/>
              <w:rPr>
                <w:rFonts w:ascii="宋体" w:hAnsi="宋体" w:cs="宋体"/>
                <w:sz w:val="24"/>
                <w:szCs w:val="24"/>
                <w:highlight w:val="none"/>
              </w:rPr>
            </w:pPr>
            <w:r>
              <w:rPr>
                <w:rFonts w:hint="eastAsia" w:ascii="宋体" w:hAnsi="宋体" w:cs="宋体"/>
                <w:sz w:val="24"/>
                <w:szCs w:val="24"/>
                <w:highlight w:val="none"/>
              </w:rPr>
              <w:t>2、谈判小组所有成员集中与单一供应商分别进行谈判；</w:t>
            </w:r>
          </w:p>
          <w:p w14:paraId="5B90D14A">
            <w:pPr>
              <w:spacing w:line="360" w:lineRule="auto"/>
              <w:rPr>
                <w:rFonts w:ascii="宋体" w:hAnsi="宋体" w:cs="宋体"/>
                <w:sz w:val="24"/>
                <w:szCs w:val="24"/>
                <w:highlight w:val="none"/>
              </w:rPr>
            </w:pPr>
            <w:r>
              <w:rPr>
                <w:rFonts w:hint="eastAsia" w:ascii="宋体" w:hAnsi="宋体" w:cs="宋体"/>
                <w:sz w:val="24"/>
                <w:szCs w:val="24"/>
                <w:highlight w:val="none"/>
              </w:rPr>
              <w:t>3、供应商按照要求在规定的时间内填写并提交二次报价表；</w:t>
            </w:r>
          </w:p>
          <w:p w14:paraId="1DF5667B">
            <w:pPr>
              <w:spacing w:line="360" w:lineRule="auto"/>
              <w:rPr>
                <w:rFonts w:ascii="宋体" w:hAnsi="宋体" w:cs="宋体"/>
                <w:sz w:val="24"/>
                <w:szCs w:val="24"/>
                <w:highlight w:val="none"/>
              </w:rPr>
            </w:pPr>
            <w:r>
              <w:rPr>
                <w:rFonts w:hint="eastAsia" w:ascii="宋体" w:hAnsi="宋体" w:cs="宋体"/>
                <w:sz w:val="24"/>
                <w:szCs w:val="24"/>
                <w:highlight w:val="none"/>
              </w:rPr>
              <w:t>4、谈判小组评审、推荐成交候选人。</w:t>
            </w:r>
          </w:p>
          <w:p w14:paraId="6F75CDC1">
            <w:pPr>
              <w:spacing w:line="360" w:lineRule="auto"/>
              <w:rPr>
                <w:rFonts w:ascii="宋体" w:hAnsi="宋体" w:cs="宋体"/>
                <w:sz w:val="24"/>
                <w:szCs w:val="24"/>
                <w:highlight w:val="none"/>
              </w:rPr>
            </w:pPr>
            <w:r>
              <w:rPr>
                <w:rFonts w:hint="eastAsia" w:ascii="宋体" w:hAnsi="宋体" w:cs="宋体"/>
                <w:sz w:val="24"/>
                <w:szCs w:val="24"/>
                <w:highlight w:val="none"/>
              </w:rPr>
              <w:t>在谈判过程中，谈判小组可以根据竞争性谈判文件和谈判情况实质性变动采购需求中的技术、服务要求以及合同草案条款。二次报价为最终报价。</w:t>
            </w:r>
          </w:p>
        </w:tc>
      </w:tr>
      <w:tr w14:paraId="2E06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14:paraId="5D7AAD7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966" w:type="pct"/>
            <w:vAlign w:val="center"/>
          </w:tcPr>
          <w:p w14:paraId="0550606C">
            <w:pPr>
              <w:spacing w:line="360" w:lineRule="auto"/>
              <w:jc w:val="center"/>
              <w:rPr>
                <w:rFonts w:ascii="宋体" w:hAnsi="宋体" w:cs="宋体"/>
                <w:sz w:val="24"/>
                <w:szCs w:val="24"/>
                <w:highlight w:val="none"/>
              </w:rPr>
            </w:pPr>
            <w:r>
              <w:rPr>
                <w:rFonts w:hint="eastAsia" w:ascii="宋体" w:hAnsi="宋体" w:cs="宋体"/>
                <w:sz w:val="24"/>
                <w:szCs w:val="24"/>
                <w:highlight w:val="none"/>
              </w:rPr>
              <w:t>竞争性谈判文件的澄清、修改及质疑答复</w:t>
            </w:r>
          </w:p>
        </w:tc>
        <w:tc>
          <w:tcPr>
            <w:tcW w:w="3571" w:type="pct"/>
            <w:vAlign w:val="center"/>
          </w:tcPr>
          <w:p w14:paraId="595CE650">
            <w:pPr>
              <w:spacing w:line="360" w:lineRule="auto"/>
              <w:rPr>
                <w:rFonts w:ascii="宋体" w:hAnsi="宋体" w:cs="宋体"/>
                <w:sz w:val="24"/>
                <w:szCs w:val="24"/>
                <w:highlight w:val="none"/>
              </w:rPr>
            </w:pPr>
            <w:r>
              <w:rPr>
                <w:rFonts w:hint="eastAsia" w:ascii="宋体" w:hAnsi="宋体" w:cs="宋体"/>
                <w:sz w:val="24"/>
                <w:szCs w:val="24"/>
                <w:highlight w:val="none"/>
              </w:rPr>
              <w:t>1、采购人对已发出的竞争性谈判文件进行必要的澄清或者修改，将在竞争性谈判文件要求提交首次谈判响应文件截止时间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日前，采购人可主动地或在解答投标供应商要求澄清的问题时对竞争性谈判文件进行修改，并以书面形式通知所有购买竞争性谈判文件的供应商，不足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日的，将顺延提交首次谈判响应文件截止时间。</w:t>
            </w:r>
          </w:p>
          <w:p w14:paraId="0F600C28">
            <w:pPr>
              <w:spacing w:line="360" w:lineRule="auto"/>
              <w:rPr>
                <w:rFonts w:ascii="宋体" w:hAnsi="宋体" w:cs="宋体"/>
                <w:sz w:val="24"/>
                <w:szCs w:val="24"/>
                <w:highlight w:val="none"/>
              </w:rPr>
            </w:pPr>
            <w:r>
              <w:rPr>
                <w:rFonts w:hint="eastAsia" w:ascii="宋体" w:hAnsi="宋体" w:cs="宋体"/>
                <w:sz w:val="24"/>
                <w:szCs w:val="24"/>
                <w:highlight w:val="none"/>
              </w:rPr>
              <w:t>2、投标供应商对采购活动事项有疑问，或对采购竞争性谈判文件有质疑，应在投标截止时间3日前书面提出，在此之后提出的质疑为无效质疑。采购代理机构将按质疑程序及时作出答复，若对竞争性谈判文件做出实质性变动，则按照相关规定延长谈判报价截止时间。</w:t>
            </w:r>
          </w:p>
          <w:p w14:paraId="70C9267A">
            <w:pPr>
              <w:spacing w:line="360" w:lineRule="auto"/>
              <w:rPr>
                <w:rFonts w:ascii="宋体" w:hAnsi="宋体" w:cs="宋体"/>
                <w:sz w:val="24"/>
                <w:szCs w:val="24"/>
                <w:highlight w:val="none"/>
              </w:rPr>
            </w:pPr>
            <w:r>
              <w:rPr>
                <w:rFonts w:hint="eastAsia" w:ascii="宋体" w:hAnsi="宋体" w:cs="宋体"/>
                <w:sz w:val="24"/>
                <w:szCs w:val="24"/>
                <w:highlight w:val="none"/>
              </w:rPr>
              <w:t>3、竞争性谈判文件、澄清（答疑）纪要、修改补充通知内容均以书面明确的内容为准。当竞争性谈判文件、修改补充通知、澄清（答疑）纪要内容相互矛盾时，以最后发出的通知（或纪要）或修改文件为准。</w:t>
            </w:r>
          </w:p>
        </w:tc>
      </w:tr>
      <w:tr w14:paraId="478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A969966">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966" w:type="pct"/>
            <w:vAlign w:val="center"/>
          </w:tcPr>
          <w:p w14:paraId="5AD41982">
            <w:pPr>
              <w:spacing w:after="156" w:afterLines="50" w:line="360" w:lineRule="auto"/>
              <w:jc w:val="center"/>
              <w:rPr>
                <w:rFonts w:ascii="宋体" w:hAnsi="宋体" w:cs="宋体"/>
                <w:b/>
                <w:bCs/>
                <w:sz w:val="24"/>
                <w:szCs w:val="24"/>
                <w:highlight w:val="none"/>
              </w:rPr>
            </w:pPr>
            <w:r>
              <w:rPr>
                <w:rFonts w:hint="eastAsia" w:ascii="宋体" w:hAnsi="宋体" w:cs="宋体"/>
                <w:kern w:val="0"/>
                <w:sz w:val="24"/>
                <w:szCs w:val="24"/>
                <w:highlight w:val="none"/>
              </w:rPr>
              <w:t>代理服务费</w:t>
            </w:r>
          </w:p>
        </w:tc>
        <w:tc>
          <w:tcPr>
            <w:tcW w:w="3571" w:type="pct"/>
            <w:vAlign w:val="center"/>
          </w:tcPr>
          <w:p w14:paraId="3C90FFFF">
            <w:pPr>
              <w:spacing w:line="360" w:lineRule="auto"/>
              <w:jc w:val="left"/>
              <w:rPr>
                <w:rFonts w:ascii="宋体" w:hAnsi="宋体" w:cs="宋体"/>
                <w:sz w:val="24"/>
                <w:szCs w:val="24"/>
                <w:highlight w:val="none"/>
              </w:rPr>
            </w:pPr>
            <w:r>
              <w:rPr>
                <w:rFonts w:hint="eastAsia" w:ascii="宋体" w:hAnsi="宋体" w:cs="宋体"/>
                <w:b/>
                <w:bCs/>
                <w:sz w:val="24"/>
                <w:szCs w:val="24"/>
                <w:highlight w:val="none"/>
              </w:rPr>
              <w:t>代理服务费：</w:t>
            </w:r>
            <w:r>
              <w:rPr>
                <w:rFonts w:hint="eastAsia" w:ascii="宋体" w:hAnsi="宋体" w:cs="宋体"/>
                <w:sz w:val="24"/>
                <w:szCs w:val="24"/>
                <w:highlight w:val="none"/>
              </w:rPr>
              <w:t xml:space="preserve"> </w:t>
            </w:r>
          </w:p>
          <w:p w14:paraId="0C0862AF">
            <w:pPr>
              <w:spacing w:line="360" w:lineRule="auto"/>
              <w:jc w:val="left"/>
              <w:rPr>
                <w:rFonts w:ascii="宋体" w:hAnsi="宋体" w:cs="宋体"/>
                <w:sz w:val="24"/>
                <w:szCs w:val="24"/>
                <w:highlight w:val="none"/>
              </w:rPr>
            </w:pPr>
            <w:r>
              <w:rPr>
                <w:rFonts w:hint="eastAsia" w:ascii="宋体" w:hAnsi="宋体" w:cs="宋体"/>
                <w:sz w:val="24"/>
                <w:szCs w:val="24"/>
                <w:highlight w:val="none"/>
              </w:rPr>
              <w:t>1、收费标准：按国家计委颁发的《招标代理服务收费管理暂行办法》（计价格[2002]1980号）和国家发展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改革委员会办公厅颁发的《关于招标代理服务收费有关问题的通知》（发改办价格[2003]857号）的有关规定执行。</w:t>
            </w:r>
          </w:p>
          <w:p w14:paraId="221BAB41">
            <w:pPr>
              <w:spacing w:line="360" w:lineRule="auto"/>
              <w:jc w:val="left"/>
              <w:rPr>
                <w:rFonts w:ascii="宋体" w:hAnsi="宋体" w:cs="宋体"/>
                <w:sz w:val="24"/>
                <w:szCs w:val="24"/>
                <w:highlight w:val="none"/>
              </w:rPr>
            </w:pPr>
            <w:r>
              <w:rPr>
                <w:rFonts w:hint="eastAsia" w:ascii="宋体" w:hAnsi="宋体" w:cs="宋体"/>
                <w:sz w:val="24"/>
                <w:szCs w:val="24"/>
                <w:highlight w:val="none"/>
              </w:rPr>
              <w:t>2、成交供应商在领取中标通知书前，须向采购代理机构一次性支付招标代理服务费。</w:t>
            </w:r>
          </w:p>
          <w:p w14:paraId="10FDD049">
            <w:pPr>
              <w:spacing w:line="520" w:lineRule="exact"/>
              <w:rPr>
                <w:rFonts w:ascii="宋体" w:hAnsi="宋体" w:cs="宋体"/>
                <w:b/>
                <w:bCs/>
                <w:sz w:val="24"/>
                <w:szCs w:val="24"/>
                <w:highlight w:val="none"/>
              </w:rPr>
            </w:pPr>
            <w:r>
              <w:rPr>
                <w:rFonts w:hint="eastAsia" w:ascii="宋体" w:hAnsi="宋体" w:cs="宋体"/>
                <w:b/>
                <w:bCs/>
                <w:sz w:val="24"/>
                <w:szCs w:val="24"/>
                <w:highlight w:val="none"/>
              </w:rPr>
              <w:t>3、代理服务费账户：</w:t>
            </w:r>
          </w:p>
          <w:p w14:paraId="78FE1C87">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①采购代理机构开户名称: 陕西至诚项目管理集团有限公司</w:t>
            </w:r>
          </w:p>
          <w:p w14:paraId="28EFE760">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②开户行名称：中国建设银行股份有限公司西安高新技术产业开发区支行</w:t>
            </w:r>
          </w:p>
          <w:p w14:paraId="327DE689">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③账号：61050192090000002152。</w:t>
            </w:r>
          </w:p>
          <w:p w14:paraId="4B4EF5D8">
            <w:pPr>
              <w:spacing w:line="360" w:lineRule="auto"/>
              <w:jc w:val="left"/>
              <w:rPr>
                <w:rFonts w:ascii="宋体" w:hAnsi="宋体" w:cs="宋体"/>
                <w:sz w:val="24"/>
                <w:szCs w:val="24"/>
                <w:highlight w:val="none"/>
              </w:rPr>
            </w:pPr>
            <w:r>
              <w:rPr>
                <w:rFonts w:hint="eastAsia" w:ascii="宋体" w:hAnsi="宋体" w:cs="宋体"/>
                <w:sz w:val="24"/>
                <w:szCs w:val="24"/>
                <w:highlight w:val="none"/>
              </w:rPr>
              <w:t>请各供应商按照要求分别将保证金和服务费汇入以上指定账户，如因自身原因发生错误，产生的不利后果均由供应商自行承担。</w:t>
            </w:r>
          </w:p>
        </w:tc>
      </w:tr>
      <w:tr w14:paraId="76E4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shd w:val="clear" w:color="auto" w:fill="auto"/>
            <w:vAlign w:val="center"/>
          </w:tcPr>
          <w:p w14:paraId="381F04C2">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966" w:type="pct"/>
            <w:shd w:val="clear" w:color="auto" w:fill="auto"/>
            <w:vAlign w:val="bottom"/>
          </w:tcPr>
          <w:p w14:paraId="0380203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核心产品</w:t>
            </w:r>
          </w:p>
        </w:tc>
        <w:tc>
          <w:tcPr>
            <w:tcW w:w="3571" w:type="pct"/>
            <w:shd w:val="clear" w:color="auto" w:fill="auto"/>
            <w:vAlign w:val="center"/>
          </w:tcPr>
          <w:p w14:paraId="0D1E895A">
            <w:pPr>
              <w:spacing w:line="360" w:lineRule="auto"/>
              <w:jc w:val="left"/>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防火墙</w:t>
            </w:r>
          </w:p>
        </w:tc>
      </w:tr>
      <w:tr w14:paraId="01A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7FAC22FF">
            <w:pPr>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1815" w:type="dxa"/>
            <w:vAlign w:val="center"/>
          </w:tcPr>
          <w:p w14:paraId="63B7FFF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w:t>
            </w:r>
          </w:p>
          <w:p w14:paraId="574D1FEF">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性质</w:t>
            </w:r>
          </w:p>
        </w:tc>
        <w:tc>
          <w:tcPr>
            <w:tcW w:w="3571" w:type="pct"/>
            <w:vAlign w:val="center"/>
          </w:tcPr>
          <w:p w14:paraId="1225EB6F">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rPr>
              <w:t>本项目不专门面向中小企业采购</w:t>
            </w:r>
          </w:p>
        </w:tc>
      </w:tr>
      <w:tr w14:paraId="3B9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67304086">
            <w:pPr>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1815" w:type="dxa"/>
            <w:vAlign w:val="center"/>
          </w:tcPr>
          <w:p w14:paraId="49D0246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所属行业</w:t>
            </w:r>
          </w:p>
        </w:tc>
        <w:tc>
          <w:tcPr>
            <w:tcW w:w="3571" w:type="pct"/>
            <w:vAlign w:val="center"/>
          </w:tcPr>
          <w:p w14:paraId="45832AAC">
            <w:pPr>
              <w:spacing w:line="360" w:lineRule="auto"/>
              <w:jc w:val="left"/>
              <w:rPr>
                <w:rFonts w:ascii="宋体" w:hAnsi="宋体" w:cs="宋体"/>
                <w:sz w:val="24"/>
                <w:szCs w:val="24"/>
                <w:highlight w:val="none"/>
              </w:rPr>
            </w:pPr>
            <w:r>
              <w:rPr>
                <w:rFonts w:hint="eastAsia" w:ascii="宋体" w:hAnsi="宋体" w:cs="宋体"/>
                <w:sz w:val="24"/>
                <w:szCs w:val="24"/>
                <w:highlight w:val="none"/>
              </w:rPr>
              <w:t>工业</w:t>
            </w:r>
          </w:p>
        </w:tc>
      </w:tr>
      <w:tr w14:paraId="0BF6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0351F57">
            <w:pPr>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1815" w:type="dxa"/>
            <w:vAlign w:val="center"/>
          </w:tcPr>
          <w:p w14:paraId="0629DBFA">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政策性扣减</w:t>
            </w:r>
          </w:p>
        </w:tc>
        <w:tc>
          <w:tcPr>
            <w:tcW w:w="3571" w:type="pct"/>
            <w:vAlign w:val="center"/>
          </w:tcPr>
          <w:p w14:paraId="40F7F3A4">
            <w:pPr>
              <w:spacing w:line="360" w:lineRule="auto"/>
              <w:jc w:val="left"/>
              <w:rPr>
                <w:rFonts w:ascii="宋体" w:hAnsi="宋体" w:cs="宋体"/>
                <w:sz w:val="24"/>
                <w:szCs w:val="24"/>
                <w:highlight w:val="none"/>
              </w:rPr>
            </w:pPr>
            <w:r>
              <w:rPr>
                <w:rFonts w:hint="eastAsia" w:ascii="宋体" w:hAnsi="宋体" w:cs="宋体"/>
                <w:sz w:val="24"/>
                <w:szCs w:val="24"/>
                <w:highlight w:val="none"/>
              </w:rPr>
              <w:t>对符合《政府采购促进中小企业发展管理办法》(财库(2020)46号)规定的小微企业(监狱企业视同小型、微型企业)的报价给予10%的扣除,用扣除后的价格参加评审。</w:t>
            </w:r>
          </w:p>
        </w:tc>
      </w:tr>
      <w:tr w14:paraId="445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2A44000">
            <w:pPr>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966" w:type="pct"/>
            <w:vAlign w:val="center"/>
          </w:tcPr>
          <w:p w14:paraId="7E85A54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进口产品</w:t>
            </w:r>
          </w:p>
        </w:tc>
        <w:tc>
          <w:tcPr>
            <w:tcW w:w="3571" w:type="pct"/>
            <w:vAlign w:val="center"/>
          </w:tcPr>
          <w:p w14:paraId="5E914BB0">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本项目不接受进口产品谈判</w:t>
            </w:r>
          </w:p>
        </w:tc>
      </w:tr>
      <w:tr w14:paraId="3B40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4DA9C149">
            <w:pPr>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966" w:type="pct"/>
            <w:vAlign w:val="center"/>
          </w:tcPr>
          <w:p w14:paraId="0165F770">
            <w:pPr>
              <w:spacing w:line="500" w:lineRule="exact"/>
              <w:jc w:val="center"/>
              <w:rPr>
                <w:rFonts w:ascii="宋体" w:hAnsi="宋体" w:cs="宋体"/>
                <w:b/>
                <w:sz w:val="24"/>
                <w:szCs w:val="24"/>
                <w:highlight w:val="none"/>
              </w:rPr>
            </w:pPr>
            <w:r>
              <w:rPr>
                <w:rFonts w:hint="eastAsia" w:ascii="宋体" w:hAnsi="宋体" w:cs="宋体"/>
                <w:b/>
                <w:bCs/>
                <w:sz w:val="24"/>
                <w:szCs w:val="24"/>
                <w:highlight w:val="none"/>
              </w:rPr>
              <w:t>供应商注册登记提醒</w:t>
            </w:r>
          </w:p>
        </w:tc>
        <w:tc>
          <w:tcPr>
            <w:tcW w:w="3571" w:type="pct"/>
            <w:vAlign w:val="center"/>
          </w:tcPr>
          <w:p w14:paraId="32788EDA">
            <w:pPr>
              <w:spacing w:line="500" w:lineRule="exact"/>
              <w:rPr>
                <w:rFonts w:ascii="宋体" w:hAnsi="宋体" w:cs="宋体"/>
                <w:b/>
                <w:sz w:val="24"/>
                <w:szCs w:val="24"/>
                <w:highlight w:val="none"/>
              </w:rPr>
            </w:pPr>
            <w:r>
              <w:rPr>
                <w:rFonts w:hint="eastAsia" w:ascii="宋体" w:hAnsi="宋体" w:cs="宋体"/>
                <w:b/>
                <w:sz w:val="24"/>
                <w:szCs w:val="24"/>
                <w:highlight w:val="none"/>
              </w:rPr>
              <w:t>供应商注册登记提醒：</w:t>
            </w:r>
          </w:p>
          <w:p w14:paraId="45BE3259">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r w14:paraId="1CA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24F0C8C5">
            <w:pPr>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966" w:type="pct"/>
            <w:vAlign w:val="center"/>
          </w:tcPr>
          <w:p w14:paraId="1E175DA1">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是否授权谈判小组有确定成交人</w:t>
            </w:r>
          </w:p>
        </w:tc>
        <w:tc>
          <w:tcPr>
            <w:tcW w:w="3571" w:type="pct"/>
            <w:vAlign w:val="center"/>
          </w:tcPr>
          <w:p w14:paraId="00717E0B">
            <w:pPr>
              <w:spacing w:line="360" w:lineRule="auto"/>
              <w:rPr>
                <w:rFonts w:ascii="宋体" w:hAnsi="宋体" w:cs="宋体"/>
                <w:sz w:val="24"/>
                <w:szCs w:val="24"/>
                <w:highlight w:val="none"/>
              </w:rPr>
            </w:pPr>
            <w:r>
              <w:rPr>
                <w:rFonts w:hint="eastAsia" w:ascii="宋体" w:hAnsi="宋体" w:cs="宋体"/>
                <w:sz w:val="24"/>
                <w:szCs w:val="24"/>
                <w:highlight w:val="none"/>
              </w:rPr>
              <w:t>否,推荐3名成交候选人</w:t>
            </w:r>
          </w:p>
        </w:tc>
      </w:tr>
      <w:tr w14:paraId="258F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2" w:type="pct"/>
            <w:vAlign w:val="center"/>
          </w:tcPr>
          <w:p w14:paraId="619F4CE5">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966" w:type="pct"/>
            <w:vAlign w:val="center"/>
          </w:tcPr>
          <w:p w14:paraId="736F32B7">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3571" w:type="pct"/>
            <w:vAlign w:val="center"/>
          </w:tcPr>
          <w:p w14:paraId="31F3D960">
            <w:pPr>
              <w:spacing w:line="360" w:lineRule="auto"/>
              <w:rPr>
                <w:rFonts w:ascii="宋体" w:hAnsi="宋体" w:cs="宋体"/>
                <w:sz w:val="24"/>
                <w:szCs w:val="24"/>
                <w:highlight w:val="none"/>
              </w:rPr>
            </w:pPr>
            <w:r>
              <w:rPr>
                <w:rFonts w:hint="eastAsia" w:ascii="宋体" w:hAnsi="宋体" w:cs="宋体"/>
                <w:sz w:val="24"/>
                <w:szCs w:val="24"/>
                <w:highlight w:val="none"/>
              </w:rPr>
              <w:t>履约保证金的形式：电汇、转账、支票</w:t>
            </w:r>
          </w:p>
          <w:p w14:paraId="045EB5AC">
            <w:pPr>
              <w:spacing w:line="360" w:lineRule="auto"/>
              <w:rPr>
                <w:rFonts w:ascii="宋体" w:hAnsi="宋体" w:cs="宋体"/>
                <w:sz w:val="24"/>
                <w:szCs w:val="24"/>
                <w:highlight w:val="none"/>
              </w:rPr>
            </w:pPr>
            <w:r>
              <w:rPr>
                <w:rFonts w:hint="eastAsia" w:ascii="宋体" w:hAnsi="宋体" w:cs="宋体"/>
                <w:sz w:val="24"/>
                <w:szCs w:val="24"/>
                <w:highlight w:val="none"/>
              </w:rPr>
              <w:t>履约保证金的金额：/</w:t>
            </w:r>
          </w:p>
          <w:p w14:paraId="23765FA0">
            <w:pPr>
              <w:spacing w:line="360" w:lineRule="auto"/>
              <w:rPr>
                <w:rFonts w:ascii="宋体" w:hAnsi="宋体" w:cs="宋体"/>
                <w:sz w:val="24"/>
                <w:szCs w:val="24"/>
                <w:highlight w:val="none"/>
              </w:rPr>
            </w:pPr>
            <w:r>
              <w:rPr>
                <w:rFonts w:hint="eastAsia" w:ascii="宋体" w:hAnsi="宋体" w:cs="宋体"/>
                <w:sz w:val="24"/>
                <w:szCs w:val="24"/>
                <w:highlight w:val="none"/>
              </w:rPr>
              <w:t>履约保证金的退还：/</w:t>
            </w:r>
          </w:p>
          <w:p w14:paraId="18ACB277">
            <w:pPr>
              <w:spacing w:line="360" w:lineRule="auto"/>
              <w:rPr>
                <w:rFonts w:ascii="宋体" w:hAnsi="宋体" w:cs="宋体"/>
                <w:sz w:val="24"/>
                <w:szCs w:val="24"/>
                <w:highlight w:val="none"/>
              </w:rPr>
            </w:pPr>
            <w:r>
              <w:rPr>
                <w:rFonts w:hint="eastAsia" w:ascii="宋体" w:hAnsi="宋体" w:cs="宋体"/>
                <w:sz w:val="24"/>
                <w:szCs w:val="24"/>
                <w:highlight w:val="none"/>
              </w:rPr>
              <w:t>项目完工验收合格（以验收单为准）后</w:t>
            </w:r>
          </w:p>
        </w:tc>
      </w:tr>
      <w:tr w14:paraId="3C9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1A0F2D0E">
            <w:pPr>
              <w:spacing w:line="360" w:lineRule="auto"/>
              <w:rPr>
                <w:rFonts w:ascii="宋体" w:hAnsi="宋体" w:cs="宋体"/>
                <w:sz w:val="24"/>
                <w:szCs w:val="24"/>
                <w:highlight w:val="none"/>
              </w:rPr>
            </w:pPr>
            <w:r>
              <w:rPr>
                <w:rFonts w:hint="eastAsia" w:ascii="宋体" w:hAnsi="宋体" w:cs="宋体"/>
                <w:sz w:val="24"/>
                <w:szCs w:val="24"/>
                <w:highlight w:val="none"/>
              </w:rPr>
              <w:t>32  同义词语</w:t>
            </w:r>
          </w:p>
        </w:tc>
      </w:tr>
      <w:tr w14:paraId="35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59DC9C9F">
            <w:pPr>
              <w:spacing w:line="360" w:lineRule="auto"/>
              <w:rPr>
                <w:rFonts w:ascii="宋体" w:hAnsi="宋体" w:cs="宋体"/>
                <w:sz w:val="24"/>
                <w:szCs w:val="24"/>
                <w:highlight w:val="none"/>
              </w:rPr>
            </w:pPr>
            <w:r>
              <w:rPr>
                <w:rFonts w:hint="eastAsia" w:ascii="宋体" w:hAnsi="宋体" w:cs="宋体"/>
                <w:sz w:val="24"/>
                <w:szCs w:val="24"/>
                <w:highlight w:val="none"/>
              </w:rPr>
              <w:t>构成谈判文件组成部分的“通用合同条款”、“专用合同条款”、“技术标准和要求”等章节中出现的措辞“发包人”和“承包人”，在招标投标阶段应当分别按“采购人”和“供应商”进行理解。</w:t>
            </w:r>
          </w:p>
        </w:tc>
      </w:tr>
      <w:tr w14:paraId="1A0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0" w:type="pct"/>
            <w:gridSpan w:val="3"/>
            <w:vAlign w:val="center"/>
          </w:tcPr>
          <w:p w14:paraId="39816382">
            <w:pPr>
              <w:spacing w:line="360" w:lineRule="auto"/>
              <w:rPr>
                <w:rFonts w:ascii="宋体" w:hAnsi="宋体" w:cs="宋体"/>
                <w:sz w:val="24"/>
                <w:szCs w:val="24"/>
                <w:highlight w:val="none"/>
              </w:rPr>
            </w:pPr>
            <w:r>
              <w:rPr>
                <w:rFonts w:hint="eastAsia" w:ascii="宋体" w:hAnsi="宋体" w:cs="宋体"/>
                <w:sz w:val="24"/>
                <w:szCs w:val="24"/>
                <w:highlight w:val="none"/>
              </w:rPr>
              <w:t>33  解释权</w:t>
            </w:r>
          </w:p>
        </w:tc>
      </w:tr>
      <w:tr w14:paraId="317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353AAC20">
            <w:pPr>
              <w:spacing w:line="360" w:lineRule="auto"/>
              <w:rPr>
                <w:rFonts w:ascii="宋体" w:hAnsi="宋体" w:cs="宋体"/>
                <w:sz w:val="24"/>
                <w:szCs w:val="24"/>
                <w:highlight w:val="none"/>
              </w:rPr>
            </w:pPr>
            <w:r>
              <w:rPr>
                <w:rFonts w:hint="eastAsia" w:ascii="宋体" w:hAnsi="宋体" w:cs="宋体"/>
                <w:sz w:val="24"/>
                <w:szCs w:val="24"/>
                <w:highlight w:val="none"/>
              </w:rPr>
              <w:t>本招标文件由采购人和招标代理机构负责解释。</w:t>
            </w:r>
          </w:p>
        </w:tc>
      </w:tr>
    </w:tbl>
    <w:p w14:paraId="11785325">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14:paraId="4842E152">
      <w:pPr>
        <w:spacing w:line="360" w:lineRule="auto"/>
        <w:jc w:val="center"/>
        <w:rPr>
          <w:rFonts w:ascii="宋体" w:hAnsi="宋体" w:cs="宋体"/>
          <w:b/>
          <w:bCs/>
          <w:highlight w:val="none"/>
        </w:rPr>
      </w:pPr>
      <w:bookmarkStart w:id="4" w:name="_Toc5789"/>
      <w:bookmarkStart w:id="5" w:name="_Toc8072"/>
      <w:r>
        <w:rPr>
          <w:rFonts w:hint="eastAsia" w:ascii="宋体" w:hAnsi="宋体" w:cs="宋体"/>
          <w:b/>
          <w:bCs/>
          <w:sz w:val="30"/>
          <w:szCs w:val="30"/>
          <w:highlight w:val="none"/>
        </w:rPr>
        <w:t>供应商须知</w:t>
      </w:r>
      <w:bookmarkEnd w:id="4"/>
      <w:bookmarkEnd w:id="5"/>
    </w:p>
    <w:p w14:paraId="3C52CC06">
      <w:pPr>
        <w:spacing w:before="156" w:beforeLines="50" w:after="156" w:afterLines="50" w:line="360" w:lineRule="auto"/>
        <w:rPr>
          <w:rFonts w:ascii="宋体" w:hAnsi="宋体" w:cs="宋体"/>
          <w:b/>
          <w:bCs/>
          <w:sz w:val="24"/>
          <w:szCs w:val="24"/>
          <w:highlight w:val="none"/>
        </w:rPr>
      </w:pPr>
      <w:bookmarkStart w:id="6" w:name="_Toc425240464"/>
      <w:bookmarkStart w:id="7" w:name="_Toc421778365"/>
      <w:bookmarkStart w:id="8" w:name="_Toc420591643"/>
      <w:r>
        <w:rPr>
          <w:rFonts w:hint="eastAsia" w:ascii="宋体" w:hAnsi="宋体" w:cs="宋体"/>
          <w:b/>
          <w:bCs/>
          <w:sz w:val="24"/>
          <w:szCs w:val="24"/>
          <w:highlight w:val="none"/>
        </w:rPr>
        <w:t>1．总则</w:t>
      </w:r>
      <w:bookmarkEnd w:id="6"/>
      <w:bookmarkEnd w:id="7"/>
      <w:bookmarkEnd w:id="8"/>
    </w:p>
    <w:p w14:paraId="17642C41">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14:paraId="423E31E9">
      <w:pPr>
        <w:pStyle w:val="10"/>
        <w:spacing w:line="360" w:lineRule="auto"/>
        <w:ind w:left="420" w:leftChars="200"/>
        <w:rPr>
          <w:rFonts w:ascii="宋体" w:hAnsi="宋体" w:cs="宋体"/>
          <w:sz w:val="24"/>
          <w:szCs w:val="24"/>
          <w:highlight w:val="none"/>
        </w:rPr>
      </w:pPr>
      <w:r>
        <w:rPr>
          <w:rFonts w:hint="eastAsia" w:ascii="宋体" w:hAnsi="宋体" w:cs="宋体"/>
          <w:sz w:val="24"/>
          <w:szCs w:val="24"/>
          <w:highlight w:val="none"/>
        </w:rPr>
        <w:t>1.1.1 根据《中华人民共和国政府采购法》、《中华人民共和国招标投标法》等有关法律、法规和规章的规定，本谈判项目己具备招标条件，现对本谈判项目设计进行招标。</w:t>
      </w:r>
    </w:p>
    <w:p w14:paraId="2D9F02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项目招标人：见供应商须知前附表。</w:t>
      </w:r>
    </w:p>
    <w:p w14:paraId="0D4B93C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项目招标代理机构：见供应商须知前附表。</w:t>
      </w:r>
    </w:p>
    <w:p w14:paraId="01F1D4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1.1.4 项目名称：见供应商须知前附表。</w:t>
      </w:r>
    </w:p>
    <w:p w14:paraId="00ABC2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 项目交货地点：见供应商须知前附表。</w:t>
      </w:r>
    </w:p>
    <w:p w14:paraId="63827F9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14:paraId="2AE698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14:paraId="3157B8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14:paraId="51E5FCC3">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谈判范围、计划工期</w:t>
      </w:r>
    </w:p>
    <w:p w14:paraId="073C0BC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本项目谈判范围：见供应商须知前附表。</w:t>
      </w:r>
    </w:p>
    <w:p w14:paraId="1BA57B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本项目的交货期：</w:t>
      </w:r>
      <w:bookmarkStart w:id="9" w:name="OLE_LINK8"/>
      <w:r>
        <w:rPr>
          <w:rFonts w:hint="eastAsia" w:ascii="宋体" w:hAnsi="宋体" w:cs="宋体"/>
          <w:sz w:val="24"/>
          <w:szCs w:val="24"/>
          <w:highlight w:val="none"/>
        </w:rPr>
        <w:t>见供应商须知前附表。</w:t>
      </w:r>
      <w:bookmarkEnd w:id="9"/>
    </w:p>
    <w:p w14:paraId="51BD709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供应商资格要求及招标文件发售时间</w:t>
      </w:r>
    </w:p>
    <w:p w14:paraId="52582BC8">
      <w:pPr>
        <w:pStyle w:val="10"/>
        <w:spacing w:line="360" w:lineRule="auto"/>
        <w:rPr>
          <w:rFonts w:ascii="宋体" w:hAnsi="宋体" w:cs="宋体"/>
          <w:sz w:val="24"/>
          <w:szCs w:val="24"/>
          <w:highlight w:val="none"/>
        </w:rPr>
      </w:pPr>
      <w:r>
        <w:rPr>
          <w:rFonts w:hint="eastAsia" w:ascii="宋体" w:hAnsi="宋体" w:cs="宋体"/>
          <w:sz w:val="24"/>
          <w:szCs w:val="24"/>
          <w:highlight w:val="none"/>
        </w:rPr>
        <w:t xml:space="preserve">    1.4.1资格审查条件：见供应商须知前附表。</w:t>
      </w:r>
    </w:p>
    <w:p w14:paraId="6555E5B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1.4.2谈判文件发售时间：见供应商须知前附表。</w:t>
      </w:r>
    </w:p>
    <w:p w14:paraId="6975742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14:paraId="76964C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供应商准备和参加投标活动发生的费用自理。</w:t>
      </w:r>
    </w:p>
    <w:p w14:paraId="51D3646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14:paraId="2894BA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参与谈判活动的各方应对谈判文件和谈判响应文件中的商业和技术等秘密保密，违者应对由此造成的后果承担法律责任。</w:t>
      </w:r>
    </w:p>
    <w:p w14:paraId="6DDBEF9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14:paraId="331B6E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除专用术语外，与谈判有关的语言均使用中文。必要时专用术语应附有中文注释。</w:t>
      </w:r>
    </w:p>
    <w:p w14:paraId="569F404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14:paraId="4B78D5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5A0EC1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谈判答疑会</w:t>
      </w:r>
    </w:p>
    <w:p w14:paraId="1A17DD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不召开；若有疑问，均应在谈判响应文件递交截止时间前3日内以书面形式向采购代理机构提出。</w:t>
      </w:r>
    </w:p>
    <w:p w14:paraId="6C26A6A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分包</w:t>
      </w:r>
    </w:p>
    <w:p w14:paraId="619D62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14:paraId="0F838A6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偏离</w:t>
      </w:r>
    </w:p>
    <w:p w14:paraId="4CC9919F">
      <w:pPr>
        <w:spacing w:before="156" w:beforeLines="50" w:after="156" w:afterLines="50" w:line="360" w:lineRule="auto"/>
        <w:ind w:firstLine="480" w:firstLineChars="200"/>
        <w:rPr>
          <w:rFonts w:ascii="宋体" w:hAnsi="宋体" w:cs="宋体"/>
          <w:sz w:val="24"/>
          <w:szCs w:val="24"/>
          <w:highlight w:val="none"/>
        </w:rPr>
      </w:pPr>
      <w:bookmarkStart w:id="10" w:name="_Toc421778366"/>
      <w:bookmarkStart w:id="11" w:name="_Toc425240465"/>
      <w:bookmarkStart w:id="12" w:name="_Toc420591644"/>
      <w:r>
        <w:rPr>
          <w:rFonts w:hint="eastAsia" w:ascii="宋体" w:hAnsi="宋体" w:cs="宋体"/>
          <w:sz w:val="24"/>
          <w:szCs w:val="24"/>
          <w:highlight w:val="none"/>
        </w:rPr>
        <w:t>不满足评标办法中初步评审标准的，视为发生重大偏离，其谈判被否决。其余偏离视为细微偏离，谈判小组将通过澄清方式要求供应商对细微偏离进行澄清或修改。</w:t>
      </w:r>
    </w:p>
    <w:p w14:paraId="036FCA1B">
      <w:pPr>
        <w:spacing w:before="156" w:beforeLines="50" w:after="156" w:afterLines="50" w:line="360" w:lineRule="auto"/>
        <w:rPr>
          <w:rFonts w:ascii="宋体" w:hAnsi="宋体" w:cs="宋体"/>
          <w:b/>
          <w:bCs/>
          <w:sz w:val="24"/>
          <w:szCs w:val="24"/>
          <w:highlight w:val="none"/>
        </w:rPr>
      </w:pPr>
      <w:r>
        <w:rPr>
          <w:rFonts w:hint="eastAsia" w:ascii="宋体" w:hAnsi="宋体" w:cs="宋体"/>
          <w:b/>
          <w:bCs/>
          <w:sz w:val="24"/>
          <w:szCs w:val="24"/>
          <w:highlight w:val="none"/>
        </w:rPr>
        <w:t>2．谈判文件</w:t>
      </w:r>
      <w:bookmarkEnd w:id="10"/>
      <w:bookmarkEnd w:id="11"/>
      <w:bookmarkEnd w:id="12"/>
    </w:p>
    <w:p w14:paraId="4A1FBD4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谈判文件的组成</w:t>
      </w:r>
    </w:p>
    <w:p w14:paraId="38100A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本谈判文件包括：</w:t>
      </w:r>
    </w:p>
    <w:p w14:paraId="024423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(1）竞争性谈判公告；</w:t>
      </w:r>
    </w:p>
    <w:p w14:paraId="0E1F90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14:paraId="6A276C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(3）项目概况及技术要求；</w:t>
      </w:r>
    </w:p>
    <w:p w14:paraId="319A23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(4）合同条款及格式；</w:t>
      </w:r>
    </w:p>
    <w:p w14:paraId="1C8106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(5）谈判响应文件格式。</w:t>
      </w:r>
    </w:p>
    <w:p w14:paraId="6A7F087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款、第2.2 款和第2.3 款对招标文件所作的澄清、修改，构成招标文件的组成部分。</w:t>
      </w:r>
    </w:p>
    <w:p w14:paraId="0C21FC9E">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谈判文件的澄清及修改</w:t>
      </w:r>
    </w:p>
    <w:p w14:paraId="2A37D42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2.2.1在谈判文件递交截止时间2个工作日前，采购代理机构可以视采购具体情况，延长投标截止时间和开标时间并在财政部门指定的媒体上发布变更公告，同时将变更时间书面通知所有谈判文件收受人。</w:t>
      </w:r>
    </w:p>
    <w:p w14:paraId="5D8B31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 xml:space="preserve">日的，将顺延提交首次谈判响应文件截止时间。 </w:t>
      </w:r>
    </w:p>
    <w:p w14:paraId="704B3D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2.2.3已经购买谈判文件的供应商对谈判文件有疑问的，均应在谈判响应文件递交截止前2日前以书面形式向采购代理机构提出。采购代理机构视情况必要时将书面答复传送给所有谈判文件收受人。</w:t>
      </w:r>
    </w:p>
    <w:p w14:paraId="13DFE249">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2.2.4供应商在收到上述通知后，应立即向采购代理机构回函确认。</w:t>
      </w:r>
    </w:p>
    <w:p w14:paraId="6E9E9E6C">
      <w:pPr>
        <w:spacing w:before="156" w:beforeLines="50" w:after="156" w:afterLines="50" w:line="360" w:lineRule="auto"/>
        <w:rPr>
          <w:rFonts w:ascii="宋体" w:hAnsi="宋体" w:cs="宋体"/>
          <w:b/>
          <w:bCs/>
          <w:sz w:val="24"/>
          <w:szCs w:val="24"/>
          <w:highlight w:val="none"/>
        </w:rPr>
      </w:pPr>
      <w:bookmarkStart w:id="13" w:name="_Toc421778367"/>
      <w:bookmarkStart w:id="14" w:name="_Toc425240466"/>
      <w:bookmarkStart w:id="15" w:name="_Toc420591645"/>
      <w:r>
        <w:rPr>
          <w:rFonts w:hint="eastAsia" w:ascii="宋体" w:hAnsi="宋体" w:cs="宋体"/>
          <w:b/>
          <w:bCs/>
          <w:sz w:val="24"/>
          <w:szCs w:val="24"/>
          <w:highlight w:val="none"/>
        </w:rPr>
        <w:t>3．谈判响应文件</w:t>
      </w:r>
      <w:bookmarkEnd w:id="13"/>
      <w:bookmarkEnd w:id="14"/>
      <w:bookmarkEnd w:id="15"/>
    </w:p>
    <w:p w14:paraId="5019E82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 谈判文件电子版及谈判响应文件电子版的要求：本项目要求电子版为U盘，电子版须包含本次谈判所需的全部谈判响应资料。盘面注明，供应商名称及项目编号。</w:t>
      </w:r>
    </w:p>
    <w:p w14:paraId="3DD257C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谈判报价</w:t>
      </w:r>
    </w:p>
    <w:p w14:paraId="7EC456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3.2.2供应商提交的竞争性谈判响应文件以及供应商与采购代理机构就有关谈判的所有来往函电均应使用中文。</w:t>
      </w:r>
    </w:p>
    <w:p w14:paraId="280CD352">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3.2.3谈判应以人民币报价。任何包含非人民币报价的谈判将按无效谈判处理。</w:t>
      </w:r>
      <w:r>
        <w:rPr>
          <w:rFonts w:hint="eastAsia" w:ascii="宋体" w:hAnsi="宋体" w:cs="宋体"/>
          <w:b/>
          <w:bCs/>
          <w:sz w:val="24"/>
          <w:szCs w:val="24"/>
          <w:highlight w:val="none"/>
        </w:rPr>
        <w:t>3.3 谈判有效期</w:t>
      </w:r>
    </w:p>
    <w:p w14:paraId="2353E6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 在供应商须知前附表规定的谈判有效期内，供应商不得要求撤销或修改其谈判文件。</w:t>
      </w:r>
    </w:p>
    <w:p w14:paraId="6D8F016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出现特殊情况需要延长谈判有效期的，供应商以书面形式通知所有供应商延长谈判有效期。供应商同意延长的，应相应延长其谈判保证金的有效期，但不得要求或被允许修改或撤销其谈判响应文件；供应商拒绝延长的，其谈判响应失效，但供应商有权收回其谈判保证金。</w:t>
      </w:r>
    </w:p>
    <w:p w14:paraId="162EF63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谈判保证金（本项目不缴纳谈判保证金）</w:t>
      </w:r>
    </w:p>
    <w:p w14:paraId="2E58A1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3.4.1供应商应向陕西至诚项目管理集团有限公司提交“供应商须知前附表”规定数额的谈判保证金,并作为其谈判响应的一部分。</w:t>
      </w:r>
    </w:p>
    <w:p w14:paraId="25B2E5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3.4.2谈判保证金是为了保护招标人和招标代理机构免遭因供应商的行为而蒙受损失。供应商和招标代理机构在因供应商的行为受到损害时可根据本须知的规定第3.4.7条没收投标人的谈判保证金。</w:t>
      </w:r>
    </w:p>
    <w:p w14:paraId="380135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3.4.3谈判保证金的缴纳形式：转账、电汇、担保机构保函</w:t>
      </w:r>
    </w:p>
    <w:p w14:paraId="7EC341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3.4.4谈判保证金必须按照招标文件“投标人须知前附表”中规定的缴纳金额及方式办理。</w:t>
      </w:r>
    </w:p>
    <w:p w14:paraId="75EDFD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3.4.5开标后经审查，未提交谈判保证金、未按时间提交谈判保证金、谈判保证金金额不足或谈判保证金缴纳凭证未附在谈判响应文件内的供应商将按无效响应处理。</w:t>
      </w:r>
    </w:p>
    <w:p w14:paraId="15B651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3.4.6未成交供应商的谈判保证金，将在成交通知书发出后五个工作日内退还；中标人的谈判保证金，在施工合同签订并按规定交纳招标代理服务费后五个工作日内退还</w:t>
      </w:r>
      <w:r>
        <w:rPr>
          <w:rFonts w:hint="eastAsia" w:ascii="宋体" w:hAnsi="宋体" w:cs="宋体"/>
          <w:b/>
          <w:bCs/>
          <w:sz w:val="24"/>
          <w:szCs w:val="24"/>
          <w:highlight w:val="none"/>
        </w:rPr>
        <w:t>（退还时，须向采购代理机构提供采购合同原件壹份）</w:t>
      </w:r>
      <w:r>
        <w:rPr>
          <w:rFonts w:hint="eastAsia" w:ascii="宋体" w:hAnsi="宋体" w:cs="宋体"/>
          <w:sz w:val="24"/>
          <w:szCs w:val="24"/>
          <w:highlight w:val="none"/>
        </w:rPr>
        <w:t>。</w:t>
      </w:r>
    </w:p>
    <w:p w14:paraId="411EF3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3.4.7供应商以担保机构保函形式缴纳谈判保证金的，谈判结束之后将担保机构保函原件退回（退换时间参照3.4.6条款）；</w:t>
      </w:r>
    </w:p>
    <w:p w14:paraId="149E33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3.4.8下列任何情况发生时，视为供应商违约，其谈判保证金将被没收：</w:t>
      </w:r>
    </w:p>
    <w:p w14:paraId="062D63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供应商在谈判有效期内撤回谈判；</w:t>
      </w:r>
    </w:p>
    <w:p w14:paraId="3CE3CB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供应商成交后放弃成交、未能按规定签订合同、未按招标文件规定提交履约担保、未能按规定交纳成交代理服务费；</w:t>
      </w:r>
    </w:p>
    <w:p w14:paraId="1B345F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3）供应商成交后将成交项目转让给他人，或者在谈判响应文件中未说明，且未经招标人同意，将成交项目分包给他人的；</w:t>
      </w:r>
    </w:p>
    <w:p w14:paraId="1BA215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4）供应商在谈判响应文件中提供伪造、套改、虚假资料参加投标的；</w:t>
      </w:r>
    </w:p>
    <w:p w14:paraId="2A69A89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5）供应商不按法定程序进行质疑和投诉,捏造事实，查无实据，造成恶劣影响</w:t>
      </w:r>
    </w:p>
    <w:p w14:paraId="0133C8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导致采购活动无法正常进行的；</w:t>
      </w:r>
    </w:p>
    <w:p w14:paraId="2D5BA0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3.4.9谈判保证金的有</w:t>
      </w:r>
      <w:bookmarkStart w:id="16" w:name="OLE_LINK47"/>
      <w:r>
        <w:rPr>
          <w:rFonts w:hint="eastAsia" w:ascii="宋体" w:hAnsi="宋体" w:cs="宋体"/>
          <w:sz w:val="24"/>
          <w:szCs w:val="24"/>
          <w:highlight w:val="none"/>
        </w:rPr>
        <w:t>效</w:t>
      </w:r>
      <w:bookmarkEnd w:id="16"/>
      <w:r>
        <w:rPr>
          <w:rFonts w:hint="eastAsia" w:ascii="宋体" w:hAnsi="宋体" w:cs="宋体"/>
          <w:sz w:val="24"/>
          <w:szCs w:val="24"/>
          <w:highlight w:val="none"/>
        </w:rPr>
        <w:t>期与谈判有效期一致，担保机构出具的保函有效期为谈判有效期延长一个月。</w:t>
      </w:r>
    </w:p>
    <w:p w14:paraId="2028EA3F">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3.5备选谈判方案</w:t>
      </w:r>
    </w:p>
    <w:p w14:paraId="23C438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除供应商须知前附表另有规定外，供应商不得递交备选谈判方案。</w:t>
      </w:r>
    </w:p>
    <w:p w14:paraId="6EED1AD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3.6谈判响应文件的编制</w:t>
      </w:r>
    </w:p>
    <w:p w14:paraId="144B6F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谈判响应文件应按“谈判文件格式”进行编写，如有必要，可以增加附页，作为谈判响应文件的组成部分。</w:t>
      </w:r>
    </w:p>
    <w:p w14:paraId="228BBA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谈判响应文件应当对谈判文件有关工期、谈判有效期、质量要求、技术标准和要求、谈判范围等实质性内容作出响应。</w:t>
      </w:r>
    </w:p>
    <w:p w14:paraId="1BB396E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3.6.3 谈判响应文件必须用不褪色的墨水填写或打印，并注明“正本”、“副本”字样。谈判响应文件正副本均须采用A4纸装订且胶装成册，不得出现散页、重页、掉页现象，不得采用活页夹装订，编制目录，每一页的正下方清楚标明第几页、共几页等字样。谈判响应文件应尽量避免涂改、行间插字或删除。如果出现上述情况，改动之处应由供应商的法定代表人签字确认。所有要求签字（名）处，均须由签字（名）者本人用不褪色的蓝(黑)色墨水(汁)书写，不得用任何形式的图章代替。</w:t>
      </w:r>
    </w:p>
    <w:p w14:paraId="29A0C3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 谈判响应文件资格部分以及技术和商务部分正本、副本份数见供应商须知前附表。当副本和正本不一致时，以正本为准。电子版谈判响应文件内容包括谈判响应文件的所有内容。</w:t>
      </w:r>
    </w:p>
    <w:p w14:paraId="210370F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3.6.5 所有谈判响应文件须按第六章规定的顺序编排、编制目录、所有谈判响应文件须逐页加盖供应商公章。并分别胶装成册。否则按无效响应处理。</w:t>
      </w:r>
    </w:p>
    <w:p w14:paraId="24D2A41F">
      <w:pPr>
        <w:spacing w:before="156" w:beforeLines="50" w:after="156" w:afterLines="50" w:line="360" w:lineRule="auto"/>
        <w:rPr>
          <w:rFonts w:ascii="宋体" w:hAnsi="宋体" w:cs="宋体"/>
          <w:b/>
          <w:bCs/>
          <w:sz w:val="24"/>
          <w:szCs w:val="24"/>
          <w:highlight w:val="none"/>
        </w:rPr>
      </w:pPr>
      <w:bookmarkStart w:id="17" w:name="_Toc425240467"/>
      <w:bookmarkStart w:id="18" w:name="_Toc421778368"/>
      <w:bookmarkStart w:id="19" w:name="_Toc420591646"/>
      <w:r>
        <w:rPr>
          <w:rFonts w:hint="eastAsia" w:ascii="宋体" w:hAnsi="宋体" w:cs="宋体"/>
          <w:b/>
          <w:bCs/>
          <w:sz w:val="24"/>
          <w:szCs w:val="24"/>
          <w:highlight w:val="none"/>
        </w:rPr>
        <w:t>4．</w:t>
      </w:r>
      <w:bookmarkEnd w:id="17"/>
      <w:bookmarkEnd w:id="18"/>
      <w:bookmarkEnd w:id="19"/>
      <w:r>
        <w:rPr>
          <w:rFonts w:hint="eastAsia" w:ascii="宋体" w:hAnsi="宋体" w:cs="宋体"/>
          <w:b/>
          <w:bCs/>
          <w:sz w:val="24"/>
          <w:szCs w:val="24"/>
          <w:highlight w:val="none"/>
        </w:rPr>
        <w:t>谈判响应</w:t>
      </w:r>
    </w:p>
    <w:p w14:paraId="15C4226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谈判响应文件的密封和标记</w:t>
      </w:r>
    </w:p>
    <w:p w14:paraId="3089EA2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4.1.1谈判响应文件的密封：谈判响应文件须胶装成套且须用密封袋密封，包括谈判响应文件技术和商务部分（正本、副本）、电子版U盘、报价一览表（供应商需另外单独准备一份与正本内容一致的报价一览表），若与正本内容不一致，则按单独密封的报价一览表为准。具体包装、密封和标记要求见本须知“供应商须知前附表”规定。</w:t>
      </w:r>
    </w:p>
    <w:p w14:paraId="06D3385C">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4.1.2供应商名称应填写全称，竞争性谈判响应文件正本必须逐页加盖供应商公章。</w:t>
      </w:r>
    </w:p>
    <w:p w14:paraId="197AB7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4.1.3未按谈判文件要求密封和加写标记的谈判响应文件，招标代理机构不予受理。</w:t>
      </w:r>
    </w:p>
    <w:p w14:paraId="71BAD17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谈判响应文件的递交</w:t>
      </w:r>
    </w:p>
    <w:p w14:paraId="0169AE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供应商应在供应商须知前附表规定的谈判响应文件递交截止时间前递交谈判响应文件。</w:t>
      </w:r>
    </w:p>
    <w:p w14:paraId="5ADEDA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供应商递交谈判响应文件的地点：见供应商须知前附表。</w:t>
      </w:r>
    </w:p>
    <w:p w14:paraId="5CB9A47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供应商所递交的谈判响应文件不予退还。</w:t>
      </w:r>
    </w:p>
    <w:p w14:paraId="07202A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逾期送达的或者未送达指定地点的谈判响应文件，</w:t>
      </w:r>
      <w:bookmarkStart w:id="20" w:name="OLE_LINK50"/>
      <w:r>
        <w:rPr>
          <w:rFonts w:hint="eastAsia" w:ascii="宋体" w:hAnsi="宋体" w:cs="宋体"/>
          <w:sz w:val="24"/>
          <w:szCs w:val="24"/>
          <w:highlight w:val="none"/>
        </w:rPr>
        <w:t>招标代理机构</w:t>
      </w:r>
      <w:bookmarkEnd w:id="20"/>
      <w:r>
        <w:rPr>
          <w:rFonts w:hint="eastAsia" w:ascii="宋体" w:hAnsi="宋体" w:cs="宋体"/>
          <w:sz w:val="24"/>
          <w:szCs w:val="24"/>
          <w:highlight w:val="none"/>
        </w:rPr>
        <w:t>不予受理。</w:t>
      </w:r>
    </w:p>
    <w:p w14:paraId="7FAD62E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谈判响应文件的修改与撤回</w:t>
      </w:r>
    </w:p>
    <w:p w14:paraId="413DDA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 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4A32A1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供应商的修改或撤回或变动价格的通知应按本章第4条的规定编制、密封、标记和递交。</w:t>
      </w:r>
    </w:p>
    <w:p w14:paraId="6DD3EF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在谈判响应文件递交截止时间之后，供应商不得对其谈判响应文件做任何修改或撤回。</w:t>
      </w:r>
    </w:p>
    <w:p w14:paraId="041C6813">
      <w:pPr>
        <w:spacing w:before="156" w:beforeLines="50" w:after="156" w:afterLines="50" w:line="360" w:lineRule="auto"/>
        <w:rPr>
          <w:rFonts w:ascii="宋体" w:hAnsi="宋体" w:cs="宋体"/>
          <w:b/>
          <w:bCs/>
          <w:sz w:val="24"/>
          <w:szCs w:val="24"/>
          <w:highlight w:val="none"/>
        </w:rPr>
      </w:pPr>
      <w:bookmarkStart w:id="21" w:name="_Toc425240468"/>
      <w:bookmarkStart w:id="22" w:name="_Toc421778369"/>
      <w:bookmarkStart w:id="23" w:name="_Toc420591647"/>
      <w:r>
        <w:rPr>
          <w:rFonts w:hint="eastAsia" w:ascii="宋体" w:hAnsi="宋体" w:cs="宋体"/>
          <w:b/>
          <w:bCs/>
          <w:sz w:val="24"/>
          <w:szCs w:val="24"/>
          <w:highlight w:val="none"/>
        </w:rPr>
        <w:t>5．</w:t>
      </w:r>
      <w:bookmarkEnd w:id="21"/>
      <w:bookmarkEnd w:id="22"/>
      <w:bookmarkEnd w:id="23"/>
      <w:r>
        <w:rPr>
          <w:rFonts w:hint="eastAsia" w:ascii="宋体" w:hAnsi="宋体" w:cs="宋体"/>
          <w:b/>
          <w:bCs/>
          <w:sz w:val="24"/>
          <w:szCs w:val="24"/>
          <w:highlight w:val="none"/>
        </w:rPr>
        <w:t>迟交的竞争性谈判响应文件</w:t>
      </w:r>
    </w:p>
    <w:p w14:paraId="65A417C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按照供应商须知的规定，采购代理机构将拒绝接受在规定的谈判截止时间后递交的任何竞争性谈判响应文件。</w:t>
      </w:r>
    </w:p>
    <w:p w14:paraId="2EB444DB">
      <w:pPr>
        <w:spacing w:before="156" w:beforeLines="50" w:after="156" w:afterLines="50" w:line="360" w:lineRule="auto"/>
        <w:rPr>
          <w:rFonts w:ascii="宋体" w:hAnsi="宋体" w:cs="宋体"/>
          <w:b/>
          <w:sz w:val="24"/>
          <w:szCs w:val="24"/>
          <w:highlight w:val="none"/>
        </w:rPr>
      </w:pPr>
      <w:bookmarkStart w:id="24" w:name="_Toc403077643"/>
      <w:bookmarkStart w:id="25" w:name="_Toc363474021"/>
      <w:bookmarkStart w:id="26" w:name="_Toc363473976"/>
      <w:bookmarkStart w:id="27" w:name="_Toc420591648"/>
      <w:bookmarkStart w:id="28" w:name="_Toc421778370"/>
      <w:bookmarkStart w:id="29" w:name="_Toc425240469"/>
      <w:r>
        <w:rPr>
          <w:rFonts w:hint="eastAsia" w:ascii="宋体" w:hAnsi="宋体" w:cs="宋体"/>
          <w:b/>
          <w:sz w:val="24"/>
          <w:szCs w:val="24"/>
          <w:highlight w:val="none"/>
        </w:rPr>
        <w:t>6、谈判与评标</w:t>
      </w:r>
      <w:bookmarkEnd w:id="24"/>
      <w:bookmarkEnd w:id="25"/>
      <w:bookmarkEnd w:id="26"/>
    </w:p>
    <w:p w14:paraId="4391966A">
      <w:pPr>
        <w:spacing w:line="360" w:lineRule="auto"/>
        <w:rPr>
          <w:rFonts w:ascii="宋体" w:hAnsi="宋体" w:cs="宋体"/>
          <w:b/>
          <w:sz w:val="24"/>
          <w:szCs w:val="24"/>
          <w:highlight w:val="none"/>
        </w:rPr>
      </w:pPr>
      <w:r>
        <w:rPr>
          <w:rFonts w:hint="eastAsia" w:ascii="宋体" w:hAnsi="宋体" w:cs="宋体"/>
          <w:b/>
          <w:sz w:val="24"/>
          <w:szCs w:val="24"/>
          <w:highlight w:val="none"/>
        </w:rPr>
        <w:t>6.1.谈判</w:t>
      </w:r>
    </w:p>
    <w:p w14:paraId="2A5341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 采购代理机构在规定的时间和地点组织竞争性谈判。谈判时所有供应商代表自愿参加，参加谈判的代表应签名报到以证明其出席。</w:t>
      </w:r>
    </w:p>
    <w:p w14:paraId="14791C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6.1.1.2采购代理机构将做谈判记录，存档备查。</w:t>
      </w:r>
    </w:p>
    <w:p w14:paraId="438FB38E">
      <w:pPr>
        <w:spacing w:line="360" w:lineRule="auto"/>
        <w:rPr>
          <w:rFonts w:ascii="宋体" w:hAnsi="宋体" w:cs="宋体"/>
          <w:b/>
          <w:sz w:val="24"/>
          <w:szCs w:val="24"/>
          <w:highlight w:val="none"/>
        </w:rPr>
      </w:pPr>
      <w:r>
        <w:rPr>
          <w:rFonts w:hint="eastAsia" w:ascii="宋体" w:hAnsi="宋体" w:cs="宋体"/>
          <w:b/>
          <w:sz w:val="24"/>
          <w:szCs w:val="24"/>
          <w:highlight w:val="none"/>
        </w:rPr>
        <w:t>6.2．评审组织及评审原则</w:t>
      </w:r>
    </w:p>
    <w:p w14:paraId="47F699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6.2.1按照《中华人民共和国政府采购法》、中华人民共和国财政部2017年第87号部长令--《政府采购服务和服务招标投标管理办法》的规定，依法组建谈判小组。谈判小组由采购人代表和有关技术、经济等方面的专家组成，谈判小组按照竞争性谈判文件规定的评审方法独立进行评审工作。</w:t>
      </w:r>
    </w:p>
    <w:p w14:paraId="2F4F5F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6.2.2竞争性谈判文件和竞争性谈判响应文件是评审的依据。在评审中，不得改变竞争性谈判文件中规定的评审标准、方法和成交条件。</w:t>
      </w:r>
    </w:p>
    <w:p w14:paraId="2095C0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A84F1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6.2.4如果供应商在澄清规定期限内，未能答复或拒绝答复谈判小组提出的澄清要求，将由谈判小组根据其竞争性谈判响应文件按最大风险进行评审。</w:t>
      </w:r>
    </w:p>
    <w:p w14:paraId="10FF5F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6.2.5谈判过程中的实质性变动：</w:t>
      </w:r>
    </w:p>
    <w:p w14:paraId="19C3D8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6.2.5.1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14:paraId="4B49BD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6.2.5.2对竞争性谈判文件做出的实质性变动是谈判文件的有效组成部分，谈判小组应当及时以书面形式通知所有参加谈判的供应商。</w:t>
      </w:r>
    </w:p>
    <w:p w14:paraId="166842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6.2.6竞争性谈判响应文件的初审（含资格性检查和符合性检查）</w:t>
      </w:r>
    </w:p>
    <w:p w14:paraId="68E77E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6.2.6.1初审将审查竞争性谈判响应文件是否完整、资格证明是否齐全，谈判保证金是否合格、有无计算上的错误等。</w:t>
      </w:r>
    </w:p>
    <w:p w14:paraId="05B85CE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6.2.6.2计算错误将按以下方法更正：若单价计算的结果与总价不一致，以单价为准修改总价；若用文字表示的数值与用数字表示的数值不一致，以文字表示的数值为准。如果“报价一览表”中的总价与谈判的其他文件中的总价不一致，以“报价一览表”中的总价为准。如果供应商不接受对其错误的更正，其谈判将被拒绝。</w:t>
      </w:r>
    </w:p>
    <w:p w14:paraId="25586F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6.2.6.3对于竞争性谈判响应文件中明显的标点符号错误或不构成实质性偏差的不正规、不一致或不规则，采购方可以接受。</w:t>
      </w:r>
    </w:p>
    <w:p w14:paraId="4636140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6.2.6.4在详细评审之前，根据本须知第6.2.6.5条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51C9D0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6.2.6.5实质上没有响应竞争性谈判文件要求的谈判将被拒绝。供应商不得通过修正或撤销不合要求的偏离从而使其谈判成为实质性响应的谈判。如发现下列情况之一的，其谈判将构成非实质性响应，按无效谈判处理：</w:t>
      </w:r>
    </w:p>
    <w:p w14:paraId="4F46A10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1）没有按照竞争性谈判文件要求提供的竞争性谈判响应文件或竞争性谈判响应文件构成有重大缺项；</w:t>
      </w:r>
    </w:p>
    <w:p w14:paraId="4C733327">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2）竞争性谈判响应文件未按竞争性谈判文件要求密封、签署、盖章的；</w:t>
      </w:r>
    </w:p>
    <w:p w14:paraId="17AB3D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3）供应商未提交有效的谈判保证金或金额不足的、谈判保证金形式不符合竞争性谈判文件要求的；</w:t>
      </w:r>
    </w:p>
    <w:p w14:paraId="1152F22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4）资格证明不全的或无效的，或不符合国家规定的；</w:t>
      </w:r>
    </w:p>
    <w:p w14:paraId="7955BF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5）竞争性谈判响应文件无供应商公章、无法定代表人签字或签字人无法定代表人有效委托书的；</w:t>
      </w:r>
    </w:p>
    <w:p w14:paraId="549EB7D3">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pacing w:val="-6"/>
          <w:sz w:val="24"/>
          <w:szCs w:val="24"/>
          <w:highlight w:val="none"/>
        </w:rPr>
        <w:t>无谈判有效期或有效期达不到竞争性谈判文件要求的</w:t>
      </w:r>
      <w:r>
        <w:rPr>
          <w:rFonts w:hint="eastAsia" w:ascii="宋体" w:hAnsi="宋体" w:cs="宋体"/>
          <w:b/>
          <w:bCs/>
          <w:sz w:val="24"/>
          <w:szCs w:val="24"/>
          <w:highlight w:val="none"/>
        </w:rPr>
        <w:t>；</w:t>
      </w:r>
    </w:p>
    <w:p w14:paraId="2FA05A96">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7）供应商在同一份竞争性谈判响应文件中，有两个或多个报价的；</w:t>
      </w:r>
    </w:p>
    <w:p w14:paraId="51F73684">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8）存在有重大缺漏项和重大偏离的；</w:t>
      </w:r>
    </w:p>
    <w:p w14:paraId="2C1C0EED">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9）供应商有串通谈判、以他人名义谈判、行贿、提供虚假证明（包括第三方提供的虚假证明），开具虚假资质，出现虚假应答的，除按无效文件处理外，还将按照政府采购的有关规定进行处罚；</w:t>
      </w:r>
    </w:p>
    <w:p w14:paraId="4C6AB5E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10）谈判总报价低于成本或者高于竞争性谈判文件公布的采购预算的。</w:t>
      </w:r>
    </w:p>
    <w:p w14:paraId="4B5E5280">
      <w:pPr>
        <w:tabs>
          <w:tab w:val="left" w:pos="1260"/>
        </w:tabs>
        <w:spacing w:line="360" w:lineRule="auto"/>
        <w:ind w:firstLine="498" w:firstLineChars="200"/>
        <w:rPr>
          <w:rFonts w:ascii="宋体" w:hAnsi="宋体" w:cs="宋体"/>
          <w:b/>
          <w:spacing w:val="4"/>
          <w:sz w:val="24"/>
          <w:szCs w:val="24"/>
          <w:highlight w:val="none"/>
        </w:rPr>
      </w:pPr>
      <w:r>
        <w:rPr>
          <w:rFonts w:hint="eastAsia" w:ascii="宋体" w:hAnsi="宋体" w:cs="宋体"/>
          <w:b/>
          <w:spacing w:val="4"/>
          <w:sz w:val="24"/>
          <w:szCs w:val="24"/>
          <w:highlight w:val="none"/>
        </w:rPr>
        <w:t>11）供应商有下列情形之一的，视为投标人串通投标，其投标无效：</w:t>
      </w:r>
    </w:p>
    <w:p w14:paraId="0FA3D9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（一）不同投标人的投标文件由同一单位或者个人编制；</w:t>
      </w:r>
    </w:p>
    <w:p w14:paraId="55D82F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（二）不同投标人委托同一单位或者个人办理投标事宜；</w:t>
      </w:r>
    </w:p>
    <w:p w14:paraId="0B84181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（三）不同投标人的投标文件载明的项目管理成员或者联系人员为同一人；</w:t>
      </w:r>
    </w:p>
    <w:p w14:paraId="429C15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（四）不同投标人的投标文件异常一致或者投标报价呈规律性差异；</w:t>
      </w:r>
    </w:p>
    <w:p w14:paraId="3C0B5F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（五）不同投标人的投标文件相互混装；</w:t>
      </w:r>
    </w:p>
    <w:p w14:paraId="71D985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（六）不同投标人的投标保证金从同一单位或者个人的账户转出。</w:t>
      </w:r>
    </w:p>
    <w:p w14:paraId="0A08DDF2">
      <w:pPr>
        <w:spacing w:line="360" w:lineRule="auto"/>
        <w:rPr>
          <w:rFonts w:ascii="宋体" w:hAnsi="宋体" w:cs="宋体"/>
          <w:b/>
          <w:sz w:val="24"/>
          <w:szCs w:val="24"/>
          <w:highlight w:val="none"/>
        </w:rPr>
      </w:pPr>
      <w:r>
        <w:rPr>
          <w:rFonts w:hint="eastAsia" w:ascii="宋体" w:hAnsi="宋体" w:cs="宋体"/>
          <w:b/>
          <w:sz w:val="24"/>
          <w:szCs w:val="24"/>
          <w:highlight w:val="none"/>
        </w:rPr>
        <w:t>6.3．评审过程的保密</w:t>
      </w:r>
    </w:p>
    <w:p w14:paraId="32843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谈判小组成员和与评审活动有关的工作人员不得泄露有关竞争性谈判响应文件的评审和比较、成交候选人的推荐以及与评审有关的其他情况。</w:t>
      </w:r>
    </w:p>
    <w:p w14:paraId="278A3DC2">
      <w:pPr>
        <w:spacing w:line="360" w:lineRule="auto"/>
        <w:rPr>
          <w:rFonts w:ascii="宋体" w:hAnsi="宋体" w:cs="宋体"/>
          <w:b/>
          <w:sz w:val="24"/>
          <w:szCs w:val="24"/>
          <w:highlight w:val="none"/>
        </w:rPr>
      </w:pPr>
      <w:r>
        <w:rPr>
          <w:rFonts w:hint="eastAsia" w:ascii="宋体" w:hAnsi="宋体" w:cs="宋体"/>
          <w:b/>
          <w:sz w:val="24"/>
          <w:szCs w:val="24"/>
          <w:highlight w:val="none"/>
        </w:rPr>
        <w:t>6.4．评审方法</w:t>
      </w:r>
    </w:p>
    <w:p w14:paraId="2AE224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中华人民共和国政府采购法》、《中华人民共和国政府采购法实施条例》、中华人民共和国财政部2017年第87号部长令--《政府采购服务和服务招标投标管理办法》的规定和中华人民共和国财政部令第74号--《政府采购非招标采购方式管理办法》的规定，依法组建谈判小组。本次评审采用最低评标价法，谈判小组由采购人代表和有关技术、经济等方面的专家组成，谈判小组按照竞争性谈判文件规定的评审方法独立进行评审工作。根据排名先后确定成交候选供应商。</w:t>
      </w:r>
    </w:p>
    <w:p w14:paraId="2641F8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最低评标价法，即在全部满足竞争性谈判文件实质性要求前提下，依据统一的价格要素评定最低报价，以提出最低报价的谈判供应商作为成交候选供应商并依次排序。</w:t>
      </w:r>
    </w:p>
    <w:p w14:paraId="6A0BE18C">
      <w:pPr>
        <w:spacing w:line="360" w:lineRule="auto"/>
        <w:rPr>
          <w:rFonts w:ascii="宋体" w:hAnsi="宋体" w:cs="宋体"/>
          <w:b/>
          <w:sz w:val="24"/>
          <w:szCs w:val="24"/>
          <w:highlight w:val="none"/>
        </w:rPr>
      </w:pPr>
      <w:r>
        <w:rPr>
          <w:rFonts w:hint="eastAsia" w:ascii="宋体" w:hAnsi="宋体" w:cs="宋体"/>
          <w:b/>
          <w:sz w:val="24"/>
          <w:szCs w:val="24"/>
          <w:highlight w:val="none"/>
        </w:rPr>
        <w:t>6.5评审程序</w:t>
      </w:r>
    </w:p>
    <w:p w14:paraId="7D0FF0D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按照竞争性谈判响应文件初审、澄清有关问题、比较与评价、推荐成交候选供应商名单的工作程序进行评审。在上一步评审中被废标者，不进入下一步的评审。</w:t>
      </w:r>
    </w:p>
    <w:p w14:paraId="3A549315">
      <w:pPr>
        <w:spacing w:line="360" w:lineRule="auto"/>
        <w:ind w:firstLine="496" w:firstLineChars="200"/>
        <w:rPr>
          <w:rFonts w:ascii="宋体" w:hAnsi="宋体" w:cs="宋体"/>
          <w:spacing w:val="4"/>
          <w:sz w:val="24"/>
          <w:szCs w:val="24"/>
          <w:highlight w:val="none"/>
        </w:rPr>
      </w:pPr>
      <w:r>
        <w:rPr>
          <w:rFonts w:hint="eastAsia" w:ascii="宋体" w:hAnsi="宋体" w:cs="宋体"/>
          <w:spacing w:val="4"/>
          <w:sz w:val="24"/>
          <w:szCs w:val="24"/>
          <w:highlight w:val="none"/>
        </w:rPr>
        <w:t>按照以下内容对谈判响应文件初审，一项不合格即为无效谈判</w:t>
      </w:r>
    </w:p>
    <w:p w14:paraId="49F0FB8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1、谈判响应文件的资格性检查</w:t>
      </w:r>
    </w:p>
    <w:p w14:paraId="6DB5F226">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谈判小组对供应商的谈判响应文件资格部分进行资格性审查，以确定其是否符合谈判文件要求。</w:t>
      </w:r>
    </w:p>
    <w:p w14:paraId="7CC7722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2、谈判响应文件的符合性审查：</w:t>
      </w:r>
    </w:p>
    <w:p w14:paraId="46190C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谈判小组对符合资格的供应商的谈判响应文件进行符合性审查，以确定其是否满足谈判响应文件的商务、技术等实质性要求。</w:t>
      </w:r>
    </w:p>
    <w:p w14:paraId="6187E24D">
      <w:pPr>
        <w:pStyle w:val="11"/>
        <w:spacing w:before="156" w:beforeLines="50" w:line="360" w:lineRule="auto"/>
        <w:ind w:firstLine="561"/>
        <w:jc w:val="center"/>
        <w:rPr>
          <w:rFonts w:ascii="宋体" w:hAnsi="宋体" w:cs="宋体"/>
          <w:b/>
          <w:sz w:val="24"/>
          <w:szCs w:val="24"/>
          <w:highlight w:val="none"/>
        </w:rPr>
      </w:pPr>
      <w:r>
        <w:rPr>
          <w:rFonts w:hint="eastAsia" w:ascii="宋体" w:hAnsi="宋体" w:cs="宋体"/>
          <w:b/>
          <w:sz w:val="24"/>
          <w:szCs w:val="24"/>
          <w:highlight w:val="none"/>
        </w:rPr>
        <w:t>符合性审查因素</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09"/>
        <w:gridCol w:w="6208"/>
      </w:tblGrid>
      <w:tr w14:paraId="45A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574" w:type="pct"/>
            <w:vAlign w:val="center"/>
          </w:tcPr>
          <w:p w14:paraId="0F795978">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121" w:type="pct"/>
            <w:vAlign w:val="center"/>
          </w:tcPr>
          <w:p w14:paraId="5623C474">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符合性审查类别</w:t>
            </w:r>
          </w:p>
        </w:tc>
        <w:tc>
          <w:tcPr>
            <w:tcW w:w="3303" w:type="pct"/>
            <w:vAlign w:val="center"/>
          </w:tcPr>
          <w:p w14:paraId="0F487E17">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审查内容</w:t>
            </w:r>
          </w:p>
        </w:tc>
      </w:tr>
      <w:tr w14:paraId="429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574" w:type="pct"/>
            <w:vAlign w:val="center"/>
          </w:tcPr>
          <w:p w14:paraId="3118D09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1</w:t>
            </w:r>
          </w:p>
        </w:tc>
        <w:tc>
          <w:tcPr>
            <w:tcW w:w="1121" w:type="pct"/>
            <w:vAlign w:val="center"/>
          </w:tcPr>
          <w:p w14:paraId="6A89D7C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谈判响应文件的完整性审查</w:t>
            </w:r>
          </w:p>
        </w:tc>
        <w:tc>
          <w:tcPr>
            <w:tcW w:w="3303" w:type="pct"/>
            <w:vAlign w:val="center"/>
          </w:tcPr>
          <w:p w14:paraId="30DE416F">
            <w:pPr>
              <w:spacing w:line="360" w:lineRule="exact"/>
              <w:rPr>
                <w:rFonts w:ascii="宋体" w:hAnsi="宋体" w:cs="宋体"/>
                <w:sz w:val="24"/>
                <w:szCs w:val="24"/>
                <w:highlight w:val="none"/>
              </w:rPr>
            </w:pPr>
            <w:r>
              <w:rPr>
                <w:rFonts w:hint="eastAsia" w:ascii="宋体" w:hAnsi="宋体" w:cs="宋体"/>
                <w:sz w:val="24"/>
                <w:szCs w:val="24"/>
                <w:highlight w:val="none"/>
              </w:rPr>
              <w:t>1、谈判响应文件是否按照谈判文件要求的格式编写；</w:t>
            </w:r>
          </w:p>
          <w:p w14:paraId="5854F3F5">
            <w:pPr>
              <w:spacing w:line="360" w:lineRule="exact"/>
              <w:ind w:left="12" w:hanging="12" w:hangingChars="5"/>
              <w:jc w:val="left"/>
              <w:rPr>
                <w:rFonts w:ascii="宋体" w:hAnsi="宋体" w:cs="宋体"/>
                <w:sz w:val="24"/>
                <w:szCs w:val="24"/>
                <w:highlight w:val="none"/>
              </w:rPr>
            </w:pPr>
            <w:r>
              <w:rPr>
                <w:rFonts w:hint="eastAsia" w:ascii="宋体" w:hAnsi="宋体" w:cs="宋体"/>
                <w:sz w:val="24"/>
                <w:szCs w:val="24"/>
                <w:highlight w:val="none"/>
              </w:rPr>
              <w:t>2、谈判响应内容是否有重大缺漏项。</w:t>
            </w:r>
          </w:p>
        </w:tc>
      </w:tr>
      <w:tr w14:paraId="605C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trPr>
        <w:tc>
          <w:tcPr>
            <w:tcW w:w="574" w:type="pct"/>
            <w:vAlign w:val="center"/>
          </w:tcPr>
          <w:p w14:paraId="6C9DC335">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2</w:t>
            </w:r>
          </w:p>
        </w:tc>
        <w:tc>
          <w:tcPr>
            <w:tcW w:w="1121" w:type="pct"/>
            <w:vAlign w:val="center"/>
          </w:tcPr>
          <w:p w14:paraId="382B344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谈判响应文件的有效性审查</w:t>
            </w:r>
          </w:p>
        </w:tc>
        <w:tc>
          <w:tcPr>
            <w:tcW w:w="3303" w:type="pct"/>
            <w:vAlign w:val="center"/>
          </w:tcPr>
          <w:p w14:paraId="472704EC">
            <w:pPr>
              <w:spacing w:line="360" w:lineRule="exact"/>
              <w:rPr>
                <w:rFonts w:ascii="宋体" w:hAnsi="宋体" w:cs="宋体"/>
                <w:sz w:val="24"/>
                <w:szCs w:val="24"/>
                <w:highlight w:val="none"/>
              </w:rPr>
            </w:pPr>
            <w:r>
              <w:rPr>
                <w:rFonts w:hint="eastAsia" w:ascii="宋体" w:hAnsi="宋体" w:cs="宋体"/>
                <w:sz w:val="24"/>
                <w:szCs w:val="24"/>
                <w:highlight w:val="none"/>
              </w:rPr>
              <w:t>谈判响应文件的签署、加盖印章是否合格、有效；提供的各种证明文件、数据、资料是否真实、有效。</w:t>
            </w:r>
          </w:p>
        </w:tc>
      </w:tr>
      <w:tr w14:paraId="22F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74" w:type="pct"/>
            <w:vAlign w:val="center"/>
          </w:tcPr>
          <w:p w14:paraId="12CE5AB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3</w:t>
            </w:r>
          </w:p>
        </w:tc>
        <w:tc>
          <w:tcPr>
            <w:tcW w:w="1121" w:type="pct"/>
            <w:vAlign w:val="center"/>
          </w:tcPr>
          <w:p w14:paraId="57CD9551">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谈判响应文件的响应性审查</w:t>
            </w:r>
          </w:p>
        </w:tc>
        <w:tc>
          <w:tcPr>
            <w:tcW w:w="3303" w:type="pct"/>
            <w:vAlign w:val="center"/>
          </w:tcPr>
          <w:p w14:paraId="641E44E0">
            <w:pPr>
              <w:spacing w:line="360" w:lineRule="exact"/>
              <w:rPr>
                <w:rFonts w:ascii="宋体" w:hAnsi="宋体" w:cs="宋体"/>
                <w:sz w:val="24"/>
                <w:szCs w:val="24"/>
                <w:highlight w:val="none"/>
              </w:rPr>
            </w:pPr>
            <w:r>
              <w:rPr>
                <w:rFonts w:hint="eastAsia" w:ascii="宋体" w:hAnsi="宋体" w:cs="宋体"/>
                <w:sz w:val="24"/>
                <w:szCs w:val="24"/>
                <w:highlight w:val="none"/>
              </w:rPr>
              <w:t>1、谈判响应报价是否未超过预算；</w:t>
            </w:r>
          </w:p>
          <w:p w14:paraId="054E25CC">
            <w:pPr>
              <w:spacing w:line="360" w:lineRule="exact"/>
              <w:rPr>
                <w:rFonts w:ascii="宋体" w:hAnsi="宋体" w:cs="宋体"/>
                <w:sz w:val="24"/>
                <w:szCs w:val="24"/>
                <w:highlight w:val="none"/>
              </w:rPr>
            </w:pPr>
            <w:r>
              <w:rPr>
                <w:rFonts w:hint="eastAsia" w:ascii="宋体" w:hAnsi="宋体" w:cs="宋体"/>
                <w:sz w:val="24"/>
                <w:szCs w:val="24"/>
                <w:highlight w:val="none"/>
              </w:rPr>
              <w:t>2、谈判有效期是否符合谈判文件的要求；</w:t>
            </w:r>
          </w:p>
          <w:p w14:paraId="2C74BB21">
            <w:pPr>
              <w:spacing w:line="360" w:lineRule="exact"/>
              <w:rPr>
                <w:rFonts w:ascii="宋体" w:hAnsi="宋体" w:cs="宋体"/>
                <w:sz w:val="24"/>
                <w:szCs w:val="24"/>
                <w:highlight w:val="none"/>
              </w:rPr>
            </w:pPr>
            <w:r>
              <w:rPr>
                <w:rFonts w:hint="eastAsia" w:ascii="宋体" w:hAnsi="宋体" w:cs="宋体"/>
                <w:sz w:val="24"/>
                <w:szCs w:val="24"/>
                <w:highlight w:val="none"/>
              </w:rPr>
              <w:t>3、交货期是否符合谈判文件的要求；</w:t>
            </w:r>
          </w:p>
          <w:p w14:paraId="11C69ED4">
            <w:pPr>
              <w:spacing w:line="360" w:lineRule="exact"/>
              <w:rPr>
                <w:rFonts w:ascii="宋体" w:hAnsi="宋体" w:cs="宋体"/>
                <w:sz w:val="24"/>
                <w:szCs w:val="24"/>
                <w:highlight w:val="none"/>
              </w:rPr>
            </w:pPr>
            <w:r>
              <w:rPr>
                <w:rFonts w:hint="eastAsia" w:ascii="宋体" w:hAnsi="宋体" w:cs="宋体"/>
                <w:sz w:val="24"/>
                <w:szCs w:val="24"/>
                <w:highlight w:val="none"/>
              </w:rPr>
              <w:t>4、质量保证是否符合谈判文件的要求；</w:t>
            </w:r>
          </w:p>
          <w:p w14:paraId="6467993B">
            <w:pPr>
              <w:spacing w:line="360" w:lineRule="exact"/>
              <w:rPr>
                <w:rFonts w:hint="eastAsia" w:ascii="宋体" w:hAnsi="宋体" w:cs="宋体"/>
                <w:sz w:val="24"/>
                <w:szCs w:val="24"/>
                <w:highlight w:val="none"/>
              </w:rPr>
            </w:pPr>
            <w:r>
              <w:rPr>
                <w:rFonts w:hint="eastAsia" w:ascii="宋体" w:hAnsi="宋体" w:cs="宋体"/>
                <w:sz w:val="24"/>
                <w:szCs w:val="24"/>
                <w:highlight w:val="none"/>
              </w:rPr>
              <w:t>5、谈判响应文件是否实质性响应了谈判文件要求的全部条款、条件和要求；</w:t>
            </w:r>
          </w:p>
          <w:p w14:paraId="3644B6D8">
            <w:pPr>
              <w:spacing w:line="360" w:lineRule="exact"/>
              <w:rPr>
                <w:rFonts w:hint="default" w:ascii="宋体" w:hAnsi="宋体" w:eastAsia="宋体" w:cs="宋体"/>
                <w:sz w:val="24"/>
                <w:szCs w:val="24"/>
                <w:highlight w:val="none"/>
                <w:lang w:val="en-US" w:eastAsia="zh-CN"/>
              </w:rPr>
            </w:pPr>
            <w:bookmarkStart w:id="69" w:name="_GoBack"/>
            <w:r>
              <w:rPr>
                <w:rFonts w:hint="eastAsia" w:ascii="宋体" w:hAnsi="宋体" w:cs="宋体"/>
                <w:sz w:val="24"/>
                <w:szCs w:val="24"/>
                <w:highlight w:val="none"/>
                <w:lang w:val="en-US" w:eastAsia="zh-CN"/>
              </w:rPr>
              <w:t>6、谈判响应文件参数要求提供的证明材料是否响应谈判文件的要求。</w:t>
            </w:r>
            <w:bookmarkEnd w:id="69"/>
          </w:p>
        </w:tc>
      </w:tr>
      <w:tr w14:paraId="4E3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96" w:type="pct"/>
            <w:gridSpan w:val="2"/>
            <w:vAlign w:val="center"/>
          </w:tcPr>
          <w:p w14:paraId="6F458587">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说明</w:t>
            </w:r>
          </w:p>
        </w:tc>
        <w:tc>
          <w:tcPr>
            <w:tcW w:w="3303" w:type="pct"/>
            <w:vAlign w:val="center"/>
          </w:tcPr>
          <w:p w14:paraId="4BEE9E61">
            <w:pPr>
              <w:spacing w:line="360" w:lineRule="exact"/>
              <w:rPr>
                <w:rFonts w:ascii="宋体" w:hAnsi="宋体" w:cs="宋体"/>
                <w:sz w:val="24"/>
                <w:szCs w:val="24"/>
                <w:highlight w:val="none"/>
              </w:rPr>
            </w:pPr>
            <w:r>
              <w:rPr>
                <w:rFonts w:hint="eastAsia" w:ascii="宋体" w:hAnsi="宋体" w:cs="宋体"/>
                <w:sz w:val="24"/>
                <w:szCs w:val="24"/>
                <w:highlight w:val="none"/>
              </w:rPr>
              <w:t>以上审查内容有一项不合格即按照无效谈判响应处理</w:t>
            </w:r>
          </w:p>
        </w:tc>
      </w:tr>
    </w:tbl>
    <w:p w14:paraId="7F4CC827">
      <w:pPr>
        <w:spacing w:line="360" w:lineRule="auto"/>
        <w:ind w:firstLine="482" w:firstLineChars="200"/>
        <w:rPr>
          <w:rFonts w:ascii="宋体" w:hAnsi="宋体" w:cs="宋体"/>
          <w:b/>
          <w:bCs/>
          <w:sz w:val="24"/>
          <w:szCs w:val="24"/>
          <w:highlight w:val="none"/>
        </w:rPr>
      </w:pPr>
    </w:p>
    <w:p w14:paraId="613EC92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评委会对报价明显偏低的审查：</w:t>
      </w:r>
    </w:p>
    <w:p w14:paraId="7A7A54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与各供应商谈判结束后，供应商提交二次报价，谈判小组认为供应商的二次报价明显低于其他通过符合性审查供应商的报价，有可能影响货物质量或者不能诚信履约的，应当要求其在谈判现场合理的时间内提供书面说明，必要时提交相关证明材料；供应商不能证明其报价合理性的，评标委员会应当将其作为无效谈判响应处理。</w:t>
      </w:r>
    </w:p>
    <w:p w14:paraId="08505952">
      <w:pPr>
        <w:keepNext/>
        <w:keepLines/>
        <w:spacing w:before="312" w:beforeLines="100" w:after="156" w:afterLines="50" w:line="360" w:lineRule="auto"/>
        <w:rPr>
          <w:rFonts w:ascii="宋体" w:hAnsi="宋体" w:cs="宋体"/>
          <w:b/>
          <w:sz w:val="24"/>
          <w:szCs w:val="24"/>
          <w:highlight w:val="none"/>
        </w:rPr>
      </w:pPr>
      <w:r>
        <w:rPr>
          <w:rFonts w:hint="eastAsia" w:ascii="宋体" w:hAnsi="宋体" w:cs="宋体"/>
          <w:b/>
          <w:sz w:val="24"/>
          <w:szCs w:val="24"/>
          <w:highlight w:val="none"/>
        </w:rPr>
        <w:t>7、成交、通知与签约</w:t>
      </w:r>
    </w:p>
    <w:bookmarkEnd w:id="27"/>
    <w:bookmarkEnd w:id="28"/>
    <w:bookmarkEnd w:id="29"/>
    <w:p w14:paraId="712837F8">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7.1谈判小组根据评审方法的规定对谈判供应商进行评审排序，推荐1～3名成交候选人，作为评审结果。评审结果由全体评委签字确认。</w:t>
      </w:r>
    </w:p>
    <w:p w14:paraId="7417D9E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7.2采购人根据谈判报告中推荐的成交候选人排列顺序，确定排名第一的为成交人。</w:t>
      </w:r>
    </w:p>
    <w:p w14:paraId="7780114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7.3</w:t>
      </w:r>
      <w:r>
        <w:rPr>
          <w:rFonts w:hint="eastAsia" w:ascii="宋体" w:hAnsi="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cs="宋体"/>
          <w:sz w:val="24"/>
          <w:szCs w:val="24"/>
          <w:highlight w:val="none"/>
        </w:rPr>
        <w:t>。</w:t>
      </w:r>
    </w:p>
    <w:p w14:paraId="275A3E0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7.4采购人也可以授权谈判小组评审后直接确定成交人。</w:t>
      </w:r>
    </w:p>
    <w:p w14:paraId="56590070">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7.5成交人确定之后，成交结果将在财政部门指定的政府采购信息发布媒体上公告。</w:t>
      </w:r>
    </w:p>
    <w:p w14:paraId="3284F559">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7.6供应商或者其他利害关系人对评审结果有异议的，应当在法律规定的时间内提出。</w:t>
      </w:r>
    </w:p>
    <w:p w14:paraId="4D2289EA">
      <w:pPr>
        <w:spacing w:line="500" w:lineRule="exact"/>
        <w:rPr>
          <w:rFonts w:ascii="宋体" w:hAnsi="宋体" w:cs="宋体"/>
          <w:b/>
          <w:sz w:val="24"/>
          <w:szCs w:val="24"/>
          <w:highlight w:val="none"/>
        </w:rPr>
      </w:pPr>
      <w:r>
        <w:rPr>
          <w:rFonts w:hint="eastAsia" w:ascii="宋体" w:hAnsi="宋体" w:cs="宋体"/>
          <w:b/>
          <w:sz w:val="24"/>
          <w:szCs w:val="24"/>
          <w:highlight w:val="none"/>
        </w:rPr>
        <w:t>8．成交与落标通知</w:t>
      </w:r>
    </w:p>
    <w:p w14:paraId="08161B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8.1 采购代理机构向成交人发出《成交通知书》。 </w:t>
      </w:r>
    </w:p>
    <w:p w14:paraId="091CBCF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8.2成交通知书对采购人和成交人具有同等法律效力。成交通知书发出之后，采购人改变成交结果，或者成交人放弃成交，应当承担相应的法律责任。</w:t>
      </w:r>
    </w:p>
    <w:p w14:paraId="090F9657">
      <w:pPr>
        <w:spacing w:line="500" w:lineRule="exact"/>
        <w:rPr>
          <w:rFonts w:ascii="宋体" w:hAnsi="宋体" w:cs="宋体"/>
          <w:b/>
          <w:sz w:val="24"/>
          <w:szCs w:val="24"/>
          <w:highlight w:val="none"/>
        </w:rPr>
      </w:pPr>
      <w:r>
        <w:rPr>
          <w:rFonts w:hint="eastAsia" w:ascii="宋体" w:hAnsi="宋体" w:cs="宋体"/>
          <w:b/>
          <w:sz w:val="24"/>
          <w:szCs w:val="24"/>
          <w:highlight w:val="none"/>
        </w:rPr>
        <w:t>9. 成交合同的签订</w:t>
      </w:r>
    </w:p>
    <w:p w14:paraId="43553F8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127E67B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9.2采购人自采购合同签订之日起七个工作日内，将采购合同副本报同级人民政府财政部门备案。</w:t>
      </w:r>
    </w:p>
    <w:p w14:paraId="63129D0E">
      <w:pPr>
        <w:spacing w:line="500" w:lineRule="exact"/>
        <w:rPr>
          <w:rFonts w:ascii="宋体" w:hAnsi="宋体" w:cs="宋体"/>
          <w:b/>
          <w:sz w:val="24"/>
          <w:szCs w:val="24"/>
          <w:highlight w:val="none"/>
        </w:rPr>
      </w:pPr>
      <w:r>
        <w:rPr>
          <w:rFonts w:hint="eastAsia" w:ascii="宋体" w:hAnsi="宋体" w:cs="宋体"/>
          <w:b/>
          <w:sz w:val="24"/>
          <w:szCs w:val="24"/>
          <w:highlight w:val="none"/>
        </w:rPr>
        <w:t>10．成交代理服务费</w:t>
      </w:r>
    </w:p>
    <w:p w14:paraId="51B585E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10.1、1、按国家计委颁发的《招标代理服务收费管理暂行办法》（计价格[2002]1980号）和国家发展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改革委员会办公厅颁发的《关于招标代理服务收费有关问题的通知》（发改办价格[2003]857号）的有关规定执行。</w:t>
      </w:r>
    </w:p>
    <w:p w14:paraId="49C4D9B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10.2、成交供应商在领取成交通知书前，须向采购代理机构一次性支付招标代理服务费。</w:t>
      </w:r>
    </w:p>
    <w:p w14:paraId="34FE1DFE">
      <w:pPr>
        <w:spacing w:line="600" w:lineRule="exact"/>
        <w:rPr>
          <w:rFonts w:ascii="宋体" w:hAnsi="宋体" w:cs="宋体"/>
          <w:b/>
          <w:bCs/>
          <w:sz w:val="24"/>
          <w:szCs w:val="24"/>
          <w:highlight w:val="none"/>
        </w:rPr>
      </w:pPr>
      <w:r>
        <w:rPr>
          <w:rFonts w:hint="eastAsia" w:ascii="宋体" w:hAnsi="宋体" w:cs="宋体"/>
          <w:b/>
          <w:bCs/>
          <w:sz w:val="24"/>
          <w:szCs w:val="24"/>
          <w:highlight w:val="none"/>
        </w:rPr>
        <w:t>11.质疑</w:t>
      </w:r>
    </w:p>
    <w:p w14:paraId="55ABFAFB">
      <w:pPr>
        <w:spacing w:line="500" w:lineRule="exact"/>
        <w:ind w:right="12" w:firstLine="480"/>
        <w:rPr>
          <w:rFonts w:ascii="宋体" w:hAnsi="宋体" w:cs="宋体"/>
          <w:sz w:val="24"/>
          <w:szCs w:val="24"/>
          <w:highlight w:val="none"/>
        </w:rPr>
      </w:pPr>
      <w:r>
        <w:rPr>
          <w:rFonts w:hint="eastAsia" w:ascii="宋体" w:hAnsi="宋体" w:cs="宋体"/>
          <w:sz w:val="24"/>
          <w:szCs w:val="24"/>
          <w:highlight w:val="none"/>
        </w:rPr>
        <w:t>11.1供应商认为谈判文件、谈判过程、谈判结果使自己的合法权益受到损害的，可以在法律规定的时间内以书面形式向采购人、采购代理机构提出质疑。</w:t>
      </w:r>
    </w:p>
    <w:p w14:paraId="2BA39E7D">
      <w:pPr>
        <w:spacing w:line="500" w:lineRule="exact"/>
        <w:ind w:left="177" w:leftChars="66" w:hanging="38" w:hangingChars="16"/>
        <w:rPr>
          <w:rStyle w:val="24"/>
          <w:rFonts w:ascii="宋体" w:hAnsi="宋体" w:cs="宋体"/>
          <w:b/>
          <w:bCs w:val="0"/>
          <w:sz w:val="24"/>
          <w:szCs w:val="24"/>
          <w:highlight w:val="none"/>
          <w:shd w:val="clear" w:color="auto" w:fill="FFFFFF"/>
        </w:rPr>
      </w:pPr>
      <w:r>
        <w:rPr>
          <w:rFonts w:hint="eastAsia" w:ascii="宋体" w:hAnsi="宋体" w:cs="宋体"/>
          <w:sz w:val="24"/>
          <w:szCs w:val="24"/>
          <w:highlight w:val="none"/>
        </w:rPr>
        <w:t xml:space="preserve">   11.2</w:t>
      </w:r>
      <w:r>
        <w:rPr>
          <w:rStyle w:val="24"/>
          <w:rFonts w:hint="eastAsia" w:ascii="宋体" w:hAnsi="宋体" w:cs="宋体"/>
          <w:sz w:val="24"/>
          <w:szCs w:val="24"/>
          <w:highlight w:val="none"/>
          <w:shd w:val="clear" w:color="auto" w:fill="FFFFFF"/>
        </w:rPr>
        <w:t xml:space="preserve"> 提交质疑书需携带以下资料：</w:t>
      </w:r>
    </w:p>
    <w:p w14:paraId="559FED93">
      <w:pPr>
        <w:spacing w:line="500" w:lineRule="exact"/>
        <w:ind w:left="458" w:leftChars="218"/>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11.2.1加盖公章的营业执照副本复印件；</w:t>
      </w:r>
    </w:p>
    <w:p w14:paraId="5E90A8D8">
      <w:pPr>
        <w:spacing w:line="460" w:lineRule="exact"/>
        <w:ind w:left="17" w:leftChars="8" w:firstLine="439" w:firstLineChars="183"/>
        <w:rPr>
          <w:rFonts w:ascii="宋体" w:hAnsi="宋体" w:cs="宋体"/>
          <w:sz w:val="24"/>
          <w:szCs w:val="24"/>
          <w:highlight w:val="none"/>
        </w:rPr>
      </w:pPr>
      <w:r>
        <w:rPr>
          <w:rStyle w:val="24"/>
          <w:rFonts w:hint="eastAsia" w:ascii="宋体" w:hAnsi="宋体" w:cs="宋体"/>
          <w:sz w:val="24"/>
          <w:szCs w:val="24"/>
          <w:highlight w:val="none"/>
          <w:shd w:val="clear" w:color="auto" w:fill="FFFFFF"/>
        </w:rPr>
        <w:t>11.2.2法定代表人针对本项目的专项授权书（须经法定代表人签字并加盖法人章和单位公章）及被授权人身份证复印件（查看原件）；法定代表人提交质疑书须提交其身份证复印件（查看原件）。</w:t>
      </w:r>
    </w:p>
    <w:p w14:paraId="7D4D8340">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11.3</w:t>
      </w:r>
      <w:r>
        <w:rPr>
          <w:rFonts w:hint="eastAsia" w:ascii="宋体" w:hAnsi="宋体" w:cs="宋体"/>
          <w:bCs/>
          <w:sz w:val="24"/>
          <w:szCs w:val="24"/>
          <w:highlight w:val="none"/>
        </w:rPr>
        <w:t>质疑书应该包含以下主要内容：</w:t>
      </w:r>
    </w:p>
    <w:p w14:paraId="34CF3655">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11.3.1质疑供应商的基本情况信息：</w:t>
      </w:r>
      <w:r>
        <w:rPr>
          <w:rFonts w:hint="eastAsia" w:ascii="宋体" w:hAnsi="宋体" w:cs="宋体"/>
          <w:sz w:val="24"/>
          <w:szCs w:val="24"/>
          <w:highlight w:val="none"/>
          <w:shd w:val="clear" w:color="auto" w:fill="FFFFFF"/>
        </w:rPr>
        <w:t>名称、地址、法定代表人、委托代理人、电话、邮编。</w:t>
      </w:r>
    </w:p>
    <w:p w14:paraId="1F6CCAC0">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11.3.2所质疑的政府采购项目的信息：包含采购人或者采购代理机构名称、项目名称、包（标段）、编号。</w:t>
      </w:r>
    </w:p>
    <w:p w14:paraId="35FFDF56">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11.3.3具体的质疑事项。</w:t>
      </w:r>
      <w:r>
        <w:rPr>
          <w:rFonts w:hint="eastAsia" w:ascii="宋体" w:hAnsi="宋体" w:cs="宋体"/>
          <w:bCs/>
          <w:sz w:val="24"/>
          <w:szCs w:val="24"/>
          <w:highlight w:val="none"/>
          <w:shd w:val="clear" w:color="auto" w:fill="FFFFFF"/>
        </w:rPr>
        <w:t>质疑事项不得超出法定范围并且与质疑供应商有利害关系。</w:t>
      </w:r>
    </w:p>
    <w:p w14:paraId="7C2BDCE8">
      <w:pPr>
        <w:tabs>
          <w:tab w:val="left" w:pos="420"/>
        </w:tabs>
        <w:spacing w:line="500" w:lineRule="exact"/>
        <w:ind w:left="78" w:leftChars="37"/>
        <w:rPr>
          <w:rStyle w:val="24"/>
          <w:rFonts w:ascii="宋体" w:hAnsi="宋体" w:cs="宋体"/>
          <w:sz w:val="24"/>
          <w:szCs w:val="24"/>
          <w:highlight w:val="none"/>
          <w:shd w:val="clear" w:color="auto" w:fill="FFFFFF"/>
        </w:rPr>
      </w:pPr>
      <w:r>
        <w:rPr>
          <w:rFonts w:hint="eastAsia" w:ascii="宋体" w:hAnsi="宋体" w:cs="宋体"/>
          <w:bCs/>
          <w:sz w:val="24"/>
          <w:szCs w:val="24"/>
          <w:highlight w:val="none"/>
          <w:shd w:val="clear" w:color="auto" w:fill="FFFFFF"/>
        </w:rPr>
        <w:t xml:space="preserve">   11.3.4明确、</w:t>
      </w:r>
      <w:r>
        <w:rPr>
          <w:rStyle w:val="24"/>
          <w:rFonts w:hint="eastAsia" w:ascii="宋体" w:hAnsi="宋体" w:cs="宋体"/>
          <w:sz w:val="24"/>
          <w:szCs w:val="24"/>
          <w:highlight w:val="none"/>
          <w:shd w:val="clear" w:color="auto" w:fill="FFFFFF"/>
        </w:rPr>
        <w:t>具体的质疑请求。</w:t>
      </w:r>
    </w:p>
    <w:p w14:paraId="2A366137">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11.3.5质疑所依据的事实、理由和法律依据及证明材料。</w:t>
      </w:r>
    </w:p>
    <w:p w14:paraId="44EF044F">
      <w:pPr>
        <w:tabs>
          <w:tab w:val="left" w:pos="420"/>
        </w:tabs>
        <w:spacing w:line="500" w:lineRule="exact"/>
        <w:ind w:left="78" w:leftChars="37"/>
        <w:rPr>
          <w:rFonts w:ascii="宋体" w:hAnsi="宋体" w:cs="宋体"/>
          <w:sz w:val="24"/>
          <w:szCs w:val="24"/>
          <w:highlight w:val="none"/>
        </w:rPr>
      </w:pPr>
      <w:r>
        <w:rPr>
          <w:rStyle w:val="24"/>
          <w:rFonts w:hint="eastAsia" w:ascii="宋体" w:hAnsi="宋体" w:cs="宋体"/>
          <w:sz w:val="24"/>
          <w:szCs w:val="24"/>
          <w:highlight w:val="none"/>
          <w:shd w:val="clear" w:color="auto" w:fill="FFFFFF"/>
        </w:rPr>
        <w:t xml:space="preserve">   11.3.6质疑书需要加盖质疑供应商公章并经法定代表人签字和盖章。</w:t>
      </w:r>
    </w:p>
    <w:p w14:paraId="48BD39D2">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11.4质疑答复</w:t>
      </w:r>
    </w:p>
    <w:p w14:paraId="6E6B4324">
      <w:pPr>
        <w:pStyle w:val="26"/>
        <w:spacing w:line="500" w:lineRule="exact"/>
        <w:ind w:left="334" w:firstLine="0" w:firstLineChars="0"/>
        <w:jc w:val="left"/>
        <w:rPr>
          <w:rFonts w:ascii="宋体" w:hAnsi="宋体" w:cs="宋体"/>
          <w:b/>
          <w:sz w:val="24"/>
          <w:szCs w:val="24"/>
          <w:highlight w:val="none"/>
        </w:rPr>
      </w:pPr>
      <w:r>
        <w:rPr>
          <w:rFonts w:hint="eastAsia" w:ascii="宋体" w:hAnsi="宋体" w:cs="宋体"/>
          <w:sz w:val="24"/>
          <w:szCs w:val="24"/>
          <w:highlight w:val="none"/>
        </w:rPr>
        <w:t xml:space="preserve"> 采购人或采购代理机构在收到供应商的书面质疑后将按规定的时间进行回复。</w:t>
      </w:r>
    </w:p>
    <w:p w14:paraId="684194A5">
      <w:pPr>
        <w:spacing w:line="500" w:lineRule="exact"/>
        <w:rPr>
          <w:rFonts w:ascii="宋体" w:hAnsi="宋体" w:cs="宋体"/>
          <w:b/>
          <w:sz w:val="24"/>
          <w:szCs w:val="24"/>
          <w:highlight w:val="none"/>
        </w:rPr>
      </w:pPr>
      <w:r>
        <w:rPr>
          <w:rFonts w:hint="eastAsia" w:ascii="宋体" w:hAnsi="宋体" w:cs="宋体"/>
          <w:b/>
          <w:sz w:val="24"/>
          <w:szCs w:val="24"/>
          <w:highlight w:val="none"/>
        </w:rPr>
        <w:t>12.其他</w:t>
      </w:r>
    </w:p>
    <w:p w14:paraId="0090222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12.1谈判步骤为：第一次报价---分别谈判---第二次报价---评审推荐成交人。（注：标书拆封时的价格视为第一次报价，无效谈判供应商将不得进入第二次报价）。</w:t>
      </w:r>
    </w:p>
    <w:p w14:paraId="6DD0E742">
      <w:pPr>
        <w:spacing w:line="500" w:lineRule="exact"/>
        <w:ind w:firstLine="480" w:firstLineChars="200"/>
        <w:rPr>
          <w:rFonts w:ascii="宋体" w:hAnsi="宋体" w:cs="宋体"/>
          <w:sz w:val="24"/>
          <w:szCs w:val="24"/>
          <w:highlight w:val="none"/>
        </w:rPr>
      </w:pPr>
      <w:r>
        <w:rPr>
          <w:rFonts w:hint="eastAsia" w:ascii="宋体" w:hAnsi="宋体" w:cs="宋体"/>
          <w:sz w:val="24"/>
          <w:highlight w:val="none"/>
        </w:rPr>
        <w:t>12.2当第二次报价全部超过财政预算限额或均低于公认的制作成本时，谈判小组有权决定是否谈判失败或进行第三次报价。当第三次报价若超出财政预算，且采购人又无力支付，谈判小组有权决定谈判失败。</w:t>
      </w:r>
    </w:p>
    <w:p w14:paraId="430B39EA">
      <w:pPr>
        <w:spacing w:line="500" w:lineRule="exact"/>
        <w:ind w:firstLine="480" w:firstLineChars="200"/>
        <w:rPr>
          <w:rFonts w:ascii="宋体" w:hAnsi="宋体" w:cs="宋体"/>
          <w:spacing w:val="5"/>
          <w:sz w:val="24"/>
          <w:highlight w:val="none"/>
        </w:rPr>
      </w:pPr>
      <w:r>
        <w:rPr>
          <w:rFonts w:hint="eastAsia" w:ascii="宋体" w:hAnsi="宋体" w:cs="宋体"/>
          <w:sz w:val="24"/>
          <w:highlight w:val="none"/>
        </w:rPr>
        <w:t>13.3</w:t>
      </w:r>
      <w:r>
        <w:rPr>
          <w:rFonts w:hint="eastAsia" w:ascii="宋体" w:hAnsi="宋体" w:cs="宋体"/>
          <w:spacing w:val="5"/>
          <w:sz w:val="24"/>
          <w:highlight w:val="none"/>
        </w:rPr>
        <w:t>在采购过程中符合竞争要求的供应商不足3家的，且采购单位或谈判小组不推荐的，须终止谈判采购活动，发布项目终止公告并说明原因，重新开展采购活动。</w:t>
      </w:r>
    </w:p>
    <w:p w14:paraId="010A7E01">
      <w:pPr>
        <w:spacing w:line="500" w:lineRule="exact"/>
        <w:ind w:firstLine="480" w:firstLineChars="200"/>
        <w:rPr>
          <w:rFonts w:ascii="宋体" w:hAnsi="宋体" w:cs="宋体"/>
          <w:sz w:val="24"/>
          <w:highlight w:val="none"/>
        </w:rPr>
      </w:pPr>
      <w:r>
        <w:rPr>
          <w:rFonts w:hint="eastAsia" w:ascii="宋体" w:hAnsi="宋体" w:cs="宋体"/>
          <w:sz w:val="24"/>
          <w:highlight w:val="none"/>
        </w:rPr>
        <w:t>14.4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20671AAE">
      <w:pPr>
        <w:spacing w:line="360" w:lineRule="auto"/>
        <w:rPr>
          <w:rFonts w:ascii="宋体" w:hAnsi="宋体" w:cs="宋体"/>
          <w:b/>
          <w:spacing w:val="4"/>
          <w:sz w:val="24"/>
          <w:szCs w:val="24"/>
          <w:highlight w:val="none"/>
        </w:rPr>
      </w:pPr>
      <w:r>
        <w:rPr>
          <w:rFonts w:hint="eastAsia" w:ascii="宋体" w:hAnsi="宋体" w:cs="宋体"/>
          <w:b/>
          <w:spacing w:val="4"/>
          <w:sz w:val="24"/>
          <w:szCs w:val="24"/>
          <w:highlight w:val="none"/>
        </w:rPr>
        <w:t>13、确定成交单位</w:t>
      </w:r>
    </w:p>
    <w:p w14:paraId="7A39CAA8">
      <w:pPr>
        <w:spacing w:line="500" w:lineRule="exact"/>
        <w:ind w:firstLine="480" w:firstLineChars="200"/>
        <w:rPr>
          <w:rFonts w:ascii="宋体" w:hAnsi="宋体" w:cs="宋体"/>
          <w:sz w:val="24"/>
          <w:highlight w:val="none"/>
        </w:rPr>
      </w:pPr>
      <w:r>
        <w:rPr>
          <w:rFonts w:hint="eastAsia" w:ascii="宋体" w:hAnsi="宋体" w:cs="宋体"/>
          <w:sz w:val="24"/>
          <w:highlight w:val="none"/>
        </w:rPr>
        <w:t>1、评审结果由全体谈判小组会成员签字确认。</w:t>
      </w:r>
    </w:p>
    <w:p w14:paraId="18B49B98">
      <w:pPr>
        <w:spacing w:line="500" w:lineRule="exact"/>
        <w:ind w:firstLine="480" w:firstLineChars="200"/>
        <w:rPr>
          <w:highlight w:val="none"/>
        </w:rPr>
        <w:sectPr>
          <w:footerReference r:id="rId6" w:type="default"/>
          <w:pgSz w:w="11906" w:h="16838"/>
          <w:pgMar w:top="1304" w:right="1361" w:bottom="1304" w:left="1361" w:header="851" w:footer="992" w:gutter="0"/>
          <w:pgNumType w:start="1"/>
          <w:cols w:space="720" w:num="1"/>
          <w:docGrid w:type="lines" w:linePitch="312" w:charSpace="0"/>
        </w:sectPr>
      </w:pPr>
      <w:r>
        <w:rPr>
          <w:rFonts w:hint="eastAsia" w:ascii="宋体" w:hAnsi="宋体" w:cs="宋体"/>
          <w:sz w:val="24"/>
          <w:highlight w:val="none"/>
        </w:rPr>
        <w:t>2、采购人根据评审报告中推荐的成交候选人排列顺序确定供应商，以复函通知采购代理机构。</w:t>
      </w:r>
    </w:p>
    <w:p w14:paraId="3C1AE57C">
      <w:pPr>
        <w:pStyle w:val="3"/>
        <w:numPr>
          <w:ilvl w:val="0"/>
          <w:numId w:val="0"/>
        </w:numPr>
        <w:jc w:val="center"/>
        <w:rPr>
          <w:rFonts w:hint="eastAsia" w:ascii="宋体" w:hAnsi="宋体" w:cs="宋体"/>
          <w:bCs/>
          <w:sz w:val="36"/>
          <w:szCs w:val="36"/>
          <w:highlight w:val="none"/>
        </w:rPr>
      </w:pPr>
      <w:bookmarkStart w:id="30" w:name="_Toc6792"/>
      <w:r>
        <w:rPr>
          <w:rFonts w:hint="eastAsia" w:ascii="宋体" w:hAnsi="宋体" w:eastAsia="宋体" w:cs="宋体"/>
          <w:b/>
          <w:bCs/>
          <w:kern w:val="44"/>
          <w:sz w:val="36"/>
          <w:szCs w:val="36"/>
          <w:lang w:val="en-US" w:eastAsia="zh-CN" w:bidi="ar-SA"/>
        </w:rPr>
        <w:t>第三章</w:t>
      </w:r>
      <w:r>
        <w:rPr>
          <w:rFonts w:hint="eastAsia" w:ascii="宋体" w:hAnsi="宋体" w:cs="宋体"/>
          <w:b/>
          <w:bCs/>
          <w:kern w:val="44"/>
          <w:sz w:val="36"/>
          <w:szCs w:val="36"/>
          <w:lang w:val="en-US" w:eastAsia="zh-CN" w:bidi="ar-SA"/>
        </w:rPr>
        <w:t xml:space="preserve"> </w:t>
      </w:r>
      <w:r>
        <w:rPr>
          <w:rFonts w:hint="eastAsia" w:ascii="宋体" w:hAnsi="宋体" w:cs="宋体"/>
          <w:bCs/>
          <w:sz w:val="36"/>
          <w:szCs w:val="36"/>
          <w:highlight w:val="none"/>
        </w:rPr>
        <w:t>竞争性谈判内容及参数</w:t>
      </w:r>
      <w:bookmarkEnd w:id="30"/>
      <w:bookmarkStart w:id="31" w:name="_Toc421778377"/>
      <w:bookmarkStart w:id="32" w:name="_Toc351989128"/>
      <w:bookmarkStart w:id="33" w:name="_Toc19346"/>
      <w:bookmarkStart w:id="34" w:name="_Toc221523521"/>
    </w:p>
    <w:p w14:paraId="3926E06F">
      <w:pPr>
        <w:widowControl w:val="0"/>
        <w:numPr>
          <w:ilvl w:val="0"/>
          <w:numId w:val="0"/>
        </w:numPr>
        <w:jc w:val="both"/>
      </w:pPr>
    </w:p>
    <w:tbl>
      <w:tblPr>
        <w:tblStyle w:val="21"/>
        <w:tblW w:w="50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869"/>
        <w:gridCol w:w="6698"/>
        <w:gridCol w:w="625"/>
        <w:gridCol w:w="664"/>
      </w:tblGrid>
      <w:tr w14:paraId="00646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1820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75B5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5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B80E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型号及技术参数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2233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A3002">
            <w:pPr>
              <w:keepNext w:val="0"/>
              <w:keepLines w:val="0"/>
              <w:widowControl/>
              <w:suppressLineNumbers w:val="0"/>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14:paraId="0AFC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013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96F8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防火墙</w:t>
            </w:r>
          </w:p>
        </w:tc>
        <w:tc>
          <w:tcPr>
            <w:tcW w:w="35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C8F51">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1.硬件架构参数：</w:t>
            </w:r>
          </w:p>
          <w:p w14:paraId="03D42CEC">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采用非X86多核架构，1U机架式设备，≥2个管理电口≥18个千兆电口≥8对Combo口≥4个Bypass口≥2个万兆光口≥1个Console口，≥2个USB口，配置≥480GB 硬盘 ， 电源：冗余电源，可扩硬盘插槽≥1个。</w:t>
            </w:r>
          </w:p>
          <w:p w14:paraId="442D5C62">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2.性能参数：</w:t>
            </w:r>
          </w:p>
          <w:p w14:paraId="1DE8004F">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三层吞吐量≥4.5Gbps，七层吞吐量≥2.5Gbps，并发连接数≥150万，每秒新建连接数（HTTP）≥2.5万</w:t>
            </w:r>
          </w:p>
          <w:p w14:paraId="4288DDAD">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配置授权：含三年入侵防御、防病毒、应用识别特征库升级服务，15个SSL VPN用户授权，链路负载不限制链路数量；</w:t>
            </w:r>
          </w:p>
          <w:p w14:paraId="14E52545">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3.安全托管服务：含一年安全托管基础版服务，支持对设备进统一纳管与策略下发，实时监测设备运行状态，支持自定义设备告警规则，在生成告警的第一时间以邮件形式对用户或运维工程师进行通报，支持按月推送安全分析报告</w:t>
            </w:r>
          </w:p>
          <w:p w14:paraId="1159EFF5">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★4.支持BFD和NQA网络协议，支持基于接口状态和路由状态等多种类型的探测机制来及时触发链路切换或主备切换，保障业务连续性（提供生产厂家认可的佐证材料，包含但不限于检测报告、官网截图等，并加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1D29596B">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5.支持策略风险调优，支持安全策略优化分析，支持策略数冗余及命中分析，支持基于应用风险的策略调优，可根据流量、应用、风险类型等细粒度展示，并给出总体安全评分，便于用户更好的管理安全策略；</w:t>
            </w:r>
          </w:p>
          <w:p w14:paraId="0345FE55">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★6.支持对检测到的攻击行为的前后报文进行自动化抓包功能，方便用户对攻击行为进行取证（提供生产厂家认可的佐证材料，包含但不限于检测报告、官网截图等，并加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3981D012">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7.支持HTTPS加密流量的安全检测，支持TCP代理和SSL代理，且代理策略中可同时配置多类过滤条件，具体包括：源安全域、目的安全域、源地址、目的地址、用户和服务。一类过滤条件可以配置多个匹配项；</w:t>
            </w:r>
          </w:p>
          <w:p w14:paraId="135586D1">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8.支持DNS透明代理功能，可基于负载均衡算法代理内网用户进行DNS请求转发，避免单运营商DNS解析出现单一链路流量过载，平衡多条运营商线路的带宽利用率；</w:t>
            </w:r>
          </w:p>
          <w:p w14:paraId="68E455F9">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★9.支持流量自学习功能，可设置自学习时间，并自动生成DDoS防范策略（提供生产厂家认可的佐证材料，包含但不限于检测报告、官网截图等，并加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6D61A38E">
            <w:pPr>
              <w:keepNext w:val="0"/>
              <w:keepLines w:val="0"/>
              <w:widowControl/>
              <w:suppressLineNumbers w:val="0"/>
              <w:spacing w:line="360" w:lineRule="auto"/>
              <w:jc w:val="left"/>
              <w:textAlignment w:val="center"/>
              <w:rPr>
                <w:rFonts w:hint="eastAsia" w:ascii="宋体" w:hAnsi="宋体" w:eastAsia="宋体" w:cs="宋体"/>
                <w:b w:val="0"/>
                <w:bCs w:val="0"/>
                <w:sz w:val="24"/>
                <w:szCs w:val="24"/>
                <w:lang w:val="en-US" w:eastAsia="zh-CN"/>
              </w:rPr>
            </w:pPr>
            <w:r>
              <w:rPr>
                <w:rStyle w:val="38"/>
                <w:rFonts w:hint="eastAsia" w:ascii="宋体" w:hAnsi="宋体" w:eastAsia="宋体" w:cs="宋体"/>
                <w:b w:val="0"/>
                <w:bCs w:val="0"/>
                <w:sz w:val="24"/>
                <w:szCs w:val="24"/>
                <w:lang w:val="en-US" w:eastAsia="zh-CN" w:bidi="ar"/>
              </w:rPr>
              <w:t>10.支持报文示踪功能，支持真实流量、导入报文、构造报文等方式，用于分析和追踪设备中各个安全业务模块。</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E4C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67D5">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r>
      <w:tr w14:paraId="15CC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7891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EFAB8">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安管一体机</w:t>
            </w:r>
          </w:p>
        </w:tc>
        <w:tc>
          <w:tcPr>
            <w:tcW w:w="35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99245">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1.【硬件参数】：采用国产化X86架构，规格：2U；接口：≥4千兆电≥2万兆光；</w:t>
            </w:r>
            <w:r>
              <w:rPr>
                <w:rStyle w:val="38"/>
                <w:rFonts w:hint="eastAsia" w:ascii="宋体" w:hAnsi="宋体" w:eastAsia="宋体" w:cs="宋体"/>
                <w:b w:val="0"/>
                <w:bCs w:val="0"/>
                <w:sz w:val="24"/>
                <w:szCs w:val="24"/>
                <w:highlight w:val="none"/>
                <w:lang w:val="en-US" w:eastAsia="zh-CN" w:bidi="ar"/>
              </w:rPr>
              <w:t>电源：标配≥800W双电源；</w:t>
            </w:r>
            <w:r>
              <w:rPr>
                <w:rStyle w:val="38"/>
                <w:rFonts w:hint="eastAsia" w:ascii="宋体" w:hAnsi="宋体" w:eastAsia="宋体" w:cs="宋体"/>
                <w:b w:val="0"/>
                <w:bCs w:val="0"/>
                <w:sz w:val="24"/>
                <w:szCs w:val="24"/>
                <w:lang w:val="en-US" w:eastAsia="zh-CN" w:bidi="ar"/>
              </w:rPr>
              <w:t>标配硬盘：≥2张4T机械硬盘，总硬盘容量：8T；内存≥96G；</w:t>
            </w:r>
          </w:p>
          <w:p w14:paraId="68E49D17">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2.【功能参数】：</w:t>
            </w:r>
          </w:p>
          <w:p w14:paraId="72D29B1D">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1）具备安全合规大屏展示功能，直观展示内网各类设备安全现状，并对各类设备的安全情况进行打分评定，帮助用户直观感受内网安全情况，（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6E388149">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2）可统一在管理平台展示CPU、内存、磁盘的资源使用情况，统计展示一天、一周、30天内设备告警情况，并对重要告警信息进行展示；</w:t>
            </w:r>
          </w:p>
          <w:p w14:paraId="2735374E">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3）可统一在管理平台对各个组件的运维数据进行集中统计展示；</w:t>
            </w:r>
          </w:p>
          <w:p w14:paraId="290A52B6">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4）可在管理平台进行①漏洞扫描、②日志审计、③运维审计功能的基础安全业务策略配置的免跳转下发；</w:t>
            </w:r>
          </w:p>
          <w:p w14:paraId="6F73F94A">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5）支持按照日志类型进行查询，支持操作日志、审计日志、流量日志、威胁日志、主机日志等11大类70子标签进行分类；支持多条件查询，包含开始时间、结束时间、动作类型、设备名称、日志等级、用户名、源IP、目的IP、协议等条件进行过滤查询展示（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485237CB">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6）支持全文检索原始日志，检索字段变色高亮；支持任意信息、任意时间进行内容查询匹配，支持可选包含/不包含匹配方式</w:t>
            </w:r>
          </w:p>
          <w:p w14:paraId="2B796DA9">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★7）支持针对工控专用设备包括PLC、SCADA、DCS、工控专用网络设备的漏洞扫描，支持扫描的工控插件不少于300条（提供生产厂家认可的佐证材料，包含但不限于检测报告、官网截图等，并加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36F5DF6D">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8）支持主流数据库漏洞的检测，应包括但不限于：Oralce、Sybase、SQLServer、DB2、MySQL、Postgres、Informix、达梦、南大通用、人大金仓、神通等（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0B108870">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★9）支持以树形结构展示网站目录结构，并在网站目录上关联显示相应漏洞，便于直观确定漏洞位置（提供生产厂家认可的佐证材料，包含但不限于检测报告、官网截图等，并加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3B00A3A0">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10）支持动态权限管控，管理员可基于用户属性、设备属性、系统账号属性来创建弹性动态权限规则，只要满足相关属性的用户、设备、账号即会被自动赋予对应访问权限；</w:t>
            </w:r>
          </w:p>
          <w:p w14:paraId="2D61D46C">
            <w:pPr>
              <w:keepNext w:val="0"/>
              <w:keepLines w:val="0"/>
              <w:widowControl/>
              <w:suppressLineNumbers w:val="0"/>
              <w:spacing w:line="360" w:lineRule="auto"/>
              <w:jc w:val="left"/>
              <w:textAlignment w:val="center"/>
              <w:rPr>
                <w:rStyle w:val="38"/>
                <w:rFonts w:hint="eastAsia"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★11）支持不同资产之间的联动配置，彼此之间可实现自动跳转访问（提供生产厂家认可的佐证材料，包含但不限于检测报告、官网截图等，并加</w:t>
            </w:r>
            <w:r>
              <w:rPr>
                <w:rStyle w:val="38"/>
                <w:rFonts w:hint="eastAsia" w:ascii="宋体" w:hAnsi="宋体" w:cs="宋体"/>
                <w:b w:val="0"/>
                <w:bCs w:val="0"/>
                <w:sz w:val="24"/>
                <w:szCs w:val="24"/>
                <w:lang w:val="en-US" w:eastAsia="zh-CN" w:bidi="ar"/>
              </w:rPr>
              <w:t>盖</w:t>
            </w:r>
            <w:r>
              <w:rPr>
                <w:rStyle w:val="38"/>
                <w:rFonts w:hint="eastAsia" w:ascii="宋体" w:hAnsi="宋体" w:eastAsia="宋体" w:cs="宋体"/>
                <w:b w:val="0"/>
                <w:bCs w:val="0"/>
                <w:sz w:val="24"/>
                <w:szCs w:val="24"/>
                <w:lang w:val="en-US" w:eastAsia="zh-CN" w:bidi="ar"/>
              </w:rPr>
              <w:t>生产厂家公章）；</w:t>
            </w:r>
          </w:p>
          <w:p w14:paraId="17852C24">
            <w:pPr>
              <w:keepNext w:val="0"/>
              <w:keepLines w:val="0"/>
              <w:widowControl/>
              <w:suppressLineNumbers w:val="0"/>
              <w:spacing w:line="360" w:lineRule="auto"/>
              <w:jc w:val="left"/>
              <w:textAlignment w:val="center"/>
              <w:rPr>
                <w:rFonts w:hint="eastAsia" w:ascii="宋体" w:hAnsi="宋体" w:eastAsia="宋体" w:cs="宋体"/>
                <w:b w:val="0"/>
                <w:bCs w:val="0"/>
                <w:sz w:val="24"/>
                <w:szCs w:val="24"/>
              </w:rPr>
            </w:pPr>
            <w:r>
              <w:rPr>
                <w:rStyle w:val="38"/>
                <w:rFonts w:hint="eastAsia" w:ascii="宋体" w:hAnsi="宋体" w:eastAsia="宋体" w:cs="宋体"/>
                <w:b w:val="0"/>
                <w:bCs w:val="0"/>
                <w:sz w:val="24"/>
                <w:szCs w:val="24"/>
                <w:lang w:val="en-US" w:eastAsia="zh-CN" w:bidi="ar"/>
              </w:rPr>
              <w:t>本次实配1.漏洞扫描功能授权，支持64个IP地址或域名授权；2.日志审计授权，包含32节点授权；3.运维审计授权，包含50个资产数量，最大支持扩容到500资产数量。</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9AFF4">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C4CC1">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套</w:t>
            </w:r>
          </w:p>
        </w:tc>
      </w:tr>
      <w:tr w14:paraId="7B7C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28BD3">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AB50B">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系统集成</w:t>
            </w:r>
          </w:p>
        </w:tc>
        <w:tc>
          <w:tcPr>
            <w:tcW w:w="35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CC0F">
            <w:pPr>
              <w:keepNext w:val="0"/>
              <w:keepLines w:val="0"/>
              <w:widowControl/>
              <w:suppressLineNumbers w:val="0"/>
              <w:spacing w:line="360" w:lineRule="auto"/>
              <w:jc w:val="left"/>
              <w:textAlignment w:val="center"/>
              <w:rPr>
                <w:rStyle w:val="38"/>
                <w:rFonts w:hint="default" w:ascii="宋体" w:hAnsi="宋体" w:eastAsia="宋体" w:cs="宋体"/>
                <w:b w:val="0"/>
                <w:bCs w:val="0"/>
                <w:sz w:val="24"/>
                <w:szCs w:val="24"/>
                <w:lang w:val="en-US" w:eastAsia="zh-CN" w:bidi="ar"/>
              </w:rPr>
            </w:pPr>
            <w:r>
              <w:rPr>
                <w:rStyle w:val="38"/>
                <w:rFonts w:hint="eastAsia" w:ascii="宋体" w:hAnsi="宋体" w:eastAsia="宋体" w:cs="宋体"/>
                <w:b w:val="0"/>
                <w:bCs w:val="0"/>
                <w:sz w:val="24"/>
                <w:szCs w:val="24"/>
                <w:lang w:val="en-US" w:eastAsia="zh-CN" w:bidi="ar"/>
              </w:rPr>
              <w:t>包含但不限于：系统运行所需要的线材（网络跳线、尾纤），辅材（</w:t>
            </w:r>
            <w:r>
              <w:rPr>
                <w:rFonts w:hint="eastAsia" w:ascii="宋体" w:hAnsi="宋体" w:eastAsia="宋体" w:cs="宋体"/>
                <w:sz w:val="24"/>
                <w:szCs w:val="24"/>
              </w:rPr>
              <w:t>扎带、绝缘胶带、线缆护套、标签、电器连接件、电源插线板、水晶头、等</w:t>
            </w:r>
            <w:r>
              <w:rPr>
                <w:rFonts w:hint="eastAsia" w:ascii="宋体" w:hAnsi="宋体" w:eastAsia="宋体" w:cs="宋体"/>
                <w:sz w:val="24"/>
                <w:szCs w:val="24"/>
                <w:lang w:eastAsia="zh-CN"/>
              </w:rPr>
              <w:t>。</w:t>
            </w:r>
            <w:r>
              <w:rPr>
                <w:rStyle w:val="38"/>
                <w:rFonts w:hint="eastAsia" w:ascii="宋体" w:hAnsi="宋体" w:eastAsia="宋体" w:cs="宋体"/>
                <w:b w:val="0"/>
                <w:bCs w:val="0"/>
                <w:sz w:val="24"/>
                <w:szCs w:val="24"/>
                <w:lang w:val="en-US" w:eastAsia="zh-CN" w:bidi="ar"/>
              </w:rPr>
              <w:t>），设备安装及调试。</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06DC7">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C09BC">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r>
      <w:tr w14:paraId="66D89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2FC78">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629DE">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等保测评服务</w:t>
            </w:r>
          </w:p>
        </w:tc>
        <w:tc>
          <w:tcPr>
            <w:tcW w:w="35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6CCC6">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针对单位三级信息系统协助备案工作，取得《信息系统安全等级保护备案证》；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进行系统调研；</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编制测评方案；</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编制整改方案，并协助整改；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系统脆弱性安全检查及渗透测试；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协助安全加固；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进行现场复测评；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形成测评报告。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提供不少于1年售后服务，服务内容应至少包含以下内容：安全培训服务、应急响应服务、持续跟踪测评及安全建设整改、配合检查服务、电话支持服务、安全咨询服务、安全通报服务、制度体系建设服务、漏洞扫描服务。</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DB28B">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1F6F">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系统/年</w:t>
            </w:r>
          </w:p>
        </w:tc>
      </w:tr>
    </w:tbl>
    <w:p w14:paraId="6FB71FA1">
      <w:pPr>
        <w:pStyle w:val="2"/>
        <w:sectPr>
          <w:pgSz w:w="11906" w:h="16838"/>
          <w:pgMar w:top="1304" w:right="1361" w:bottom="1304" w:left="1361" w:header="851" w:footer="992" w:gutter="0"/>
          <w:cols w:space="720" w:num="1"/>
          <w:docGrid w:type="lines" w:linePitch="312" w:charSpace="0"/>
        </w:sectPr>
      </w:pPr>
    </w:p>
    <w:p w14:paraId="0D0B87D5">
      <w:pPr>
        <w:pStyle w:val="3"/>
        <w:jc w:val="center"/>
        <w:rPr>
          <w:rFonts w:ascii="宋体" w:hAnsi="宋体" w:cs="宋体"/>
          <w:bCs/>
          <w:sz w:val="36"/>
          <w:szCs w:val="36"/>
          <w:highlight w:val="none"/>
        </w:rPr>
      </w:pPr>
      <w:bookmarkStart w:id="35" w:name="_Toc24301"/>
      <w:r>
        <w:rPr>
          <w:rFonts w:hint="eastAsia" w:ascii="宋体" w:hAnsi="宋体" w:cs="宋体"/>
          <w:sz w:val="36"/>
          <w:szCs w:val="36"/>
          <w:highlight w:val="none"/>
        </w:rPr>
        <w:t xml:space="preserve">第四章 </w:t>
      </w:r>
      <w:bookmarkEnd w:id="31"/>
      <w:bookmarkEnd w:id="32"/>
      <w:bookmarkEnd w:id="33"/>
      <w:bookmarkEnd w:id="34"/>
      <w:bookmarkStart w:id="36" w:name="_Toc2068"/>
      <w:r>
        <w:rPr>
          <w:rFonts w:hint="eastAsia" w:ascii="宋体" w:hAnsi="宋体" w:cs="宋体"/>
          <w:bCs/>
          <w:sz w:val="36"/>
          <w:szCs w:val="36"/>
          <w:highlight w:val="none"/>
        </w:rPr>
        <w:t>合同条款及格式</w:t>
      </w:r>
      <w:bookmarkEnd w:id="35"/>
      <w:bookmarkEnd w:id="36"/>
    </w:p>
    <w:p w14:paraId="43D5C920">
      <w:pPr>
        <w:pStyle w:val="4"/>
        <w:spacing w:line="240" w:lineRule="auto"/>
        <w:jc w:val="center"/>
        <w:rPr>
          <w:rFonts w:ascii="宋体" w:hAnsi="宋体" w:cs="宋体"/>
          <w:highlight w:val="none"/>
        </w:rPr>
      </w:pPr>
      <w:bookmarkStart w:id="37" w:name="_Toc5676"/>
      <w:bookmarkStart w:id="38" w:name="_Toc30560"/>
      <w:r>
        <w:rPr>
          <w:rFonts w:hint="eastAsia" w:ascii="宋体" w:hAnsi="宋体" w:cs="宋体"/>
          <w:highlight w:val="none"/>
        </w:rPr>
        <w:t>合同条款及格式前附表</w:t>
      </w:r>
      <w:bookmarkEnd w:id="37"/>
      <w:bookmarkEnd w:id="38"/>
    </w:p>
    <w:p w14:paraId="143868B2">
      <w:pPr>
        <w:ind w:firstLine="480" w:firstLineChars="200"/>
        <w:rPr>
          <w:rFonts w:ascii="宋体" w:hAnsi="宋体" w:cs="宋体"/>
          <w:bCs/>
          <w:sz w:val="36"/>
          <w:szCs w:val="36"/>
          <w:highlight w:val="none"/>
        </w:rPr>
      </w:pPr>
      <w:r>
        <w:rPr>
          <w:rFonts w:hint="eastAsia" w:ascii="宋体" w:hAnsi="宋体" w:cs="宋体"/>
          <w:sz w:val="24"/>
          <w:szCs w:val="24"/>
          <w:highlight w:val="none"/>
        </w:rPr>
        <w:t>本表是对合同条款的具体补充和修改，如有矛盾，应以本资料表为准。</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2BA6D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1304" w:type="dxa"/>
            <w:vAlign w:val="center"/>
          </w:tcPr>
          <w:p w14:paraId="126F969B">
            <w:pPr>
              <w:spacing w:line="360" w:lineRule="auto"/>
              <w:jc w:val="center"/>
              <w:rPr>
                <w:rFonts w:ascii="宋体" w:hAnsi="宋体" w:cs="宋体"/>
                <w:sz w:val="24"/>
                <w:szCs w:val="24"/>
                <w:highlight w:val="none"/>
              </w:rPr>
            </w:pPr>
            <w:bookmarkStart w:id="39" w:name="_Toc19199"/>
            <w:bookmarkStart w:id="40" w:name="_Toc26595"/>
            <w:bookmarkStart w:id="41" w:name="_Toc31520"/>
            <w:bookmarkStart w:id="42" w:name="_Toc8333"/>
            <w:bookmarkStart w:id="43" w:name="_Toc389582037"/>
            <w:bookmarkStart w:id="44" w:name="_Toc29888"/>
            <w:bookmarkStart w:id="45" w:name="_Toc19246"/>
            <w:bookmarkStart w:id="46" w:name="_Toc4679"/>
            <w:r>
              <w:rPr>
                <w:rFonts w:hint="eastAsia" w:ascii="宋体" w:hAnsi="宋体" w:cs="宋体"/>
                <w:sz w:val="24"/>
                <w:szCs w:val="24"/>
                <w:highlight w:val="none"/>
              </w:rPr>
              <w:t>条款号</w:t>
            </w:r>
          </w:p>
        </w:tc>
        <w:tc>
          <w:tcPr>
            <w:tcW w:w="7513" w:type="dxa"/>
            <w:vAlign w:val="center"/>
          </w:tcPr>
          <w:p w14:paraId="78F39E73">
            <w:pPr>
              <w:spacing w:line="360" w:lineRule="auto"/>
              <w:jc w:val="center"/>
              <w:rPr>
                <w:rFonts w:ascii="宋体" w:hAnsi="宋体" w:cs="宋体"/>
                <w:sz w:val="24"/>
                <w:szCs w:val="24"/>
                <w:highlight w:val="none"/>
              </w:rPr>
            </w:pPr>
            <w:r>
              <w:rPr>
                <w:rFonts w:hint="eastAsia" w:ascii="宋体" w:hAnsi="宋体" w:cs="宋体"/>
                <w:sz w:val="24"/>
                <w:szCs w:val="24"/>
                <w:highlight w:val="none"/>
              </w:rPr>
              <w:t>内      容</w:t>
            </w:r>
          </w:p>
        </w:tc>
      </w:tr>
      <w:tr w14:paraId="31A86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3" w:hRule="exact"/>
          <w:jc w:val="center"/>
        </w:trPr>
        <w:tc>
          <w:tcPr>
            <w:tcW w:w="1304" w:type="dxa"/>
            <w:vAlign w:val="center"/>
          </w:tcPr>
          <w:p w14:paraId="294F06B5">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7513" w:type="dxa"/>
            <w:vAlign w:val="center"/>
          </w:tcPr>
          <w:p w14:paraId="55E5592C">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采购人名称：</w:t>
            </w:r>
            <w:r>
              <w:rPr>
                <w:rFonts w:hint="eastAsia" w:ascii="宋体" w:hAnsi="宋体" w:cs="宋体"/>
                <w:sz w:val="24"/>
                <w:szCs w:val="24"/>
                <w:highlight w:val="none"/>
                <w:lang w:eastAsia="zh-CN"/>
              </w:rPr>
              <w:t>陕西省山阳中学</w:t>
            </w:r>
          </w:p>
          <w:p w14:paraId="6DA8E2DB">
            <w:pPr>
              <w:spacing w:line="360" w:lineRule="auto"/>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eastAsia="宋体" w:cs="宋体"/>
                <w:sz w:val="24"/>
                <w:szCs w:val="24"/>
              </w:rPr>
              <w:t>山阳县育才路东段</w:t>
            </w:r>
          </w:p>
          <w:p w14:paraId="7747A33E">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山阳中学信息系统安全等级保护定级项目</w:t>
            </w:r>
          </w:p>
        </w:tc>
      </w:tr>
      <w:tr w14:paraId="5F303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jc w:val="center"/>
        </w:trPr>
        <w:tc>
          <w:tcPr>
            <w:tcW w:w="1304" w:type="dxa"/>
            <w:vAlign w:val="center"/>
          </w:tcPr>
          <w:p w14:paraId="3AEBEC4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7513" w:type="dxa"/>
            <w:vAlign w:val="center"/>
          </w:tcPr>
          <w:p w14:paraId="1D3960F7">
            <w:pPr>
              <w:spacing w:line="360" w:lineRule="auto"/>
              <w:rPr>
                <w:rFonts w:ascii="宋体" w:hAnsi="宋体" w:cs="宋体"/>
                <w:sz w:val="24"/>
                <w:szCs w:val="24"/>
                <w:highlight w:val="none"/>
              </w:rPr>
            </w:pPr>
            <w:r>
              <w:rPr>
                <w:rFonts w:hint="eastAsia" w:ascii="宋体" w:hAnsi="宋体" w:cs="宋体"/>
                <w:sz w:val="24"/>
                <w:szCs w:val="24"/>
                <w:highlight w:val="none"/>
              </w:rPr>
              <w:t>交货地点：采购人指定地点</w:t>
            </w:r>
          </w:p>
        </w:tc>
      </w:tr>
      <w:tr w14:paraId="15ABD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4" w:hRule="exact"/>
          <w:jc w:val="center"/>
        </w:trPr>
        <w:tc>
          <w:tcPr>
            <w:tcW w:w="1304" w:type="dxa"/>
            <w:vAlign w:val="center"/>
          </w:tcPr>
          <w:p w14:paraId="4387736F">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7513" w:type="dxa"/>
            <w:vAlign w:val="center"/>
          </w:tcPr>
          <w:p w14:paraId="6841C4F4">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w:t>
            </w:r>
            <w:r>
              <w:rPr>
                <w:rFonts w:hint="eastAsia" w:ascii="宋体" w:hAnsi="宋体" w:cs="宋体"/>
                <w:sz w:val="24"/>
                <w:szCs w:val="24"/>
                <w:highlight w:val="none"/>
                <w:lang w:val="en-US" w:eastAsia="zh-CN"/>
              </w:rPr>
              <w:t>合同签订后</w:t>
            </w:r>
            <w:r>
              <w:rPr>
                <w:rFonts w:hint="eastAsia" w:ascii="宋体" w:hAnsi="宋体" w:cs="宋体"/>
                <w:sz w:val="24"/>
                <w:szCs w:val="24"/>
                <w:highlight w:val="none"/>
              </w:rPr>
              <w:t>7个日历日</w:t>
            </w:r>
          </w:p>
        </w:tc>
      </w:tr>
      <w:tr w14:paraId="1FF3C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6" w:hRule="exact"/>
          <w:jc w:val="center"/>
        </w:trPr>
        <w:tc>
          <w:tcPr>
            <w:tcW w:w="1304" w:type="dxa"/>
            <w:vAlign w:val="center"/>
          </w:tcPr>
          <w:p w14:paraId="1F5D564C">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7513" w:type="dxa"/>
            <w:vAlign w:val="center"/>
          </w:tcPr>
          <w:p w14:paraId="6437E9C7">
            <w:pPr>
              <w:spacing w:line="360" w:lineRule="auto"/>
              <w:rPr>
                <w:rFonts w:ascii="宋体" w:hAnsi="宋体" w:cs="宋体"/>
                <w:sz w:val="24"/>
                <w:szCs w:val="24"/>
                <w:highlight w:val="yellow"/>
              </w:rPr>
            </w:pPr>
            <w:r>
              <w:rPr>
                <w:rFonts w:hint="eastAsia" w:ascii="宋体" w:hAnsi="宋体" w:cs="宋体"/>
                <w:sz w:val="24"/>
                <w:szCs w:val="24"/>
                <w:highlight w:val="none"/>
              </w:rPr>
              <w:t>质保期：自采购人验收合格之日起</w:t>
            </w:r>
            <w:r>
              <w:rPr>
                <w:rFonts w:hint="eastAsia" w:ascii="宋体" w:hAnsi="宋体" w:cs="宋体"/>
                <w:sz w:val="24"/>
                <w:szCs w:val="24"/>
                <w:highlight w:val="none"/>
                <w:lang w:val="en-US" w:eastAsia="zh-CN"/>
              </w:rPr>
              <w:t>1</w:t>
            </w:r>
            <w:r>
              <w:rPr>
                <w:rFonts w:hint="eastAsia" w:ascii="宋体" w:hAnsi="宋体" w:cs="宋体"/>
                <w:sz w:val="24"/>
                <w:szCs w:val="24"/>
                <w:highlight w:val="none"/>
              </w:rPr>
              <w:t>年为质保期，所供产品、设备终身维修。若该质量保证期小于国家标准，则以国家标准为准。质保期内，凡正常使用中出现的故障，均由供应商负责提供免费检测维修。</w:t>
            </w:r>
          </w:p>
        </w:tc>
      </w:tr>
      <w:tr w14:paraId="3BB46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291D7D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p>
        </w:tc>
        <w:tc>
          <w:tcPr>
            <w:tcW w:w="7513" w:type="dxa"/>
            <w:vAlign w:val="center"/>
          </w:tcPr>
          <w:p w14:paraId="611A88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1.固定总价结算。总价包括货物供应费、运输费（含保险费）、储存费、人工费、装卸费、税费及其它可能产生的所有费用。</w:t>
            </w:r>
          </w:p>
          <w:p w14:paraId="2DE805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2.由采购人负责结算，在付款前，投标人必须按照分次支付金额开具发票给采购人（附详细清单）。</w:t>
            </w:r>
          </w:p>
          <w:p w14:paraId="6A74E8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3.付款方式和程序：</w:t>
            </w:r>
          </w:p>
          <w:p w14:paraId="2CB16013">
            <w:pPr>
              <w:pStyle w:val="2"/>
              <w:ind w:firstLine="480" w:firstLineChars="200"/>
              <w:rPr>
                <w:rFonts w:hint="default"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自合同签订之日起至采购人验收合格完毕后，采购人一次性支付合同总价的100%。</w:t>
            </w:r>
          </w:p>
          <w:p w14:paraId="35225E44">
            <w:pPr>
              <w:spacing w:line="360" w:lineRule="auto"/>
              <w:ind w:firstLine="480" w:firstLineChars="200"/>
              <w:rPr>
                <w:rFonts w:ascii="宋体" w:hAnsi="宋体" w:cs="宋体"/>
                <w:sz w:val="24"/>
                <w:szCs w:val="24"/>
                <w:highlight w:val="none"/>
              </w:rPr>
            </w:pPr>
            <w:r>
              <w:rPr>
                <w:rFonts w:hint="eastAsia" w:ascii="宋体" w:hAnsi="宋体" w:eastAsia="宋体" w:cs="宋体"/>
                <w:spacing w:val="0"/>
                <w:kern w:val="2"/>
                <w:sz w:val="24"/>
                <w:szCs w:val="24"/>
                <w:highlight w:val="none"/>
                <w:lang w:val="en-US" w:eastAsia="zh-CN" w:bidi="ar-SA"/>
              </w:rPr>
              <w:t>4.支付方式：银行转账</w:t>
            </w:r>
          </w:p>
        </w:tc>
      </w:tr>
      <w:tr w14:paraId="3148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5" w:hRule="atLeast"/>
          <w:jc w:val="center"/>
        </w:trPr>
        <w:tc>
          <w:tcPr>
            <w:tcW w:w="1304" w:type="dxa"/>
            <w:vAlign w:val="center"/>
          </w:tcPr>
          <w:p w14:paraId="41D2D922">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7513" w:type="dxa"/>
            <w:vAlign w:val="center"/>
          </w:tcPr>
          <w:p w14:paraId="06051EEF">
            <w:pPr>
              <w:spacing w:line="360" w:lineRule="auto"/>
              <w:rPr>
                <w:rFonts w:ascii="宋体" w:hAnsi="宋体" w:cs="宋体"/>
                <w:sz w:val="24"/>
                <w:szCs w:val="24"/>
                <w:highlight w:val="none"/>
              </w:rPr>
            </w:pPr>
            <w:r>
              <w:rPr>
                <w:rFonts w:hint="eastAsia" w:ascii="宋体" w:hAnsi="宋体" w:cs="宋体"/>
                <w:sz w:val="24"/>
                <w:szCs w:val="24"/>
                <w:highlight w:val="none"/>
              </w:rPr>
              <w:t>运输、安装、调试要求：</w:t>
            </w:r>
          </w:p>
          <w:p w14:paraId="6B826AA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14F7F24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2.由供应商提供安装、调试及试运行的进度计划表。</w:t>
            </w:r>
          </w:p>
          <w:p w14:paraId="6807C8F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592E4558">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4.安装和调试期间所发生的费用均由供应商负责。</w:t>
            </w:r>
          </w:p>
          <w:p w14:paraId="63F6471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5.供应商应对安装调试、整改等实施过程的安全负责，如发生人身伤亡、财产损失的由供应商负责解决并承担全部责任。</w:t>
            </w:r>
          </w:p>
        </w:tc>
      </w:tr>
      <w:tr w14:paraId="6237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4BA23D5B">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7513" w:type="dxa"/>
            <w:vAlign w:val="center"/>
          </w:tcPr>
          <w:p w14:paraId="432A862A">
            <w:pPr>
              <w:spacing w:line="360" w:lineRule="auto"/>
              <w:rPr>
                <w:rFonts w:ascii="宋体" w:hAnsi="宋体" w:cs="宋体"/>
                <w:sz w:val="24"/>
                <w:szCs w:val="24"/>
                <w:highlight w:val="none"/>
              </w:rPr>
            </w:pPr>
            <w:r>
              <w:rPr>
                <w:rFonts w:hint="eastAsia" w:ascii="宋体" w:hAnsi="宋体" w:cs="宋体"/>
                <w:sz w:val="24"/>
                <w:szCs w:val="24"/>
                <w:highlight w:val="none"/>
              </w:rPr>
              <w:t>违约责任：</w:t>
            </w:r>
          </w:p>
          <w:p w14:paraId="7B6470BA">
            <w:pPr>
              <w:tabs>
                <w:tab w:val="left" w:pos="152"/>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1、按《民法典》中的相关条款执行。</w:t>
            </w:r>
          </w:p>
          <w:p w14:paraId="03AD8D8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14:paraId="5443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jc w:val="center"/>
        </w:trPr>
        <w:tc>
          <w:tcPr>
            <w:tcW w:w="1304" w:type="dxa"/>
            <w:vAlign w:val="center"/>
          </w:tcPr>
          <w:p w14:paraId="788D0FC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7513" w:type="dxa"/>
            <w:vAlign w:val="center"/>
          </w:tcPr>
          <w:p w14:paraId="5CA9C3DE">
            <w:pPr>
              <w:spacing w:line="360" w:lineRule="auto"/>
              <w:rPr>
                <w:rFonts w:ascii="宋体" w:hAnsi="宋体" w:cs="宋体"/>
                <w:sz w:val="24"/>
                <w:szCs w:val="24"/>
                <w:highlight w:val="none"/>
              </w:rPr>
            </w:pPr>
            <w:r>
              <w:rPr>
                <w:rFonts w:hint="eastAsia" w:ascii="宋体" w:hAnsi="宋体" w:cs="宋体"/>
                <w:sz w:val="24"/>
                <w:szCs w:val="24"/>
                <w:highlight w:val="none"/>
              </w:rPr>
              <w:t>政府采购合同：</w:t>
            </w:r>
          </w:p>
          <w:p w14:paraId="4FE20B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政府采购合同适用民法典。采购人和供应商之间的权利和义务，应当按照平等、自愿的原则以合同方式约定。</w:t>
            </w:r>
          </w:p>
          <w:p w14:paraId="574A57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采购人可以委托采购代理机构代表其与供应商签订政府采购合同。由采购代理机构以采购人名义签订合同的，应当提交采购人的授权委托书，作为合同附件。</w:t>
            </w:r>
          </w:p>
          <w:p w14:paraId="4EAFB8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政府采购合同应当采用书面形式。</w:t>
            </w:r>
          </w:p>
          <w:p w14:paraId="37B860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国务院政府采购监督管理部门应当会同国务院有关部门，规定政府采购合同必须具备的条款。</w:t>
            </w:r>
          </w:p>
          <w:p w14:paraId="2E271F7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采购人与中标、成交供应商应当在中标、成交通知书发出之日起三十日内，按照采购文件确定的事项签订政府采购合同。</w:t>
            </w:r>
          </w:p>
          <w:p w14:paraId="10EF82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8B32485">
            <w:pPr>
              <w:pStyle w:val="13"/>
              <w:spacing w:line="360" w:lineRule="auto"/>
              <w:ind w:firstLine="480" w:firstLineChars="200"/>
              <w:rPr>
                <w:rFonts w:hAnsi="宋体"/>
                <w:sz w:val="24"/>
                <w:szCs w:val="24"/>
                <w:highlight w:val="none"/>
              </w:rPr>
            </w:pPr>
            <w:r>
              <w:rPr>
                <w:rFonts w:hint="eastAsia" w:hAnsi="宋体"/>
                <w:sz w:val="24"/>
                <w:szCs w:val="24"/>
                <w:highlight w:val="none"/>
              </w:rPr>
              <w:t>政府采购项目的采购合同自签订之日起七个工作日内，采购人应当将合同副本报同级政府采购监督管理部门和有关部门备案。</w:t>
            </w:r>
          </w:p>
          <w:p w14:paraId="7A9C1BD4">
            <w:pPr>
              <w:pStyle w:val="13"/>
              <w:spacing w:line="360" w:lineRule="auto"/>
              <w:ind w:firstLine="480" w:firstLineChars="200"/>
              <w:rPr>
                <w:rFonts w:hAnsi="宋体"/>
                <w:sz w:val="24"/>
                <w:szCs w:val="24"/>
                <w:highlight w:val="none"/>
              </w:rPr>
            </w:pPr>
            <w:r>
              <w:rPr>
                <w:rFonts w:hint="eastAsia" w:hAnsi="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7A8DC9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4AB41E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政府采购合同的双方当事人不得擅自变更、中止或者终止合同。</w:t>
            </w:r>
          </w:p>
          <w:p w14:paraId="5C0C8E66">
            <w:pPr>
              <w:pStyle w:val="13"/>
              <w:spacing w:line="360" w:lineRule="auto"/>
              <w:ind w:firstLine="480" w:firstLineChars="200"/>
              <w:rPr>
                <w:rFonts w:hAnsi="宋体"/>
                <w:kern w:val="0"/>
                <w:sz w:val="24"/>
                <w:szCs w:val="24"/>
                <w:highlight w:val="none"/>
              </w:rPr>
            </w:pPr>
            <w:r>
              <w:rPr>
                <w:rFonts w:hint="eastAsia" w:hAnsi="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35DBCEE">
      <w:pPr>
        <w:rPr>
          <w:rFonts w:ascii="宋体" w:hAnsi="宋体" w:cs="宋体"/>
          <w:b/>
          <w:bCs/>
          <w:sz w:val="48"/>
          <w:szCs w:val="48"/>
          <w:highlight w:val="none"/>
        </w:rPr>
      </w:pPr>
      <w:r>
        <w:rPr>
          <w:rFonts w:hint="eastAsia" w:ascii="宋体" w:hAnsi="宋体" w:cs="宋体"/>
          <w:b/>
          <w:bCs/>
          <w:sz w:val="48"/>
          <w:szCs w:val="48"/>
          <w:highlight w:val="none"/>
        </w:rPr>
        <w:br w:type="page"/>
      </w:r>
    </w:p>
    <w:p w14:paraId="26D4F86E">
      <w:pPr>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 xml:space="preserve">合同仅供参考）                  </w:t>
      </w:r>
    </w:p>
    <w:p w14:paraId="1D3EE1E0">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4E225E6C">
      <w:pPr>
        <w:jc w:val="center"/>
        <w:rPr>
          <w:rFonts w:hint="eastAsia" w:ascii="宋体" w:hAnsi="宋体" w:eastAsia="宋体" w:cs="宋体"/>
          <w:sz w:val="52"/>
          <w:szCs w:val="52"/>
          <w:highlight w:val="none"/>
        </w:rPr>
      </w:pPr>
    </w:p>
    <w:p w14:paraId="0637F670">
      <w:pPr>
        <w:jc w:val="center"/>
        <w:rPr>
          <w:rFonts w:hint="eastAsia" w:ascii="宋体" w:hAnsi="宋体" w:eastAsia="宋体" w:cs="宋体"/>
          <w:sz w:val="52"/>
          <w:szCs w:val="52"/>
          <w:highlight w:val="none"/>
        </w:rPr>
      </w:pPr>
    </w:p>
    <w:p w14:paraId="2BDBECC2">
      <w:pPr>
        <w:widowControl/>
        <w:jc w:val="center"/>
        <w:rPr>
          <w:rFonts w:hint="eastAsia" w:ascii="宋体" w:hAnsi="宋体" w:eastAsia="宋体" w:cs="宋体"/>
          <w:sz w:val="52"/>
          <w:szCs w:val="52"/>
          <w:highlight w:val="none"/>
        </w:rPr>
      </w:pPr>
      <w:r>
        <w:rPr>
          <w:rFonts w:hint="eastAsia" w:ascii="宋体" w:hAnsi="宋体" w:eastAsia="宋体" w:cs="宋体"/>
          <w:b/>
          <w:bCs/>
          <w:color w:val="000000"/>
          <w:kern w:val="0"/>
          <w:sz w:val="52"/>
          <w:szCs w:val="52"/>
          <w:highlight w:val="none"/>
          <w:lang w:bidi="ar"/>
        </w:rPr>
        <w:t>货物采购项目供货合同</w:t>
      </w:r>
    </w:p>
    <w:p w14:paraId="457DFBF6">
      <w:pPr>
        <w:widowControl/>
        <w:jc w:val="left"/>
        <w:rPr>
          <w:rFonts w:hint="eastAsia" w:ascii="宋体" w:hAnsi="宋体" w:eastAsia="宋体" w:cs="宋体"/>
          <w:color w:val="000000"/>
          <w:kern w:val="0"/>
          <w:sz w:val="31"/>
          <w:szCs w:val="31"/>
          <w:highlight w:val="none"/>
          <w:lang w:bidi="ar"/>
        </w:rPr>
      </w:pPr>
    </w:p>
    <w:p w14:paraId="28C22306">
      <w:pPr>
        <w:widowControl/>
        <w:jc w:val="left"/>
        <w:rPr>
          <w:rFonts w:hint="eastAsia" w:ascii="宋体" w:hAnsi="宋体" w:eastAsia="宋体" w:cs="宋体"/>
          <w:color w:val="000000"/>
          <w:kern w:val="0"/>
          <w:sz w:val="31"/>
          <w:szCs w:val="31"/>
          <w:highlight w:val="none"/>
          <w:lang w:bidi="ar"/>
        </w:rPr>
      </w:pPr>
    </w:p>
    <w:p w14:paraId="2E40BC7A">
      <w:pPr>
        <w:widowControl/>
        <w:jc w:val="left"/>
        <w:rPr>
          <w:rFonts w:hint="eastAsia" w:ascii="宋体" w:hAnsi="宋体" w:eastAsia="宋体" w:cs="宋体"/>
          <w:color w:val="000000"/>
          <w:kern w:val="0"/>
          <w:sz w:val="31"/>
          <w:szCs w:val="31"/>
          <w:highlight w:val="none"/>
          <w:lang w:bidi="ar"/>
        </w:rPr>
      </w:pPr>
    </w:p>
    <w:p w14:paraId="32B7E6E3">
      <w:pPr>
        <w:widowControl/>
        <w:jc w:val="left"/>
        <w:rPr>
          <w:rFonts w:hint="eastAsia" w:ascii="宋体" w:hAnsi="宋体" w:eastAsia="宋体" w:cs="宋体"/>
          <w:color w:val="000000"/>
          <w:kern w:val="0"/>
          <w:sz w:val="31"/>
          <w:szCs w:val="31"/>
          <w:highlight w:val="none"/>
          <w:lang w:bidi="ar"/>
        </w:rPr>
      </w:pPr>
    </w:p>
    <w:p w14:paraId="5D54D83F">
      <w:pPr>
        <w:widowControl/>
        <w:jc w:val="left"/>
        <w:rPr>
          <w:rFonts w:hint="eastAsia" w:ascii="宋体" w:hAnsi="宋体" w:eastAsia="宋体" w:cs="宋体"/>
          <w:color w:val="000000"/>
          <w:kern w:val="0"/>
          <w:sz w:val="31"/>
          <w:szCs w:val="31"/>
          <w:highlight w:val="none"/>
          <w:lang w:bidi="ar"/>
        </w:rPr>
      </w:pPr>
    </w:p>
    <w:p w14:paraId="64A7118C">
      <w:pPr>
        <w:widowControl/>
        <w:jc w:val="left"/>
        <w:rPr>
          <w:rFonts w:hint="eastAsia" w:ascii="宋体" w:hAnsi="宋体" w:eastAsia="宋体" w:cs="宋体"/>
          <w:color w:val="000000"/>
          <w:kern w:val="0"/>
          <w:sz w:val="31"/>
          <w:szCs w:val="31"/>
          <w:highlight w:val="none"/>
          <w:lang w:bidi="ar"/>
        </w:rPr>
      </w:pPr>
    </w:p>
    <w:p w14:paraId="344C8B47">
      <w:pPr>
        <w:widowControl/>
        <w:ind w:firstLine="2240" w:firstLineChars="800"/>
        <w:jc w:val="left"/>
        <w:rPr>
          <w:rFonts w:hint="eastAsia" w:ascii="宋体" w:hAnsi="宋体" w:eastAsia="宋体" w:cs="宋体"/>
          <w:sz w:val="28"/>
          <w:szCs w:val="28"/>
          <w:highlight w:val="none"/>
        </w:rPr>
      </w:pPr>
    </w:p>
    <w:p w14:paraId="2948A052">
      <w:pPr>
        <w:widowControl/>
        <w:ind w:firstLine="840" w:firstLineChars="300"/>
        <w:jc w:val="both"/>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lang w:bidi="ar"/>
        </w:rPr>
        <w:t>采购项目：</w:t>
      </w:r>
      <w:r>
        <w:rPr>
          <w:rFonts w:hint="eastAsia" w:ascii="宋体" w:hAnsi="宋体" w:eastAsia="宋体" w:cs="宋体"/>
          <w:color w:val="000000"/>
          <w:kern w:val="0"/>
          <w:sz w:val="28"/>
          <w:szCs w:val="28"/>
          <w:highlight w:val="none"/>
          <w:u w:val="single"/>
          <w:lang w:eastAsia="zh-CN" w:bidi="ar"/>
        </w:rPr>
        <w:t>山阳中学信息系统安全等级保护定级项目</w:t>
      </w:r>
    </w:p>
    <w:p w14:paraId="5AA174FD">
      <w:pPr>
        <w:widowControl/>
        <w:ind w:firstLine="840" w:firstLineChars="300"/>
        <w:jc w:val="left"/>
        <w:rPr>
          <w:rFonts w:hint="eastAsia" w:ascii="宋体" w:hAnsi="宋体" w:eastAsia="宋体" w:cs="宋体"/>
          <w:sz w:val="28"/>
          <w:szCs w:val="28"/>
          <w:highlight w:val="none"/>
          <w:lang w:val="en-US" w:eastAsia="zh-CN"/>
        </w:rPr>
      </w:pPr>
      <w:r>
        <w:rPr>
          <w:rFonts w:hint="eastAsia" w:ascii="宋体" w:hAnsi="宋体" w:eastAsia="宋体" w:cs="宋体"/>
          <w:color w:val="000000"/>
          <w:kern w:val="0"/>
          <w:sz w:val="28"/>
          <w:szCs w:val="28"/>
          <w:highlight w:val="none"/>
          <w:lang w:bidi="ar"/>
        </w:rPr>
        <w:t>采购单位：</w:t>
      </w:r>
      <w:r>
        <w:rPr>
          <w:rFonts w:hint="eastAsia" w:ascii="宋体" w:hAnsi="宋体" w:eastAsia="宋体" w:cs="宋体"/>
          <w:color w:val="000000"/>
          <w:kern w:val="0"/>
          <w:sz w:val="28"/>
          <w:szCs w:val="28"/>
          <w:highlight w:val="none"/>
          <w:u w:val="single"/>
          <w:lang w:eastAsia="zh-CN" w:bidi="ar"/>
        </w:rPr>
        <w:t>陕西省山阳中学</w:t>
      </w:r>
      <w:r>
        <w:rPr>
          <w:rFonts w:hint="eastAsia" w:ascii="宋体" w:hAnsi="宋体" w:eastAsia="宋体" w:cs="宋体"/>
          <w:color w:val="000000"/>
          <w:kern w:val="0"/>
          <w:sz w:val="28"/>
          <w:szCs w:val="28"/>
          <w:highlight w:val="none"/>
          <w:u w:val="single"/>
          <w:lang w:val="en-US" w:eastAsia="zh-CN" w:bidi="ar"/>
        </w:rPr>
        <w:t xml:space="preserve">                   </w:t>
      </w:r>
    </w:p>
    <w:p w14:paraId="1B0FBEB2">
      <w:pPr>
        <w:widowControl/>
        <w:ind w:firstLine="840" w:firstLineChars="300"/>
        <w:jc w:val="left"/>
        <w:rPr>
          <w:rFonts w:hint="eastAsia" w:ascii="宋体" w:hAnsi="宋体" w:eastAsia="宋体" w:cs="宋体"/>
          <w:sz w:val="28"/>
          <w:szCs w:val="28"/>
          <w:highlight w:val="none"/>
          <w:u w:val="single"/>
          <w:lang w:val="en-US" w:eastAsia="zh-CN"/>
        </w:rPr>
      </w:pPr>
      <w:r>
        <w:rPr>
          <w:rFonts w:hint="eastAsia" w:ascii="宋体" w:hAnsi="宋体" w:eastAsia="宋体" w:cs="宋体"/>
          <w:color w:val="000000"/>
          <w:kern w:val="0"/>
          <w:sz w:val="28"/>
          <w:szCs w:val="28"/>
          <w:highlight w:val="none"/>
          <w:lang w:bidi="ar"/>
        </w:rPr>
        <w:t>供货单位：</w:t>
      </w:r>
      <w:r>
        <w:rPr>
          <w:rFonts w:hint="eastAsia" w:ascii="宋体" w:hAnsi="宋体" w:eastAsia="宋体" w:cs="宋体"/>
          <w:color w:val="000000"/>
          <w:kern w:val="0"/>
          <w:sz w:val="28"/>
          <w:szCs w:val="28"/>
          <w:highlight w:val="none"/>
          <w:u w:val="single"/>
          <w:lang w:bidi="ar"/>
        </w:rPr>
        <w:t xml:space="preserve">              </w:t>
      </w:r>
      <w:r>
        <w:rPr>
          <w:rFonts w:hint="eastAsia" w:ascii="宋体" w:hAnsi="宋体" w:eastAsia="宋体" w:cs="宋体"/>
          <w:color w:val="000000"/>
          <w:kern w:val="0"/>
          <w:sz w:val="28"/>
          <w:szCs w:val="28"/>
          <w:highlight w:val="none"/>
          <w:u w:val="single"/>
          <w:lang w:val="en-US" w:eastAsia="zh-CN" w:bidi="ar"/>
        </w:rPr>
        <w:t xml:space="preserve">                             </w:t>
      </w:r>
    </w:p>
    <w:p w14:paraId="3C9EC124">
      <w:pPr>
        <w:tabs>
          <w:tab w:val="left" w:pos="3101"/>
        </w:tabs>
        <w:jc w:val="left"/>
        <w:rPr>
          <w:rFonts w:ascii="黑体" w:eastAsia="黑体"/>
          <w:b/>
          <w:sz w:val="36"/>
          <w:szCs w:val="36"/>
          <w:highlight w:val="none"/>
        </w:rPr>
      </w:pPr>
      <w:r>
        <w:rPr>
          <w:rFonts w:hint="eastAsia" w:ascii="黑体" w:eastAsia="黑体"/>
          <w:b/>
          <w:sz w:val="36"/>
          <w:szCs w:val="36"/>
          <w:highlight w:val="none"/>
        </w:rPr>
        <w:br w:type="page"/>
      </w:r>
    </w:p>
    <w:p w14:paraId="0A30185C">
      <w:pPr>
        <w:spacing w:line="360" w:lineRule="auto"/>
        <w:ind w:firstLine="723" w:firstLineChars="200"/>
        <w:jc w:val="center"/>
        <w:rPr>
          <w:sz w:val="24"/>
          <w:highlight w:val="none"/>
        </w:rPr>
      </w:pPr>
      <w:r>
        <w:rPr>
          <w:rFonts w:hint="eastAsia" w:ascii="宋体" w:hAnsi="宋体" w:cs="宋体"/>
          <w:b/>
          <w:bCs/>
          <w:sz w:val="36"/>
          <w:szCs w:val="36"/>
          <w:highlight w:val="none"/>
        </w:rPr>
        <w:t>第一部分  协议书</w:t>
      </w:r>
    </w:p>
    <w:p w14:paraId="4483F5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陕西省山阳中学</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FDB3E45">
      <w:pPr>
        <w:spacing w:line="360" w:lineRule="auto"/>
        <w:rPr>
          <w:rFonts w:ascii="宋体" w:hAnsi="宋体" w:cs="宋体"/>
          <w:sz w:val="24"/>
          <w:szCs w:val="24"/>
          <w:highlight w:val="none"/>
        </w:rPr>
      </w:pPr>
      <w:r>
        <w:rPr>
          <w:rFonts w:hint="eastAsia" w:ascii="宋体" w:hAnsi="宋体" w:cs="宋体"/>
          <w:sz w:val="24"/>
          <w:szCs w:val="24"/>
          <w:highlight w:val="none"/>
        </w:rPr>
        <w:t xml:space="preserve">    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5E3AEF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14:paraId="2299AD4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一、合同标的物：</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338"/>
        <w:gridCol w:w="860"/>
        <w:gridCol w:w="727"/>
        <w:gridCol w:w="1201"/>
        <w:gridCol w:w="1724"/>
        <w:gridCol w:w="1953"/>
      </w:tblGrid>
      <w:tr w14:paraId="6EF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49" w:type="pct"/>
          </w:tcPr>
          <w:p w14:paraId="5D079B4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产品名称</w:t>
            </w:r>
          </w:p>
        </w:tc>
        <w:tc>
          <w:tcPr>
            <w:tcW w:w="712" w:type="pct"/>
          </w:tcPr>
          <w:p w14:paraId="487DE8B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品牌型号</w:t>
            </w:r>
          </w:p>
        </w:tc>
        <w:tc>
          <w:tcPr>
            <w:tcW w:w="457" w:type="pct"/>
          </w:tcPr>
          <w:p w14:paraId="6118A9CA">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产地</w:t>
            </w:r>
          </w:p>
        </w:tc>
        <w:tc>
          <w:tcPr>
            <w:tcW w:w="387" w:type="pct"/>
          </w:tcPr>
          <w:p w14:paraId="2FEEFA1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单位</w:t>
            </w:r>
          </w:p>
        </w:tc>
        <w:tc>
          <w:tcPr>
            <w:tcW w:w="639" w:type="pct"/>
          </w:tcPr>
          <w:p w14:paraId="1C6FA49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917" w:type="pct"/>
          </w:tcPr>
          <w:p w14:paraId="7B8814B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单价</w:t>
            </w:r>
          </w:p>
          <w:p w14:paraId="439F6D7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c>
          <w:tcPr>
            <w:tcW w:w="1037" w:type="pct"/>
          </w:tcPr>
          <w:p w14:paraId="235513D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总价</w:t>
            </w:r>
          </w:p>
          <w:p w14:paraId="29420C7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r>
      <w:tr w14:paraId="450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9" w:type="pct"/>
          </w:tcPr>
          <w:p w14:paraId="1DC1E6CB">
            <w:pPr>
              <w:spacing w:line="360" w:lineRule="auto"/>
              <w:rPr>
                <w:rFonts w:ascii="宋体" w:hAnsi="宋体" w:cs="宋体"/>
                <w:sz w:val="24"/>
                <w:szCs w:val="24"/>
                <w:highlight w:val="none"/>
              </w:rPr>
            </w:pPr>
          </w:p>
        </w:tc>
        <w:tc>
          <w:tcPr>
            <w:tcW w:w="712" w:type="pct"/>
          </w:tcPr>
          <w:p w14:paraId="3E4F8FB6">
            <w:pPr>
              <w:spacing w:line="360" w:lineRule="auto"/>
              <w:jc w:val="left"/>
              <w:rPr>
                <w:rFonts w:ascii="宋体" w:hAnsi="宋体" w:cs="宋体"/>
                <w:sz w:val="24"/>
                <w:szCs w:val="24"/>
                <w:highlight w:val="none"/>
              </w:rPr>
            </w:pPr>
          </w:p>
        </w:tc>
        <w:tc>
          <w:tcPr>
            <w:tcW w:w="457" w:type="pct"/>
          </w:tcPr>
          <w:p w14:paraId="1604F6E9">
            <w:pPr>
              <w:spacing w:line="360" w:lineRule="auto"/>
              <w:rPr>
                <w:rFonts w:ascii="宋体" w:hAnsi="宋体" w:cs="宋体"/>
                <w:sz w:val="24"/>
                <w:szCs w:val="24"/>
                <w:highlight w:val="none"/>
              </w:rPr>
            </w:pPr>
          </w:p>
        </w:tc>
        <w:tc>
          <w:tcPr>
            <w:tcW w:w="387" w:type="pct"/>
          </w:tcPr>
          <w:p w14:paraId="179FB122">
            <w:pPr>
              <w:spacing w:line="360" w:lineRule="auto"/>
              <w:rPr>
                <w:rFonts w:ascii="宋体" w:hAnsi="宋体" w:cs="宋体"/>
                <w:sz w:val="24"/>
                <w:szCs w:val="24"/>
                <w:highlight w:val="none"/>
              </w:rPr>
            </w:pPr>
          </w:p>
        </w:tc>
        <w:tc>
          <w:tcPr>
            <w:tcW w:w="639" w:type="pct"/>
          </w:tcPr>
          <w:p w14:paraId="147D3D6D">
            <w:pPr>
              <w:spacing w:line="360" w:lineRule="auto"/>
              <w:rPr>
                <w:rFonts w:ascii="宋体" w:hAnsi="宋体" w:cs="宋体"/>
                <w:sz w:val="24"/>
                <w:szCs w:val="24"/>
                <w:highlight w:val="none"/>
              </w:rPr>
            </w:pPr>
          </w:p>
        </w:tc>
        <w:tc>
          <w:tcPr>
            <w:tcW w:w="917" w:type="pct"/>
            <w:vAlign w:val="center"/>
          </w:tcPr>
          <w:p w14:paraId="4221938B">
            <w:pPr>
              <w:spacing w:line="360" w:lineRule="auto"/>
              <w:rPr>
                <w:rFonts w:ascii="宋体" w:hAnsi="宋体" w:cs="宋体"/>
                <w:sz w:val="24"/>
                <w:szCs w:val="24"/>
                <w:highlight w:val="none"/>
              </w:rPr>
            </w:pPr>
            <w:r>
              <w:rPr>
                <w:rFonts w:hint="eastAsia" w:ascii="宋体" w:hAnsi="宋体" w:cs="宋体"/>
                <w:sz w:val="24"/>
                <w:szCs w:val="24"/>
                <w:highlight w:val="none"/>
              </w:rPr>
              <w:t>￥</w:t>
            </w:r>
          </w:p>
        </w:tc>
        <w:tc>
          <w:tcPr>
            <w:tcW w:w="1037" w:type="pct"/>
            <w:vAlign w:val="center"/>
          </w:tcPr>
          <w:p w14:paraId="24FACA57">
            <w:pPr>
              <w:spacing w:line="360" w:lineRule="auto"/>
              <w:ind w:right="960"/>
              <w:rPr>
                <w:rFonts w:ascii="宋体" w:hAnsi="宋体" w:cs="宋体"/>
                <w:sz w:val="24"/>
                <w:szCs w:val="24"/>
                <w:highlight w:val="none"/>
              </w:rPr>
            </w:pPr>
            <w:r>
              <w:rPr>
                <w:rFonts w:hint="eastAsia" w:ascii="宋体" w:hAnsi="宋体" w:cs="宋体"/>
                <w:sz w:val="24"/>
                <w:szCs w:val="24"/>
                <w:highlight w:val="none"/>
              </w:rPr>
              <w:t>￥</w:t>
            </w:r>
          </w:p>
        </w:tc>
      </w:tr>
      <w:tr w14:paraId="6EB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7"/>
          </w:tcPr>
          <w:p w14:paraId="08F296F5">
            <w:pPr>
              <w:spacing w:line="360" w:lineRule="auto"/>
              <w:rPr>
                <w:rFonts w:ascii="宋体" w:hAnsi="宋体" w:cs="宋体"/>
                <w:sz w:val="24"/>
                <w:szCs w:val="24"/>
                <w:highlight w:val="none"/>
              </w:rPr>
            </w:pPr>
            <w:r>
              <w:rPr>
                <w:rFonts w:hint="eastAsia" w:ascii="宋体" w:hAnsi="宋体" w:cs="宋体"/>
                <w:sz w:val="24"/>
                <w:szCs w:val="24"/>
                <w:highlight w:val="none"/>
              </w:rPr>
              <w:t>合计（大写）：人民币          元整；                （小写）：￥</w:t>
            </w:r>
          </w:p>
        </w:tc>
      </w:tr>
      <w:tr w14:paraId="1C4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000" w:type="pct"/>
            <w:gridSpan w:val="7"/>
          </w:tcPr>
          <w:p w14:paraId="571396E7">
            <w:pPr>
              <w:widowControl/>
              <w:spacing w:line="360" w:lineRule="auto"/>
              <w:jc w:val="left"/>
              <w:rPr>
                <w:rFonts w:ascii="宋体" w:hAnsi="宋体" w:cs="宋体"/>
                <w:sz w:val="24"/>
                <w:szCs w:val="24"/>
                <w:highlight w:val="none"/>
              </w:rPr>
            </w:pPr>
            <w:r>
              <w:rPr>
                <w:rFonts w:hint="eastAsia" w:ascii="宋体" w:hAnsi="宋体" w:cs="宋体"/>
                <w:b/>
                <w:sz w:val="24"/>
                <w:szCs w:val="24"/>
                <w:highlight w:val="none"/>
              </w:rPr>
              <w:t xml:space="preserve"> 备注：      </w:t>
            </w:r>
            <w:r>
              <w:rPr>
                <w:rFonts w:hint="eastAsia" w:ascii="宋体" w:hAnsi="宋体" w:cs="宋体"/>
                <w:sz w:val="24"/>
                <w:szCs w:val="24"/>
                <w:highlight w:val="none"/>
              </w:rPr>
              <w:t xml:space="preserve">                                                         </w:t>
            </w:r>
          </w:p>
          <w:p w14:paraId="0C81A203">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w:t>
            </w:r>
          </w:p>
        </w:tc>
      </w:tr>
    </w:tbl>
    <w:p w14:paraId="5B5E643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产品应当符合国家规范规定的标准及乙方投标文件所述和宣传的标准，设备配置详单附后。</w:t>
      </w:r>
    </w:p>
    <w:p w14:paraId="73AABF5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二、合同价款：</w:t>
      </w:r>
    </w:p>
    <w:p w14:paraId="3D427A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1、合同总金额：</w:t>
      </w:r>
      <w:r>
        <w:rPr>
          <w:rFonts w:hint="eastAsia" w:ascii="宋体" w:hAnsi="宋体" w:cs="宋体"/>
          <w:b/>
          <w:sz w:val="24"/>
          <w:szCs w:val="24"/>
          <w:highlight w:val="none"/>
          <w:u w:val="single"/>
        </w:rPr>
        <w:t>人民币          元整。</w:t>
      </w:r>
    </w:p>
    <w:p w14:paraId="76C411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2、合同总金额包括但不限于总价货物供应费、运输费（含保险费）、储存费、人工费、装卸费、税费及其它可能产生的所有费用。</w:t>
      </w:r>
    </w:p>
    <w:p w14:paraId="1BFA671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三、交货地点：</w:t>
      </w:r>
    </w:p>
    <w:p w14:paraId="33256EB7">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指定地点。</w:t>
      </w:r>
    </w:p>
    <w:p w14:paraId="44C3099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四、交货时间：</w:t>
      </w:r>
    </w:p>
    <w:p w14:paraId="5EE35DBA">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合同签订接采购人通知后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个日历日内。</w:t>
      </w:r>
    </w:p>
    <w:p w14:paraId="2A1F6703">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五、甲方指定收件人为：</w:t>
      </w:r>
      <w:r>
        <w:rPr>
          <w:rFonts w:hint="eastAsia" w:ascii="宋体" w:hAnsi="宋体" w:cs="宋体"/>
          <w:b/>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 xml:space="preserve">     </w:t>
      </w:r>
      <w:r>
        <w:rPr>
          <w:rFonts w:hint="eastAsia" w:ascii="宋体" w:hAnsi="宋体" w:cs="宋体"/>
          <w:sz w:val="24"/>
          <w:szCs w:val="24"/>
          <w:highlight w:val="none"/>
        </w:rPr>
        <w:t>。</w:t>
      </w:r>
    </w:p>
    <w:p w14:paraId="361482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根据使用需要，甲方如需提前或推迟收货，甲方应当</w:t>
      </w:r>
      <w:r>
        <w:rPr>
          <w:rFonts w:hint="eastAsia" w:ascii="宋体" w:hAnsi="宋体" w:cs="宋体"/>
          <w:b/>
          <w:bCs/>
          <w:sz w:val="24"/>
          <w:szCs w:val="24"/>
          <w:highlight w:val="none"/>
        </w:rPr>
        <w:t>提前电话或邮箱或其他任何在本合同约定的方式通知乙方</w:t>
      </w:r>
      <w:r>
        <w:rPr>
          <w:rFonts w:hint="eastAsia" w:ascii="宋体" w:hAnsi="宋体" w:cs="宋体"/>
          <w:sz w:val="24"/>
          <w:szCs w:val="24"/>
          <w:highlight w:val="none"/>
        </w:rPr>
        <w:t>，乙方应无条件配合，不得收取仓储费等任何费用。</w:t>
      </w:r>
    </w:p>
    <w:p w14:paraId="4425CE2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六：货款结算方式：</w:t>
      </w:r>
    </w:p>
    <w:p w14:paraId="0C90E4C4">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1、付款方式：</w:t>
      </w:r>
    </w:p>
    <w:p w14:paraId="40159F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2、支付方式：甲方直接将货款通过银行转账的方式转入乙方指定的专用账号。乙方账户名：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4F262E1">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七、质量保证：</w:t>
      </w:r>
      <w:r>
        <w:rPr>
          <w:rFonts w:hint="eastAsia" w:ascii="宋体" w:hAnsi="宋体" w:cs="宋体"/>
          <w:sz w:val="24"/>
          <w:szCs w:val="24"/>
          <w:highlight w:val="none"/>
        </w:rPr>
        <w:t>详见“第四章合同条款及格式前附表”</w:t>
      </w:r>
    </w:p>
    <w:p w14:paraId="6B0EC182">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sz w:val="24"/>
          <w:szCs w:val="24"/>
          <w:highlight w:val="none"/>
        </w:rPr>
        <w:t>、</w:t>
      </w:r>
      <w:r>
        <w:rPr>
          <w:rFonts w:hint="eastAsia" w:ascii="宋体" w:hAnsi="宋体" w:cs="宋体"/>
          <w:b/>
          <w:bCs/>
          <w:sz w:val="24"/>
          <w:szCs w:val="24"/>
          <w:highlight w:val="none"/>
        </w:rPr>
        <w:t>运输、安装、调试要求：</w:t>
      </w:r>
      <w:r>
        <w:rPr>
          <w:rFonts w:hint="eastAsia" w:ascii="宋体" w:hAnsi="宋体" w:cs="宋体"/>
          <w:sz w:val="24"/>
          <w:szCs w:val="24"/>
          <w:highlight w:val="none"/>
        </w:rPr>
        <w:t>详见“第四章合同条款及格式前附表”</w:t>
      </w:r>
    </w:p>
    <w:p w14:paraId="3B1E5C12">
      <w:pPr>
        <w:adjustRightInd w:val="0"/>
        <w:snapToGrid w:val="0"/>
        <w:spacing w:line="360" w:lineRule="auto"/>
        <w:rPr>
          <w:rFonts w:ascii="宋体" w:hAnsi="宋体" w:cs="宋体"/>
          <w:b/>
          <w:sz w:val="24"/>
          <w:szCs w:val="24"/>
          <w:highlight w:val="none"/>
        </w:rPr>
      </w:pPr>
      <w:r>
        <w:rPr>
          <w:rFonts w:hint="eastAsia" w:ascii="宋体" w:hAnsi="宋体" w:cs="宋体"/>
          <w:b/>
          <w:bCs/>
          <w:sz w:val="24"/>
          <w:szCs w:val="24"/>
          <w:highlight w:val="none"/>
        </w:rPr>
        <w:t>九、技术支持及培训：</w:t>
      </w:r>
      <w:r>
        <w:rPr>
          <w:rFonts w:hint="eastAsia" w:ascii="宋体" w:hAnsi="宋体" w:cs="宋体"/>
          <w:sz w:val="24"/>
          <w:szCs w:val="24"/>
          <w:highlight w:val="none"/>
        </w:rPr>
        <w:t>详见“第四章合同条款及格式前附表”</w:t>
      </w:r>
    </w:p>
    <w:p w14:paraId="2C77E7F9">
      <w:pPr>
        <w:adjustRightInd w:val="0"/>
        <w:snapToGrid w:val="0"/>
        <w:spacing w:line="360" w:lineRule="auto"/>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bCs/>
          <w:sz w:val="24"/>
          <w:szCs w:val="24"/>
          <w:highlight w:val="none"/>
        </w:rPr>
        <w:t>技术资料要求</w:t>
      </w:r>
      <w:r>
        <w:rPr>
          <w:rFonts w:hint="eastAsia" w:ascii="宋体" w:hAnsi="宋体" w:cs="宋体"/>
          <w:b/>
          <w:sz w:val="24"/>
          <w:szCs w:val="24"/>
          <w:highlight w:val="none"/>
        </w:rPr>
        <w:t>：</w:t>
      </w:r>
      <w:r>
        <w:rPr>
          <w:rFonts w:hint="eastAsia" w:ascii="宋体" w:hAnsi="宋体" w:cs="宋体"/>
          <w:sz w:val="24"/>
          <w:szCs w:val="24"/>
          <w:highlight w:val="none"/>
        </w:rPr>
        <w:t>详见“第四章合同条款及格式前附表”</w:t>
      </w:r>
    </w:p>
    <w:p w14:paraId="7D75B62D">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十一、验收：</w:t>
      </w:r>
      <w:r>
        <w:rPr>
          <w:rFonts w:hint="eastAsia" w:ascii="宋体" w:hAnsi="宋体" w:cs="宋体"/>
          <w:sz w:val="24"/>
          <w:szCs w:val="24"/>
          <w:highlight w:val="none"/>
        </w:rPr>
        <w:t>详见“第四章合同条款及格式前附表”</w:t>
      </w:r>
    </w:p>
    <w:p w14:paraId="35153837">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十二、质保及维保服务：</w:t>
      </w:r>
      <w:r>
        <w:rPr>
          <w:rFonts w:hint="eastAsia" w:ascii="宋体" w:hAnsi="宋体" w:cs="宋体"/>
          <w:sz w:val="24"/>
          <w:szCs w:val="24"/>
          <w:highlight w:val="none"/>
        </w:rPr>
        <w:t>详见“第四章合同条款及格式前附表”</w:t>
      </w:r>
    </w:p>
    <w:p w14:paraId="78739824">
      <w:pPr>
        <w:spacing w:line="360" w:lineRule="auto"/>
        <w:rPr>
          <w:rFonts w:ascii="宋体" w:hAnsi="宋体" w:cs="宋体"/>
          <w:b/>
          <w:sz w:val="24"/>
          <w:szCs w:val="24"/>
          <w:highlight w:val="none"/>
        </w:rPr>
      </w:pPr>
      <w:r>
        <w:rPr>
          <w:rFonts w:hint="eastAsia" w:ascii="宋体" w:hAnsi="宋体" w:cs="宋体"/>
          <w:b/>
          <w:sz w:val="24"/>
          <w:szCs w:val="24"/>
          <w:highlight w:val="none"/>
        </w:rPr>
        <w:t>十三、知识产权：</w:t>
      </w:r>
      <w:r>
        <w:rPr>
          <w:rFonts w:hint="eastAsia" w:ascii="宋体" w:hAnsi="宋体" w:cs="宋体"/>
          <w:sz w:val="24"/>
          <w:szCs w:val="24"/>
          <w:highlight w:val="none"/>
        </w:rPr>
        <w:t>详见“第四章合同条款及格式前附表”</w:t>
      </w:r>
    </w:p>
    <w:p w14:paraId="5C1CED37">
      <w:pPr>
        <w:spacing w:line="360" w:lineRule="auto"/>
        <w:rPr>
          <w:rFonts w:ascii="宋体" w:hAnsi="宋体" w:cs="宋体"/>
          <w:b/>
          <w:sz w:val="24"/>
          <w:szCs w:val="24"/>
          <w:highlight w:val="none"/>
        </w:rPr>
      </w:pPr>
      <w:r>
        <w:rPr>
          <w:rFonts w:hint="eastAsia" w:ascii="宋体" w:hAnsi="宋体" w:cs="宋体"/>
          <w:b/>
          <w:sz w:val="24"/>
          <w:szCs w:val="24"/>
          <w:highlight w:val="none"/>
        </w:rPr>
        <w:t>十四、合同争议的解决</w:t>
      </w:r>
    </w:p>
    <w:p w14:paraId="3B8BEE36">
      <w:pPr>
        <w:spacing w:line="360" w:lineRule="auto"/>
        <w:rPr>
          <w:rFonts w:ascii="宋体" w:hAnsi="宋体" w:cs="宋体"/>
          <w:sz w:val="24"/>
          <w:szCs w:val="24"/>
          <w:highlight w:val="none"/>
        </w:rPr>
      </w:pPr>
      <w:r>
        <w:rPr>
          <w:rFonts w:hint="eastAsia" w:ascii="宋体" w:hAnsi="宋体" w:cs="宋体"/>
          <w:sz w:val="24"/>
          <w:szCs w:val="24"/>
          <w:highlight w:val="none"/>
        </w:rPr>
        <w:t xml:space="preserve">    合同执行中发生争议的，当事人双方应协商解决。协商达不成一致时，可向当地行政仲裁机关申请仲裁或者向人民法院提请诉讼。</w:t>
      </w:r>
    </w:p>
    <w:p w14:paraId="548FB6C1">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十五、不可抗力情况下的免责约定</w:t>
      </w:r>
    </w:p>
    <w:p w14:paraId="07F516D5">
      <w:pPr>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0EEE08A1">
      <w:pPr>
        <w:spacing w:line="360" w:lineRule="auto"/>
        <w:rPr>
          <w:rFonts w:ascii="宋体" w:hAnsi="宋体" w:cs="宋体"/>
          <w:b/>
          <w:sz w:val="24"/>
          <w:szCs w:val="24"/>
          <w:highlight w:val="none"/>
        </w:rPr>
      </w:pPr>
      <w:r>
        <w:rPr>
          <w:rFonts w:hint="eastAsia" w:ascii="宋体" w:hAnsi="宋体" w:cs="宋体"/>
          <w:b/>
          <w:sz w:val="24"/>
          <w:szCs w:val="24"/>
          <w:highlight w:val="none"/>
        </w:rPr>
        <w:t>十六、违约责任：</w:t>
      </w:r>
      <w:r>
        <w:rPr>
          <w:rFonts w:hint="eastAsia" w:ascii="宋体" w:hAnsi="宋体" w:cs="宋体"/>
          <w:sz w:val="24"/>
          <w:szCs w:val="24"/>
          <w:highlight w:val="none"/>
        </w:rPr>
        <w:t>详见“第三章合同条款及格式前附表”</w:t>
      </w:r>
    </w:p>
    <w:p w14:paraId="0268C704">
      <w:pPr>
        <w:spacing w:line="360" w:lineRule="auto"/>
        <w:rPr>
          <w:rFonts w:ascii="宋体" w:hAnsi="宋体" w:cs="宋体"/>
          <w:b/>
          <w:sz w:val="24"/>
          <w:szCs w:val="24"/>
          <w:highlight w:val="none"/>
        </w:rPr>
      </w:pPr>
      <w:r>
        <w:rPr>
          <w:rFonts w:hint="eastAsia" w:ascii="宋体" w:hAnsi="宋体" w:cs="宋体"/>
          <w:b/>
          <w:sz w:val="24"/>
          <w:szCs w:val="24"/>
          <w:highlight w:val="none"/>
        </w:rPr>
        <w:t>十七、以下资料为本合同不可分割部分，与本合同具有同等法律效力：</w:t>
      </w:r>
    </w:p>
    <w:p w14:paraId="10BAC6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1、本合同所涉产品的国家标准及相关行业标准；</w:t>
      </w:r>
    </w:p>
    <w:p w14:paraId="34C857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2、本产品的详细资料；</w:t>
      </w:r>
    </w:p>
    <w:p w14:paraId="465670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3、磋商文件及磋商响应文件；</w:t>
      </w:r>
    </w:p>
    <w:p w14:paraId="0988E64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4、本套产品配置及配套设备零件报价详单；（附于合同后）</w:t>
      </w:r>
    </w:p>
    <w:p w14:paraId="0B2C83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5、本套产品配套耗材清单、报价详单。（附于合同后）</w:t>
      </w:r>
    </w:p>
    <w:p w14:paraId="3F3D801A">
      <w:pPr>
        <w:spacing w:line="360" w:lineRule="auto"/>
        <w:rPr>
          <w:rFonts w:ascii="宋体" w:hAnsi="宋体" w:cs="宋体"/>
          <w:sz w:val="24"/>
          <w:szCs w:val="24"/>
          <w:highlight w:val="none"/>
        </w:rPr>
      </w:pPr>
      <w:r>
        <w:rPr>
          <w:rFonts w:hint="eastAsia" w:ascii="宋体" w:hAnsi="宋体" w:cs="宋体"/>
          <w:b/>
          <w:sz w:val="24"/>
          <w:szCs w:val="24"/>
          <w:highlight w:val="none"/>
        </w:rPr>
        <w:t>十八、其他（</w:t>
      </w:r>
      <w:r>
        <w:rPr>
          <w:rFonts w:hint="eastAsia" w:ascii="宋体" w:hAnsi="宋体" w:cs="宋体"/>
          <w:sz w:val="24"/>
          <w:szCs w:val="24"/>
          <w:highlight w:val="none"/>
        </w:rPr>
        <w:t>在合同中双方自行约定）</w:t>
      </w:r>
    </w:p>
    <w:p w14:paraId="43DD9FC4">
      <w:pPr>
        <w:spacing w:line="360" w:lineRule="auto"/>
        <w:rPr>
          <w:rFonts w:ascii="宋体" w:hAnsi="宋体" w:cs="宋体"/>
          <w:b/>
          <w:sz w:val="24"/>
          <w:szCs w:val="24"/>
          <w:highlight w:val="none"/>
        </w:rPr>
      </w:pPr>
      <w:r>
        <w:rPr>
          <w:rFonts w:hint="eastAsia" w:ascii="宋体" w:hAnsi="宋体" w:cs="宋体"/>
          <w:b/>
          <w:sz w:val="24"/>
          <w:szCs w:val="24"/>
          <w:highlight w:val="none"/>
        </w:rPr>
        <w:t>十九、合同订立</w:t>
      </w:r>
    </w:p>
    <w:p w14:paraId="470F972D">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1. 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2F82E24">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2. 订立地点：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B498666">
      <w:pPr>
        <w:tabs>
          <w:tab w:val="left" w:pos="980"/>
        </w:tabs>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 本合同一式</w:t>
      </w:r>
      <w:r>
        <w:rPr>
          <w:rFonts w:hint="eastAsia" w:ascii="宋体" w:hAnsi="宋体" w:cs="宋体"/>
          <w:sz w:val="24"/>
          <w:szCs w:val="24"/>
          <w:highlight w:val="none"/>
          <w:u w:val="single"/>
        </w:rPr>
        <w:t xml:space="preserve"> 肆 </w:t>
      </w:r>
      <w:r>
        <w:rPr>
          <w:rFonts w:hint="eastAsia" w:ascii="宋体" w:hAnsi="宋体" w:cs="宋体"/>
          <w:sz w:val="24"/>
          <w:szCs w:val="24"/>
          <w:highlight w:val="none"/>
        </w:rPr>
        <w:t>份，具有同等法律效力，双方各执</w:t>
      </w:r>
      <w:r>
        <w:rPr>
          <w:rFonts w:hint="eastAsia" w:ascii="宋体" w:hAnsi="宋体" w:cs="宋体"/>
          <w:sz w:val="24"/>
          <w:szCs w:val="24"/>
          <w:highlight w:val="none"/>
          <w:u w:val="single"/>
        </w:rPr>
        <w:t xml:space="preserve"> 贰 </w:t>
      </w:r>
      <w:r>
        <w:rPr>
          <w:rFonts w:hint="eastAsia" w:ascii="宋体" w:hAnsi="宋体" w:cs="宋体"/>
          <w:sz w:val="24"/>
          <w:szCs w:val="24"/>
          <w:highlight w:val="none"/>
        </w:rPr>
        <w:t>份。各方签字盖章后生效，合同执行完毕自动失效。（合同的服务承诺则长期有效）。</w:t>
      </w:r>
    </w:p>
    <w:p w14:paraId="7E1E5951">
      <w:pPr>
        <w:adjustRightInd w:val="0"/>
        <w:snapToGrid w:val="0"/>
        <w:spacing w:line="360" w:lineRule="auto"/>
        <w:ind w:firstLine="415" w:firstLineChars="198"/>
        <w:rPr>
          <w:rFonts w:ascii="宋体" w:hAnsi="宋体" w:cs="宋体"/>
          <w:highlight w:val="non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11A9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0C4341D6">
            <w:pPr>
              <w:spacing w:line="360" w:lineRule="auto"/>
              <w:jc w:val="center"/>
              <w:rPr>
                <w:rFonts w:ascii="宋体" w:hAnsi="宋体" w:cs="宋体"/>
                <w:sz w:val="24"/>
                <w:highlight w:val="none"/>
              </w:rPr>
            </w:pPr>
            <w:r>
              <w:rPr>
                <w:rFonts w:hint="eastAsia" w:ascii="宋体" w:hAnsi="宋体" w:cs="宋体"/>
                <w:sz w:val="24"/>
                <w:highlight w:val="none"/>
              </w:rPr>
              <w:t>甲 方</w:t>
            </w:r>
          </w:p>
        </w:tc>
        <w:tc>
          <w:tcPr>
            <w:tcW w:w="2662" w:type="pct"/>
            <w:vAlign w:val="center"/>
          </w:tcPr>
          <w:p w14:paraId="471F3AA1">
            <w:pPr>
              <w:spacing w:line="360" w:lineRule="auto"/>
              <w:jc w:val="center"/>
              <w:rPr>
                <w:rFonts w:ascii="宋体" w:hAnsi="宋体" w:cs="宋体"/>
                <w:sz w:val="24"/>
                <w:highlight w:val="none"/>
              </w:rPr>
            </w:pPr>
            <w:r>
              <w:rPr>
                <w:rFonts w:hint="eastAsia" w:ascii="宋体" w:hAnsi="宋体" w:cs="宋体"/>
                <w:sz w:val="24"/>
                <w:highlight w:val="none"/>
              </w:rPr>
              <w:t>乙 方</w:t>
            </w:r>
          </w:p>
        </w:tc>
      </w:tr>
      <w:tr w14:paraId="530C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4D8DC8">
            <w:pPr>
              <w:spacing w:line="360" w:lineRule="auto"/>
              <w:ind w:firstLine="960" w:firstLineChars="400"/>
              <w:rPr>
                <w:rFonts w:ascii="宋体" w:hAnsi="宋体" w:cs="宋体"/>
                <w:sz w:val="24"/>
                <w:highlight w:val="none"/>
              </w:rPr>
            </w:pPr>
          </w:p>
          <w:p w14:paraId="21C2C9F0">
            <w:pPr>
              <w:spacing w:line="360" w:lineRule="auto"/>
              <w:jc w:val="center"/>
              <w:rPr>
                <w:rFonts w:ascii="宋体" w:hAnsi="宋体" w:cs="宋体"/>
                <w:sz w:val="24"/>
                <w:highlight w:val="none"/>
              </w:rPr>
            </w:pPr>
          </w:p>
          <w:p w14:paraId="28E18FE3">
            <w:pPr>
              <w:spacing w:line="360" w:lineRule="auto"/>
              <w:jc w:val="center"/>
              <w:rPr>
                <w:rFonts w:ascii="宋体" w:hAnsi="宋体" w:cs="宋体"/>
                <w:sz w:val="24"/>
                <w:highlight w:val="none"/>
              </w:rPr>
            </w:pPr>
          </w:p>
          <w:p w14:paraId="4780DF1C">
            <w:pPr>
              <w:spacing w:line="360" w:lineRule="auto"/>
              <w:jc w:val="center"/>
              <w:rPr>
                <w:rFonts w:ascii="宋体" w:hAnsi="宋体" w:cs="宋体"/>
                <w:sz w:val="24"/>
                <w:highlight w:val="none"/>
              </w:rPr>
            </w:pPr>
          </w:p>
          <w:p w14:paraId="2348BA2B">
            <w:pPr>
              <w:spacing w:line="360" w:lineRule="auto"/>
              <w:jc w:val="center"/>
              <w:rPr>
                <w:rFonts w:ascii="宋体" w:hAnsi="宋体" w:cs="宋体"/>
                <w:sz w:val="24"/>
                <w:highlight w:val="none"/>
              </w:rPr>
            </w:pPr>
            <w:r>
              <w:rPr>
                <w:rFonts w:hint="eastAsia" w:ascii="宋体" w:hAnsi="宋体" w:cs="宋体"/>
                <w:sz w:val="24"/>
                <w:highlight w:val="none"/>
              </w:rPr>
              <w:t>（盖章）</w:t>
            </w:r>
          </w:p>
        </w:tc>
        <w:tc>
          <w:tcPr>
            <w:tcW w:w="2662" w:type="pct"/>
            <w:vAlign w:val="center"/>
          </w:tcPr>
          <w:p w14:paraId="3FA2883B">
            <w:pPr>
              <w:spacing w:line="360" w:lineRule="auto"/>
              <w:jc w:val="center"/>
              <w:rPr>
                <w:rFonts w:ascii="宋体" w:hAnsi="宋体" w:cs="宋体"/>
                <w:sz w:val="24"/>
                <w:highlight w:val="none"/>
              </w:rPr>
            </w:pPr>
          </w:p>
          <w:p w14:paraId="2B2580E2">
            <w:pPr>
              <w:spacing w:line="360" w:lineRule="auto"/>
              <w:jc w:val="center"/>
              <w:rPr>
                <w:rFonts w:ascii="宋体" w:hAnsi="宋体" w:cs="宋体"/>
                <w:sz w:val="24"/>
                <w:highlight w:val="none"/>
              </w:rPr>
            </w:pPr>
          </w:p>
          <w:p w14:paraId="72CBE28B">
            <w:pPr>
              <w:spacing w:line="360" w:lineRule="auto"/>
              <w:jc w:val="center"/>
              <w:rPr>
                <w:rFonts w:ascii="宋体" w:hAnsi="宋体" w:cs="宋体"/>
                <w:sz w:val="24"/>
                <w:highlight w:val="none"/>
              </w:rPr>
            </w:pPr>
          </w:p>
          <w:p w14:paraId="4DDA7838">
            <w:pPr>
              <w:spacing w:line="360" w:lineRule="auto"/>
              <w:jc w:val="center"/>
              <w:rPr>
                <w:rFonts w:ascii="宋体" w:hAnsi="宋体" w:cs="宋体"/>
                <w:sz w:val="24"/>
                <w:highlight w:val="none"/>
              </w:rPr>
            </w:pPr>
          </w:p>
          <w:p w14:paraId="7FCB1253">
            <w:pPr>
              <w:spacing w:line="360" w:lineRule="auto"/>
              <w:jc w:val="center"/>
              <w:rPr>
                <w:rFonts w:ascii="宋体" w:hAnsi="宋体" w:cs="宋体"/>
                <w:sz w:val="24"/>
                <w:highlight w:val="none"/>
              </w:rPr>
            </w:pPr>
            <w:r>
              <w:rPr>
                <w:rFonts w:hint="eastAsia" w:ascii="宋体" w:hAnsi="宋体" w:cs="宋体"/>
                <w:sz w:val="24"/>
                <w:highlight w:val="none"/>
              </w:rPr>
              <w:t>（盖章）</w:t>
            </w:r>
          </w:p>
        </w:tc>
      </w:tr>
      <w:tr w14:paraId="1E55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1B4D5F6E">
            <w:pPr>
              <w:spacing w:line="360" w:lineRule="auto"/>
              <w:jc w:val="left"/>
              <w:rPr>
                <w:rFonts w:ascii="宋体" w:hAnsi="宋体" w:cs="宋体"/>
                <w:sz w:val="24"/>
                <w:highlight w:val="none"/>
              </w:rPr>
            </w:pPr>
            <w:r>
              <w:rPr>
                <w:rFonts w:hint="eastAsia" w:ascii="宋体" w:hAnsi="宋体" w:cs="宋体"/>
                <w:sz w:val="24"/>
                <w:highlight w:val="none"/>
              </w:rPr>
              <w:t>地址：</w:t>
            </w:r>
          </w:p>
        </w:tc>
        <w:tc>
          <w:tcPr>
            <w:tcW w:w="2662" w:type="pct"/>
          </w:tcPr>
          <w:p w14:paraId="2381289B">
            <w:pPr>
              <w:spacing w:line="360" w:lineRule="auto"/>
              <w:jc w:val="left"/>
              <w:rPr>
                <w:rFonts w:ascii="宋体" w:hAnsi="宋体" w:cs="宋体"/>
                <w:sz w:val="24"/>
                <w:highlight w:val="none"/>
              </w:rPr>
            </w:pPr>
            <w:r>
              <w:rPr>
                <w:rFonts w:hint="eastAsia" w:ascii="宋体" w:hAnsi="宋体" w:cs="宋体"/>
                <w:sz w:val="24"/>
                <w:highlight w:val="none"/>
              </w:rPr>
              <w:t>地址：</w:t>
            </w:r>
          </w:p>
        </w:tc>
      </w:tr>
      <w:tr w14:paraId="15ED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26C9EC28">
            <w:pPr>
              <w:spacing w:line="360" w:lineRule="auto"/>
              <w:jc w:val="left"/>
              <w:rPr>
                <w:rFonts w:ascii="宋体" w:hAnsi="宋体" w:cs="宋体"/>
                <w:sz w:val="24"/>
                <w:highlight w:val="none"/>
              </w:rPr>
            </w:pPr>
            <w:r>
              <w:rPr>
                <w:rFonts w:hint="eastAsia" w:ascii="宋体" w:hAnsi="宋体" w:cs="宋体"/>
                <w:sz w:val="24"/>
                <w:highlight w:val="none"/>
              </w:rPr>
              <w:t>邮编：</w:t>
            </w:r>
          </w:p>
        </w:tc>
        <w:tc>
          <w:tcPr>
            <w:tcW w:w="2662" w:type="pct"/>
          </w:tcPr>
          <w:p w14:paraId="5F8C8549">
            <w:pPr>
              <w:spacing w:line="360" w:lineRule="auto"/>
              <w:jc w:val="left"/>
              <w:rPr>
                <w:rFonts w:ascii="宋体" w:hAnsi="宋体" w:cs="宋体"/>
                <w:sz w:val="24"/>
                <w:highlight w:val="none"/>
              </w:rPr>
            </w:pPr>
            <w:r>
              <w:rPr>
                <w:rFonts w:hint="eastAsia" w:ascii="宋体" w:hAnsi="宋体" w:cs="宋体"/>
                <w:sz w:val="24"/>
                <w:highlight w:val="none"/>
              </w:rPr>
              <w:t>邮编：</w:t>
            </w:r>
          </w:p>
        </w:tc>
      </w:tr>
      <w:tr w14:paraId="1DE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0BAB3DDD">
            <w:pPr>
              <w:spacing w:line="360" w:lineRule="auto"/>
              <w:jc w:val="left"/>
              <w:rPr>
                <w:rFonts w:ascii="宋体" w:hAnsi="宋体" w:cs="宋体"/>
                <w:sz w:val="24"/>
                <w:highlight w:val="none"/>
              </w:rPr>
            </w:pPr>
            <w:r>
              <w:rPr>
                <w:rFonts w:hint="eastAsia" w:ascii="宋体" w:hAnsi="宋体" w:cs="宋体"/>
                <w:sz w:val="24"/>
                <w:highlight w:val="none"/>
              </w:rPr>
              <w:t>法定代表人：</w:t>
            </w:r>
          </w:p>
        </w:tc>
        <w:tc>
          <w:tcPr>
            <w:tcW w:w="2662" w:type="pct"/>
          </w:tcPr>
          <w:p w14:paraId="148EB869">
            <w:pPr>
              <w:spacing w:line="360" w:lineRule="auto"/>
              <w:jc w:val="left"/>
              <w:rPr>
                <w:rFonts w:ascii="宋体" w:hAnsi="宋体" w:cs="宋体"/>
                <w:sz w:val="24"/>
                <w:highlight w:val="none"/>
              </w:rPr>
            </w:pPr>
            <w:r>
              <w:rPr>
                <w:rFonts w:hint="eastAsia" w:ascii="宋体" w:hAnsi="宋体" w:cs="宋体"/>
                <w:sz w:val="24"/>
                <w:highlight w:val="none"/>
              </w:rPr>
              <w:t>法定代表人：</w:t>
            </w:r>
          </w:p>
        </w:tc>
      </w:tr>
      <w:tr w14:paraId="2024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9F14A27">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c>
          <w:tcPr>
            <w:tcW w:w="2662" w:type="pct"/>
          </w:tcPr>
          <w:p w14:paraId="58B34382">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r>
      <w:tr w14:paraId="7D4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EF3B158">
            <w:pPr>
              <w:spacing w:line="360" w:lineRule="auto"/>
              <w:jc w:val="left"/>
              <w:rPr>
                <w:rFonts w:ascii="宋体" w:hAnsi="宋体" w:cs="宋体"/>
                <w:sz w:val="24"/>
                <w:highlight w:val="none"/>
              </w:rPr>
            </w:pPr>
            <w:r>
              <w:rPr>
                <w:rFonts w:hint="eastAsia" w:ascii="宋体" w:hAnsi="宋体" w:cs="宋体"/>
                <w:sz w:val="24"/>
                <w:highlight w:val="none"/>
              </w:rPr>
              <w:t>电话：</w:t>
            </w:r>
          </w:p>
        </w:tc>
        <w:tc>
          <w:tcPr>
            <w:tcW w:w="2662" w:type="pct"/>
          </w:tcPr>
          <w:p w14:paraId="3632E978">
            <w:pPr>
              <w:spacing w:line="360" w:lineRule="auto"/>
              <w:jc w:val="left"/>
              <w:rPr>
                <w:rFonts w:ascii="宋体" w:hAnsi="宋体" w:cs="宋体"/>
                <w:sz w:val="24"/>
                <w:highlight w:val="none"/>
              </w:rPr>
            </w:pPr>
            <w:r>
              <w:rPr>
                <w:rFonts w:hint="eastAsia" w:ascii="宋体" w:hAnsi="宋体" w:cs="宋体"/>
                <w:sz w:val="24"/>
                <w:highlight w:val="none"/>
              </w:rPr>
              <w:t>电话：</w:t>
            </w:r>
          </w:p>
        </w:tc>
      </w:tr>
      <w:tr w14:paraId="232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4B7A4D">
            <w:pPr>
              <w:spacing w:line="360" w:lineRule="auto"/>
              <w:jc w:val="left"/>
              <w:rPr>
                <w:rFonts w:ascii="宋体" w:hAnsi="宋体" w:cs="宋体"/>
                <w:sz w:val="24"/>
                <w:highlight w:val="none"/>
              </w:rPr>
            </w:pPr>
            <w:r>
              <w:rPr>
                <w:rFonts w:hint="eastAsia" w:ascii="宋体" w:hAnsi="宋体" w:cs="宋体"/>
                <w:sz w:val="24"/>
                <w:highlight w:val="none"/>
              </w:rPr>
              <w:t>传真：</w:t>
            </w:r>
          </w:p>
        </w:tc>
        <w:tc>
          <w:tcPr>
            <w:tcW w:w="2662" w:type="pct"/>
          </w:tcPr>
          <w:p w14:paraId="4DAA30BB">
            <w:pPr>
              <w:spacing w:line="360" w:lineRule="auto"/>
              <w:jc w:val="left"/>
              <w:rPr>
                <w:rFonts w:ascii="宋体" w:hAnsi="宋体" w:cs="宋体"/>
                <w:sz w:val="24"/>
                <w:highlight w:val="none"/>
              </w:rPr>
            </w:pPr>
            <w:r>
              <w:rPr>
                <w:rFonts w:hint="eastAsia" w:ascii="宋体" w:hAnsi="宋体" w:cs="宋体"/>
                <w:sz w:val="24"/>
                <w:highlight w:val="none"/>
              </w:rPr>
              <w:t>传真：</w:t>
            </w:r>
          </w:p>
        </w:tc>
      </w:tr>
      <w:tr w14:paraId="271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946986A">
            <w:pPr>
              <w:spacing w:line="360" w:lineRule="auto"/>
              <w:jc w:val="left"/>
              <w:rPr>
                <w:rFonts w:ascii="宋体" w:hAnsi="宋体" w:cs="宋体"/>
                <w:sz w:val="24"/>
                <w:highlight w:val="none"/>
              </w:rPr>
            </w:pPr>
          </w:p>
        </w:tc>
        <w:tc>
          <w:tcPr>
            <w:tcW w:w="2662" w:type="pct"/>
          </w:tcPr>
          <w:p w14:paraId="5C6F6F17">
            <w:pPr>
              <w:spacing w:line="360" w:lineRule="auto"/>
              <w:jc w:val="left"/>
              <w:rPr>
                <w:rFonts w:ascii="宋体" w:hAnsi="宋体" w:cs="宋体"/>
                <w:sz w:val="24"/>
                <w:highlight w:val="none"/>
              </w:rPr>
            </w:pPr>
            <w:r>
              <w:rPr>
                <w:rFonts w:hint="eastAsia" w:ascii="宋体" w:hAnsi="宋体" w:cs="宋体"/>
                <w:sz w:val="24"/>
                <w:highlight w:val="none"/>
              </w:rPr>
              <w:t>开户银行：</w:t>
            </w:r>
          </w:p>
        </w:tc>
      </w:tr>
      <w:tr w14:paraId="7A8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173CE00">
            <w:pPr>
              <w:spacing w:line="360" w:lineRule="auto"/>
              <w:jc w:val="left"/>
              <w:rPr>
                <w:rFonts w:ascii="宋体" w:hAnsi="宋体" w:cs="宋体"/>
                <w:sz w:val="24"/>
                <w:highlight w:val="none"/>
              </w:rPr>
            </w:pPr>
          </w:p>
        </w:tc>
        <w:tc>
          <w:tcPr>
            <w:tcW w:w="2662" w:type="pct"/>
          </w:tcPr>
          <w:p w14:paraId="33730F51">
            <w:pPr>
              <w:spacing w:line="360" w:lineRule="auto"/>
              <w:jc w:val="left"/>
              <w:rPr>
                <w:rFonts w:ascii="宋体" w:hAnsi="宋体" w:cs="宋体"/>
                <w:sz w:val="24"/>
                <w:highlight w:val="none"/>
              </w:rPr>
            </w:pPr>
            <w:r>
              <w:rPr>
                <w:rFonts w:hint="eastAsia" w:ascii="宋体" w:hAnsi="宋体" w:cs="宋体"/>
                <w:sz w:val="24"/>
                <w:highlight w:val="none"/>
              </w:rPr>
              <w:t>账号：</w:t>
            </w:r>
          </w:p>
        </w:tc>
      </w:tr>
      <w:tr w14:paraId="3080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69F20195">
            <w:pPr>
              <w:spacing w:line="360" w:lineRule="auto"/>
              <w:jc w:val="left"/>
              <w:rPr>
                <w:rFonts w:ascii="宋体" w:hAnsi="宋体" w:cs="宋体"/>
                <w:sz w:val="24"/>
                <w:highlight w:val="none"/>
              </w:rPr>
            </w:pPr>
            <w:r>
              <w:rPr>
                <w:rFonts w:hint="eastAsia" w:ascii="宋体" w:hAnsi="宋体" w:cs="宋体"/>
                <w:sz w:val="24"/>
                <w:highlight w:val="none"/>
              </w:rPr>
              <w:t>日期：   年  月   日</w:t>
            </w:r>
          </w:p>
        </w:tc>
        <w:tc>
          <w:tcPr>
            <w:tcW w:w="2662" w:type="pct"/>
          </w:tcPr>
          <w:p w14:paraId="3599D81B">
            <w:pPr>
              <w:spacing w:line="360" w:lineRule="auto"/>
              <w:jc w:val="left"/>
              <w:rPr>
                <w:rFonts w:ascii="宋体" w:hAnsi="宋体" w:cs="宋体"/>
                <w:sz w:val="24"/>
                <w:highlight w:val="none"/>
              </w:rPr>
            </w:pPr>
            <w:r>
              <w:rPr>
                <w:rFonts w:hint="eastAsia" w:ascii="宋体" w:hAnsi="宋体" w:cs="宋体"/>
                <w:sz w:val="24"/>
                <w:highlight w:val="none"/>
              </w:rPr>
              <w:t>日期：   年  月   日</w:t>
            </w:r>
          </w:p>
        </w:tc>
      </w:tr>
    </w:tbl>
    <w:p w14:paraId="70BEB7D5">
      <w:pPr>
        <w:tabs>
          <w:tab w:val="left" w:pos="480"/>
        </w:tabs>
        <w:spacing w:line="360" w:lineRule="auto"/>
        <w:ind w:firstLine="420" w:firstLineChars="200"/>
        <w:rPr>
          <w:rFonts w:hAnsi="宋体" w:cs="宋体"/>
          <w:szCs w:val="21"/>
          <w:highlight w:val="none"/>
        </w:rPr>
      </w:pPr>
      <w:r>
        <w:rPr>
          <w:rFonts w:hint="eastAsia" w:ascii="宋体" w:hAnsi="宋体" w:cs="宋体"/>
          <w:highlight w:val="none"/>
        </w:rPr>
        <w:t xml:space="preserve">    </w:t>
      </w:r>
    </w:p>
    <w:p w14:paraId="74B5295B">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0778878E">
      <w:pPr>
        <w:tabs>
          <w:tab w:val="left" w:pos="675"/>
        </w:tabs>
        <w:spacing w:line="360" w:lineRule="auto"/>
        <w:jc w:val="center"/>
        <w:rPr>
          <w:rFonts w:hAnsi="宋体" w:cs="宋体"/>
          <w:b/>
          <w:szCs w:val="21"/>
          <w:highlight w:val="none"/>
        </w:rPr>
      </w:pPr>
    </w:p>
    <w:p w14:paraId="75319ED2">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14:paraId="6003045B">
      <w:pPr>
        <w:tabs>
          <w:tab w:val="left" w:pos="675"/>
        </w:tabs>
        <w:spacing w:line="360" w:lineRule="auto"/>
        <w:jc w:val="center"/>
        <w:rPr>
          <w:rFonts w:hAnsi="宋体" w:cs="宋体"/>
          <w:b/>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244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962F007">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D93F2EA">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44A0293D">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5C72EC6">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799F1B0F">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2FF6632F">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20E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2433D5">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76639B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B138F1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D3FF9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E07C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EED21D">
            <w:pPr>
              <w:tabs>
                <w:tab w:val="left" w:pos="480"/>
              </w:tabs>
              <w:spacing w:line="360" w:lineRule="auto"/>
              <w:jc w:val="center"/>
              <w:rPr>
                <w:rFonts w:hAnsi="宋体" w:cs="宋体"/>
                <w:szCs w:val="21"/>
                <w:highlight w:val="none"/>
              </w:rPr>
            </w:pPr>
          </w:p>
        </w:tc>
      </w:tr>
      <w:tr w14:paraId="0116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49AF85">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70E00FF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E8CDB4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66041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22F9F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ABDF9A5">
            <w:pPr>
              <w:tabs>
                <w:tab w:val="left" w:pos="480"/>
              </w:tabs>
              <w:spacing w:line="360" w:lineRule="auto"/>
              <w:jc w:val="center"/>
              <w:rPr>
                <w:rFonts w:hAnsi="宋体" w:cs="宋体"/>
                <w:szCs w:val="21"/>
                <w:highlight w:val="none"/>
              </w:rPr>
            </w:pPr>
          </w:p>
        </w:tc>
      </w:tr>
      <w:tr w14:paraId="030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0429C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28CBBE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39EBE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DF501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FAE10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1A590E">
            <w:pPr>
              <w:tabs>
                <w:tab w:val="left" w:pos="480"/>
              </w:tabs>
              <w:spacing w:line="360" w:lineRule="auto"/>
              <w:jc w:val="center"/>
              <w:rPr>
                <w:rFonts w:hAnsi="宋体" w:cs="宋体"/>
                <w:szCs w:val="21"/>
                <w:highlight w:val="none"/>
              </w:rPr>
            </w:pPr>
          </w:p>
        </w:tc>
      </w:tr>
      <w:tr w14:paraId="6EE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BC2342E">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38C8FE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657FB1">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1E214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C305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3C68D70">
            <w:pPr>
              <w:tabs>
                <w:tab w:val="left" w:pos="480"/>
              </w:tabs>
              <w:spacing w:line="360" w:lineRule="auto"/>
              <w:jc w:val="center"/>
              <w:rPr>
                <w:rFonts w:hAnsi="宋体" w:cs="宋体"/>
                <w:szCs w:val="21"/>
                <w:highlight w:val="none"/>
              </w:rPr>
            </w:pPr>
          </w:p>
        </w:tc>
      </w:tr>
      <w:tr w14:paraId="6BA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CF49DCE">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1FE3F8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0B9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28C0C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B2A7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B9DAD89">
            <w:pPr>
              <w:tabs>
                <w:tab w:val="left" w:pos="480"/>
              </w:tabs>
              <w:spacing w:line="360" w:lineRule="auto"/>
              <w:jc w:val="center"/>
              <w:rPr>
                <w:rFonts w:hAnsi="宋体" w:cs="宋体"/>
                <w:szCs w:val="21"/>
                <w:highlight w:val="none"/>
              </w:rPr>
            </w:pPr>
          </w:p>
        </w:tc>
      </w:tr>
      <w:tr w14:paraId="2A6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9F35B5">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18280DC9">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5BD98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2F596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D36A1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11541B">
            <w:pPr>
              <w:tabs>
                <w:tab w:val="left" w:pos="480"/>
              </w:tabs>
              <w:spacing w:line="360" w:lineRule="auto"/>
              <w:jc w:val="center"/>
              <w:rPr>
                <w:rFonts w:hAnsi="宋体" w:cs="宋体"/>
                <w:szCs w:val="21"/>
                <w:highlight w:val="none"/>
              </w:rPr>
            </w:pPr>
          </w:p>
        </w:tc>
      </w:tr>
      <w:tr w14:paraId="7494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22764">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552166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4D39C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6B29EA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90AAB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21A43D">
            <w:pPr>
              <w:tabs>
                <w:tab w:val="left" w:pos="480"/>
              </w:tabs>
              <w:spacing w:line="360" w:lineRule="auto"/>
              <w:jc w:val="center"/>
              <w:rPr>
                <w:rFonts w:hAnsi="宋体" w:cs="宋体"/>
                <w:szCs w:val="21"/>
                <w:highlight w:val="none"/>
              </w:rPr>
            </w:pPr>
          </w:p>
        </w:tc>
      </w:tr>
      <w:tr w14:paraId="0F2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DF2CA5B">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F80059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F40CB1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51B9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936F6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082417A">
            <w:pPr>
              <w:tabs>
                <w:tab w:val="left" w:pos="480"/>
              </w:tabs>
              <w:spacing w:line="360" w:lineRule="auto"/>
              <w:jc w:val="center"/>
              <w:rPr>
                <w:rFonts w:hAnsi="宋体" w:cs="宋体"/>
                <w:szCs w:val="21"/>
                <w:highlight w:val="none"/>
              </w:rPr>
            </w:pPr>
          </w:p>
        </w:tc>
      </w:tr>
      <w:tr w14:paraId="74B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99E9BCB">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06B448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7CFF0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0E82E9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9F3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7AA2FBF">
            <w:pPr>
              <w:tabs>
                <w:tab w:val="left" w:pos="480"/>
              </w:tabs>
              <w:spacing w:line="360" w:lineRule="auto"/>
              <w:jc w:val="center"/>
              <w:rPr>
                <w:rFonts w:hAnsi="宋体" w:cs="宋体"/>
                <w:szCs w:val="21"/>
                <w:highlight w:val="none"/>
              </w:rPr>
            </w:pPr>
          </w:p>
        </w:tc>
      </w:tr>
      <w:tr w14:paraId="61C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AC0B2C">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384F4D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2A7F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BC270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FFA87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F8B0206">
            <w:pPr>
              <w:tabs>
                <w:tab w:val="left" w:pos="480"/>
              </w:tabs>
              <w:spacing w:line="360" w:lineRule="auto"/>
              <w:jc w:val="center"/>
              <w:rPr>
                <w:rFonts w:hAnsi="宋体" w:cs="宋体"/>
                <w:szCs w:val="21"/>
                <w:highlight w:val="none"/>
              </w:rPr>
            </w:pPr>
          </w:p>
        </w:tc>
      </w:tr>
      <w:tr w14:paraId="5A5A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32BE9CC">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357CA5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5004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A04FC4">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A003A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0CCE0A">
            <w:pPr>
              <w:tabs>
                <w:tab w:val="left" w:pos="480"/>
              </w:tabs>
              <w:spacing w:line="360" w:lineRule="auto"/>
              <w:jc w:val="center"/>
              <w:rPr>
                <w:rFonts w:hAnsi="宋体" w:cs="宋体"/>
                <w:szCs w:val="21"/>
                <w:highlight w:val="none"/>
              </w:rPr>
            </w:pPr>
          </w:p>
        </w:tc>
      </w:tr>
      <w:tr w14:paraId="4CB4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96F2F09">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D8AAE4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71613A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50F466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9F363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39F5FEC">
            <w:pPr>
              <w:tabs>
                <w:tab w:val="left" w:pos="480"/>
              </w:tabs>
              <w:spacing w:line="360" w:lineRule="auto"/>
              <w:jc w:val="center"/>
              <w:rPr>
                <w:rFonts w:hAnsi="宋体" w:cs="宋体"/>
                <w:szCs w:val="21"/>
                <w:highlight w:val="none"/>
              </w:rPr>
            </w:pPr>
          </w:p>
        </w:tc>
      </w:tr>
      <w:tr w14:paraId="73A1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4C10B85">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090F50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677499">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15EDDC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D081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375B45">
            <w:pPr>
              <w:tabs>
                <w:tab w:val="left" w:pos="480"/>
              </w:tabs>
              <w:spacing w:line="360" w:lineRule="auto"/>
              <w:jc w:val="center"/>
              <w:rPr>
                <w:rFonts w:hAnsi="宋体" w:cs="宋体"/>
                <w:szCs w:val="21"/>
                <w:highlight w:val="none"/>
              </w:rPr>
            </w:pPr>
          </w:p>
        </w:tc>
      </w:tr>
      <w:tr w14:paraId="6D88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AE793ED">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38BF69C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B8DB7A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E0ACE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97E2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82FBC83">
            <w:pPr>
              <w:tabs>
                <w:tab w:val="left" w:pos="480"/>
              </w:tabs>
              <w:spacing w:line="360" w:lineRule="auto"/>
              <w:jc w:val="center"/>
              <w:rPr>
                <w:rFonts w:hAnsi="宋体" w:cs="宋体"/>
                <w:szCs w:val="21"/>
                <w:highlight w:val="none"/>
              </w:rPr>
            </w:pPr>
          </w:p>
        </w:tc>
      </w:tr>
      <w:tr w14:paraId="34CD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057D80E">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643A722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21B20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23AC71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E410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EF1EA6">
            <w:pPr>
              <w:tabs>
                <w:tab w:val="left" w:pos="480"/>
              </w:tabs>
              <w:spacing w:line="360" w:lineRule="auto"/>
              <w:jc w:val="center"/>
              <w:rPr>
                <w:rFonts w:hAnsi="宋体" w:cs="宋体"/>
                <w:szCs w:val="21"/>
                <w:highlight w:val="none"/>
              </w:rPr>
            </w:pPr>
          </w:p>
        </w:tc>
      </w:tr>
      <w:tr w14:paraId="0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19EE1A">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56DD780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C5880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B48EB2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642949">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36E11A4">
            <w:pPr>
              <w:tabs>
                <w:tab w:val="left" w:pos="480"/>
              </w:tabs>
              <w:spacing w:line="360" w:lineRule="auto"/>
              <w:jc w:val="center"/>
              <w:rPr>
                <w:rFonts w:hAnsi="宋体" w:cs="宋体"/>
                <w:szCs w:val="21"/>
                <w:highlight w:val="none"/>
              </w:rPr>
            </w:pPr>
          </w:p>
        </w:tc>
      </w:tr>
      <w:tr w14:paraId="3B6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A6697B">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78F35F7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794150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D6779">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2FBFF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CCF0E6E">
            <w:pPr>
              <w:tabs>
                <w:tab w:val="left" w:pos="480"/>
              </w:tabs>
              <w:spacing w:line="360" w:lineRule="auto"/>
              <w:jc w:val="center"/>
              <w:rPr>
                <w:rFonts w:hAnsi="宋体" w:cs="宋体"/>
                <w:szCs w:val="21"/>
                <w:highlight w:val="none"/>
              </w:rPr>
            </w:pPr>
          </w:p>
        </w:tc>
      </w:tr>
      <w:tr w14:paraId="489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D3043F7">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5E66FB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3624052">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84072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24923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652A8A">
            <w:pPr>
              <w:tabs>
                <w:tab w:val="left" w:pos="480"/>
              </w:tabs>
              <w:spacing w:line="360" w:lineRule="auto"/>
              <w:jc w:val="center"/>
              <w:rPr>
                <w:rFonts w:hAnsi="宋体" w:cs="宋体"/>
                <w:szCs w:val="21"/>
                <w:highlight w:val="none"/>
              </w:rPr>
            </w:pPr>
          </w:p>
        </w:tc>
      </w:tr>
    </w:tbl>
    <w:p w14:paraId="5382CE92">
      <w:pPr>
        <w:spacing w:line="720" w:lineRule="auto"/>
        <w:jc w:val="left"/>
        <w:rPr>
          <w:rFonts w:ascii="仿宋" w:hAnsi="仿宋" w:eastAsia="仿宋" w:cs="仿宋"/>
          <w:sz w:val="24"/>
          <w:szCs w:val="24"/>
          <w:highlight w:val="none"/>
        </w:rPr>
      </w:pPr>
    </w:p>
    <w:p w14:paraId="6E88058E">
      <w:pPr>
        <w:rPr>
          <w:rFonts w:ascii="宋体" w:hAnsi="宋体" w:cs="宋体"/>
          <w:highlight w:val="none"/>
        </w:rPr>
      </w:pPr>
      <w:r>
        <w:rPr>
          <w:rFonts w:hint="eastAsia" w:ascii="宋体" w:hAnsi="宋体" w:cs="宋体"/>
          <w:sz w:val="24"/>
          <w:szCs w:val="24"/>
          <w:highlight w:val="none"/>
        </w:rPr>
        <w:br w:type="page"/>
      </w:r>
    </w:p>
    <w:bookmarkEnd w:id="39"/>
    <w:bookmarkEnd w:id="40"/>
    <w:bookmarkEnd w:id="41"/>
    <w:bookmarkEnd w:id="42"/>
    <w:bookmarkEnd w:id="43"/>
    <w:bookmarkEnd w:id="44"/>
    <w:bookmarkEnd w:id="45"/>
    <w:bookmarkEnd w:id="46"/>
    <w:p w14:paraId="44EA9AD4">
      <w:pPr>
        <w:spacing w:line="520" w:lineRule="exact"/>
        <w:jc w:val="center"/>
        <w:outlineLvl w:val="0"/>
        <w:rPr>
          <w:rFonts w:ascii="宋体" w:hAnsi="宋体" w:cs="宋体"/>
          <w:bCs/>
          <w:sz w:val="36"/>
          <w:szCs w:val="36"/>
          <w:highlight w:val="none"/>
        </w:rPr>
      </w:pPr>
      <w:bookmarkStart w:id="47" w:name="_Toc28235"/>
      <w:bookmarkStart w:id="48" w:name="_Toc7592"/>
      <w:r>
        <w:rPr>
          <w:rFonts w:hint="eastAsia" w:ascii="宋体" w:hAnsi="宋体" w:cs="宋体"/>
          <w:b/>
          <w:bCs/>
          <w:sz w:val="36"/>
          <w:szCs w:val="36"/>
          <w:highlight w:val="none"/>
        </w:rPr>
        <w:t>第五章 谈判响应文件格式</w:t>
      </w:r>
      <w:bookmarkEnd w:id="47"/>
      <w:bookmarkEnd w:id="48"/>
    </w:p>
    <w:p w14:paraId="76CDA388">
      <w:pPr>
        <w:rPr>
          <w:rFonts w:ascii="宋体" w:hAnsi="宋体" w:cs="宋体"/>
          <w:highlight w:val="none"/>
        </w:rPr>
      </w:pPr>
      <w:bookmarkStart w:id="49" w:name="_Toc344572156"/>
    </w:p>
    <w:p w14:paraId="02461DD0">
      <w:pPr>
        <w:framePr w:hSpace="180" w:wrap="around" w:vAnchor="text" w:hAnchor="page" w:x="1473" w:y="19"/>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SXZCZB2025-ZCJT-0727</w:t>
      </w:r>
    </w:p>
    <w:p w14:paraId="19C86256">
      <w:pPr>
        <w:ind w:firstLine="4343" w:firstLineChars="1352"/>
        <w:jc w:val="right"/>
        <w:rPr>
          <w:rFonts w:ascii="宋体" w:hAnsi="宋体" w:cs="宋体"/>
          <w:b/>
          <w:sz w:val="32"/>
          <w:szCs w:val="32"/>
          <w:highlight w:val="none"/>
        </w:rPr>
      </w:pPr>
      <w:r>
        <w:rPr>
          <w:rFonts w:hint="eastAsia" w:ascii="宋体" w:hAnsi="宋体" w:cs="宋体"/>
          <w:b/>
          <w:bCs/>
          <w:sz w:val="32"/>
          <w:szCs w:val="32"/>
          <w:highlight w:val="none"/>
        </w:rPr>
        <w:t xml:space="preserve">       </w:t>
      </w:r>
      <w:r>
        <w:rPr>
          <w:rFonts w:hint="eastAsia" w:ascii="宋体" w:hAnsi="宋体" w:cs="宋体"/>
          <w:b/>
          <w:sz w:val="32"/>
          <w:szCs w:val="32"/>
          <w:highlight w:val="none"/>
        </w:rPr>
        <w:t>（正本或副本）</w:t>
      </w:r>
    </w:p>
    <w:p w14:paraId="2BB23416">
      <w:pPr>
        <w:jc w:val="right"/>
        <w:rPr>
          <w:rFonts w:ascii="宋体" w:hAnsi="宋体" w:cs="宋体"/>
          <w:b/>
          <w:sz w:val="32"/>
          <w:szCs w:val="32"/>
          <w:highlight w:val="none"/>
        </w:rPr>
      </w:pPr>
    </w:p>
    <w:p w14:paraId="61FC9D4B">
      <w:pPr>
        <w:pStyle w:val="2"/>
        <w:rPr>
          <w:rFonts w:ascii="宋体" w:hAnsi="宋体" w:eastAsia="宋体" w:cs="宋体"/>
          <w:b/>
          <w:sz w:val="32"/>
          <w:szCs w:val="32"/>
          <w:highlight w:val="none"/>
        </w:rPr>
      </w:pPr>
    </w:p>
    <w:p w14:paraId="552D8ACD">
      <w:pPr>
        <w:rPr>
          <w:rFonts w:ascii="宋体" w:hAnsi="宋体" w:cs="宋体"/>
          <w:highlight w:val="none"/>
        </w:rPr>
      </w:pPr>
    </w:p>
    <w:p w14:paraId="34B42583">
      <w:pPr>
        <w:jc w:val="center"/>
        <w:rPr>
          <w:rFonts w:hint="eastAsia" w:ascii="宋体" w:hAnsi="宋体" w:eastAsia="宋体" w:cs="宋体"/>
          <w:b/>
          <w:sz w:val="56"/>
          <w:szCs w:val="56"/>
          <w:highlight w:val="none"/>
          <w:lang w:eastAsia="zh-CN"/>
        </w:rPr>
      </w:pPr>
      <w:r>
        <w:rPr>
          <w:rFonts w:hint="eastAsia" w:ascii="宋体" w:hAnsi="宋体" w:cs="宋体"/>
          <w:b/>
          <w:sz w:val="56"/>
          <w:szCs w:val="56"/>
          <w:highlight w:val="none"/>
          <w:lang w:eastAsia="zh-CN"/>
        </w:rPr>
        <w:t>山阳中学信息系统安全等级保护定级项目</w:t>
      </w:r>
    </w:p>
    <w:p w14:paraId="78232D8C">
      <w:pPr>
        <w:jc w:val="center"/>
        <w:rPr>
          <w:rFonts w:ascii="宋体" w:hAnsi="宋体" w:cs="宋体"/>
          <w:b/>
          <w:sz w:val="56"/>
          <w:szCs w:val="56"/>
          <w:highlight w:val="none"/>
        </w:rPr>
      </w:pPr>
    </w:p>
    <w:p w14:paraId="59DDC656">
      <w:pPr>
        <w:jc w:val="both"/>
        <w:rPr>
          <w:rFonts w:hint="eastAsia" w:ascii="宋体" w:hAnsi="宋体" w:cs="宋体"/>
          <w:b/>
          <w:sz w:val="56"/>
          <w:szCs w:val="56"/>
          <w:highlight w:val="none"/>
        </w:rPr>
      </w:pPr>
    </w:p>
    <w:p w14:paraId="5B1FFEC3">
      <w:pPr>
        <w:jc w:val="center"/>
        <w:rPr>
          <w:rFonts w:ascii="宋体" w:hAnsi="宋体" w:cs="宋体"/>
          <w:b/>
          <w:sz w:val="56"/>
          <w:szCs w:val="56"/>
          <w:highlight w:val="none"/>
        </w:rPr>
      </w:pPr>
      <w:r>
        <w:rPr>
          <w:rFonts w:hint="eastAsia" w:ascii="宋体" w:hAnsi="宋体" w:cs="宋体"/>
          <w:b/>
          <w:sz w:val="56"/>
          <w:szCs w:val="56"/>
          <w:highlight w:val="none"/>
        </w:rPr>
        <w:t>竞争性谈判响应文件</w:t>
      </w:r>
    </w:p>
    <w:p w14:paraId="3BB63F70">
      <w:pPr>
        <w:jc w:val="center"/>
        <w:rPr>
          <w:rFonts w:ascii="宋体" w:hAnsi="宋体" w:cs="宋体"/>
          <w:b/>
          <w:sz w:val="36"/>
          <w:szCs w:val="36"/>
          <w:highlight w:val="none"/>
        </w:rPr>
      </w:pPr>
    </w:p>
    <w:p w14:paraId="511CA8A3">
      <w:pPr>
        <w:rPr>
          <w:rFonts w:ascii="宋体" w:hAnsi="宋体" w:cs="宋体"/>
          <w:b/>
          <w:sz w:val="36"/>
          <w:szCs w:val="36"/>
          <w:highlight w:val="none"/>
        </w:rPr>
      </w:pPr>
    </w:p>
    <w:p w14:paraId="25FBC2D7">
      <w:pPr>
        <w:rPr>
          <w:rFonts w:ascii="宋体" w:hAnsi="宋体" w:cs="宋体"/>
          <w:b/>
          <w:sz w:val="36"/>
          <w:szCs w:val="36"/>
          <w:highlight w:val="none"/>
        </w:rPr>
      </w:pPr>
    </w:p>
    <w:p w14:paraId="334E5C83">
      <w:pPr>
        <w:tabs>
          <w:tab w:val="center" w:pos="5346"/>
        </w:tabs>
        <w:spacing w:line="480" w:lineRule="auto"/>
        <w:jc w:val="center"/>
        <w:rPr>
          <w:rFonts w:ascii="宋体" w:hAnsi="宋体" w:cs="宋体"/>
          <w:b/>
          <w:sz w:val="32"/>
          <w:szCs w:val="32"/>
          <w:highlight w:val="none"/>
        </w:rPr>
      </w:pPr>
      <w:r>
        <w:rPr>
          <w:rFonts w:hint="eastAsia" w:ascii="宋体" w:hAnsi="宋体" w:cs="宋体"/>
          <w:b/>
          <w:sz w:val="32"/>
          <w:szCs w:val="32"/>
          <w:highlight w:val="none"/>
        </w:rPr>
        <w:t>供应商名称（公章）</w:t>
      </w:r>
    </w:p>
    <w:p w14:paraId="5E568141">
      <w:pPr>
        <w:spacing w:before="156" w:beforeLines="50" w:after="156" w:afterLines="50" w:line="360" w:lineRule="auto"/>
        <w:jc w:val="center"/>
        <w:rPr>
          <w:rFonts w:ascii="宋体" w:hAnsi="宋体" w:cs="宋体"/>
          <w:b/>
          <w:bCs/>
          <w:spacing w:val="4"/>
          <w:sz w:val="32"/>
          <w:szCs w:val="32"/>
          <w:highlight w:val="none"/>
        </w:rPr>
      </w:pPr>
      <w:r>
        <w:rPr>
          <w:rFonts w:hint="eastAsia" w:ascii="宋体" w:hAnsi="宋体" w:cs="宋体"/>
          <w:b/>
          <w:sz w:val="32"/>
          <w:szCs w:val="32"/>
          <w:highlight w:val="none"/>
        </w:rPr>
        <w:t xml:space="preserve"> 年   月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日</w:t>
      </w:r>
      <w:r>
        <w:rPr>
          <w:rFonts w:hint="eastAsia" w:ascii="宋体" w:hAnsi="宋体" w:cs="宋体"/>
          <w:b/>
          <w:sz w:val="44"/>
          <w:highlight w:val="none"/>
        </w:rPr>
        <w:br w:type="page"/>
      </w:r>
      <w:r>
        <w:rPr>
          <w:rFonts w:hint="eastAsia" w:ascii="宋体" w:hAnsi="宋体" w:cs="宋体"/>
          <w:b/>
          <w:bCs/>
          <w:spacing w:val="4"/>
          <w:sz w:val="32"/>
          <w:szCs w:val="32"/>
          <w:highlight w:val="none"/>
        </w:rPr>
        <w:t>目 录</w:t>
      </w:r>
    </w:p>
    <w:p w14:paraId="4C61B207">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一、谈判响应函</w:t>
      </w:r>
    </w:p>
    <w:p w14:paraId="6C1E00EC">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二、谈判报价表</w:t>
      </w:r>
    </w:p>
    <w:p w14:paraId="5C99E635">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三、谈判方案说明书</w:t>
      </w:r>
    </w:p>
    <w:p w14:paraId="59461324">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四、商务条款偏离表</w:t>
      </w:r>
    </w:p>
    <w:p w14:paraId="59002501">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五、陕西省政府采购供应商拒绝政府采购领域商业贿赂承诺书</w:t>
      </w:r>
    </w:p>
    <w:p w14:paraId="1F265BD0">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六、资格证明文件</w:t>
      </w:r>
    </w:p>
    <w:p w14:paraId="2F5EC94E">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七、其他</w:t>
      </w:r>
    </w:p>
    <w:p w14:paraId="69F94AA3">
      <w:pPr>
        <w:spacing w:line="520" w:lineRule="exact"/>
        <w:jc w:val="center"/>
        <w:outlineLvl w:val="2"/>
        <w:rPr>
          <w:rFonts w:ascii="宋体" w:hAnsi="宋体" w:cs="宋体"/>
          <w:b/>
          <w:sz w:val="32"/>
          <w:szCs w:val="32"/>
          <w:highlight w:val="none"/>
        </w:rPr>
      </w:pPr>
      <w:r>
        <w:rPr>
          <w:rFonts w:hint="eastAsia" w:ascii="宋体" w:hAnsi="宋体" w:cs="宋体"/>
          <w:sz w:val="28"/>
          <w:highlight w:val="none"/>
        </w:rPr>
        <w:br w:type="page"/>
      </w:r>
      <w:bookmarkEnd w:id="49"/>
      <w:bookmarkStart w:id="50" w:name="_Toc8067"/>
      <w:r>
        <w:rPr>
          <w:rFonts w:hint="eastAsia" w:ascii="宋体" w:hAnsi="宋体" w:cs="宋体"/>
          <w:b/>
          <w:sz w:val="32"/>
          <w:szCs w:val="32"/>
          <w:highlight w:val="none"/>
        </w:rPr>
        <w:t>一、谈判响应函</w:t>
      </w:r>
      <w:bookmarkEnd w:id="50"/>
    </w:p>
    <w:p w14:paraId="369BAA44">
      <w:pPr>
        <w:spacing w:line="360" w:lineRule="auto"/>
        <w:jc w:val="left"/>
        <w:rPr>
          <w:rFonts w:ascii="宋体" w:hAnsi="宋体" w:cs="宋体"/>
          <w:spacing w:val="4"/>
          <w:sz w:val="24"/>
          <w:szCs w:val="32"/>
          <w:highlight w:val="none"/>
        </w:rPr>
      </w:pPr>
      <w:r>
        <w:rPr>
          <w:rFonts w:hint="eastAsia" w:ascii="宋体" w:hAnsi="宋体" w:cs="宋体"/>
          <w:spacing w:val="4"/>
          <w:sz w:val="24"/>
          <w:szCs w:val="32"/>
          <w:highlight w:val="none"/>
        </w:rPr>
        <w:t>致：</w:t>
      </w:r>
      <w:r>
        <w:rPr>
          <w:rFonts w:hint="eastAsia" w:ascii="宋体" w:hAnsi="宋体" w:cs="宋体"/>
          <w:spacing w:val="4"/>
          <w:sz w:val="24"/>
          <w:szCs w:val="32"/>
          <w:highlight w:val="none"/>
          <w:u w:val="single"/>
        </w:rPr>
        <w:t>陕西至诚项目管理集团有限公司</w:t>
      </w:r>
    </w:p>
    <w:p w14:paraId="137DF7C8">
      <w:pPr>
        <w:spacing w:line="360" w:lineRule="auto"/>
        <w:ind w:firstLine="496" w:firstLineChars="200"/>
        <w:rPr>
          <w:rFonts w:ascii="宋体" w:hAnsi="宋体" w:cs="宋体"/>
          <w:spacing w:val="4"/>
          <w:sz w:val="24"/>
          <w:szCs w:val="32"/>
          <w:highlight w:val="none"/>
        </w:rPr>
      </w:pPr>
      <w:r>
        <w:rPr>
          <w:rFonts w:hint="eastAsia" w:ascii="宋体" w:hAnsi="宋体" w:cs="宋体"/>
          <w:spacing w:val="4"/>
          <w:sz w:val="24"/>
          <w:szCs w:val="32"/>
          <w:highlight w:val="none"/>
        </w:rPr>
        <w:t>根据贵方“</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”项目的谈判邀请</w:t>
      </w:r>
      <w:r>
        <w:rPr>
          <w:rFonts w:hint="eastAsia" w:ascii="宋体" w:hAnsi="宋体" w:cs="宋体"/>
          <w:spacing w:val="4"/>
          <w:sz w:val="24"/>
          <w:szCs w:val="32"/>
          <w:highlight w:val="none"/>
          <w:u w:val="single"/>
        </w:rPr>
        <w:t>(项目编号</w:t>
      </w:r>
      <w:r>
        <w:rPr>
          <w:rFonts w:hint="eastAsia" w:ascii="宋体" w:hAnsi="宋体" w:cs="宋体"/>
          <w:spacing w:val="4"/>
          <w:sz w:val="24"/>
          <w:szCs w:val="32"/>
          <w:highlight w:val="none"/>
          <w:u w:val="single"/>
          <w:lang w:eastAsia="zh-CN"/>
        </w:rPr>
        <w:t>：</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，签字代表</w:t>
      </w:r>
      <w:r>
        <w:rPr>
          <w:rFonts w:hint="eastAsia" w:ascii="宋体" w:hAnsi="宋体" w:cs="宋体"/>
          <w:spacing w:val="4"/>
          <w:sz w:val="24"/>
          <w:szCs w:val="32"/>
          <w:highlight w:val="none"/>
          <w:u w:val="single"/>
        </w:rPr>
        <w:t>（全名、职务）</w:t>
      </w:r>
      <w:r>
        <w:rPr>
          <w:rFonts w:hint="eastAsia" w:ascii="宋体" w:hAnsi="宋体" w:cs="宋体"/>
          <w:spacing w:val="4"/>
          <w:sz w:val="24"/>
          <w:szCs w:val="32"/>
          <w:highlight w:val="none"/>
        </w:rPr>
        <w:t>经正式授权并代表供应商</w:t>
      </w:r>
      <w:r>
        <w:rPr>
          <w:rFonts w:hint="eastAsia" w:ascii="宋体" w:hAnsi="宋体" w:cs="宋体"/>
          <w:spacing w:val="4"/>
          <w:sz w:val="24"/>
          <w:szCs w:val="32"/>
          <w:highlight w:val="none"/>
          <w:u w:val="single"/>
        </w:rPr>
        <w:t>(供应商名称、地址)</w:t>
      </w:r>
      <w:r>
        <w:rPr>
          <w:rFonts w:hint="eastAsia" w:ascii="宋体" w:hAnsi="宋体" w:cs="宋体"/>
          <w:spacing w:val="4"/>
          <w:sz w:val="24"/>
          <w:szCs w:val="32"/>
          <w:highlight w:val="none"/>
        </w:rPr>
        <w:t xml:space="preserve"> 提交竞争性谈判响应文件正本壹份、副本一式</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份、报价一览表</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份、电子版</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w:t>
      </w:r>
    </w:p>
    <w:p w14:paraId="36801BB7">
      <w:pPr>
        <w:spacing w:line="360" w:lineRule="auto"/>
        <w:ind w:left="549" w:leftChars="251" w:hanging="22" w:hangingChars="9"/>
        <w:jc w:val="left"/>
        <w:rPr>
          <w:rFonts w:ascii="宋体" w:hAnsi="宋体" w:cs="宋体"/>
          <w:spacing w:val="4"/>
          <w:sz w:val="24"/>
          <w:szCs w:val="32"/>
          <w:highlight w:val="none"/>
        </w:rPr>
      </w:pPr>
      <w:r>
        <w:rPr>
          <w:rFonts w:hint="eastAsia" w:ascii="宋体" w:hAnsi="宋体" w:cs="宋体"/>
          <w:spacing w:val="4"/>
          <w:sz w:val="24"/>
          <w:szCs w:val="32"/>
          <w:highlight w:val="none"/>
        </w:rPr>
        <w:t>我方承诺如下：</w:t>
      </w:r>
    </w:p>
    <w:p w14:paraId="190A2407">
      <w:pPr>
        <w:numPr>
          <w:ilvl w:val="0"/>
          <w:numId w:val="2"/>
        </w:numPr>
        <w:tabs>
          <w:tab w:val="left" w:pos="2160"/>
        </w:tabs>
        <w:spacing w:line="360" w:lineRule="auto"/>
        <w:ind w:firstLine="496" w:firstLineChars="200"/>
        <w:jc w:val="left"/>
        <w:rPr>
          <w:rFonts w:ascii="宋体" w:hAnsi="宋体" w:cs="宋体"/>
          <w:spacing w:val="4"/>
          <w:sz w:val="24"/>
          <w:szCs w:val="28"/>
          <w:highlight w:val="none"/>
        </w:rPr>
      </w:pPr>
      <w:r>
        <w:rPr>
          <w:rFonts w:hint="eastAsia" w:ascii="宋体" w:hAnsi="宋体" w:cs="宋体"/>
          <w:spacing w:val="4"/>
          <w:sz w:val="24"/>
          <w:szCs w:val="32"/>
          <w:highlight w:val="none"/>
        </w:rPr>
        <w:t>谈判报价</w:t>
      </w:r>
      <w:r>
        <w:rPr>
          <w:rFonts w:hint="eastAsia" w:ascii="宋体" w:hAnsi="宋体" w:cs="宋体"/>
          <w:spacing w:val="4"/>
          <w:sz w:val="24"/>
          <w:szCs w:val="28"/>
          <w:highlight w:val="none"/>
        </w:rPr>
        <w:t>为小写：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（大写：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w:t>
      </w:r>
    </w:p>
    <w:p w14:paraId="23F562FC">
      <w:pPr>
        <w:numPr>
          <w:ilvl w:val="0"/>
          <w:numId w:val="2"/>
        </w:num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如果成交，我们根据竞争性谈判文件的规定，履行合同的责任和义务。</w:t>
      </w:r>
    </w:p>
    <w:p w14:paraId="10CEC04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3）我们已详细阅读和审核全部竞争性谈判文件（含修改部分，如有的话），及有关附件，我们知道必须放弃提出含糊不清或误解的问题的权利。</w:t>
      </w:r>
    </w:p>
    <w:p w14:paraId="7B4891C5">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4）我们同意在谈判有效期内（</w:t>
      </w:r>
      <w:r>
        <w:rPr>
          <w:rFonts w:hint="eastAsia" w:ascii="宋体" w:hAnsi="宋体" w:cs="宋体"/>
          <w:spacing w:val="4"/>
          <w:sz w:val="24"/>
          <w:szCs w:val="32"/>
          <w:highlight w:val="none"/>
          <w:u w:val="single"/>
        </w:rPr>
        <w:t>自谈判之日起   天</w:t>
      </w:r>
      <w:r>
        <w:rPr>
          <w:rFonts w:hint="eastAsia" w:ascii="宋体" w:hAnsi="宋体" w:cs="宋体"/>
          <w:spacing w:val="4"/>
          <w:sz w:val="24"/>
          <w:szCs w:val="32"/>
          <w:highlight w:val="none"/>
        </w:rPr>
        <w:t>），本谈判响应函对我方具有约束力。</w:t>
      </w:r>
    </w:p>
    <w:p w14:paraId="594B6F0C">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 xml:space="preserve">5）同意提供贵方可能另外要求的与本谈判有关的任何证据和资料。 </w:t>
      </w:r>
    </w:p>
    <w:p w14:paraId="15CF1928">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6）我们同意，如果成交，向陕西至诚项目管理集团有限公司交纳招标代理服务费。</w:t>
      </w:r>
    </w:p>
    <w:p w14:paraId="18456CB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7）与本谈判有关的一切正式往来通讯为：</w:t>
      </w:r>
    </w:p>
    <w:p w14:paraId="097FBE2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联系地址：</w:t>
      </w:r>
    </w:p>
    <w:p w14:paraId="58C0AA90">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邮政编码：</w:t>
      </w:r>
    </w:p>
    <w:p w14:paraId="36CBA158">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电    话：</w:t>
      </w:r>
    </w:p>
    <w:p w14:paraId="0C474CEB">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传    真：</w:t>
      </w:r>
    </w:p>
    <w:p w14:paraId="3E122CB2">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供应商名称（盖章）：</w:t>
      </w:r>
    </w:p>
    <w:p w14:paraId="44E48699">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供应商法定代表人</w:t>
      </w:r>
      <w:r>
        <w:rPr>
          <w:rFonts w:hint="eastAsia" w:ascii="宋体" w:hAnsi="宋体" w:cs="宋体"/>
          <w:spacing w:val="4"/>
          <w:sz w:val="24"/>
          <w:szCs w:val="28"/>
          <w:highlight w:val="none"/>
        </w:rPr>
        <w:t>/被授权人</w:t>
      </w:r>
      <w:r>
        <w:rPr>
          <w:rFonts w:hint="eastAsia" w:ascii="宋体" w:hAnsi="宋体" w:cs="宋体"/>
          <w:spacing w:val="4"/>
          <w:sz w:val="24"/>
          <w:szCs w:val="32"/>
          <w:highlight w:val="none"/>
        </w:rPr>
        <w:t>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7988945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日    期：</w:t>
      </w:r>
    </w:p>
    <w:p w14:paraId="1444FA25">
      <w:pPr>
        <w:pStyle w:val="5"/>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51" w:name="_Toc363474030"/>
      <w:bookmarkStart w:id="52" w:name="_Toc403077651"/>
      <w:bookmarkStart w:id="53" w:name="_Toc31732"/>
      <w:r>
        <w:rPr>
          <w:rFonts w:hint="eastAsia" w:ascii="宋体" w:hAnsi="宋体" w:cs="宋体"/>
          <w:sz w:val="32"/>
          <w:szCs w:val="32"/>
          <w:highlight w:val="none"/>
        </w:rPr>
        <w:t>二、谈判报价表</w:t>
      </w:r>
      <w:bookmarkEnd w:id="51"/>
      <w:bookmarkEnd w:id="52"/>
      <w:bookmarkEnd w:id="53"/>
    </w:p>
    <w:p w14:paraId="49D7A2AB">
      <w:pPr>
        <w:spacing w:line="360" w:lineRule="auto"/>
        <w:jc w:val="center"/>
        <w:rPr>
          <w:rFonts w:ascii="宋体" w:hAnsi="宋体" w:cs="宋体"/>
          <w:sz w:val="24"/>
          <w:szCs w:val="32"/>
          <w:highlight w:val="none"/>
        </w:rPr>
      </w:pPr>
      <w:r>
        <w:rPr>
          <w:rFonts w:hint="eastAsia" w:ascii="宋体" w:hAnsi="宋体" w:cs="宋体"/>
          <w:sz w:val="24"/>
          <w:szCs w:val="32"/>
          <w:highlight w:val="none"/>
        </w:rPr>
        <w:t>2.1报价一览表</w:t>
      </w:r>
    </w:p>
    <w:p w14:paraId="091C4D14">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项目名称：</w:t>
      </w:r>
    </w:p>
    <w:p w14:paraId="62169D38">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项目编号：</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759"/>
        <w:gridCol w:w="2549"/>
        <w:gridCol w:w="1645"/>
      </w:tblGrid>
      <w:tr w14:paraId="071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8" w:type="pct"/>
            <w:vAlign w:val="center"/>
          </w:tcPr>
          <w:p w14:paraId="2FC9429C">
            <w:pPr>
              <w:jc w:val="center"/>
              <w:rPr>
                <w:rFonts w:hint="eastAsia" w:ascii="宋体" w:hAnsi="宋体" w:eastAsia="宋体" w:cs="宋体"/>
                <w:sz w:val="24"/>
                <w:szCs w:val="32"/>
                <w:highlight w:val="none"/>
                <w:lang w:eastAsia="zh-CN"/>
              </w:rPr>
            </w:pPr>
            <w:r>
              <w:rPr>
                <w:rFonts w:hint="eastAsia" w:ascii="宋体" w:hAnsi="宋体" w:cs="宋体"/>
                <w:sz w:val="24"/>
                <w:szCs w:val="32"/>
                <w:highlight w:val="none"/>
              </w:rPr>
              <w:t>谈判报价</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元</w:t>
            </w:r>
            <w:r>
              <w:rPr>
                <w:rFonts w:hint="eastAsia" w:ascii="宋体" w:hAnsi="宋体" w:cs="宋体"/>
                <w:sz w:val="24"/>
                <w:szCs w:val="32"/>
                <w:highlight w:val="none"/>
                <w:lang w:eastAsia="zh-CN"/>
              </w:rPr>
              <w:t>）</w:t>
            </w:r>
          </w:p>
        </w:tc>
        <w:tc>
          <w:tcPr>
            <w:tcW w:w="1469" w:type="pct"/>
            <w:vAlign w:val="center"/>
          </w:tcPr>
          <w:p w14:paraId="42BC6725">
            <w:pPr>
              <w:jc w:val="center"/>
              <w:rPr>
                <w:rFonts w:ascii="宋体" w:hAnsi="宋体" w:cs="宋体"/>
                <w:sz w:val="24"/>
                <w:szCs w:val="32"/>
                <w:highlight w:val="none"/>
              </w:rPr>
            </w:pPr>
            <w:r>
              <w:rPr>
                <w:rFonts w:hint="eastAsia" w:ascii="宋体" w:hAnsi="宋体" w:cs="宋体"/>
                <w:sz w:val="24"/>
                <w:szCs w:val="32"/>
                <w:highlight w:val="none"/>
              </w:rPr>
              <w:t>交货期</w:t>
            </w:r>
          </w:p>
        </w:tc>
        <w:tc>
          <w:tcPr>
            <w:tcW w:w="1357" w:type="pct"/>
            <w:vAlign w:val="center"/>
          </w:tcPr>
          <w:p w14:paraId="78613155">
            <w:pPr>
              <w:jc w:val="center"/>
              <w:rPr>
                <w:rFonts w:ascii="宋体" w:hAnsi="宋体" w:cs="宋体"/>
                <w:sz w:val="24"/>
                <w:szCs w:val="32"/>
                <w:highlight w:val="none"/>
              </w:rPr>
            </w:pPr>
            <w:r>
              <w:rPr>
                <w:rFonts w:hint="eastAsia" w:ascii="宋体" w:hAnsi="宋体" w:cs="宋体"/>
                <w:sz w:val="24"/>
                <w:szCs w:val="32"/>
                <w:highlight w:val="none"/>
              </w:rPr>
              <w:t>质保期</w:t>
            </w:r>
          </w:p>
        </w:tc>
        <w:tc>
          <w:tcPr>
            <w:tcW w:w="874" w:type="pct"/>
            <w:vAlign w:val="center"/>
          </w:tcPr>
          <w:p w14:paraId="5477E6B8">
            <w:pPr>
              <w:jc w:val="center"/>
              <w:rPr>
                <w:rFonts w:ascii="宋体" w:hAnsi="宋体" w:cs="宋体"/>
                <w:sz w:val="24"/>
                <w:szCs w:val="32"/>
                <w:highlight w:val="none"/>
              </w:rPr>
            </w:pPr>
            <w:r>
              <w:rPr>
                <w:rFonts w:hint="eastAsia" w:ascii="宋体" w:hAnsi="宋体" w:cs="宋体"/>
                <w:sz w:val="24"/>
                <w:szCs w:val="32"/>
                <w:highlight w:val="none"/>
              </w:rPr>
              <w:t>备注</w:t>
            </w:r>
          </w:p>
        </w:tc>
      </w:tr>
      <w:tr w14:paraId="2CC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98" w:type="pct"/>
            <w:vAlign w:val="center"/>
          </w:tcPr>
          <w:p w14:paraId="5E9CC269">
            <w:pPr>
              <w:jc w:val="center"/>
              <w:rPr>
                <w:rFonts w:ascii="宋体" w:hAnsi="宋体" w:cs="宋体"/>
                <w:sz w:val="24"/>
                <w:szCs w:val="32"/>
                <w:highlight w:val="none"/>
              </w:rPr>
            </w:pPr>
          </w:p>
        </w:tc>
        <w:tc>
          <w:tcPr>
            <w:tcW w:w="1469" w:type="pct"/>
            <w:vAlign w:val="center"/>
          </w:tcPr>
          <w:p w14:paraId="7FACD0C4">
            <w:pPr>
              <w:jc w:val="center"/>
              <w:rPr>
                <w:rFonts w:ascii="宋体" w:hAnsi="宋体" w:cs="宋体"/>
                <w:sz w:val="24"/>
                <w:szCs w:val="32"/>
                <w:highlight w:val="none"/>
              </w:rPr>
            </w:pPr>
          </w:p>
        </w:tc>
        <w:tc>
          <w:tcPr>
            <w:tcW w:w="1357" w:type="pct"/>
          </w:tcPr>
          <w:p w14:paraId="30035245">
            <w:pPr>
              <w:jc w:val="center"/>
              <w:rPr>
                <w:rFonts w:ascii="宋体" w:hAnsi="宋体" w:cs="宋体"/>
                <w:sz w:val="24"/>
                <w:szCs w:val="32"/>
                <w:highlight w:val="none"/>
              </w:rPr>
            </w:pPr>
          </w:p>
        </w:tc>
        <w:tc>
          <w:tcPr>
            <w:tcW w:w="874" w:type="pct"/>
          </w:tcPr>
          <w:p w14:paraId="3DCCC0A0">
            <w:pPr>
              <w:jc w:val="center"/>
              <w:rPr>
                <w:rFonts w:ascii="宋体" w:hAnsi="宋体" w:cs="宋体"/>
                <w:sz w:val="24"/>
                <w:szCs w:val="32"/>
                <w:highlight w:val="none"/>
              </w:rPr>
            </w:pPr>
          </w:p>
        </w:tc>
      </w:tr>
      <w:tr w14:paraId="3B49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68D7BD77">
            <w:pPr>
              <w:jc w:val="center"/>
              <w:rPr>
                <w:rFonts w:hint="default"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备注：报价保留小数点后两位。</w:t>
            </w:r>
          </w:p>
        </w:tc>
      </w:tr>
    </w:tbl>
    <w:p w14:paraId="611C5FB0">
      <w:pPr>
        <w:spacing w:line="120" w:lineRule="exact"/>
        <w:rPr>
          <w:rFonts w:ascii="宋体" w:hAnsi="宋体" w:cs="宋体"/>
          <w:sz w:val="24"/>
          <w:szCs w:val="28"/>
          <w:highlight w:val="none"/>
        </w:rPr>
      </w:pPr>
    </w:p>
    <w:p w14:paraId="0D828D08">
      <w:pPr>
        <w:rPr>
          <w:rFonts w:ascii="宋体" w:hAnsi="宋体" w:cs="宋体"/>
          <w:sz w:val="24"/>
          <w:szCs w:val="32"/>
          <w:highlight w:val="none"/>
        </w:rPr>
      </w:pPr>
    </w:p>
    <w:p w14:paraId="3D911FB2">
      <w:pPr>
        <w:rPr>
          <w:rFonts w:ascii="宋体" w:hAnsi="宋体" w:cs="宋体"/>
          <w:sz w:val="24"/>
          <w:szCs w:val="32"/>
          <w:highlight w:val="none"/>
        </w:rPr>
      </w:pPr>
    </w:p>
    <w:p w14:paraId="1447435E">
      <w:pPr>
        <w:rPr>
          <w:rFonts w:ascii="宋体" w:hAnsi="宋体" w:cs="宋体"/>
          <w:sz w:val="24"/>
          <w:szCs w:val="32"/>
          <w:highlight w:val="none"/>
        </w:rPr>
      </w:pPr>
    </w:p>
    <w:p w14:paraId="0272CE9C">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供应商名称：</w:t>
      </w:r>
      <w:r>
        <w:rPr>
          <w:rFonts w:hint="eastAsia" w:ascii="宋体" w:hAnsi="宋体" w:cs="宋体"/>
          <w:sz w:val="24"/>
          <w:szCs w:val="32"/>
          <w:highlight w:val="none"/>
          <w:u w:val="single"/>
        </w:rPr>
        <w:t xml:space="preserve">       （加盖单位公章）      </w:t>
      </w:r>
    </w:p>
    <w:p w14:paraId="293E4B45">
      <w:pPr>
        <w:spacing w:line="280" w:lineRule="exact"/>
        <w:ind w:right="540" w:rightChars="257"/>
        <w:jc w:val="left"/>
        <w:rPr>
          <w:rFonts w:ascii="宋体" w:hAnsi="宋体" w:cs="宋体"/>
          <w:sz w:val="24"/>
          <w:szCs w:val="32"/>
          <w:highlight w:val="none"/>
        </w:rPr>
      </w:pPr>
    </w:p>
    <w:p w14:paraId="36B536F9">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法定代表人/授权代表签字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4CA7842F">
      <w:pPr>
        <w:spacing w:line="280" w:lineRule="exact"/>
        <w:ind w:right="540" w:rightChars="257"/>
        <w:jc w:val="left"/>
        <w:rPr>
          <w:rFonts w:ascii="宋体" w:hAnsi="宋体" w:cs="宋体"/>
          <w:sz w:val="24"/>
          <w:szCs w:val="32"/>
          <w:highlight w:val="none"/>
        </w:rPr>
      </w:pPr>
    </w:p>
    <w:p w14:paraId="510BAD94">
      <w:pPr>
        <w:spacing w:line="280" w:lineRule="exact"/>
        <w:ind w:right="540" w:rightChars="257"/>
        <w:rPr>
          <w:rFonts w:ascii="宋体" w:hAnsi="宋体" w:cs="宋体"/>
          <w:sz w:val="24"/>
          <w:szCs w:val="32"/>
          <w:highlight w:val="none"/>
        </w:rPr>
      </w:pPr>
      <w:r>
        <w:rPr>
          <w:rFonts w:hint="eastAsia" w:ascii="宋体" w:hAnsi="宋体" w:cs="宋体"/>
          <w:sz w:val="24"/>
          <w:szCs w:val="32"/>
          <w:highlight w:val="none"/>
        </w:rPr>
        <w:t>日    期：</w:t>
      </w:r>
    </w:p>
    <w:p w14:paraId="11754CD8">
      <w:pPr>
        <w:jc w:val="center"/>
        <w:rPr>
          <w:rFonts w:ascii="宋体" w:hAnsi="宋体" w:cs="宋体"/>
          <w:sz w:val="24"/>
          <w:szCs w:val="32"/>
          <w:highlight w:val="none"/>
        </w:rPr>
      </w:pPr>
    </w:p>
    <w:p w14:paraId="2C16B40E">
      <w:pPr>
        <w:spacing w:before="156" w:beforeLines="50" w:after="156" w:afterLines="50" w:line="400" w:lineRule="atLeast"/>
        <w:rPr>
          <w:rFonts w:ascii="宋体" w:hAnsi="宋体" w:cs="宋体"/>
          <w:sz w:val="24"/>
          <w:szCs w:val="32"/>
          <w:highlight w:val="none"/>
          <w:u w:val="single"/>
        </w:rPr>
      </w:pPr>
      <w:r>
        <w:rPr>
          <w:rFonts w:hint="eastAsia" w:ascii="宋体" w:hAnsi="宋体" w:cs="宋体"/>
          <w:sz w:val="24"/>
          <w:szCs w:val="32"/>
          <w:highlight w:val="none"/>
        </w:rPr>
        <w:t>注：本表应按“供应商须知”的规定密封单独提交。若有折扣声明，请与本表一并装订和密封。严格按照表格格式报价。</w:t>
      </w:r>
    </w:p>
    <w:p w14:paraId="617C45F0">
      <w:pPr>
        <w:jc w:val="center"/>
        <w:rPr>
          <w:rFonts w:ascii="宋体" w:hAnsi="宋体" w:cs="宋体"/>
          <w:b/>
          <w:sz w:val="30"/>
          <w:szCs w:val="30"/>
          <w:highlight w:val="none"/>
        </w:rPr>
      </w:pPr>
    </w:p>
    <w:p w14:paraId="1019BF81">
      <w:pPr>
        <w:jc w:val="center"/>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2.2谈判分项报价表</w:t>
      </w:r>
    </w:p>
    <w:tbl>
      <w:tblPr>
        <w:tblStyle w:val="21"/>
        <w:tblW w:w="4996" w:type="pct"/>
        <w:jc w:val="center"/>
        <w:tblLayout w:type="fixed"/>
        <w:tblCellMar>
          <w:top w:w="0" w:type="dxa"/>
          <w:left w:w="28" w:type="dxa"/>
          <w:bottom w:w="0" w:type="dxa"/>
          <w:right w:w="28" w:type="dxa"/>
        </w:tblCellMar>
      </w:tblPr>
      <w:tblGrid>
        <w:gridCol w:w="908"/>
        <w:gridCol w:w="718"/>
        <w:gridCol w:w="1113"/>
        <w:gridCol w:w="899"/>
        <w:gridCol w:w="1558"/>
        <w:gridCol w:w="1139"/>
        <w:gridCol w:w="1350"/>
        <w:gridCol w:w="1549"/>
      </w:tblGrid>
      <w:tr w14:paraId="50B5C0AF">
        <w:tblPrEx>
          <w:tblCellMar>
            <w:top w:w="0" w:type="dxa"/>
            <w:left w:w="28" w:type="dxa"/>
            <w:bottom w:w="0" w:type="dxa"/>
            <w:right w:w="28" w:type="dxa"/>
          </w:tblCellMar>
        </w:tblPrEx>
        <w:trPr>
          <w:trHeight w:val="598" w:hRule="atLeast"/>
          <w:jc w:val="center"/>
        </w:trPr>
        <w:tc>
          <w:tcPr>
            <w:tcW w:w="491" w:type="pct"/>
            <w:vMerge w:val="restart"/>
            <w:tcBorders>
              <w:top w:val="single" w:color="auto" w:sz="6" w:space="0"/>
              <w:left w:val="single" w:color="auto" w:sz="6" w:space="0"/>
              <w:right w:val="single" w:color="auto" w:sz="4" w:space="0"/>
            </w:tcBorders>
            <w:vAlign w:val="center"/>
          </w:tcPr>
          <w:p w14:paraId="7D56015D">
            <w:pPr>
              <w:spacing w:after="120"/>
              <w:jc w:val="center"/>
              <w:rPr>
                <w:rFonts w:ascii="宋体" w:hAnsi="宋体" w:cs="宋体"/>
                <w:sz w:val="24"/>
                <w:szCs w:val="24"/>
                <w:highlight w:val="none"/>
              </w:rPr>
            </w:pPr>
            <w:bookmarkStart w:id="54" w:name="_Toc344572163"/>
            <w:r>
              <w:rPr>
                <w:rFonts w:hint="eastAsia" w:ascii="宋体" w:hAnsi="宋体" w:cs="宋体"/>
                <w:sz w:val="24"/>
                <w:szCs w:val="24"/>
                <w:highlight w:val="none"/>
              </w:rPr>
              <w:t xml:space="preserve">                           产品</w:t>
            </w:r>
          </w:p>
          <w:p w14:paraId="56666536">
            <w:pPr>
              <w:spacing w:after="120"/>
              <w:jc w:val="center"/>
              <w:rPr>
                <w:rFonts w:ascii="宋体" w:hAnsi="宋体" w:cs="宋体"/>
                <w:sz w:val="24"/>
                <w:szCs w:val="24"/>
                <w:highlight w:val="none"/>
              </w:rPr>
            </w:pPr>
            <w:r>
              <w:rPr>
                <w:rFonts w:hint="eastAsia" w:ascii="宋体" w:hAnsi="宋体" w:cs="宋体"/>
                <w:sz w:val="24"/>
                <w:szCs w:val="24"/>
                <w:highlight w:val="none"/>
              </w:rPr>
              <w:t>费用</w:t>
            </w:r>
          </w:p>
        </w:tc>
        <w:tc>
          <w:tcPr>
            <w:tcW w:w="388" w:type="pct"/>
            <w:tcBorders>
              <w:top w:val="single" w:color="auto" w:sz="6" w:space="0"/>
              <w:left w:val="single" w:color="auto" w:sz="4" w:space="0"/>
              <w:bottom w:val="single" w:color="auto" w:sz="6" w:space="0"/>
            </w:tcBorders>
            <w:vAlign w:val="center"/>
          </w:tcPr>
          <w:p w14:paraId="1709B850">
            <w:pPr>
              <w:spacing w:after="120"/>
              <w:jc w:val="center"/>
              <w:rPr>
                <w:rFonts w:ascii="宋体" w:hAnsi="宋体" w:cs="宋体"/>
                <w:sz w:val="24"/>
                <w:szCs w:val="24"/>
                <w:highlight w:val="none"/>
              </w:rPr>
            </w:pPr>
            <w:r>
              <w:rPr>
                <w:rFonts w:hint="eastAsia" w:ascii="宋体" w:hAnsi="宋体" w:cs="宋体"/>
                <w:sz w:val="24"/>
                <w:szCs w:val="24"/>
                <w:highlight w:val="none"/>
              </w:rPr>
              <w:t>序号</w:t>
            </w:r>
          </w:p>
        </w:tc>
        <w:tc>
          <w:tcPr>
            <w:tcW w:w="601" w:type="pct"/>
            <w:tcBorders>
              <w:top w:val="single" w:color="auto" w:sz="6" w:space="0"/>
              <w:left w:val="single" w:color="auto" w:sz="6" w:space="0"/>
              <w:bottom w:val="single" w:color="auto" w:sz="6" w:space="0"/>
              <w:right w:val="single" w:color="auto" w:sz="6" w:space="0"/>
            </w:tcBorders>
            <w:vAlign w:val="center"/>
          </w:tcPr>
          <w:p w14:paraId="4090BEA0">
            <w:pPr>
              <w:spacing w:after="120"/>
              <w:jc w:val="center"/>
              <w:rPr>
                <w:rFonts w:ascii="宋体" w:hAnsi="宋体" w:cs="宋体"/>
                <w:sz w:val="24"/>
                <w:szCs w:val="24"/>
                <w:highlight w:val="none"/>
              </w:rPr>
            </w:pPr>
            <w:r>
              <w:rPr>
                <w:rFonts w:hint="eastAsia" w:ascii="宋体" w:hAnsi="宋体" w:cs="宋体"/>
                <w:sz w:val="24"/>
                <w:szCs w:val="24"/>
                <w:highlight w:val="none"/>
              </w:rPr>
              <w:t>名称</w:t>
            </w:r>
          </w:p>
        </w:tc>
        <w:tc>
          <w:tcPr>
            <w:tcW w:w="487" w:type="pct"/>
            <w:tcBorders>
              <w:top w:val="single" w:color="auto" w:sz="6" w:space="0"/>
              <w:left w:val="single" w:color="auto" w:sz="6" w:space="0"/>
              <w:bottom w:val="single" w:color="auto" w:sz="6" w:space="0"/>
              <w:right w:val="single" w:color="auto" w:sz="4" w:space="0"/>
            </w:tcBorders>
            <w:vAlign w:val="center"/>
          </w:tcPr>
          <w:p w14:paraId="6AB496EB">
            <w:pPr>
              <w:spacing w:after="120"/>
              <w:jc w:val="center"/>
              <w:rPr>
                <w:rFonts w:ascii="宋体" w:hAnsi="宋体" w:cs="宋体"/>
                <w:sz w:val="24"/>
                <w:szCs w:val="24"/>
                <w:highlight w:val="none"/>
              </w:rPr>
            </w:pPr>
            <w:r>
              <w:rPr>
                <w:rFonts w:hint="eastAsia" w:ascii="宋体" w:hAnsi="宋体" w:cs="宋体"/>
                <w:sz w:val="24"/>
                <w:szCs w:val="24"/>
                <w:highlight w:val="none"/>
              </w:rPr>
              <w:t>品牌</w:t>
            </w:r>
          </w:p>
        </w:tc>
        <w:tc>
          <w:tcPr>
            <w:tcW w:w="844" w:type="pct"/>
            <w:tcBorders>
              <w:top w:val="single" w:color="auto" w:sz="6" w:space="0"/>
              <w:left w:val="single" w:color="auto" w:sz="4" w:space="0"/>
              <w:bottom w:val="single" w:color="auto" w:sz="6" w:space="0"/>
              <w:right w:val="single" w:color="auto" w:sz="6" w:space="0"/>
            </w:tcBorders>
            <w:vAlign w:val="center"/>
          </w:tcPr>
          <w:p w14:paraId="655A20CD">
            <w:pPr>
              <w:spacing w:after="120"/>
              <w:jc w:val="center"/>
              <w:rPr>
                <w:rFonts w:ascii="宋体" w:hAnsi="宋体" w:cs="宋体"/>
                <w:sz w:val="24"/>
                <w:szCs w:val="24"/>
                <w:highlight w:val="none"/>
              </w:rPr>
            </w:pPr>
            <w:r>
              <w:rPr>
                <w:rFonts w:hint="eastAsia" w:ascii="宋体" w:hAnsi="宋体" w:cs="宋体"/>
                <w:sz w:val="24"/>
                <w:szCs w:val="24"/>
                <w:highlight w:val="none"/>
              </w:rPr>
              <w:t>型号和规格</w:t>
            </w:r>
          </w:p>
        </w:tc>
        <w:tc>
          <w:tcPr>
            <w:tcW w:w="617" w:type="pct"/>
            <w:tcBorders>
              <w:top w:val="single" w:color="auto" w:sz="6" w:space="0"/>
              <w:left w:val="single" w:color="auto" w:sz="6" w:space="0"/>
              <w:bottom w:val="single" w:color="auto" w:sz="6" w:space="0"/>
              <w:right w:val="single" w:color="auto" w:sz="6" w:space="0"/>
            </w:tcBorders>
            <w:vAlign w:val="center"/>
          </w:tcPr>
          <w:p w14:paraId="68066971">
            <w:pPr>
              <w:spacing w:after="120"/>
              <w:jc w:val="center"/>
              <w:rPr>
                <w:rFonts w:ascii="宋体" w:hAnsi="宋体" w:cs="宋体"/>
                <w:sz w:val="24"/>
                <w:szCs w:val="24"/>
                <w:highlight w:val="none"/>
              </w:rPr>
            </w:pPr>
            <w:r>
              <w:rPr>
                <w:rFonts w:hint="eastAsia" w:ascii="宋体" w:hAnsi="宋体" w:cs="宋体"/>
                <w:sz w:val="24"/>
                <w:szCs w:val="24"/>
                <w:highlight w:val="none"/>
              </w:rPr>
              <w:t>数量</w:t>
            </w:r>
          </w:p>
        </w:tc>
        <w:tc>
          <w:tcPr>
            <w:tcW w:w="731" w:type="pct"/>
            <w:tcBorders>
              <w:top w:val="single" w:color="auto" w:sz="6" w:space="0"/>
              <w:left w:val="single" w:color="auto" w:sz="6" w:space="0"/>
              <w:bottom w:val="single" w:color="auto" w:sz="6" w:space="0"/>
              <w:right w:val="single" w:color="auto" w:sz="6" w:space="0"/>
            </w:tcBorders>
            <w:vAlign w:val="center"/>
          </w:tcPr>
          <w:p w14:paraId="2801CE05">
            <w:pPr>
              <w:spacing w:after="120"/>
              <w:jc w:val="center"/>
              <w:rPr>
                <w:rFonts w:ascii="宋体" w:hAnsi="宋体" w:cs="宋体"/>
                <w:sz w:val="24"/>
                <w:szCs w:val="24"/>
                <w:highlight w:val="none"/>
              </w:rPr>
            </w:pPr>
            <w:r>
              <w:rPr>
                <w:rFonts w:hint="eastAsia" w:ascii="宋体" w:hAnsi="宋体" w:cs="宋体"/>
                <w:sz w:val="24"/>
                <w:szCs w:val="24"/>
                <w:highlight w:val="none"/>
              </w:rPr>
              <w:t>单价</w:t>
            </w:r>
          </w:p>
          <w:p w14:paraId="34A57638">
            <w:pPr>
              <w:spacing w:after="120"/>
              <w:jc w:val="center"/>
              <w:rPr>
                <w:rFonts w:ascii="宋体" w:hAnsi="宋体" w:cs="宋体"/>
                <w:bCs/>
                <w:sz w:val="24"/>
                <w:szCs w:val="24"/>
                <w:highlight w:val="none"/>
              </w:rPr>
            </w:pPr>
            <w:r>
              <w:rPr>
                <w:rFonts w:hint="eastAsia" w:ascii="宋体" w:hAnsi="宋体" w:cs="宋体"/>
                <w:sz w:val="24"/>
                <w:szCs w:val="24"/>
                <w:highlight w:val="none"/>
              </w:rPr>
              <w:t>（元）</w:t>
            </w:r>
          </w:p>
        </w:tc>
        <w:tc>
          <w:tcPr>
            <w:tcW w:w="838" w:type="pct"/>
            <w:tcBorders>
              <w:top w:val="single" w:color="auto" w:sz="6" w:space="0"/>
              <w:left w:val="single" w:color="auto" w:sz="6" w:space="0"/>
              <w:bottom w:val="single" w:color="auto" w:sz="6" w:space="0"/>
              <w:right w:val="single" w:color="auto" w:sz="6" w:space="0"/>
            </w:tcBorders>
            <w:vAlign w:val="center"/>
          </w:tcPr>
          <w:p w14:paraId="7C06BE09">
            <w:pPr>
              <w:spacing w:after="120"/>
              <w:jc w:val="center"/>
              <w:rPr>
                <w:rFonts w:ascii="宋体" w:hAnsi="宋体" w:cs="宋体"/>
                <w:bCs/>
                <w:sz w:val="24"/>
                <w:szCs w:val="24"/>
                <w:highlight w:val="none"/>
              </w:rPr>
            </w:pPr>
            <w:r>
              <w:rPr>
                <w:rFonts w:hint="eastAsia" w:ascii="宋体" w:hAnsi="宋体" w:cs="宋体"/>
                <w:bCs/>
                <w:sz w:val="24"/>
                <w:szCs w:val="24"/>
                <w:highlight w:val="none"/>
              </w:rPr>
              <w:t>总价</w:t>
            </w:r>
          </w:p>
          <w:p w14:paraId="3C9ABEF4">
            <w:pPr>
              <w:spacing w:after="120"/>
              <w:jc w:val="center"/>
              <w:rPr>
                <w:rFonts w:ascii="宋体" w:hAnsi="宋体" w:cs="宋体"/>
                <w:bCs/>
                <w:sz w:val="24"/>
                <w:szCs w:val="24"/>
                <w:highlight w:val="none"/>
              </w:rPr>
            </w:pPr>
            <w:r>
              <w:rPr>
                <w:rFonts w:hint="eastAsia" w:ascii="宋体" w:hAnsi="宋体" w:cs="宋体"/>
                <w:bCs/>
                <w:sz w:val="24"/>
                <w:szCs w:val="24"/>
                <w:highlight w:val="none"/>
              </w:rPr>
              <w:t>（元）</w:t>
            </w:r>
          </w:p>
        </w:tc>
      </w:tr>
      <w:tr w14:paraId="40003640">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1A47B157">
            <w:pPr>
              <w:spacing w:before="312" w:beforeLines="100"/>
              <w:jc w:val="center"/>
              <w:rPr>
                <w:rFonts w:ascii="宋体" w:hAnsi="宋体" w:cs="宋体"/>
                <w:sz w:val="24"/>
                <w:szCs w:val="24"/>
                <w:highlight w:val="none"/>
              </w:rPr>
            </w:pPr>
          </w:p>
        </w:tc>
        <w:tc>
          <w:tcPr>
            <w:tcW w:w="388" w:type="pct"/>
            <w:tcBorders>
              <w:top w:val="single" w:color="auto" w:sz="6" w:space="0"/>
              <w:left w:val="single" w:color="auto" w:sz="4" w:space="0"/>
              <w:bottom w:val="single" w:color="auto" w:sz="4" w:space="0"/>
            </w:tcBorders>
            <w:vAlign w:val="center"/>
          </w:tcPr>
          <w:p w14:paraId="7A8D56B1">
            <w:pPr>
              <w:spacing w:before="312" w:beforeLines="100"/>
              <w:jc w:val="center"/>
              <w:rPr>
                <w:rFonts w:ascii="宋体" w:hAnsi="宋体" w:cs="宋体"/>
                <w:sz w:val="24"/>
                <w:szCs w:val="24"/>
                <w:highlight w:val="none"/>
              </w:rPr>
            </w:pPr>
            <w:r>
              <w:rPr>
                <w:rFonts w:hint="eastAsia" w:ascii="宋体" w:hAnsi="宋体" w:cs="宋体"/>
                <w:sz w:val="24"/>
                <w:szCs w:val="24"/>
                <w:highlight w:val="none"/>
              </w:rPr>
              <w:t>1</w:t>
            </w:r>
          </w:p>
        </w:tc>
        <w:tc>
          <w:tcPr>
            <w:tcW w:w="601" w:type="pct"/>
            <w:tcBorders>
              <w:top w:val="single" w:color="auto" w:sz="6" w:space="0"/>
              <w:left w:val="single" w:color="auto" w:sz="6" w:space="0"/>
              <w:bottom w:val="single" w:color="auto" w:sz="4" w:space="0"/>
              <w:right w:val="single" w:color="auto" w:sz="6" w:space="0"/>
            </w:tcBorders>
            <w:vAlign w:val="center"/>
          </w:tcPr>
          <w:p w14:paraId="2598DD10">
            <w:pPr>
              <w:spacing w:before="156" w:beforeLines="50"/>
              <w:jc w:val="center"/>
              <w:rPr>
                <w:rFonts w:ascii="宋体" w:hAnsi="宋体" w:cs="宋体"/>
                <w:sz w:val="24"/>
                <w:szCs w:val="24"/>
                <w:highlight w:val="none"/>
              </w:rPr>
            </w:pPr>
          </w:p>
        </w:tc>
        <w:tc>
          <w:tcPr>
            <w:tcW w:w="487" w:type="pct"/>
            <w:tcBorders>
              <w:top w:val="single" w:color="auto" w:sz="6" w:space="0"/>
              <w:left w:val="single" w:color="auto" w:sz="6" w:space="0"/>
              <w:bottom w:val="single" w:color="auto" w:sz="4" w:space="0"/>
              <w:right w:val="single" w:color="auto" w:sz="4" w:space="0"/>
            </w:tcBorders>
            <w:vAlign w:val="center"/>
          </w:tcPr>
          <w:p w14:paraId="79210629">
            <w:pPr>
              <w:spacing w:before="156" w:beforeLines="50"/>
              <w:jc w:val="center"/>
              <w:rPr>
                <w:rFonts w:ascii="宋体" w:hAnsi="宋体" w:cs="宋体"/>
                <w:sz w:val="24"/>
                <w:szCs w:val="24"/>
                <w:highlight w:val="none"/>
              </w:rPr>
            </w:pPr>
          </w:p>
        </w:tc>
        <w:tc>
          <w:tcPr>
            <w:tcW w:w="844" w:type="pct"/>
            <w:tcBorders>
              <w:top w:val="single" w:color="auto" w:sz="6" w:space="0"/>
              <w:left w:val="single" w:color="auto" w:sz="4" w:space="0"/>
              <w:bottom w:val="single" w:color="auto" w:sz="4" w:space="0"/>
              <w:right w:val="single" w:color="auto" w:sz="6" w:space="0"/>
            </w:tcBorders>
            <w:vAlign w:val="center"/>
          </w:tcPr>
          <w:p w14:paraId="20027FA5">
            <w:pPr>
              <w:spacing w:before="156" w:beforeLines="50"/>
              <w:jc w:val="center"/>
              <w:rPr>
                <w:rFonts w:ascii="宋体" w:hAnsi="宋体" w:cs="宋体"/>
                <w:sz w:val="24"/>
                <w:szCs w:val="24"/>
                <w:highlight w:val="none"/>
              </w:rPr>
            </w:pPr>
          </w:p>
        </w:tc>
        <w:tc>
          <w:tcPr>
            <w:tcW w:w="617" w:type="pct"/>
            <w:tcBorders>
              <w:top w:val="single" w:color="auto" w:sz="6" w:space="0"/>
              <w:left w:val="single" w:color="auto" w:sz="6" w:space="0"/>
              <w:bottom w:val="single" w:color="auto" w:sz="4" w:space="0"/>
              <w:right w:val="single" w:color="auto" w:sz="6" w:space="0"/>
            </w:tcBorders>
            <w:vAlign w:val="center"/>
          </w:tcPr>
          <w:p w14:paraId="26B0F2C6">
            <w:pPr>
              <w:spacing w:before="156" w:beforeLines="50"/>
              <w:jc w:val="center"/>
              <w:rPr>
                <w:rFonts w:ascii="宋体" w:hAnsi="宋体" w:cs="宋体"/>
                <w:sz w:val="24"/>
                <w:szCs w:val="24"/>
                <w:highlight w:val="none"/>
              </w:rPr>
            </w:pPr>
          </w:p>
        </w:tc>
        <w:tc>
          <w:tcPr>
            <w:tcW w:w="731" w:type="pct"/>
            <w:tcBorders>
              <w:top w:val="single" w:color="auto" w:sz="6" w:space="0"/>
              <w:left w:val="single" w:color="auto" w:sz="6" w:space="0"/>
              <w:bottom w:val="single" w:color="auto" w:sz="4" w:space="0"/>
              <w:right w:val="single" w:color="auto" w:sz="6" w:space="0"/>
            </w:tcBorders>
            <w:vAlign w:val="center"/>
          </w:tcPr>
          <w:p w14:paraId="053193FD">
            <w:pPr>
              <w:spacing w:before="156" w:beforeLines="50"/>
              <w:jc w:val="center"/>
              <w:rPr>
                <w:rFonts w:ascii="宋体" w:hAnsi="宋体" w:cs="宋体"/>
                <w:sz w:val="24"/>
                <w:szCs w:val="24"/>
                <w:highlight w:val="none"/>
              </w:rPr>
            </w:pPr>
          </w:p>
        </w:tc>
        <w:tc>
          <w:tcPr>
            <w:tcW w:w="838" w:type="pct"/>
            <w:tcBorders>
              <w:top w:val="single" w:color="auto" w:sz="6" w:space="0"/>
              <w:left w:val="single" w:color="auto" w:sz="6" w:space="0"/>
              <w:bottom w:val="single" w:color="auto" w:sz="4" w:space="0"/>
              <w:right w:val="single" w:color="auto" w:sz="6" w:space="0"/>
            </w:tcBorders>
            <w:vAlign w:val="center"/>
          </w:tcPr>
          <w:p w14:paraId="5309F802">
            <w:pPr>
              <w:spacing w:before="156" w:beforeLines="50"/>
              <w:jc w:val="center"/>
              <w:rPr>
                <w:rFonts w:ascii="宋体" w:hAnsi="宋体" w:cs="宋体"/>
                <w:sz w:val="24"/>
                <w:szCs w:val="24"/>
                <w:highlight w:val="none"/>
              </w:rPr>
            </w:pPr>
          </w:p>
        </w:tc>
      </w:tr>
      <w:tr w14:paraId="651B0CC1">
        <w:tblPrEx>
          <w:tblCellMar>
            <w:top w:w="0" w:type="dxa"/>
            <w:left w:w="28" w:type="dxa"/>
            <w:bottom w:w="0" w:type="dxa"/>
            <w:right w:w="28" w:type="dxa"/>
          </w:tblCellMar>
        </w:tblPrEx>
        <w:trPr>
          <w:trHeight w:val="710" w:hRule="atLeast"/>
          <w:jc w:val="center"/>
        </w:trPr>
        <w:tc>
          <w:tcPr>
            <w:tcW w:w="491" w:type="pct"/>
            <w:vMerge w:val="continue"/>
            <w:tcBorders>
              <w:left w:val="single" w:color="auto" w:sz="6" w:space="0"/>
              <w:right w:val="single" w:color="auto" w:sz="4" w:space="0"/>
            </w:tcBorders>
            <w:vAlign w:val="center"/>
          </w:tcPr>
          <w:p w14:paraId="00C45C57">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CA969CC">
            <w:pPr>
              <w:spacing w:before="312" w:beforeLines="100"/>
              <w:jc w:val="center"/>
              <w:rPr>
                <w:rFonts w:ascii="宋体" w:hAnsi="宋体" w:cs="宋体"/>
                <w:sz w:val="24"/>
                <w:szCs w:val="24"/>
                <w:highlight w:val="none"/>
              </w:rPr>
            </w:pPr>
            <w:r>
              <w:rPr>
                <w:rFonts w:hint="eastAsia" w:ascii="宋体" w:hAnsi="宋体" w:cs="宋体"/>
                <w:sz w:val="24"/>
                <w:szCs w:val="24"/>
                <w:highlight w:val="none"/>
              </w:rPr>
              <w:t>2</w:t>
            </w:r>
          </w:p>
        </w:tc>
        <w:tc>
          <w:tcPr>
            <w:tcW w:w="601" w:type="pct"/>
            <w:tcBorders>
              <w:top w:val="single" w:color="auto" w:sz="4" w:space="0"/>
              <w:left w:val="single" w:color="auto" w:sz="6" w:space="0"/>
              <w:bottom w:val="single" w:color="auto" w:sz="6" w:space="0"/>
              <w:right w:val="single" w:color="auto" w:sz="6" w:space="0"/>
            </w:tcBorders>
            <w:vAlign w:val="center"/>
          </w:tcPr>
          <w:p w14:paraId="2A862355">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655625AD">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7F3EA8D6">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48A749A5">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7A6F0A5B">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2FF87F9E">
            <w:pPr>
              <w:spacing w:before="156" w:beforeLines="50"/>
              <w:jc w:val="center"/>
              <w:rPr>
                <w:rFonts w:ascii="宋体" w:hAnsi="宋体" w:cs="宋体"/>
                <w:sz w:val="24"/>
                <w:szCs w:val="24"/>
                <w:highlight w:val="none"/>
              </w:rPr>
            </w:pPr>
          </w:p>
        </w:tc>
      </w:tr>
      <w:tr w14:paraId="6A18A08C">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5B897CA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D7B318A">
            <w:pPr>
              <w:spacing w:before="312" w:beforeLines="100"/>
              <w:jc w:val="center"/>
              <w:rPr>
                <w:rFonts w:ascii="宋体" w:hAnsi="宋体" w:cs="宋体"/>
                <w:sz w:val="24"/>
                <w:szCs w:val="24"/>
                <w:highlight w:val="none"/>
              </w:rPr>
            </w:pPr>
            <w:r>
              <w:rPr>
                <w:rFonts w:hint="eastAsia" w:ascii="宋体" w:hAnsi="宋体" w:cs="宋体"/>
                <w:sz w:val="24"/>
                <w:szCs w:val="24"/>
                <w:highlight w:val="none"/>
              </w:rPr>
              <w:t>3</w:t>
            </w:r>
          </w:p>
        </w:tc>
        <w:tc>
          <w:tcPr>
            <w:tcW w:w="601" w:type="pct"/>
            <w:tcBorders>
              <w:top w:val="single" w:color="auto" w:sz="4" w:space="0"/>
              <w:left w:val="single" w:color="auto" w:sz="6" w:space="0"/>
              <w:bottom w:val="single" w:color="auto" w:sz="6" w:space="0"/>
              <w:right w:val="single" w:color="auto" w:sz="6" w:space="0"/>
            </w:tcBorders>
            <w:vAlign w:val="center"/>
          </w:tcPr>
          <w:p w14:paraId="38DA0C6F">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13C390CF">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6C7A21F2">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1427D4C1">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DDC8383">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5110A3F3">
            <w:pPr>
              <w:spacing w:before="156" w:beforeLines="50"/>
              <w:jc w:val="center"/>
              <w:rPr>
                <w:rFonts w:ascii="宋体" w:hAnsi="宋体" w:cs="宋体"/>
                <w:sz w:val="24"/>
                <w:szCs w:val="24"/>
                <w:highlight w:val="none"/>
              </w:rPr>
            </w:pPr>
          </w:p>
        </w:tc>
      </w:tr>
      <w:tr w14:paraId="7F7E7A25">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0137B66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71F51503">
            <w:pPr>
              <w:spacing w:before="312" w:beforeLines="100"/>
              <w:jc w:val="center"/>
              <w:rPr>
                <w:rFonts w:ascii="宋体" w:hAnsi="宋体" w:cs="宋体"/>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F5D2B0F">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59583746">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F874444">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5546BBCD">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63989D70">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170267CD">
            <w:pPr>
              <w:spacing w:before="156" w:beforeLines="50"/>
              <w:jc w:val="center"/>
              <w:rPr>
                <w:rFonts w:ascii="宋体" w:hAnsi="宋体" w:cs="宋体"/>
                <w:sz w:val="24"/>
                <w:szCs w:val="24"/>
                <w:highlight w:val="none"/>
              </w:rPr>
            </w:pPr>
          </w:p>
        </w:tc>
      </w:tr>
      <w:tr w14:paraId="275D8091">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bottom w:val="single" w:color="auto" w:sz="6" w:space="0"/>
              <w:right w:val="single" w:color="auto" w:sz="4" w:space="0"/>
            </w:tcBorders>
            <w:vAlign w:val="center"/>
          </w:tcPr>
          <w:p w14:paraId="05B7F92A">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4A6BBBB5">
            <w:pPr>
              <w:spacing w:before="312" w:beforeLines="100"/>
              <w:jc w:val="center"/>
              <w:rPr>
                <w:rFonts w:ascii="宋体" w:hAnsi="宋体" w:cs="宋体"/>
                <w:b/>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E6B296D">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41518EF8">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0984F9D">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3AEEF819">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650B04E">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0F47DFC4">
            <w:pPr>
              <w:spacing w:before="156" w:beforeLines="50"/>
              <w:jc w:val="center"/>
              <w:rPr>
                <w:rFonts w:ascii="宋体" w:hAnsi="宋体" w:cs="宋体"/>
                <w:sz w:val="24"/>
                <w:szCs w:val="24"/>
                <w:highlight w:val="none"/>
              </w:rPr>
            </w:pPr>
          </w:p>
        </w:tc>
      </w:tr>
      <w:tr w14:paraId="39B5F2FB">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67647E31">
            <w:pPr>
              <w:jc w:val="center"/>
              <w:rPr>
                <w:rFonts w:ascii="宋体" w:hAnsi="宋体" w:cs="宋体"/>
                <w:sz w:val="24"/>
                <w:szCs w:val="24"/>
                <w:highlight w:val="none"/>
              </w:rPr>
            </w:pPr>
            <w:r>
              <w:rPr>
                <w:rFonts w:hint="eastAsia" w:ascii="宋体" w:hAnsi="宋体" w:cs="宋体"/>
                <w:sz w:val="24"/>
                <w:szCs w:val="24"/>
                <w:highlight w:val="none"/>
              </w:rPr>
              <w:t>谈判总报价</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6DCC0865">
            <w:pPr>
              <w:spacing w:before="156" w:beforeLines="50"/>
              <w:jc w:val="center"/>
              <w:rPr>
                <w:rFonts w:ascii="宋体" w:hAnsi="宋体" w:cs="宋体"/>
                <w:sz w:val="24"/>
                <w:szCs w:val="24"/>
                <w:highlight w:val="none"/>
              </w:rPr>
            </w:pPr>
            <w:r>
              <w:rPr>
                <w:rFonts w:hint="eastAsia" w:ascii="宋体" w:hAnsi="宋体" w:cs="宋体"/>
                <w:sz w:val="24"/>
                <w:szCs w:val="24"/>
                <w:highlight w:val="none"/>
              </w:rPr>
              <w:t>大写：                           小写：</w:t>
            </w:r>
          </w:p>
        </w:tc>
      </w:tr>
      <w:tr w14:paraId="29991C50">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17F115FF">
            <w:pPr>
              <w:jc w:val="center"/>
              <w:rPr>
                <w:rFonts w:ascii="宋体" w:hAnsi="宋体" w:cs="宋体"/>
                <w:sz w:val="24"/>
                <w:szCs w:val="24"/>
                <w:highlight w:val="none"/>
              </w:rPr>
            </w:pPr>
            <w:r>
              <w:rPr>
                <w:rFonts w:hint="eastAsia" w:ascii="宋体" w:hAnsi="宋体" w:cs="宋体"/>
                <w:sz w:val="24"/>
                <w:szCs w:val="24"/>
                <w:highlight w:val="none"/>
              </w:rPr>
              <w:t>备注</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06637324">
            <w:pPr>
              <w:spacing w:before="156" w:beforeLines="50"/>
              <w:rPr>
                <w:rFonts w:ascii="宋体" w:hAnsi="宋体" w:cs="宋体"/>
                <w:sz w:val="24"/>
                <w:szCs w:val="24"/>
                <w:highlight w:val="none"/>
              </w:rPr>
            </w:pPr>
            <w:r>
              <w:rPr>
                <w:rFonts w:hint="eastAsia" w:ascii="宋体" w:hAnsi="宋体" w:cs="宋体"/>
                <w:spacing w:val="-6"/>
                <w:sz w:val="24"/>
                <w:szCs w:val="24"/>
                <w:highlight w:val="none"/>
              </w:rPr>
              <w:t>保留小数点后两位。</w:t>
            </w:r>
          </w:p>
        </w:tc>
      </w:tr>
    </w:tbl>
    <w:p w14:paraId="2E901E25">
      <w:pPr>
        <w:spacing w:line="560" w:lineRule="exact"/>
        <w:rPr>
          <w:rFonts w:ascii="宋体" w:hAnsi="宋体" w:cs="宋体"/>
          <w:sz w:val="24"/>
          <w:szCs w:val="24"/>
          <w:highlight w:val="none"/>
        </w:rPr>
      </w:pPr>
      <w:r>
        <w:rPr>
          <w:rFonts w:hint="eastAsia" w:ascii="宋体" w:hAnsi="宋体" w:cs="宋体"/>
          <w:sz w:val="24"/>
          <w:szCs w:val="24"/>
          <w:highlight w:val="none"/>
        </w:rPr>
        <w:t>注：1.如果按单价计算的结果与总价不一致，以单价为准修正总价。</w:t>
      </w:r>
    </w:p>
    <w:p w14:paraId="73D007E2">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2.如果不提供详细分项报价将视为没有实质性响应谈判文件。</w:t>
      </w:r>
    </w:p>
    <w:p w14:paraId="63CB5A48">
      <w:pPr>
        <w:spacing w:line="56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3.供应商可适当调整该表格式，但不得减少信息内容。</w:t>
      </w:r>
    </w:p>
    <w:p w14:paraId="449FD19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4、单位：元，保留小数点后两位。</w:t>
      </w:r>
    </w:p>
    <w:p w14:paraId="2635C7EA">
      <w:pPr>
        <w:ind w:firstLine="420"/>
        <w:rPr>
          <w:rFonts w:ascii="宋体" w:hAnsi="宋体" w:cs="宋体"/>
          <w:sz w:val="24"/>
          <w:szCs w:val="24"/>
          <w:highlight w:val="none"/>
        </w:rPr>
      </w:pPr>
    </w:p>
    <w:p w14:paraId="55EF7ED3">
      <w:pPr>
        <w:spacing w:line="480" w:lineRule="auto"/>
        <w:ind w:right="540" w:rightChars="257"/>
        <w:rPr>
          <w:rFonts w:ascii="宋体" w:hAnsi="宋体" w:cs="宋体"/>
          <w:sz w:val="24"/>
          <w:szCs w:val="24"/>
          <w:highlight w:val="none"/>
          <w:u w:val="single"/>
        </w:rPr>
      </w:pPr>
      <w:r>
        <w:rPr>
          <w:rFonts w:hint="eastAsia" w:ascii="宋体" w:hAnsi="宋体" w:cs="宋体"/>
          <w:sz w:val="24"/>
          <w:szCs w:val="24"/>
          <w:highlight w:val="none"/>
        </w:rPr>
        <w:t>谈判响应单位名称：</w:t>
      </w:r>
      <w:r>
        <w:rPr>
          <w:rFonts w:hint="eastAsia" w:ascii="宋体" w:hAnsi="宋体" w:cs="宋体"/>
          <w:sz w:val="24"/>
          <w:szCs w:val="24"/>
          <w:highlight w:val="none"/>
          <w:u w:val="single"/>
        </w:rPr>
        <w:t xml:space="preserve">      （加盖单位公章）     </w:t>
      </w:r>
    </w:p>
    <w:p w14:paraId="47099D93">
      <w:pPr>
        <w:spacing w:line="480" w:lineRule="auto"/>
        <w:ind w:right="540" w:rightChars="257"/>
        <w:jc w:val="lef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32"/>
          <w:highlight w:val="none"/>
        </w:rPr>
        <w:t>/</w:t>
      </w:r>
      <w:r>
        <w:rPr>
          <w:rFonts w:hint="eastAsia" w:ascii="宋体" w:hAnsi="宋体" w:cs="宋体"/>
          <w:sz w:val="24"/>
          <w:szCs w:val="24"/>
          <w:highlight w:val="none"/>
        </w:rPr>
        <w:t>被授权人签字或盖章：</w:t>
      </w:r>
      <w:r>
        <w:rPr>
          <w:rFonts w:hint="eastAsia" w:ascii="宋体" w:hAnsi="宋体" w:cs="宋体"/>
          <w:sz w:val="24"/>
          <w:szCs w:val="24"/>
          <w:highlight w:val="none"/>
          <w:u w:val="single"/>
        </w:rPr>
        <w:t xml:space="preserve">                                     </w:t>
      </w:r>
    </w:p>
    <w:p w14:paraId="5AEF5C76">
      <w:pPr>
        <w:spacing w:line="480" w:lineRule="auto"/>
        <w:ind w:right="540" w:rightChars="257"/>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2C23E0A">
      <w:pPr>
        <w:pStyle w:val="2"/>
        <w:spacing w:line="360" w:lineRule="auto"/>
        <w:rPr>
          <w:rFonts w:ascii="宋体" w:hAnsi="宋体" w:cs="宋体"/>
          <w:szCs w:val="28"/>
          <w:highlight w:val="none"/>
        </w:rPr>
      </w:pPr>
    </w:p>
    <w:p w14:paraId="09D09DA7">
      <w:pPr>
        <w:rPr>
          <w:highlight w:val="none"/>
        </w:rPr>
      </w:pPr>
    </w:p>
    <w:p w14:paraId="34412790">
      <w:pPr>
        <w:rPr>
          <w:rFonts w:ascii="宋体" w:hAnsi="宋体" w:cs="宋体"/>
          <w:b/>
          <w:bCs/>
          <w:sz w:val="32"/>
          <w:szCs w:val="32"/>
          <w:highlight w:val="none"/>
        </w:rPr>
      </w:pPr>
      <w:r>
        <w:rPr>
          <w:rFonts w:hint="eastAsia"/>
          <w:sz w:val="32"/>
          <w:szCs w:val="32"/>
          <w:highlight w:val="none"/>
        </w:rPr>
        <w:br w:type="page"/>
      </w:r>
    </w:p>
    <w:p w14:paraId="6E4DB9F5">
      <w:pPr>
        <w:jc w:val="center"/>
        <w:outlineLvl w:val="2"/>
        <w:rPr>
          <w:rFonts w:ascii="宋体" w:hAnsi="宋体" w:cs="宋体"/>
          <w:sz w:val="32"/>
          <w:szCs w:val="32"/>
          <w:highlight w:val="none"/>
        </w:rPr>
      </w:pPr>
      <w:bookmarkStart w:id="55" w:name="_Toc18939"/>
      <w:r>
        <w:rPr>
          <w:rFonts w:hint="eastAsia" w:ascii="宋体" w:hAnsi="宋体" w:cs="宋体"/>
          <w:b/>
          <w:bCs/>
          <w:sz w:val="32"/>
          <w:szCs w:val="32"/>
          <w:highlight w:val="none"/>
        </w:rPr>
        <w:t>三、谈判方案说明书</w:t>
      </w:r>
      <w:bookmarkEnd w:id="55"/>
    </w:p>
    <w:p w14:paraId="51F7ACB3">
      <w:pPr>
        <w:spacing w:after="120" w:line="440" w:lineRule="exact"/>
        <w:rPr>
          <w:rFonts w:ascii="宋体" w:hAnsi="宋体" w:cs="宋体"/>
          <w:sz w:val="24"/>
          <w:szCs w:val="24"/>
          <w:highlight w:val="none"/>
        </w:rPr>
      </w:pPr>
      <w:r>
        <w:rPr>
          <w:rFonts w:hint="eastAsia" w:ascii="宋体" w:hAnsi="宋体" w:cs="宋体"/>
          <w:sz w:val="24"/>
          <w:szCs w:val="24"/>
          <w:highlight w:val="none"/>
        </w:rPr>
        <w:t>项目名称：</w:t>
      </w:r>
    </w:p>
    <w:p w14:paraId="54A24AA2">
      <w:pPr>
        <w:spacing w:after="120" w:line="440" w:lineRule="exact"/>
        <w:rPr>
          <w:rFonts w:ascii="宋体" w:hAnsi="宋体" w:cs="宋体"/>
          <w:sz w:val="24"/>
          <w:szCs w:val="24"/>
          <w:highlight w:val="none"/>
        </w:rPr>
      </w:pPr>
      <w:r>
        <w:rPr>
          <w:rFonts w:hint="eastAsia" w:ascii="宋体" w:hAnsi="宋体" w:cs="宋体"/>
          <w:sz w:val="24"/>
          <w:szCs w:val="24"/>
          <w:highlight w:val="none"/>
        </w:rPr>
        <w:t>项目编号：</w:t>
      </w:r>
    </w:p>
    <w:p w14:paraId="056121CA">
      <w:pPr>
        <w:pStyle w:val="13"/>
        <w:spacing w:line="480" w:lineRule="auto"/>
        <w:ind w:firstLine="480" w:firstLineChars="200"/>
        <w:jc w:val="left"/>
        <w:rPr>
          <w:rFonts w:hAnsi="宋体"/>
          <w:sz w:val="24"/>
          <w:szCs w:val="24"/>
          <w:highlight w:val="none"/>
        </w:rPr>
      </w:pPr>
      <w:r>
        <w:rPr>
          <w:rFonts w:hAnsi="宋体"/>
          <w:sz w:val="24"/>
          <w:szCs w:val="24"/>
          <w:highlight w:val="none"/>
        </w:rPr>
        <w:t>按照竞争性谈判文件的要求编制的谈判方案说明书，内容包括组织供货和服务方案、技术规格响应表、产品的彩页（如有）、符合质量标准的证明文件（如</w:t>
      </w:r>
      <w:r>
        <w:rPr>
          <w:rFonts w:hint="eastAsia" w:hAnsi="宋体"/>
          <w:sz w:val="24"/>
          <w:szCs w:val="24"/>
          <w:highlight w:val="none"/>
          <w:lang w:val="en-US" w:eastAsia="zh-CN"/>
        </w:rPr>
        <w:t>检测</w:t>
      </w:r>
      <w:r>
        <w:rPr>
          <w:rFonts w:hAnsi="宋体"/>
          <w:sz w:val="24"/>
          <w:szCs w:val="24"/>
          <w:highlight w:val="none"/>
        </w:rPr>
        <w:t>报告）、质量保证和售后服务承诺等。至少应包括：</w:t>
      </w:r>
    </w:p>
    <w:p w14:paraId="5401DB55">
      <w:pPr>
        <w:pStyle w:val="13"/>
        <w:spacing w:line="480" w:lineRule="auto"/>
        <w:ind w:firstLine="480" w:firstLineChars="200"/>
        <w:jc w:val="left"/>
        <w:rPr>
          <w:rFonts w:hAnsi="宋体"/>
          <w:sz w:val="24"/>
          <w:szCs w:val="24"/>
          <w:highlight w:val="none"/>
        </w:rPr>
      </w:pPr>
      <w:r>
        <w:rPr>
          <w:rFonts w:hAnsi="宋体"/>
          <w:sz w:val="24"/>
          <w:szCs w:val="24"/>
          <w:highlight w:val="none"/>
        </w:rPr>
        <w:t>1、组织供货和服务方案。要求谈判供应商针对本项目的需求提供全面、完整的方案；</w:t>
      </w:r>
    </w:p>
    <w:p w14:paraId="7FA4608E">
      <w:pPr>
        <w:pStyle w:val="13"/>
        <w:spacing w:line="480" w:lineRule="auto"/>
        <w:ind w:firstLine="480" w:firstLineChars="200"/>
        <w:jc w:val="left"/>
        <w:rPr>
          <w:rFonts w:hAnsi="宋体"/>
          <w:sz w:val="24"/>
          <w:szCs w:val="24"/>
          <w:highlight w:val="none"/>
        </w:rPr>
      </w:pPr>
      <w:r>
        <w:rPr>
          <w:rFonts w:hAnsi="宋体"/>
          <w:sz w:val="24"/>
          <w:szCs w:val="24"/>
          <w:highlight w:val="none"/>
        </w:rPr>
        <w:t>2、谈判产品的技术规格、数量及单位、生产厂家等，提供详细的供货配置清单；</w:t>
      </w:r>
    </w:p>
    <w:p w14:paraId="7BB24847">
      <w:pPr>
        <w:pStyle w:val="13"/>
        <w:spacing w:line="480" w:lineRule="auto"/>
        <w:ind w:firstLine="480" w:firstLineChars="200"/>
        <w:jc w:val="left"/>
        <w:rPr>
          <w:rFonts w:hAnsi="宋体"/>
          <w:sz w:val="24"/>
          <w:szCs w:val="24"/>
          <w:highlight w:val="none"/>
        </w:rPr>
      </w:pPr>
      <w:r>
        <w:rPr>
          <w:rFonts w:hAnsi="宋体"/>
          <w:sz w:val="24"/>
          <w:szCs w:val="24"/>
          <w:highlight w:val="none"/>
        </w:rPr>
        <w:t>3、产品来源渠道合法的证明文件（包括但不限于销售协议/代理协议/</w:t>
      </w:r>
      <w:r>
        <w:rPr>
          <w:rStyle w:val="38"/>
          <w:rFonts w:hint="eastAsia" w:ascii="宋体" w:hAnsi="宋体" w:eastAsia="宋体" w:cs="宋体"/>
          <w:b w:val="0"/>
          <w:bCs w:val="0"/>
          <w:sz w:val="24"/>
          <w:szCs w:val="24"/>
          <w:highlight w:val="none"/>
          <w:lang w:val="en-US" w:eastAsia="zh-CN" w:bidi="ar"/>
        </w:rPr>
        <w:t>检测报告</w:t>
      </w:r>
      <w:r>
        <w:rPr>
          <w:rStyle w:val="38"/>
          <w:rFonts w:hint="eastAsia" w:hAnsi="宋体" w:cs="宋体"/>
          <w:b w:val="0"/>
          <w:bCs w:val="0"/>
          <w:sz w:val="24"/>
          <w:szCs w:val="24"/>
          <w:highlight w:val="none"/>
          <w:lang w:val="en-US" w:eastAsia="zh-CN" w:bidi="ar"/>
        </w:rPr>
        <w:t>/</w:t>
      </w:r>
      <w:r>
        <w:rPr>
          <w:rStyle w:val="38"/>
          <w:rFonts w:hint="eastAsia" w:ascii="宋体" w:hAnsi="宋体" w:eastAsia="宋体" w:cs="宋体"/>
          <w:b w:val="0"/>
          <w:bCs w:val="0"/>
          <w:sz w:val="24"/>
          <w:szCs w:val="24"/>
          <w:highlight w:val="none"/>
          <w:lang w:val="en-US" w:eastAsia="zh-CN" w:bidi="ar"/>
        </w:rPr>
        <w:t>官网截图</w:t>
      </w:r>
      <w:r>
        <w:rPr>
          <w:rFonts w:hAnsi="宋体"/>
          <w:sz w:val="24"/>
          <w:szCs w:val="24"/>
          <w:highlight w:val="none"/>
        </w:rPr>
        <w:t xml:space="preserve">等）； </w:t>
      </w:r>
    </w:p>
    <w:p w14:paraId="2C2FBB3F">
      <w:pPr>
        <w:pStyle w:val="13"/>
        <w:spacing w:line="480" w:lineRule="auto"/>
        <w:ind w:firstLine="480" w:firstLineChars="200"/>
        <w:jc w:val="left"/>
        <w:rPr>
          <w:rFonts w:hAnsi="宋体"/>
          <w:sz w:val="24"/>
          <w:szCs w:val="24"/>
          <w:highlight w:val="none"/>
        </w:rPr>
      </w:pPr>
      <w:r>
        <w:rPr>
          <w:rFonts w:hAnsi="宋体"/>
          <w:sz w:val="24"/>
          <w:szCs w:val="24"/>
          <w:highlight w:val="none"/>
        </w:rPr>
        <w:t>4、填写技术规格响应表（见附表）并提供支持文件（</w:t>
      </w:r>
      <w:r>
        <w:rPr>
          <w:rFonts w:hint="eastAsia" w:hAnsi="宋体"/>
          <w:sz w:val="24"/>
          <w:szCs w:val="24"/>
          <w:highlight w:val="none"/>
          <w:lang w:val="en-US" w:eastAsia="zh-CN"/>
        </w:rPr>
        <w:t>检测</w:t>
      </w:r>
      <w:r>
        <w:rPr>
          <w:rFonts w:hAnsi="宋体"/>
          <w:sz w:val="24"/>
          <w:szCs w:val="24"/>
          <w:highlight w:val="none"/>
        </w:rPr>
        <w:t>报告）；</w:t>
      </w:r>
    </w:p>
    <w:p w14:paraId="5B6A104A">
      <w:pPr>
        <w:pStyle w:val="13"/>
        <w:spacing w:line="480" w:lineRule="auto"/>
        <w:ind w:firstLine="480" w:firstLineChars="200"/>
        <w:jc w:val="left"/>
        <w:rPr>
          <w:rFonts w:hAnsi="宋体"/>
          <w:sz w:val="24"/>
          <w:szCs w:val="24"/>
          <w:highlight w:val="none"/>
        </w:rPr>
      </w:pPr>
      <w:r>
        <w:rPr>
          <w:rFonts w:hAnsi="宋体"/>
          <w:sz w:val="24"/>
          <w:szCs w:val="24"/>
          <w:highlight w:val="none"/>
        </w:rPr>
        <w:t>5、谈判产品的制造商情况及质量标准、检测标准等是否符合国家规范及相关认证等；</w:t>
      </w:r>
    </w:p>
    <w:p w14:paraId="47A2C09C">
      <w:pPr>
        <w:pStyle w:val="13"/>
        <w:spacing w:line="480" w:lineRule="auto"/>
        <w:ind w:firstLine="480" w:firstLineChars="200"/>
        <w:jc w:val="left"/>
        <w:rPr>
          <w:rFonts w:hAnsi="宋体"/>
          <w:sz w:val="24"/>
          <w:szCs w:val="24"/>
          <w:highlight w:val="none"/>
        </w:rPr>
      </w:pPr>
      <w:r>
        <w:rPr>
          <w:rFonts w:hAnsi="宋体"/>
          <w:sz w:val="24"/>
          <w:szCs w:val="24"/>
          <w:highlight w:val="none"/>
        </w:rPr>
        <w:t>6、谈判产品的彩页（如有）；</w:t>
      </w:r>
    </w:p>
    <w:p w14:paraId="5BE28B26">
      <w:pPr>
        <w:pStyle w:val="13"/>
        <w:spacing w:line="480" w:lineRule="auto"/>
        <w:ind w:firstLine="480" w:firstLineChars="200"/>
        <w:jc w:val="left"/>
        <w:rPr>
          <w:rFonts w:hAnsi="宋体"/>
          <w:sz w:val="24"/>
          <w:szCs w:val="24"/>
          <w:highlight w:val="none"/>
        </w:rPr>
      </w:pPr>
      <w:r>
        <w:rPr>
          <w:rFonts w:hAnsi="宋体"/>
          <w:sz w:val="24"/>
          <w:szCs w:val="24"/>
          <w:highlight w:val="none"/>
        </w:rPr>
        <w:t>7、质量保证措施、售后服务方案、响应时间、验收等</w:t>
      </w:r>
      <w:r>
        <w:rPr>
          <w:rFonts w:hint="eastAsia" w:hAnsi="宋体"/>
          <w:sz w:val="24"/>
          <w:szCs w:val="24"/>
          <w:highlight w:val="none"/>
        </w:rPr>
        <w:t>；</w:t>
      </w:r>
    </w:p>
    <w:p w14:paraId="0A153377">
      <w:pPr>
        <w:pStyle w:val="13"/>
        <w:spacing w:line="480" w:lineRule="auto"/>
        <w:ind w:firstLine="480" w:firstLineChars="200"/>
        <w:jc w:val="left"/>
        <w:rPr>
          <w:rFonts w:hAnsi="宋体"/>
          <w:sz w:val="24"/>
          <w:szCs w:val="24"/>
          <w:highlight w:val="none"/>
        </w:rPr>
      </w:pPr>
      <w:r>
        <w:rPr>
          <w:rFonts w:hAnsi="宋体"/>
          <w:sz w:val="24"/>
          <w:szCs w:val="24"/>
          <w:highlight w:val="none"/>
        </w:rPr>
        <w:t>8、供应商服务承诺书</w:t>
      </w:r>
      <w:r>
        <w:rPr>
          <w:rFonts w:hint="eastAsia" w:hAnsi="宋体"/>
          <w:sz w:val="24"/>
          <w:szCs w:val="24"/>
          <w:highlight w:val="none"/>
        </w:rPr>
        <w:t>。</w:t>
      </w:r>
    </w:p>
    <w:p w14:paraId="178035A9">
      <w:pPr>
        <w:pStyle w:val="20"/>
        <w:widowControl w:val="0"/>
        <w:spacing w:before="156" w:beforeLines="50" w:beforeAutospacing="0" w:after="156" w:afterLines="50" w:afterAutospacing="0"/>
        <w:rPr>
          <w:rFonts w:cs="宋体"/>
          <w:highlight w:val="none"/>
        </w:rPr>
      </w:pPr>
    </w:p>
    <w:p w14:paraId="5821F850">
      <w:pPr>
        <w:spacing w:line="440" w:lineRule="exact"/>
        <w:ind w:left="3259" w:leftChars="1552"/>
        <w:rPr>
          <w:rFonts w:ascii="宋体" w:hAnsi="宋体" w:cs="宋体"/>
          <w:szCs w:val="24"/>
          <w:highlight w:val="none"/>
        </w:rPr>
      </w:pPr>
    </w:p>
    <w:p w14:paraId="29853616">
      <w:pPr>
        <w:spacing w:line="440" w:lineRule="exact"/>
        <w:ind w:left="3259" w:leftChars="1552"/>
        <w:rPr>
          <w:rFonts w:ascii="宋体" w:hAnsi="宋体" w:cs="宋体"/>
          <w:szCs w:val="24"/>
          <w:highlight w:val="none"/>
        </w:rPr>
      </w:pPr>
    </w:p>
    <w:bookmarkEnd w:id="54"/>
    <w:p w14:paraId="5AAF7A8E">
      <w:pPr>
        <w:spacing w:after="120"/>
        <w:rPr>
          <w:rFonts w:ascii="宋体" w:hAnsi="宋体" w:cs="宋体"/>
          <w:b/>
          <w:szCs w:val="24"/>
          <w:highlight w:val="none"/>
        </w:rPr>
      </w:pPr>
      <w:bookmarkStart w:id="56" w:name="_Toc363474033"/>
      <w:bookmarkStart w:id="57" w:name="_Toc403077656"/>
      <w:r>
        <w:rPr>
          <w:rFonts w:hint="eastAsia" w:ascii="宋体" w:hAnsi="宋体" w:cs="宋体"/>
          <w:b/>
          <w:bCs/>
          <w:sz w:val="30"/>
          <w:szCs w:val="30"/>
          <w:highlight w:val="none"/>
        </w:rPr>
        <w:br w:type="page"/>
      </w:r>
      <w:bookmarkStart w:id="58" w:name="_Toc26374"/>
      <w:r>
        <w:rPr>
          <w:rFonts w:hint="eastAsia" w:ascii="宋体" w:hAnsi="宋体" w:cs="宋体"/>
          <w:b/>
          <w:sz w:val="24"/>
          <w:szCs w:val="32"/>
          <w:highlight w:val="none"/>
        </w:rPr>
        <w:t>附表1：</w:t>
      </w:r>
    </w:p>
    <w:p w14:paraId="3D41C765">
      <w:pPr>
        <w:spacing w:after="120"/>
        <w:jc w:val="center"/>
        <w:rPr>
          <w:rFonts w:ascii="宋体" w:hAnsi="宋体" w:cs="宋体"/>
          <w:b/>
          <w:sz w:val="32"/>
          <w:szCs w:val="32"/>
          <w:highlight w:val="none"/>
        </w:rPr>
      </w:pPr>
      <w:r>
        <w:rPr>
          <w:rFonts w:hint="eastAsia" w:ascii="宋体" w:hAnsi="宋体" w:cs="宋体"/>
          <w:b/>
          <w:sz w:val="32"/>
          <w:szCs w:val="32"/>
          <w:highlight w:val="none"/>
        </w:rPr>
        <w:t>技术规格响应表</w:t>
      </w:r>
    </w:p>
    <w:p w14:paraId="04C05747">
      <w:pPr>
        <w:spacing w:after="120"/>
        <w:ind w:firstLine="105" w:firstLineChars="50"/>
        <w:rPr>
          <w:rFonts w:ascii="宋体" w:hAnsi="宋体" w:cs="宋体"/>
          <w:szCs w:val="24"/>
          <w:highlight w:val="none"/>
        </w:rPr>
      </w:pPr>
      <w:r>
        <w:rPr>
          <w:rFonts w:hint="eastAsia" w:ascii="宋体" w:hAnsi="宋体" w:cs="宋体"/>
          <w:szCs w:val="24"/>
          <w:highlight w:val="none"/>
        </w:rPr>
        <w:t>项目名称：</w:t>
      </w:r>
    </w:p>
    <w:p w14:paraId="05B02FEF">
      <w:pPr>
        <w:spacing w:after="120"/>
        <w:ind w:firstLine="105" w:firstLineChars="50"/>
        <w:rPr>
          <w:rFonts w:ascii="宋体" w:hAnsi="宋体" w:cs="宋体"/>
          <w:szCs w:val="24"/>
          <w:highlight w:val="none"/>
        </w:rPr>
      </w:pPr>
      <w:r>
        <w:rPr>
          <w:rFonts w:hint="eastAsia" w:ascii="宋体" w:hAnsi="宋体" w:cs="宋体"/>
          <w:szCs w:val="24"/>
          <w:highlight w:val="none"/>
        </w:rPr>
        <w:t>项目编号：</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217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45040F91">
            <w:pPr>
              <w:spacing w:before="156" w:beforeLines="50"/>
              <w:jc w:val="center"/>
              <w:rPr>
                <w:rFonts w:ascii="宋体" w:hAnsi="宋体" w:cs="宋体"/>
                <w:szCs w:val="24"/>
                <w:highlight w:val="none"/>
              </w:rPr>
            </w:pPr>
            <w:r>
              <w:rPr>
                <w:rFonts w:hint="eastAsia" w:ascii="宋体" w:hAnsi="宋体" w:cs="宋体"/>
                <w:szCs w:val="24"/>
                <w:highlight w:val="none"/>
              </w:rPr>
              <w:t>序号</w:t>
            </w:r>
          </w:p>
        </w:tc>
        <w:tc>
          <w:tcPr>
            <w:tcW w:w="1276" w:type="dxa"/>
            <w:tcBorders>
              <w:bottom w:val="nil"/>
            </w:tcBorders>
          </w:tcPr>
          <w:p w14:paraId="57B78983">
            <w:pPr>
              <w:spacing w:before="156" w:beforeLines="50"/>
              <w:jc w:val="center"/>
              <w:rPr>
                <w:rFonts w:ascii="宋体" w:hAnsi="宋体" w:cs="宋体"/>
                <w:szCs w:val="24"/>
                <w:highlight w:val="none"/>
              </w:rPr>
            </w:pPr>
            <w:r>
              <w:rPr>
                <w:rFonts w:hint="eastAsia" w:ascii="宋体" w:hAnsi="宋体" w:cs="宋体"/>
                <w:szCs w:val="24"/>
                <w:highlight w:val="none"/>
              </w:rPr>
              <w:t>产品名称</w:t>
            </w:r>
          </w:p>
        </w:tc>
        <w:tc>
          <w:tcPr>
            <w:tcW w:w="2268" w:type="dxa"/>
            <w:tcBorders>
              <w:bottom w:val="nil"/>
            </w:tcBorders>
          </w:tcPr>
          <w:p w14:paraId="1A05A803">
            <w:pPr>
              <w:spacing w:before="156" w:beforeLines="50"/>
              <w:jc w:val="center"/>
              <w:rPr>
                <w:rFonts w:ascii="宋体" w:hAnsi="宋体" w:cs="宋体"/>
                <w:szCs w:val="24"/>
                <w:highlight w:val="none"/>
              </w:rPr>
            </w:pPr>
            <w:r>
              <w:rPr>
                <w:rFonts w:hint="eastAsia" w:ascii="宋体" w:hAnsi="宋体" w:cs="宋体"/>
                <w:szCs w:val="24"/>
                <w:highlight w:val="none"/>
              </w:rPr>
              <w:t>竞争性谈判规格 ☆1</w:t>
            </w:r>
          </w:p>
        </w:tc>
        <w:tc>
          <w:tcPr>
            <w:tcW w:w="2781" w:type="dxa"/>
            <w:tcBorders>
              <w:bottom w:val="nil"/>
            </w:tcBorders>
          </w:tcPr>
          <w:p w14:paraId="7B00EE7D">
            <w:pPr>
              <w:spacing w:before="156" w:beforeLines="50"/>
              <w:jc w:val="center"/>
              <w:rPr>
                <w:rFonts w:ascii="宋体" w:hAnsi="宋体" w:cs="宋体"/>
                <w:szCs w:val="24"/>
                <w:highlight w:val="none"/>
              </w:rPr>
            </w:pPr>
            <w:r>
              <w:rPr>
                <w:rFonts w:hint="eastAsia" w:ascii="宋体" w:hAnsi="宋体" w:cs="宋体"/>
                <w:szCs w:val="24"/>
                <w:highlight w:val="none"/>
              </w:rPr>
              <w:t>竞争性谈判响应规格 ☆2</w:t>
            </w:r>
          </w:p>
        </w:tc>
        <w:tc>
          <w:tcPr>
            <w:tcW w:w="1188" w:type="dxa"/>
            <w:tcBorders>
              <w:bottom w:val="nil"/>
            </w:tcBorders>
          </w:tcPr>
          <w:p w14:paraId="14815738">
            <w:pPr>
              <w:spacing w:before="156" w:beforeLines="50"/>
              <w:jc w:val="center"/>
              <w:rPr>
                <w:rFonts w:ascii="宋体" w:hAnsi="宋体" w:cs="宋体"/>
                <w:szCs w:val="24"/>
                <w:highlight w:val="none"/>
              </w:rPr>
            </w:pPr>
            <w:r>
              <w:rPr>
                <w:rFonts w:hint="eastAsia" w:ascii="宋体" w:hAnsi="宋体" w:cs="宋体"/>
                <w:szCs w:val="24"/>
                <w:highlight w:val="none"/>
              </w:rPr>
              <w:t>偏离说明</w:t>
            </w:r>
          </w:p>
        </w:tc>
        <w:tc>
          <w:tcPr>
            <w:tcW w:w="594" w:type="dxa"/>
            <w:tcBorders>
              <w:bottom w:val="nil"/>
            </w:tcBorders>
          </w:tcPr>
          <w:p w14:paraId="701FD6FD">
            <w:pPr>
              <w:spacing w:before="156" w:beforeLines="50"/>
              <w:jc w:val="center"/>
              <w:rPr>
                <w:rFonts w:ascii="宋体" w:hAnsi="宋体" w:cs="宋体"/>
                <w:szCs w:val="24"/>
                <w:highlight w:val="none"/>
              </w:rPr>
            </w:pPr>
            <w:r>
              <w:rPr>
                <w:rFonts w:hint="eastAsia" w:ascii="宋体" w:hAnsi="宋体" w:cs="宋体"/>
                <w:szCs w:val="24"/>
                <w:highlight w:val="none"/>
              </w:rPr>
              <w:t>备注</w:t>
            </w:r>
          </w:p>
        </w:tc>
      </w:tr>
      <w:tr w14:paraId="7EFC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23E07BAA">
            <w:pPr>
              <w:rPr>
                <w:rFonts w:ascii="宋体" w:hAnsi="宋体" w:cs="宋体"/>
                <w:szCs w:val="24"/>
                <w:highlight w:val="none"/>
              </w:rPr>
            </w:pPr>
          </w:p>
        </w:tc>
        <w:tc>
          <w:tcPr>
            <w:tcW w:w="1276" w:type="dxa"/>
            <w:tcBorders>
              <w:top w:val="single" w:color="auto" w:sz="12" w:space="0"/>
              <w:left w:val="single" w:color="auto" w:sz="6" w:space="0"/>
              <w:bottom w:val="nil"/>
              <w:right w:val="single" w:color="auto" w:sz="6" w:space="0"/>
            </w:tcBorders>
          </w:tcPr>
          <w:p w14:paraId="32FF304C">
            <w:pPr>
              <w:rPr>
                <w:rFonts w:ascii="宋体" w:hAnsi="宋体" w:cs="宋体"/>
                <w:szCs w:val="24"/>
                <w:highlight w:val="none"/>
              </w:rPr>
            </w:pPr>
          </w:p>
        </w:tc>
        <w:tc>
          <w:tcPr>
            <w:tcW w:w="2268" w:type="dxa"/>
            <w:tcBorders>
              <w:top w:val="single" w:color="auto" w:sz="12" w:space="0"/>
              <w:left w:val="single" w:color="auto" w:sz="6" w:space="0"/>
              <w:bottom w:val="nil"/>
              <w:right w:val="single" w:color="auto" w:sz="6" w:space="0"/>
            </w:tcBorders>
          </w:tcPr>
          <w:p w14:paraId="57909B53">
            <w:pPr>
              <w:rPr>
                <w:rFonts w:ascii="宋体" w:hAnsi="宋体" w:cs="宋体"/>
                <w:szCs w:val="24"/>
                <w:highlight w:val="none"/>
              </w:rPr>
            </w:pPr>
          </w:p>
        </w:tc>
        <w:tc>
          <w:tcPr>
            <w:tcW w:w="2781" w:type="dxa"/>
            <w:tcBorders>
              <w:top w:val="single" w:color="auto" w:sz="12" w:space="0"/>
              <w:left w:val="single" w:color="auto" w:sz="6" w:space="0"/>
              <w:bottom w:val="nil"/>
              <w:right w:val="single" w:color="auto" w:sz="6" w:space="0"/>
            </w:tcBorders>
          </w:tcPr>
          <w:p w14:paraId="67585324">
            <w:pPr>
              <w:rPr>
                <w:rFonts w:ascii="宋体" w:hAnsi="宋体" w:cs="宋体"/>
                <w:szCs w:val="24"/>
                <w:highlight w:val="none"/>
              </w:rPr>
            </w:pPr>
          </w:p>
        </w:tc>
        <w:tc>
          <w:tcPr>
            <w:tcW w:w="1188" w:type="dxa"/>
            <w:tcBorders>
              <w:top w:val="single" w:color="auto" w:sz="12" w:space="0"/>
              <w:left w:val="single" w:color="auto" w:sz="6" w:space="0"/>
              <w:bottom w:val="nil"/>
              <w:right w:val="single" w:color="auto" w:sz="6" w:space="0"/>
            </w:tcBorders>
          </w:tcPr>
          <w:p w14:paraId="1B5007F3">
            <w:pPr>
              <w:rPr>
                <w:rFonts w:ascii="宋体" w:hAnsi="宋体" w:cs="宋体"/>
                <w:szCs w:val="24"/>
                <w:highlight w:val="none"/>
              </w:rPr>
            </w:pPr>
          </w:p>
        </w:tc>
        <w:tc>
          <w:tcPr>
            <w:tcW w:w="594" w:type="dxa"/>
            <w:tcBorders>
              <w:top w:val="single" w:color="auto" w:sz="12" w:space="0"/>
              <w:left w:val="single" w:color="auto" w:sz="6" w:space="0"/>
              <w:bottom w:val="nil"/>
              <w:right w:val="single" w:color="auto" w:sz="12" w:space="0"/>
            </w:tcBorders>
          </w:tcPr>
          <w:p w14:paraId="13829A52">
            <w:pPr>
              <w:rPr>
                <w:rFonts w:ascii="宋体" w:hAnsi="宋体" w:cs="宋体"/>
                <w:szCs w:val="24"/>
                <w:highlight w:val="none"/>
              </w:rPr>
            </w:pPr>
          </w:p>
        </w:tc>
      </w:tr>
      <w:tr w14:paraId="25A6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27217F26">
            <w:pPr>
              <w:rPr>
                <w:rFonts w:ascii="宋体" w:hAnsi="宋体" w:cs="宋体"/>
                <w:szCs w:val="24"/>
                <w:highlight w:val="none"/>
              </w:rPr>
            </w:pPr>
          </w:p>
        </w:tc>
        <w:tc>
          <w:tcPr>
            <w:tcW w:w="1276" w:type="dxa"/>
            <w:tcBorders>
              <w:top w:val="nil"/>
            </w:tcBorders>
          </w:tcPr>
          <w:p w14:paraId="3031E06C">
            <w:pPr>
              <w:rPr>
                <w:rFonts w:ascii="宋体" w:hAnsi="宋体" w:cs="宋体"/>
                <w:szCs w:val="24"/>
                <w:highlight w:val="none"/>
              </w:rPr>
            </w:pPr>
          </w:p>
        </w:tc>
        <w:tc>
          <w:tcPr>
            <w:tcW w:w="2268" w:type="dxa"/>
            <w:tcBorders>
              <w:top w:val="nil"/>
            </w:tcBorders>
          </w:tcPr>
          <w:p w14:paraId="039F6A4C">
            <w:pPr>
              <w:rPr>
                <w:rFonts w:ascii="宋体" w:hAnsi="宋体" w:cs="宋体"/>
                <w:szCs w:val="24"/>
                <w:highlight w:val="none"/>
              </w:rPr>
            </w:pPr>
          </w:p>
        </w:tc>
        <w:tc>
          <w:tcPr>
            <w:tcW w:w="2781" w:type="dxa"/>
            <w:tcBorders>
              <w:top w:val="nil"/>
            </w:tcBorders>
          </w:tcPr>
          <w:p w14:paraId="2E16B86A">
            <w:pPr>
              <w:rPr>
                <w:rFonts w:ascii="宋体" w:hAnsi="宋体" w:cs="宋体"/>
                <w:szCs w:val="24"/>
                <w:highlight w:val="none"/>
              </w:rPr>
            </w:pPr>
          </w:p>
        </w:tc>
        <w:tc>
          <w:tcPr>
            <w:tcW w:w="1188" w:type="dxa"/>
            <w:tcBorders>
              <w:top w:val="nil"/>
            </w:tcBorders>
          </w:tcPr>
          <w:p w14:paraId="6A1957ED">
            <w:pPr>
              <w:rPr>
                <w:rFonts w:ascii="宋体" w:hAnsi="宋体" w:cs="宋体"/>
                <w:szCs w:val="24"/>
                <w:highlight w:val="none"/>
              </w:rPr>
            </w:pPr>
          </w:p>
        </w:tc>
        <w:tc>
          <w:tcPr>
            <w:tcW w:w="594" w:type="dxa"/>
            <w:tcBorders>
              <w:top w:val="nil"/>
            </w:tcBorders>
          </w:tcPr>
          <w:p w14:paraId="431546DB">
            <w:pPr>
              <w:rPr>
                <w:rFonts w:ascii="宋体" w:hAnsi="宋体" w:cs="宋体"/>
                <w:szCs w:val="24"/>
                <w:highlight w:val="none"/>
              </w:rPr>
            </w:pPr>
          </w:p>
        </w:tc>
      </w:tr>
    </w:tbl>
    <w:p w14:paraId="0E82D671">
      <w:pPr>
        <w:rPr>
          <w:rFonts w:ascii="宋体" w:hAnsi="宋体" w:cs="宋体"/>
          <w:highlight w:val="none"/>
        </w:rPr>
      </w:pPr>
    </w:p>
    <w:p w14:paraId="59242BCC">
      <w:pPr>
        <w:rPr>
          <w:rFonts w:ascii="宋体" w:hAnsi="宋体" w:cs="宋体"/>
          <w:highlight w:val="none"/>
        </w:rPr>
      </w:pPr>
    </w:p>
    <w:p w14:paraId="5DAE8C82">
      <w:pPr>
        <w:rPr>
          <w:rFonts w:ascii="宋体" w:hAnsi="宋体" w:cs="宋体"/>
          <w:szCs w:val="24"/>
          <w:highlight w:val="none"/>
        </w:rPr>
      </w:pPr>
    </w:p>
    <w:p w14:paraId="2B9B0275">
      <w:pPr>
        <w:spacing w:line="280" w:lineRule="exact"/>
        <w:ind w:firstLine="105" w:firstLineChars="50"/>
        <w:rPr>
          <w:rFonts w:ascii="宋体" w:hAnsi="宋体" w:cs="宋体"/>
          <w:szCs w:val="24"/>
          <w:highlight w:val="none"/>
        </w:rPr>
      </w:pPr>
      <w:r>
        <w:rPr>
          <w:rFonts w:hint="eastAsia" w:ascii="宋体" w:hAnsi="宋体" w:cs="宋体"/>
          <w:highlight w:val="none"/>
        </w:rPr>
        <w:t>法定代表人/或被授权人签字或盖章</w:t>
      </w:r>
      <w:r>
        <w:rPr>
          <w:rFonts w:hint="eastAsia" w:ascii="宋体" w:hAnsi="宋体" w:cs="宋体"/>
          <w:szCs w:val="24"/>
          <w:highlight w:val="none"/>
        </w:rPr>
        <w:t>:</w:t>
      </w:r>
    </w:p>
    <w:p w14:paraId="57C0C579">
      <w:pPr>
        <w:tabs>
          <w:tab w:val="left" w:pos="3045"/>
        </w:tabs>
        <w:spacing w:line="280" w:lineRule="exact"/>
        <w:rPr>
          <w:rFonts w:ascii="宋体" w:hAnsi="宋体" w:cs="宋体"/>
          <w:szCs w:val="24"/>
          <w:highlight w:val="none"/>
        </w:rPr>
      </w:pPr>
    </w:p>
    <w:p w14:paraId="4D8349C2">
      <w:pPr>
        <w:spacing w:line="280" w:lineRule="exact"/>
        <w:rPr>
          <w:rFonts w:ascii="宋体" w:hAnsi="宋体" w:cs="宋体"/>
          <w:szCs w:val="24"/>
          <w:highlight w:val="none"/>
        </w:rPr>
      </w:pPr>
    </w:p>
    <w:p w14:paraId="5F3276A0">
      <w:pPr>
        <w:spacing w:line="280" w:lineRule="exact"/>
        <w:ind w:firstLine="105" w:firstLineChars="50"/>
        <w:rPr>
          <w:rFonts w:ascii="宋体" w:hAnsi="宋体" w:cs="宋体"/>
          <w:szCs w:val="24"/>
          <w:highlight w:val="none"/>
        </w:rPr>
      </w:pPr>
      <w:r>
        <w:rPr>
          <w:rFonts w:hint="eastAsia" w:ascii="宋体" w:hAnsi="宋体" w:cs="宋体"/>
          <w:szCs w:val="24"/>
          <w:highlight w:val="none"/>
        </w:rPr>
        <w:t>公      章：</w:t>
      </w:r>
    </w:p>
    <w:p w14:paraId="67789E87">
      <w:pPr>
        <w:rPr>
          <w:rFonts w:ascii="宋体" w:hAnsi="宋体" w:cs="宋体"/>
          <w:szCs w:val="24"/>
          <w:highlight w:val="none"/>
        </w:rPr>
      </w:pPr>
    </w:p>
    <w:p w14:paraId="5D75A9E9">
      <w:pPr>
        <w:rPr>
          <w:rFonts w:ascii="宋体" w:hAnsi="宋体" w:cs="宋体"/>
          <w:szCs w:val="24"/>
          <w:highlight w:val="none"/>
        </w:rPr>
      </w:pPr>
    </w:p>
    <w:p w14:paraId="14E918AD">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注:  1.  ☆1指竞争性谈判文件中的技术规格(参数),供应商应按照竞争性谈判文件中的内容逐条抄写。</w:t>
      </w:r>
    </w:p>
    <w:p w14:paraId="132378FE">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 xml:space="preserve">     2.  ☆2指供应商拟提供的</w:t>
      </w:r>
      <w:r>
        <w:rPr>
          <w:rFonts w:hint="eastAsia" w:hAnsi="宋体"/>
          <w:szCs w:val="24"/>
          <w:highlight w:val="none"/>
        </w:rPr>
        <w:t>谈判</w:t>
      </w:r>
      <w:r>
        <w:rPr>
          <w:rFonts w:hint="eastAsia" w:ascii="宋体" w:hAnsi="宋体" w:cs="宋体"/>
          <w:szCs w:val="24"/>
          <w:highlight w:val="none"/>
        </w:rPr>
        <w:t xml:space="preserve">产品的功能及技术规格(参数),供应商应逐条如实填写并提供相应的支持文件。 </w:t>
      </w:r>
    </w:p>
    <w:p w14:paraId="25DCA8D5">
      <w:pPr>
        <w:rPr>
          <w:rFonts w:ascii="宋体" w:hAnsi="宋体" w:cs="宋体"/>
          <w:highlight w:val="none"/>
        </w:rPr>
      </w:pPr>
      <w:r>
        <w:rPr>
          <w:rFonts w:hint="eastAsia" w:ascii="宋体" w:hAnsi="宋体" w:cs="宋体"/>
          <w:szCs w:val="24"/>
          <w:highlight w:val="none"/>
        </w:rPr>
        <w:t xml:space="preserve">     </w:t>
      </w:r>
      <w:r>
        <w:rPr>
          <w:rFonts w:hint="eastAsia" w:ascii="宋体" w:hAnsi="宋体" w:cs="宋体"/>
          <w:highlight w:val="none"/>
        </w:rPr>
        <w:t>3.     偏离说明填写：优于、满足或低于。</w:t>
      </w:r>
    </w:p>
    <w:p w14:paraId="3A5A3B20">
      <w:pPr>
        <w:rPr>
          <w:rFonts w:ascii="宋体" w:hAnsi="宋体" w:cs="宋体"/>
          <w:highlight w:val="none"/>
        </w:rPr>
      </w:pPr>
      <w:r>
        <w:rPr>
          <w:rFonts w:hint="eastAsia" w:ascii="宋体" w:hAnsi="宋体" w:cs="宋体"/>
          <w:highlight w:val="none"/>
        </w:rPr>
        <w:br w:type="page"/>
      </w:r>
    </w:p>
    <w:p w14:paraId="2E342854">
      <w:pPr>
        <w:spacing w:line="360" w:lineRule="auto"/>
        <w:jc w:val="center"/>
        <w:outlineLvl w:val="2"/>
        <w:rPr>
          <w:rFonts w:ascii="宋体" w:hAnsi="宋体" w:cs="宋体"/>
          <w:b/>
          <w:bCs/>
          <w:sz w:val="30"/>
          <w:szCs w:val="30"/>
          <w:highlight w:val="none"/>
        </w:rPr>
      </w:pPr>
      <w:r>
        <w:rPr>
          <w:rFonts w:hint="eastAsia" w:ascii="宋体" w:hAnsi="宋体" w:cs="宋体"/>
          <w:b/>
          <w:bCs/>
          <w:sz w:val="30"/>
          <w:szCs w:val="30"/>
          <w:highlight w:val="none"/>
        </w:rPr>
        <w:t>四、</w:t>
      </w:r>
      <w:bookmarkEnd w:id="56"/>
      <w:bookmarkEnd w:id="57"/>
      <w:r>
        <w:rPr>
          <w:rFonts w:hint="eastAsia" w:ascii="宋体" w:hAnsi="宋体" w:cs="宋体"/>
          <w:b/>
          <w:bCs/>
          <w:sz w:val="30"/>
          <w:szCs w:val="30"/>
          <w:highlight w:val="none"/>
        </w:rPr>
        <w:t>商务条款偏离表</w:t>
      </w:r>
      <w:bookmarkEnd w:id="58"/>
    </w:p>
    <w:p w14:paraId="22087902">
      <w:pPr>
        <w:pStyle w:val="20"/>
        <w:widowControl w:val="0"/>
        <w:spacing w:before="156" w:beforeLines="50" w:beforeAutospacing="0" w:after="156" w:afterLines="50" w:afterAutospacing="0"/>
        <w:rPr>
          <w:rFonts w:cs="宋体"/>
          <w:highlight w:val="none"/>
        </w:rPr>
      </w:pPr>
      <w:bookmarkStart w:id="59" w:name="_Toc403077657"/>
      <w:bookmarkStart w:id="60" w:name="_Toc363474034"/>
      <w:r>
        <w:rPr>
          <w:rFonts w:hint="eastAsia" w:cs="宋体"/>
          <w:highlight w:val="none"/>
        </w:rPr>
        <w:t>项目编号：</w:t>
      </w:r>
    </w:p>
    <w:p w14:paraId="7AB5A3D6">
      <w:pPr>
        <w:pStyle w:val="20"/>
        <w:widowControl w:val="0"/>
        <w:spacing w:before="156" w:beforeLines="50" w:beforeAutospacing="0" w:after="156" w:afterLines="50" w:afterAutospacing="0"/>
        <w:rPr>
          <w:rFonts w:cs="宋体"/>
          <w:highlight w:val="none"/>
          <w:u w:val="single"/>
        </w:rPr>
      </w:pPr>
      <w:r>
        <w:rPr>
          <w:rFonts w:hint="eastAsia" w:cs="宋体"/>
          <w:highlight w:val="none"/>
        </w:rPr>
        <w:t>项目名称：</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938"/>
        <w:gridCol w:w="1503"/>
        <w:gridCol w:w="1253"/>
      </w:tblGrid>
      <w:tr w14:paraId="7BD7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06F7F1D">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491B5D3">
            <w:pPr>
              <w:pStyle w:val="20"/>
              <w:widowControl w:val="0"/>
              <w:spacing w:before="0" w:beforeAutospacing="0" w:after="0" w:afterAutospacing="0"/>
              <w:jc w:val="center"/>
              <w:rPr>
                <w:rFonts w:cs="宋体"/>
                <w:highlight w:val="none"/>
              </w:rPr>
            </w:pPr>
            <w:r>
              <w:rPr>
                <w:rFonts w:hint="eastAsia" w:cs="宋体"/>
                <w:highlight w:val="none"/>
              </w:rPr>
              <w:t>谈判文件的商务条款</w:t>
            </w:r>
          </w:p>
        </w:tc>
        <w:tc>
          <w:tcPr>
            <w:tcW w:w="2938" w:type="dxa"/>
            <w:tcBorders>
              <w:top w:val="single" w:color="auto" w:sz="4" w:space="0"/>
              <w:left w:val="single" w:color="auto" w:sz="4" w:space="0"/>
              <w:bottom w:val="single" w:color="auto" w:sz="4" w:space="0"/>
              <w:right w:val="single" w:color="auto" w:sz="4" w:space="0"/>
            </w:tcBorders>
            <w:vAlign w:val="center"/>
          </w:tcPr>
          <w:p w14:paraId="05B5DB32">
            <w:pPr>
              <w:pStyle w:val="20"/>
              <w:widowControl w:val="0"/>
              <w:spacing w:before="0" w:beforeAutospacing="0" w:after="0" w:afterAutospacing="0"/>
              <w:jc w:val="center"/>
              <w:rPr>
                <w:rFonts w:cs="宋体"/>
                <w:highlight w:val="none"/>
              </w:rPr>
            </w:pPr>
            <w:r>
              <w:rPr>
                <w:rFonts w:hint="eastAsia" w:cs="宋体"/>
                <w:highlight w:val="none"/>
              </w:rPr>
              <w:t>谈判响应文件的商务条款</w:t>
            </w:r>
          </w:p>
        </w:tc>
        <w:tc>
          <w:tcPr>
            <w:tcW w:w="1503" w:type="dxa"/>
            <w:tcBorders>
              <w:top w:val="single" w:color="auto" w:sz="4" w:space="0"/>
              <w:left w:val="single" w:color="auto" w:sz="4" w:space="0"/>
              <w:bottom w:val="single" w:color="auto" w:sz="4" w:space="0"/>
              <w:right w:val="single" w:color="auto" w:sz="4" w:space="0"/>
            </w:tcBorders>
            <w:vAlign w:val="center"/>
          </w:tcPr>
          <w:p w14:paraId="6BCCCD2A">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59F5A56">
            <w:pPr>
              <w:pStyle w:val="20"/>
              <w:widowControl w:val="0"/>
              <w:spacing w:before="0" w:beforeAutospacing="0" w:after="0" w:afterAutospacing="0"/>
              <w:jc w:val="center"/>
              <w:rPr>
                <w:rFonts w:cs="宋体"/>
                <w:highlight w:val="none"/>
              </w:rPr>
            </w:pPr>
            <w:r>
              <w:rPr>
                <w:rFonts w:hint="eastAsia" w:cs="宋体"/>
                <w:highlight w:val="none"/>
              </w:rPr>
              <w:t>说明</w:t>
            </w:r>
          </w:p>
        </w:tc>
      </w:tr>
      <w:tr w14:paraId="08A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5BE12B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5173001">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1394742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5415714F">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A9F7F8">
            <w:pPr>
              <w:pStyle w:val="20"/>
              <w:widowControl w:val="0"/>
              <w:spacing w:before="0" w:beforeAutospacing="0" w:after="0" w:afterAutospacing="0"/>
              <w:ind w:firstLine="480" w:firstLineChars="200"/>
              <w:jc w:val="center"/>
              <w:rPr>
                <w:rFonts w:cs="宋体"/>
                <w:highlight w:val="none"/>
              </w:rPr>
            </w:pPr>
          </w:p>
        </w:tc>
      </w:tr>
      <w:tr w14:paraId="40F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A0E3899">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4D0EE94">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703905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3B9A730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334F0E6">
            <w:pPr>
              <w:pStyle w:val="20"/>
              <w:widowControl w:val="0"/>
              <w:spacing w:before="0" w:beforeAutospacing="0" w:after="0" w:afterAutospacing="0"/>
              <w:ind w:firstLine="480" w:firstLineChars="200"/>
              <w:jc w:val="center"/>
              <w:rPr>
                <w:rFonts w:cs="宋体"/>
                <w:highlight w:val="none"/>
              </w:rPr>
            </w:pPr>
          </w:p>
        </w:tc>
      </w:tr>
      <w:tr w14:paraId="7C0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35430AA">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09473D6">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343490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43C32A9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71E3C3D">
            <w:pPr>
              <w:pStyle w:val="20"/>
              <w:widowControl w:val="0"/>
              <w:spacing w:before="0" w:beforeAutospacing="0" w:after="0" w:afterAutospacing="0"/>
              <w:ind w:firstLine="480" w:firstLineChars="200"/>
              <w:jc w:val="center"/>
              <w:rPr>
                <w:rFonts w:cs="宋体"/>
                <w:highlight w:val="none"/>
              </w:rPr>
            </w:pPr>
          </w:p>
        </w:tc>
      </w:tr>
      <w:tr w14:paraId="1DD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AEBFC0">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E59993C">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525EE367">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7CFAFA8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0CA2ED">
            <w:pPr>
              <w:pStyle w:val="20"/>
              <w:widowControl w:val="0"/>
              <w:spacing w:before="0" w:beforeAutospacing="0" w:after="0" w:afterAutospacing="0"/>
              <w:ind w:firstLine="480" w:firstLineChars="200"/>
              <w:jc w:val="center"/>
              <w:rPr>
                <w:rFonts w:cs="宋体"/>
                <w:highlight w:val="none"/>
              </w:rPr>
            </w:pPr>
          </w:p>
        </w:tc>
      </w:tr>
      <w:tr w14:paraId="181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7441A81">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505F99D">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034167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0D967B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8A3F763">
            <w:pPr>
              <w:pStyle w:val="20"/>
              <w:widowControl w:val="0"/>
              <w:spacing w:before="0" w:beforeAutospacing="0" w:after="0" w:afterAutospacing="0"/>
              <w:ind w:firstLine="480" w:firstLineChars="200"/>
              <w:jc w:val="center"/>
              <w:rPr>
                <w:rFonts w:cs="宋体"/>
                <w:highlight w:val="none"/>
              </w:rPr>
            </w:pPr>
          </w:p>
        </w:tc>
      </w:tr>
      <w:tr w14:paraId="460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29D7F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2DEB9D8">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434E5336">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8D6E49D">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7A5A75">
            <w:pPr>
              <w:pStyle w:val="20"/>
              <w:widowControl w:val="0"/>
              <w:spacing w:before="0" w:beforeAutospacing="0" w:after="0" w:afterAutospacing="0"/>
              <w:ind w:firstLine="480" w:firstLineChars="200"/>
              <w:jc w:val="center"/>
              <w:rPr>
                <w:rFonts w:cs="宋体"/>
                <w:highlight w:val="none"/>
              </w:rPr>
            </w:pPr>
          </w:p>
        </w:tc>
      </w:tr>
      <w:tr w14:paraId="4CA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81515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16BF25E">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C2286C8">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0D78C7F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E342DD">
            <w:pPr>
              <w:pStyle w:val="20"/>
              <w:widowControl w:val="0"/>
              <w:spacing w:before="0" w:beforeAutospacing="0" w:after="0" w:afterAutospacing="0"/>
              <w:ind w:firstLine="480" w:firstLineChars="200"/>
              <w:jc w:val="center"/>
              <w:rPr>
                <w:rFonts w:cs="宋体"/>
                <w:highlight w:val="none"/>
              </w:rPr>
            </w:pPr>
          </w:p>
        </w:tc>
      </w:tr>
    </w:tbl>
    <w:p w14:paraId="48C9775B">
      <w:pPr>
        <w:pStyle w:val="20"/>
        <w:widowControl w:val="0"/>
        <w:spacing w:before="0" w:beforeAutospacing="0" w:after="0" w:afterAutospacing="0" w:line="360" w:lineRule="auto"/>
        <w:rPr>
          <w:rFonts w:cs="宋体"/>
          <w:highlight w:val="none"/>
        </w:rPr>
      </w:pPr>
      <w:r>
        <w:rPr>
          <w:rFonts w:hint="eastAsia" w:cs="宋体"/>
          <w:highlight w:val="none"/>
        </w:rPr>
        <w:t>说明：</w:t>
      </w:r>
    </w:p>
    <w:p w14:paraId="541A1D16">
      <w:pPr>
        <w:pStyle w:val="20"/>
        <w:widowControl w:val="0"/>
        <w:spacing w:before="0" w:beforeAutospacing="0" w:after="0" w:afterAutospacing="0" w:line="360" w:lineRule="auto"/>
        <w:ind w:firstLine="480" w:firstLineChars="200"/>
        <w:jc w:val="both"/>
        <w:rPr>
          <w:rFonts w:cs="宋体"/>
          <w:highlight w:val="none"/>
        </w:rPr>
      </w:pPr>
      <w:r>
        <w:rPr>
          <w:rFonts w:hint="eastAsia" w:cs="宋体"/>
          <w:highlight w:val="none"/>
        </w:rPr>
        <w:t>1.本表只填写谈判响应文件中与谈判文件有偏离（包括正偏离和负偏离）的内容，谈判响应文件中商务响应与谈判文件要求完全一致的，不用在此表中列出，但必须提交空白表。</w:t>
      </w:r>
    </w:p>
    <w:p w14:paraId="102620EB">
      <w:pPr>
        <w:pStyle w:val="20"/>
        <w:widowControl w:val="0"/>
        <w:spacing w:before="0" w:beforeAutospacing="0" w:after="0" w:afterAutospacing="0" w:line="360" w:lineRule="auto"/>
        <w:ind w:firstLine="480" w:firstLineChars="200"/>
        <w:rPr>
          <w:rFonts w:cs="宋体"/>
          <w:highlight w:val="none"/>
        </w:rPr>
      </w:pPr>
      <w:r>
        <w:rPr>
          <w:rFonts w:hint="eastAsia" w:cs="宋体"/>
          <w:highlight w:val="none"/>
        </w:rPr>
        <w:t>2.供应商必须据实填写，不得虚假响应，否则将取消其谈判或成交资格，并按有关规定进处罚。</w:t>
      </w:r>
    </w:p>
    <w:p w14:paraId="47FD1DAE">
      <w:pPr>
        <w:pStyle w:val="20"/>
        <w:widowControl w:val="0"/>
        <w:spacing w:before="0" w:beforeAutospacing="0" w:after="0" w:afterAutospacing="0"/>
        <w:ind w:firstLine="480" w:firstLineChars="200"/>
        <w:jc w:val="center"/>
        <w:rPr>
          <w:rFonts w:cs="宋体"/>
          <w:highlight w:val="none"/>
        </w:rPr>
      </w:pPr>
    </w:p>
    <w:p w14:paraId="67A0F7FB">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05905E45">
      <w:pPr>
        <w:pStyle w:val="20"/>
        <w:widowControl w:val="0"/>
        <w:spacing w:before="0" w:beforeAutospacing="0" w:after="0" w:afterAutospacing="0"/>
        <w:ind w:firstLine="480" w:firstLineChars="200"/>
        <w:jc w:val="center"/>
        <w:rPr>
          <w:rFonts w:cs="宋体"/>
          <w:highlight w:val="none"/>
        </w:rPr>
      </w:pPr>
    </w:p>
    <w:p w14:paraId="5830BF68">
      <w:pPr>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法定代表人或委托代理人：              （签字） </w:t>
      </w:r>
    </w:p>
    <w:p w14:paraId="266428C6">
      <w:pPr>
        <w:jc w:val="center"/>
        <w:outlineLvl w:val="2"/>
        <w:rPr>
          <w:rFonts w:ascii="宋体" w:hAnsi="宋体" w:cs="宋体"/>
          <w:b/>
          <w:bCs/>
          <w:sz w:val="30"/>
          <w:szCs w:val="30"/>
          <w:highlight w:val="none"/>
        </w:rPr>
      </w:pPr>
      <w:r>
        <w:rPr>
          <w:rFonts w:hint="eastAsia" w:ascii="宋体" w:hAnsi="宋体" w:cs="宋体"/>
          <w:b/>
          <w:bCs/>
          <w:sz w:val="30"/>
          <w:szCs w:val="30"/>
          <w:highlight w:val="none"/>
        </w:rPr>
        <w:br w:type="page"/>
      </w:r>
      <w:bookmarkStart w:id="61" w:name="_Toc9972"/>
      <w:r>
        <w:rPr>
          <w:rFonts w:hint="eastAsia" w:ascii="宋体" w:hAnsi="宋体" w:cs="宋体"/>
          <w:b/>
          <w:bCs/>
          <w:sz w:val="30"/>
          <w:szCs w:val="30"/>
          <w:highlight w:val="none"/>
        </w:rPr>
        <w:t>五、陕西省政府采购供应商拒绝政府采购领域商业贿赂承诺书</w:t>
      </w:r>
      <w:bookmarkEnd w:id="61"/>
    </w:p>
    <w:p w14:paraId="0A12065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为响应党中央、国务院关于治理政府采购领域商业贿赂行为的号召，我公司在此庄严承诺：</w:t>
      </w:r>
    </w:p>
    <w:p w14:paraId="0B17DFB3">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1、在参与政府采购活动中遵纪守法、诚信经营、公平竞标。</w:t>
      </w:r>
    </w:p>
    <w:p w14:paraId="4B7F92B6">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2、不向政府采购人、采购代理机构和政府采购评审专家进行任何形式的商业贿赂以谋取交易机会。</w:t>
      </w:r>
    </w:p>
    <w:p w14:paraId="6742B3F9">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3、不向政府采购代理机构和采购人提供虚假资质文件或采用虚假应标方式参与政府采购市场竞争并谋取中标、成交。</w:t>
      </w:r>
    </w:p>
    <w:p w14:paraId="4E143787">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4、不采取“围标、陪标”等商业欺诈手段获得政府采购定单。</w:t>
      </w:r>
    </w:p>
    <w:p w14:paraId="63754C31">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5、不采取不正当手段诋毁、排挤其他供应商。</w:t>
      </w:r>
    </w:p>
    <w:p w14:paraId="103E1D9C">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6、不在提供商品和服务时“偷梁换柱、以次充好”损害采购人的合法权益。</w:t>
      </w:r>
    </w:p>
    <w:p w14:paraId="7FAD8240">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7、不与采购人、采购代理机构政府采购评审专家或其它供应商恶意串通，进行质疑和投诉，维护政府采购市场秩序。</w:t>
      </w:r>
    </w:p>
    <w:p w14:paraId="25D3984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8、尊重和接受政府采购监督管理部门的监督和政府采购代理机构招标采购要求，承担因违约行为给采购人造成的损失。</w:t>
      </w:r>
    </w:p>
    <w:p w14:paraId="7419D246">
      <w:pPr>
        <w:spacing w:line="600" w:lineRule="exact"/>
        <w:ind w:left="666" w:leftChars="267" w:hanging="105" w:hangingChars="50"/>
        <w:jc w:val="left"/>
        <w:rPr>
          <w:rFonts w:ascii="宋体" w:hAnsi="宋体" w:cs="宋体"/>
          <w:szCs w:val="24"/>
          <w:highlight w:val="none"/>
        </w:rPr>
      </w:pPr>
      <w:r>
        <w:rPr>
          <w:rFonts w:hint="eastAsia" w:ascii="宋体" w:hAnsi="宋体" w:cs="宋体"/>
          <w:szCs w:val="24"/>
          <w:highlight w:val="none"/>
        </w:rPr>
        <w:t>9、不发生其他有悖于政府采购公开、公平、公正和诚信原则的行为。</w:t>
      </w:r>
    </w:p>
    <w:p w14:paraId="51D851A7">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承诺单位（盖章）：</w:t>
      </w:r>
    </w:p>
    <w:p w14:paraId="5FC09440">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法定代表人或被授权代表（签字或盖章）：</w:t>
      </w:r>
    </w:p>
    <w:p w14:paraId="4894B37F">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地    址：                                                       </w:t>
      </w:r>
    </w:p>
    <w:p w14:paraId="795B2817">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邮    编：                                                       </w:t>
      </w:r>
    </w:p>
    <w:p w14:paraId="7F423E30">
      <w:pPr>
        <w:spacing w:line="600" w:lineRule="exact"/>
        <w:ind w:left="210" w:leftChars="100" w:firstLine="420" w:firstLineChars="200"/>
        <w:rPr>
          <w:rFonts w:ascii="宋体" w:hAnsi="宋体" w:cs="宋体"/>
          <w:szCs w:val="24"/>
          <w:highlight w:val="none"/>
        </w:rPr>
      </w:pPr>
      <w:r>
        <w:rPr>
          <w:rFonts w:hint="eastAsia" w:ascii="宋体" w:hAnsi="宋体" w:cs="宋体"/>
          <w:szCs w:val="24"/>
          <w:highlight w:val="none"/>
        </w:rPr>
        <w:t xml:space="preserve">电    话：                                                       </w:t>
      </w:r>
    </w:p>
    <w:p w14:paraId="67C65A7E">
      <w:pPr>
        <w:spacing w:line="600" w:lineRule="exact"/>
        <w:ind w:left="659" w:leftChars="314" w:firstLine="4620" w:firstLineChars="2200"/>
        <w:jc w:val="left"/>
        <w:rPr>
          <w:rFonts w:ascii="宋体" w:hAnsi="宋体" w:cs="宋体"/>
          <w:szCs w:val="24"/>
          <w:highlight w:val="none"/>
        </w:rPr>
      </w:pPr>
      <w:r>
        <w:rPr>
          <w:rFonts w:hint="eastAsia" w:ascii="宋体" w:hAnsi="宋体" w:cs="宋体"/>
          <w:szCs w:val="24"/>
          <w:highlight w:val="none"/>
        </w:rPr>
        <w:t>年    月    日</w:t>
      </w:r>
    </w:p>
    <w:p w14:paraId="7183C6B1">
      <w:pPr>
        <w:rPr>
          <w:rFonts w:ascii="宋体" w:hAnsi="宋体" w:cs="宋体"/>
          <w:highlight w:val="none"/>
        </w:rPr>
      </w:pPr>
      <w:r>
        <w:rPr>
          <w:rFonts w:hint="eastAsia" w:ascii="宋体" w:hAnsi="宋体" w:cs="宋体"/>
          <w:highlight w:val="none"/>
        </w:rPr>
        <w:br w:type="page"/>
      </w:r>
    </w:p>
    <w:p w14:paraId="1CCC7D98">
      <w:pPr>
        <w:jc w:val="center"/>
        <w:outlineLvl w:val="2"/>
        <w:rPr>
          <w:rFonts w:ascii="宋体" w:hAnsi="宋体" w:cs="宋体"/>
          <w:b/>
          <w:bCs/>
          <w:sz w:val="30"/>
          <w:szCs w:val="30"/>
          <w:highlight w:val="none"/>
        </w:rPr>
      </w:pPr>
      <w:bookmarkStart w:id="62" w:name="_Toc23723"/>
      <w:r>
        <w:rPr>
          <w:rFonts w:hint="eastAsia" w:ascii="宋体" w:hAnsi="宋体" w:cs="宋体"/>
          <w:b/>
          <w:bCs/>
          <w:sz w:val="30"/>
          <w:szCs w:val="30"/>
          <w:highlight w:val="none"/>
        </w:rPr>
        <w:t>六、特定资格证明文件</w:t>
      </w:r>
      <w:bookmarkEnd w:id="59"/>
      <w:bookmarkEnd w:id="60"/>
      <w:bookmarkEnd w:id="62"/>
    </w:p>
    <w:p w14:paraId="0F7FAE9C">
      <w:pPr>
        <w:spacing w:line="560" w:lineRule="exact"/>
        <w:rPr>
          <w:rFonts w:hint="eastAsia" w:ascii="宋体" w:hAnsi="宋体" w:cs="宋体"/>
          <w:b w:val="0"/>
          <w:bCs w:val="0"/>
          <w:sz w:val="24"/>
          <w:szCs w:val="24"/>
          <w:highlight w:val="none"/>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谈判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（9）本项目不接受联合体谈判（提供承诺书）。</w:t>
      </w:r>
    </w:p>
    <w:p w14:paraId="0F004375">
      <w:pPr>
        <w:spacing w:line="560" w:lineRule="exact"/>
        <w:rPr>
          <w:rFonts w:ascii="宋体" w:hAnsi="宋体" w:cs="宋体"/>
          <w:b/>
          <w:highlight w:val="none"/>
        </w:rPr>
      </w:pPr>
      <w:r>
        <w:rPr>
          <w:rFonts w:hint="eastAsia" w:ascii="宋体" w:hAnsi="宋体" w:cs="宋体"/>
          <w:b/>
          <w:bCs/>
          <w:sz w:val="28"/>
          <w:szCs w:val="28"/>
          <w:highlight w:val="none"/>
        </w:rPr>
        <w:t>后附相关格式：</w:t>
      </w:r>
      <w:r>
        <w:rPr>
          <w:rFonts w:hint="eastAsia" w:ascii="宋体" w:hAnsi="宋体" w:cs="宋体"/>
          <w:b/>
          <w:bCs/>
          <w:sz w:val="30"/>
          <w:szCs w:val="30"/>
          <w:highlight w:val="none"/>
        </w:rPr>
        <w:br w:type="page"/>
      </w:r>
    </w:p>
    <w:p w14:paraId="793C623F">
      <w:pPr>
        <w:jc w:val="center"/>
        <w:outlineLvl w:val="2"/>
        <w:rPr>
          <w:rFonts w:ascii="宋体" w:hAnsi="宋体" w:cs="宋体"/>
          <w:b/>
          <w:bCs/>
          <w:sz w:val="30"/>
          <w:szCs w:val="30"/>
          <w:highlight w:val="none"/>
        </w:rPr>
      </w:pPr>
      <w:bookmarkStart w:id="63" w:name="_Toc27372"/>
      <w:r>
        <w:rPr>
          <w:rFonts w:hint="eastAsia" w:ascii="宋体" w:hAnsi="宋体" w:cs="宋体"/>
          <w:b/>
          <w:bCs/>
          <w:sz w:val="30"/>
          <w:szCs w:val="30"/>
          <w:highlight w:val="none"/>
        </w:rPr>
        <w:t>七、其它</w:t>
      </w:r>
      <w:bookmarkEnd w:id="63"/>
    </w:p>
    <w:p w14:paraId="74EE21B6">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1、依据竞争性谈判文件要求，供应商认为有必要说明的其他内容</w:t>
      </w:r>
    </w:p>
    <w:p w14:paraId="71DD6F12">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A8766E0">
      <w:pPr>
        <w:rPr>
          <w:rFonts w:ascii="宋体" w:hAnsi="宋体" w:cs="宋体"/>
          <w:sz w:val="24"/>
          <w:szCs w:val="24"/>
          <w:highlight w:val="none"/>
        </w:rPr>
      </w:pPr>
      <w:r>
        <w:rPr>
          <w:rFonts w:hint="eastAsia" w:ascii="宋体" w:hAnsi="宋体" w:cs="宋体"/>
          <w:sz w:val="24"/>
          <w:szCs w:val="24"/>
          <w:highlight w:val="none"/>
        </w:rPr>
        <w:br w:type="page"/>
      </w:r>
    </w:p>
    <w:p w14:paraId="5252523C">
      <w:pPr>
        <w:spacing w:before="156" w:beforeLines="50" w:after="156" w:afterLines="50" w:line="500" w:lineRule="exact"/>
        <w:rPr>
          <w:rFonts w:ascii="宋体" w:hAnsi="宋体" w:cs="宋体"/>
          <w:b/>
          <w:sz w:val="28"/>
          <w:szCs w:val="28"/>
          <w:highlight w:val="none"/>
        </w:rPr>
      </w:pPr>
      <w:r>
        <w:rPr>
          <w:rFonts w:hint="eastAsia" w:ascii="宋体" w:hAnsi="宋体" w:cs="宋体"/>
          <w:b/>
          <w:sz w:val="28"/>
          <w:szCs w:val="28"/>
          <w:highlight w:val="none"/>
        </w:rPr>
        <w:t>附件1：</w:t>
      </w:r>
    </w:p>
    <w:p w14:paraId="435E2EEF">
      <w:pPr>
        <w:keepNext/>
        <w:spacing w:before="312" w:beforeLines="100" w:line="360" w:lineRule="auto"/>
        <w:jc w:val="center"/>
        <w:rPr>
          <w:rFonts w:ascii="宋体" w:hAnsi="宋体" w:cs="宋体"/>
          <w:b/>
          <w:bCs/>
          <w:sz w:val="32"/>
          <w:szCs w:val="32"/>
          <w:highlight w:val="none"/>
        </w:rPr>
      </w:pPr>
      <w:bookmarkStart w:id="64" w:name="_Toc363474028"/>
      <w:bookmarkStart w:id="65" w:name="_Toc403077649"/>
      <w:r>
        <w:rPr>
          <w:rFonts w:hint="eastAsia" w:ascii="宋体" w:hAnsi="宋体" w:cs="宋体"/>
          <w:b/>
          <w:bCs/>
          <w:sz w:val="32"/>
          <w:szCs w:val="32"/>
          <w:highlight w:val="none"/>
        </w:rPr>
        <w:t>法定代表人身份证明/法定代表人授权书</w:t>
      </w:r>
      <w:bookmarkEnd w:id="64"/>
      <w:bookmarkEnd w:id="65"/>
    </w:p>
    <w:p w14:paraId="232298BB">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14:paraId="75EA5618">
      <w:pPr>
        <w:pStyle w:val="2"/>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48C4607C">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xml:space="preserve">                  </w:t>
      </w:r>
      <w:r>
        <w:rPr>
          <w:rFonts w:hint="eastAsia" w:ascii="宋体" w:hAnsi="宋体" w:cs="宋体"/>
          <w:highlight w:val="none"/>
        </w:rPr>
        <w:t xml:space="preserve"> </w:t>
      </w:r>
    </w:p>
    <w:p w14:paraId="440122A8">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统一社会信用代码：</w:t>
      </w:r>
      <w:r>
        <w:rPr>
          <w:rFonts w:hint="eastAsia" w:ascii="宋体" w:hAnsi="宋体" w:cs="宋体"/>
          <w:highlight w:val="none"/>
          <w:u w:val="single"/>
        </w:rPr>
        <w:t xml:space="preserve">                </w:t>
      </w:r>
    </w:p>
    <w:p w14:paraId="06F6C83D">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注册地址：</w:t>
      </w:r>
      <w:r>
        <w:rPr>
          <w:rFonts w:hint="eastAsia" w:ascii="宋体" w:hAnsi="宋体" w:cs="宋体"/>
          <w:highlight w:val="none"/>
          <w:u w:val="single"/>
        </w:rPr>
        <w:t xml:space="preserve">                        </w:t>
      </w:r>
    </w:p>
    <w:p w14:paraId="33B09F41">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29D482CC">
      <w:pPr>
        <w:autoSpaceDE w:val="0"/>
        <w:autoSpaceDN w:val="0"/>
        <w:adjustRightInd w:val="0"/>
        <w:snapToGrid w:val="0"/>
        <w:spacing w:before="156" w:beforeLines="50" w:line="360" w:lineRule="auto"/>
        <w:jc w:val="left"/>
        <w:rPr>
          <w:rFonts w:ascii="宋体" w:hAnsi="宋体" w:cs="宋体"/>
          <w:highlight w:val="none"/>
          <w:u w:val="single"/>
        </w:rPr>
      </w:pPr>
      <w:r>
        <w:rPr>
          <w:rFonts w:hint="eastAsia" w:ascii="宋体" w:hAnsi="宋体" w:cs="宋体"/>
          <w:highlight w:val="none"/>
        </w:rPr>
        <w:t>经营期限：</w:t>
      </w:r>
      <w:r>
        <w:rPr>
          <w:rFonts w:hint="eastAsia" w:ascii="宋体" w:hAnsi="宋体" w:cs="宋体"/>
          <w:highlight w:val="none"/>
          <w:u w:val="single"/>
        </w:rPr>
        <w:t xml:space="preserve">                  </w:t>
      </w:r>
    </w:p>
    <w:p w14:paraId="53483A5B">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姓名：</w:t>
      </w:r>
      <w:r>
        <w:rPr>
          <w:rFonts w:hint="eastAsia" w:ascii="宋体" w:hAnsi="宋体" w:cs="宋体"/>
          <w:highlight w:val="none"/>
          <w:u w:val="single"/>
        </w:rPr>
        <w:t xml:space="preserve">       </w:t>
      </w:r>
      <w:r>
        <w:rPr>
          <w:rFonts w:hint="eastAsia" w:ascii="宋体" w:hAnsi="宋体" w:cs="宋体"/>
          <w:highlight w:val="none"/>
        </w:rPr>
        <w:t>性别：</w:t>
      </w:r>
      <w:r>
        <w:rPr>
          <w:rFonts w:hint="eastAsia" w:ascii="宋体" w:hAnsi="宋体" w:cs="宋体"/>
          <w:highlight w:val="none"/>
          <w:u w:val="single"/>
        </w:rPr>
        <w:t xml:space="preserve">   </w:t>
      </w:r>
      <w:r>
        <w:rPr>
          <w:rFonts w:hint="eastAsia" w:ascii="宋体" w:hAnsi="宋体" w:cs="宋体"/>
          <w:highlight w:val="none"/>
        </w:rPr>
        <w:t>年龄：</w:t>
      </w:r>
      <w:r>
        <w:rPr>
          <w:rFonts w:hint="eastAsia" w:ascii="宋体" w:hAnsi="宋体" w:cs="宋体"/>
          <w:highlight w:val="none"/>
          <w:u w:val="single"/>
        </w:rPr>
        <w:t xml:space="preserve">   </w:t>
      </w:r>
      <w:r>
        <w:rPr>
          <w:rFonts w:hint="eastAsia" w:ascii="宋体" w:hAnsi="宋体" w:cs="宋体"/>
          <w:highlight w:val="none"/>
        </w:rPr>
        <w:t>系</w:t>
      </w:r>
      <w:r>
        <w:rPr>
          <w:rFonts w:hint="eastAsia" w:ascii="宋体" w:hAnsi="宋体" w:cs="宋体"/>
          <w:highlight w:val="none"/>
          <w:u w:val="single"/>
        </w:rPr>
        <w:t xml:space="preserve">            </w:t>
      </w:r>
      <w:r>
        <w:rPr>
          <w:rFonts w:hint="eastAsia" w:ascii="宋体" w:hAnsi="宋体" w:cs="宋体"/>
          <w:highlight w:val="none"/>
        </w:rPr>
        <w:t>（供应商名称）的法定代表人。</w:t>
      </w:r>
    </w:p>
    <w:p w14:paraId="22B22B86">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特此证明。</w:t>
      </w:r>
    </w:p>
    <w:p w14:paraId="21A31387">
      <w:pPr>
        <w:autoSpaceDE w:val="0"/>
        <w:autoSpaceDN w:val="0"/>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附：法定代表人身份证复印件</w:t>
      </w:r>
    </w:p>
    <w:tbl>
      <w:tblPr>
        <w:tblStyle w:val="21"/>
        <w:tblpPr w:leftFromText="180" w:rightFromText="180" w:vertAnchor="text" w:horzAnchor="margin" w:tblpXSpec="center" w:tblpY="104"/>
        <w:tblW w:w="5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0"/>
      </w:tblGrid>
      <w:tr w14:paraId="7081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440" w:type="dxa"/>
            <w:vAlign w:val="center"/>
          </w:tcPr>
          <w:p w14:paraId="0B8F2031">
            <w:pPr>
              <w:snapToGrid w:val="0"/>
              <w:spacing w:line="480" w:lineRule="auto"/>
              <w:jc w:val="center"/>
              <w:rPr>
                <w:rFonts w:ascii="宋体" w:hAnsi="宋体" w:cs="宋体"/>
                <w:szCs w:val="21"/>
                <w:highlight w:val="none"/>
              </w:rPr>
            </w:pPr>
          </w:p>
          <w:p w14:paraId="096AAA54">
            <w:pPr>
              <w:snapToGrid w:val="0"/>
              <w:spacing w:line="480" w:lineRule="auto"/>
              <w:jc w:val="center"/>
              <w:rPr>
                <w:rFonts w:ascii="宋体" w:hAnsi="宋体" w:cs="宋体"/>
                <w:szCs w:val="21"/>
                <w:highlight w:val="none"/>
              </w:rPr>
            </w:pPr>
          </w:p>
          <w:p w14:paraId="53DF1F60">
            <w:pPr>
              <w:autoSpaceDE w:val="0"/>
              <w:autoSpaceDN w:val="0"/>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法定代表人身份证复印件粘贴处</w:t>
            </w:r>
          </w:p>
          <w:p w14:paraId="658DA3C1">
            <w:pPr>
              <w:pStyle w:val="2"/>
              <w:jc w:val="center"/>
              <w:rPr>
                <w:rFonts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pacing w:val="0"/>
                <w:sz w:val="21"/>
                <w:szCs w:val="21"/>
                <w:highlight w:val="none"/>
              </w:rPr>
              <w:t>正反面）</w:t>
            </w:r>
          </w:p>
          <w:p w14:paraId="51502035">
            <w:pPr>
              <w:snapToGrid w:val="0"/>
              <w:spacing w:line="480" w:lineRule="auto"/>
              <w:jc w:val="center"/>
              <w:rPr>
                <w:rFonts w:ascii="宋体" w:hAnsi="宋体" w:cs="宋体"/>
                <w:szCs w:val="21"/>
                <w:highlight w:val="none"/>
              </w:rPr>
            </w:pPr>
          </w:p>
          <w:p w14:paraId="303816DB">
            <w:pPr>
              <w:snapToGrid w:val="0"/>
              <w:spacing w:line="480" w:lineRule="auto"/>
              <w:jc w:val="center"/>
              <w:rPr>
                <w:rFonts w:ascii="宋体" w:hAnsi="宋体" w:cs="宋体"/>
                <w:szCs w:val="21"/>
                <w:highlight w:val="none"/>
              </w:rPr>
            </w:pPr>
          </w:p>
        </w:tc>
      </w:tr>
    </w:tbl>
    <w:p w14:paraId="4F47E75E">
      <w:pPr>
        <w:snapToGrid w:val="0"/>
        <w:spacing w:line="480" w:lineRule="auto"/>
        <w:rPr>
          <w:rFonts w:ascii="宋体" w:hAnsi="宋体" w:cs="宋体"/>
          <w:szCs w:val="21"/>
          <w:highlight w:val="none"/>
        </w:rPr>
      </w:pPr>
    </w:p>
    <w:p w14:paraId="7DAC8891">
      <w:pPr>
        <w:snapToGrid w:val="0"/>
        <w:rPr>
          <w:rFonts w:ascii="宋体" w:hAnsi="宋体" w:cs="宋体"/>
          <w:szCs w:val="21"/>
          <w:highlight w:val="none"/>
        </w:rPr>
      </w:pPr>
    </w:p>
    <w:p w14:paraId="172E5811">
      <w:pPr>
        <w:snapToGrid w:val="0"/>
        <w:rPr>
          <w:rFonts w:ascii="宋体" w:hAnsi="宋体" w:cs="宋体"/>
          <w:szCs w:val="21"/>
          <w:highlight w:val="none"/>
        </w:rPr>
      </w:pPr>
    </w:p>
    <w:p w14:paraId="64D78A86">
      <w:pPr>
        <w:snapToGrid w:val="0"/>
        <w:rPr>
          <w:rFonts w:ascii="宋体" w:hAnsi="宋体" w:cs="宋体"/>
          <w:szCs w:val="21"/>
          <w:highlight w:val="none"/>
        </w:rPr>
      </w:pPr>
    </w:p>
    <w:p w14:paraId="5505E386">
      <w:pPr>
        <w:snapToGrid w:val="0"/>
        <w:rPr>
          <w:rFonts w:ascii="宋体" w:hAnsi="宋体" w:cs="宋体"/>
          <w:szCs w:val="21"/>
          <w:highlight w:val="none"/>
        </w:rPr>
      </w:pPr>
    </w:p>
    <w:p w14:paraId="359129FD">
      <w:pPr>
        <w:adjustRightInd w:val="0"/>
        <w:snapToGrid w:val="0"/>
        <w:spacing w:line="360" w:lineRule="auto"/>
        <w:rPr>
          <w:rFonts w:ascii="宋体" w:hAnsi="宋体" w:cs="宋体"/>
          <w:highlight w:val="none"/>
        </w:rPr>
      </w:pPr>
    </w:p>
    <w:p w14:paraId="7D6D0BD6">
      <w:pPr>
        <w:adjustRightInd w:val="0"/>
        <w:snapToGrid w:val="0"/>
        <w:spacing w:line="360" w:lineRule="auto"/>
        <w:ind w:right="420"/>
        <w:rPr>
          <w:rFonts w:ascii="宋体" w:hAnsi="宋体" w:cs="宋体"/>
          <w:highlight w:val="none"/>
        </w:rPr>
      </w:pPr>
    </w:p>
    <w:p w14:paraId="6F6D852A">
      <w:pPr>
        <w:adjustRightInd w:val="0"/>
        <w:snapToGrid w:val="0"/>
        <w:spacing w:line="360" w:lineRule="auto"/>
        <w:ind w:right="420"/>
        <w:rPr>
          <w:rFonts w:ascii="宋体" w:hAnsi="宋体" w:cs="宋体"/>
          <w:highlight w:val="none"/>
        </w:rPr>
      </w:pPr>
    </w:p>
    <w:p w14:paraId="60A215BB">
      <w:pPr>
        <w:adjustRightInd w:val="0"/>
        <w:snapToGrid w:val="0"/>
        <w:spacing w:line="360" w:lineRule="auto"/>
        <w:ind w:right="420"/>
        <w:rPr>
          <w:rFonts w:ascii="宋体" w:hAnsi="宋体" w:cs="宋体"/>
          <w:highlight w:val="none"/>
        </w:rPr>
      </w:pPr>
    </w:p>
    <w:p w14:paraId="5C6A1484">
      <w:pPr>
        <w:adjustRightInd w:val="0"/>
        <w:snapToGrid w:val="0"/>
        <w:spacing w:line="360" w:lineRule="auto"/>
        <w:ind w:right="420"/>
        <w:rPr>
          <w:rFonts w:ascii="宋体" w:hAnsi="宋体" w:cs="宋体"/>
          <w:highlight w:val="none"/>
        </w:rPr>
      </w:pPr>
    </w:p>
    <w:p w14:paraId="303A62FA">
      <w:pPr>
        <w:adjustRightInd w:val="0"/>
        <w:snapToGrid w:val="0"/>
        <w:spacing w:line="360" w:lineRule="auto"/>
        <w:ind w:right="420"/>
        <w:rPr>
          <w:rFonts w:ascii="宋体" w:hAnsi="宋体" w:cs="宋体"/>
          <w:highlight w:val="none"/>
        </w:rPr>
      </w:pPr>
    </w:p>
    <w:p w14:paraId="15A2C011">
      <w:pPr>
        <w:adjustRightInd w:val="0"/>
        <w:snapToGrid w:val="0"/>
        <w:spacing w:line="360" w:lineRule="auto"/>
        <w:ind w:right="420"/>
        <w:rPr>
          <w:rFonts w:ascii="宋体" w:hAnsi="宋体" w:cs="宋体"/>
          <w:highlight w:val="none"/>
        </w:rPr>
      </w:pPr>
      <w:r>
        <w:rPr>
          <w:rFonts w:hint="eastAsia" w:ascii="宋体" w:hAnsi="宋体" w:cs="宋体"/>
          <w:highlight w:val="none"/>
        </w:rPr>
        <w:t>供应商名称（公章）：</w:t>
      </w:r>
    </w:p>
    <w:p w14:paraId="36A792D3">
      <w:pPr>
        <w:adjustRightInd w:val="0"/>
        <w:snapToGrid w:val="0"/>
        <w:spacing w:line="360" w:lineRule="auto"/>
        <w:ind w:right="420"/>
        <w:rPr>
          <w:rFonts w:ascii="宋体" w:hAnsi="宋体" w:cs="宋体"/>
          <w:highlight w:val="none"/>
        </w:rPr>
      </w:pPr>
      <w:r>
        <w:rPr>
          <w:rFonts w:hint="eastAsia" w:ascii="宋体" w:hAnsi="宋体" w:cs="宋体"/>
          <w:highlight w:val="none"/>
        </w:rPr>
        <w:t>日期：    年  月  日</w:t>
      </w:r>
    </w:p>
    <w:p w14:paraId="3ABDE0E1">
      <w:pPr>
        <w:pStyle w:val="2"/>
        <w:rPr>
          <w:rFonts w:ascii="宋体" w:hAnsi="宋体" w:eastAsia="宋体" w:cs="宋体"/>
          <w:highlight w:val="none"/>
        </w:rPr>
      </w:pPr>
    </w:p>
    <w:p w14:paraId="16770BB3">
      <w:pPr>
        <w:spacing w:line="360" w:lineRule="auto"/>
        <w:jc w:val="left"/>
        <w:rPr>
          <w:rFonts w:ascii="宋体" w:hAnsi="宋体" w:cs="宋体"/>
          <w:spacing w:val="4"/>
          <w:szCs w:val="24"/>
          <w:highlight w:val="none"/>
        </w:rPr>
      </w:pPr>
    </w:p>
    <w:p w14:paraId="39DCE7C7">
      <w:pPr>
        <w:keepNext/>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p>
    <w:p w14:paraId="4E137B6A">
      <w:pPr>
        <w:spacing w:line="500" w:lineRule="exact"/>
        <w:jc w:val="left"/>
        <w:rPr>
          <w:rFonts w:ascii="宋体" w:hAnsi="宋体" w:cs="宋体"/>
          <w:spacing w:val="4"/>
          <w:szCs w:val="24"/>
          <w:highlight w:val="none"/>
        </w:rPr>
      </w:pPr>
      <w:r>
        <w:rPr>
          <w:rFonts w:hint="eastAsia" w:ascii="宋体" w:hAnsi="宋体" w:cs="宋体"/>
          <w:spacing w:val="4"/>
          <w:szCs w:val="24"/>
          <w:highlight w:val="none"/>
        </w:rPr>
        <w:t>致：</w:t>
      </w:r>
      <w:r>
        <w:rPr>
          <w:rFonts w:hint="eastAsia" w:ascii="宋体" w:hAnsi="宋体" w:cs="宋体"/>
          <w:spacing w:val="4"/>
          <w:szCs w:val="24"/>
          <w:highlight w:val="none"/>
          <w:u w:val="single"/>
        </w:rPr>
        <w:t xml:space="preserve">陕西至诚项目管理集团有限公司 </w:t>
      </w:r>
    </w:p>
    <w:p w14:paraId="375CB48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u w:val="single"/>
        </w:rPr>
        <w:t>(供应商名称)</w:t>
      </w:r>
      <w:r>
        <w:rPr>
          <w:rFonts w:hint="eastAsia" w:ascii="宋体" w:hAnsi="宋体" w:cs="宋体"/>
          <w:spacing w:val="4"/>
          <w:szCs w:val="24"/>
          <w:highlight w:val="none"/>
        </w:rPr>
        <w:t>按中华人民共和国法律于</w:t>
      </w:r>
      <w:r>
        <w:rPr>
          <w:rFonts w:hint="eastAsia" w:ascii="宋体" w:hAnsi="宋体" w:cs="宋体"/>
          <w:spacing w:val="4"/>
          <w:szCs w:val="24"/>
          <w:highlight w:val="none"/>
          <w:u w:val="single"/>
        </w:rPr>
        <w:t>（  年  月  日 ）</w:t>
      </w:r>
      <w:r>
        <w:rPr>
          <w:rFonts w:hint="eastAsia" w:ascii="宋体" w:hAnsi="宋体" w:cs="宋体"/>
          <w:spacing w:val="4"/>
          <w:szCs w:val="24"/>
          <w:highlight w:val="none"/>
        </w:rPr>
        <w:t>成立。</w:t>
      </w:r>
      <w:r>
        <w:rPr>
          <w:rFonts w:hint="eastAsia" w:ascii="宋体" w:hAnsi="宋体" w:cs="宋体"/>
          <w:spacing w:val="4"/>
          <w:szCs w:val="24"/>
          <w:highlight w:val="none"/>
          <w:u w:val="single"/>
        </w:rPr>
        <w:t>(法定代表人姓名)</w:t>
      </w:r>
      <w:r>
        <w:rPr>
          <w:rFonts w:hint="eastAsia" w:ascii="宋体" w:hAnsi="宋体" w:cs="宋体"/>
          <w:spacing w:val="4"/>
          <w:szCs w:val="24"/>
          <w:highlight w:val="none"/>
        </w:rPr>
        <w:t>特授权</w:t>
      </w:r>
      <w:r>
        <w:rPr>
          <w:rFonts w:hint="eastAsia" w:ascii="宋体" w:hAnsi="宋体" w:cs="宋体"/>
          <w:spacing w:val="4"/>
          <w:szCs w:val="24"/>
          <w:highlight w:val="none"/>
          <w:u w:val="single"/>
        </w:rPr>
        <w:t xml:space="preserve">（ </w:t>
      </w:r>
      <w:r>
        <w:rPr>
          <w:rFonts w:hint="eastAsia" w:ascii="宋体" w:hAnsi="宋体" w:cs="宋体"/>
          <w:szCs w:val="24"/>
          <w:highlight w:val="none"/>
          <w:u w:val="single"/>
        </w:rPr>
        <w:t>授权代表</w:t>
      </w:r>
      <w:r>
        <w:rPr>
          <w:rFonts w:hint="eastAsia" w:ascii="宋体" w:hAnsi="宋体" w:cs="宋体"/>
          <w:spacing w:val="4"/>
          <w:szCs w:val="24"/>
          <w:highlight w:val="none"/>
          <w:u w:val="single"/>
        </w:rPr>
        <w:t>姓名 ）</w:t>
      </w:r>
      <w:r>
        <w:rPr>
          <w:rFonts w:hint="eastAsia" w:ascii="宋体" w:hAnsi="宋体" w:cs="宋体"/>
          <w:spacing w:val="4"/>
          <w:szCs w:val="24"/>
          <w:highlight w:val="none"/>
        </w:rPr>
        <w:t xml:space="preserve">代表我公司全权办理针对本次 </w:t>
      </w:r>
      <w:r>
        <w:rPr>
          <w:rFonts w:hint="eastAsia" w:ascii="宋体" w:hAnsi="宋体" w:cs="宋体"/>
          <w:spacing w:val="4"/>
          <w:szCs w:val="24"/>
          <w:highlight w:val="none"/>
          <w:u w:val="single"/>
        </w:rPr>
        <w:t>（项目编号 ）</w:t>
      </w:r>
      <w:r>
        <w:rPr>
          <w:rFonts w:hint="eastAsia" w:ascii="宋体" w:hAnsi="宋体" w:cs="宋体"/>
          <w:spacing w:val="4"/>
          <w:szCs w:val="24"/>
          <w:highlight w:val="none"/>
        </w:rPr>
        <w:t>项目的谈判、签约等具体工作，并签署全部有关的文件、协议及合同。</w:t>
      </w:r>
    </w:p>
    <w:p w14:paraId="6809597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我公司对</w:t>
      </w:r>
      <w:r>
        <w:rPr>
          <w:rFonts w:hint="eastAsia" w:ascii="宋体" w:hAnsi="宋体" w:cs="宋体"/>
          <w:szCs w:val="24"/>
          <w:highlight w:val="none"/>
        </w:rPr>
        <w:t>授权代表</w:t>
      </w:r>
      <w:r>
        <w:rPr>
          <w:rFonts w:hint="eastAsia" w:ascii="宋体" w:hAnsi="宋体" w:cs="宋体"/>
          <w:spacing w:val="4"/>
          <w:szCs w:val="24"/>
          <w:highlight w:val="none"/>
        </w:rPr>
        <w:t>的签名负全部责任。</w:t>
      </w:r>
    </w:p>
    <w:p w14:paraId="3AEED739">
      <w:pPr>
        <w:spacing w:line="500" w:lineRule="exact"/>
        <w:ind w:right="540" w:rightChars="257" w:firstLine="420" w:firstLineChars="200"/>
        <w:jc w:val="left"/>
        <w:rPr>
          <w:rFonts w:ascii="宋体" w:hAnsi="宋体" w:cs="宋体"/>
          <w:szCs w:val="24"/>
          <w:highlight w:val="none"/>
        </w:rPr>
      </w:pPr>
      <w:r>
        <w:rPr>
          <w:rFonts w:hint="eastAsia" w:ascii="宋体" w:hAnsi="宋体" w:cs="宋体"/>
          <w:szCs w:val="24"/>
          <w:highlight w:val="none"/>
        </w:rPr>
        <w:t>委托期限：</w:t>
      </w:r>
      <w:r>
        <w:rPr>
          <w:rFonts w:hint="eastAsia" w:ascii="宋体" w:hAnsi="宋体" w:cs="宋体"/>
          <w:szCs w:val="24"/>
          <w:highlight w:val="none"/>
          <w:lang w:val="zh-CN"/>
        </w:rPr>
        <w:t>自谈判之日起</w:t>
      </w:r>
      <w:r>
        <w:rPr>
          <w:rFonts w:hint="eastAsia" w:ascii="宋体" w:hAnsi="宋体" w:cs="宋体"/>
          <w:szCs w:val="24"/>
          <w:highlight w:val="none"/>
          <w:u w:val="single"/>
        </w:rPr>
        <w:t>90</w:t>
      </w:r>
      <w:r>
        <w:rPr>
          <w:rFonts w:hint="eastAsia" w:ascii="宋体" w:hAnsi="宋体" w:cs="宋体"/>
          <w:szCs w:val="24"/>
          <w:highlight w:val="none"/>
          <w:lang w:val="zh-CN"/>
        </w:rPr>
        <w:t>天。</w:t>
      </w:r>
    </w:p>
    <w:tbl>
      <w:tblPr>
        <w:tblStyle w:val="21"/>
        <w:tblW w:w="8190" w:type="dxa"/>
        <w:tblInd w:w="633" w:type="dxa"/>
        <w:tblLayout w:type="fixed"/>
        <w:tblCellMar>
          <w:top w:w="0" w:type="dxa"/>
          <w:left w:w="108" w:type="dxa"/>
          <w:bottom w:w="0" w:type="dxa"/>
          <w:right w:w="108" w:type="dxa"/>
        </w:tblCellMar>
      </w:tblPr>
      <w:tblGrid>
        <w:gridCol w:w="4200"/>
        <w:gridCol w:w="3990"/>
      </w:tblGrid>
      <w:tr w14:paraId="5DA0A275">
        <w:tblPrEx>
          <w:tblCellMar>
            <w:top w:w="0" w:type="dxa"/>
            <w:left w:w="108" w:type="dxa"/>
            <w:bottom w:w="0" w:type="dxa"/>
            <w:right w:w="108" w:type="dxa"/>
          </w:tblCellMar>
        </w:tblPrEx>
        <w:trPr>
          <w:trHeight w:val="600" w:hRule="atLeast"/>
        </w:trPr>
        <w:tc>
          <w:tcPr>
            <w:tcW w:w="4200" w:type="dxa"/>
          </w:tcPr>
          <w:p w14:paraId="51F08FFD">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被授权人签字或盖章：</w:t>
            </w:r>
          </w:p>
        </w:tc>
        <w:tc>
          <w:tcPr>
            <w:tcW w:w="3990" w:type="dxa"/>
          </w:tcPr>
          <w:p w14:paraId="574FB5BF">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法定代表人签字或盖章：</w:t>
            </w:r>
          </w:p>
        </w:tc>
      </w:tr>
      <w:tr w14:paraId="3C1FD36D">
        <w:tblPrEx>
          <w:tblCellMar>
            <w:top w:w="0" w:type="dxa"/>
            <w:left w:w="108" w:type="dxa"/>
            <w:bottom w:w="0" w:type="dxa"/>
            <w:right w:w="108" w:type="dxa"/>
          </w:tblCellMar>
        </w:tblPrEx>
        <w:trPr>
          <w:trHeight w:val="600" w:hRule="atLeast"/>
        </w:trPr>
        <w:tc>
          <w:tcPr>
            <w:tcW w:w="4200" w:type="dxa"/>
          </w:tcPr>
          <w:p w14:paraId="6C0AE651">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c>
          <w:tcPr>
            <w:tcW w:w="3990" w:type="dxa"/>
          </w:tcPr>
          <w:p w14:paraId="2177E4BB">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r>
      <w:tr w14:paraId="12EA4647">
        <w:tblPrEx>
          <w:tblCellMar>
            <w:top w:w="0" w:type="dxa"/>
            <w:left w:w="108" w:type="dxa"/>
            <w:bottom w:w="0" w:type="dxa"/>
            <w:right w:w="108" w:type="dxa"/>
          </w:tblCellMar>
        </w:tblPrEx>
        <w:trPr>
          <w:trHeight w:val="600" w:hRule="atLeast"/>
        </w:trPr>
        <w:tc>
          <w:tcPr>
            <w:tcW w:w="4200" w:type="dxa"/>
          </w:tcPr>
          <w:p w14:paraId="3347828E">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c>
          <w:tcPr>
            <w:tcW w:w="3990" w:type="dxa"/>
          </w:tcPr>
          <w:p w14:paraId="77B3EE12">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r>
      <w:tr w14:paraId="417A6900">
        <w:tblPrEx>
          <w:tblCellMar>
            <w:top w:w="0" w:type="dxa"/>
            <w:left w:w="108" w:type="dxa"/>
            <w:bottom w:w="0" w:type="dxa"/>
            <w:right w:w="108" w:type="dxa"/>
          </w:tblCellMar>
        </w:tblPrEx>
        <w:trPr>
          <w:trHeight w:val="600" w:hRule="atLeast"/>
        </w:trPr>
        <w:tc>
          <w:tcPr>
            <w:tcW w:w="4200" w:type="dxa"/>
          </w:tcPr>
          <w:p w14:paraId="3EE8BFA6">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所在部门：</w:t>
            </w:r>
          </w:p>
        </w:tc>
        <w:tc>
          <w:tcPr>
            <w:tcW w:w="3990" w:type="dxa"/>
          </w:tcPr>
          <w:p w14:paraId="42E613ED">
            <w:pPr>
              <w:spacing w:line="360" w:lineRule="auto"/>
              <w:jc w:val="left"/>
              <w:rPr>
                <w:rFonts w:ascii="宋体" w:hAnsi="宋体" w:cs="宋体"/>
                <w:spacing w:val="4"/>
                <w:szCs w:val="24"/>
                <w:highlight w:val="none"/>
              </w:rPr>
            </w:pPr>
          </w:p>
        </w:tc>
      </w:tr>
    </w:tbl>
    <w:p w14:paraId="632F5891">
      <w:pPr>
        <w:spacing w:line="360" w:lineRule="auto"/>
        <w:ind w:firstLine="444" w:firstLineChars="204"/>
        <w:rPr>
          <w:rFonts w:ascii="宋体" w:hAnsi="宋体" w:cs="宋体"/>
          <w:spacing w:val="4"/>
          <w:szCs w:val="24"/>
          <w:highlight w:val="none"/>
        </w:rPr>
      </w:pPr>
      <w:r>
        <w:rPr>
          <w:rFonts w:hint="eastAsia" w:ascii="宋体" w:hAnsi="宋体" w:cs="宋体"/>
          <w:spacing w:val="4"/>
          <w:szCs w:val="24"/>
          <w:highlight w:val="none"/>
        </w:rPr>
        <w:t>附：法定代表人、被授权人身份证复印件</w:t>
      </w:r>
    </w:p>
    <w:p w14:paraId="302206C9">
      <w:pPr>
        <w:spacing w:line="360" w:lineRule="auto"/>
        <w:rPr>
          <w:rFonts w:ascii="宋体" w:hAnsi="宋体" w:cs="宋体"/>
          <w:spacing w:val="4"/>
          <w:szCs w:val="24"/>
          <w:highlight w:val="none"/>
        </w:rPr>
      </w:pPr>
    </w:p>
    <w:tbl>
      <w:tblPr>
        <w:tblStyle w:val="21"/>
        <w:tblW w:w="8357" w:type="dxa"/>
        <w:tblInd w:w="540" w:type="dxa"/>
        <w:tblLayout w:type="fixed"/>
        <w:tblCellMar>
          <w:top w:w="0" w:type="dxa"/>
          <w:left w:w="108" w:type="dxa"/>
          <w:bottom w:w="0" w:type="dxa"/>
          <w:right w:w="108" w:type="dxa"/>
        </w:tblCellMar>
      </w:tblPr>
      <w:tblGrid>
        <w:gridCol w:w="4246"/>
        <w:gridCol w:w="4111"/>
      </w:tblGrid>
      <w:tr w14:paraId="348CDF7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A67F3C0">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法定代表人身份证复印件粘贴处</w:t>
            </w:r>
          </w:p>
          <w:p w14:paraId="5EB4CE02">
            <w:pPr>
              <w:spacing w:line="360" w:lineRule="auto"/>
              <w:jc w:val="center"/>
              <w:rPr>
                <w:rFonts w:ascii="宋体" w:hAnsi="宋体" w:cs="宋体"/>
                <w:szCs w:val="21"/>
                <w:highlight w:val="none"/>
                <w:u w:val="single"/>
              </w:rPr>
            </w:pPr>
            <w:r>
              <w:rPr>
                <w:rFonts w:hint="eastAsia" w:ascii="宋体"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829A22E">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授权代表身份证复印件粘贴处</w:t>
            </w:r>
          </w:p>
          <w:p w14:paraId="43571E97">
            <w:pPr>
              <w:spacing w:line="360" w:lineRule="auto"/>
              <w:jc w:val="center"/>
              <w:rPr>
                <w:rFonts w:ascii="宋体" w:hAnsi="宋体" w:cs="宋体"/>
                <w:highlight w:val="none"/>
                <w:u w:val="single"/>
              </w:rPr>
            </w:pPr>
            <w:r>
              <w:rPr>
                <w:rFonts w:hint="eastAsia" w:ascii="宋体" w:hAnsi="宋体" w:cs="宋体"/>
                <w:szCs w:val="21"/>
                <w:highlight w:val="none"/>
                <w:lang w:val="zh-CN"/>
              </w:rPr>
              <w:t>（正反面）</w:t>
            </w:r>
          </w:p>
        </w:tc>
      </w:tr>
    </w:tbl>
    <w:p w14:paraId="3C30ED50">
      <w:pPr>
        <w:spacing w:line="360" w:lineRule="auto"/>
        <w:ind w:firstLine="510"/>
        <w:rPr>
          <w:rFonts w:ascii="宋体" w:hAnsi="宋体" w:cs="宋体"/>
          <w:spacing w:val="4"/>
          <w:szCs w:val="24"/>
          <w:highlight w:val="none"/>
        </w:rPr>
      </w:pPr>
    </w:p>
    <w:p w14:paraId="78D0724F">
      <w:pPr>
        <w:spacing w:before="156" w:beforeLines="50" w:after="156" w:afterLines="50" w:line="360" w:lineRule="auto"/>
        <w:rPr>
          <w:rFonts w:ascii="宋体" w:hAnsi="宋体" w:cs="宋体"/>
          <w:spacing w:val="4"/>
          <w:szCs w:val="24"/>
          <w:highlight w:val="none"/>
        </w:rPr>
      </w:pPr>
      <w:r>
        <w:rPr>
          <w:rFonts w:hint="eastAsia" w:ascii="宋体" w:hAnsi="宋体" w:cs="宋体"/>
          <w:spacing w:val="4"/>
          <w:szCs w:val="24"/>
          <w:highlight w:val="none"/>
        </w:rPr>
        <w:t>供应商名称：</w:t>
      </w:r>
      <w:r>
        <w:rPr>
          <w:rFonts w:hint="eastAsia" w:ascii="宋体" w:hAnsi="宋体" w:cs="宋体"/>
          <w:highlight w:val="none"/>
          <w:u w:val="single"/>
        </w:rPr>
        <w:t xml:space="preserve">      （加盖单位公章）       </w:t>
      </w:r>
    </w:p>
    <w:p w14:paraId="2E4B8F84">
      <w:pPr>
        <w:spacing w:before="156" w:beforeLines="50" w:after="156" w:afterLines="50" w:line="360" w:lineRule="auto"/>
        <w:rPr>
          <w:rFonts w:ascii="宋体" w:hAnsi="宋体" w:cs="宋体"/>
          <w:highlight w:val="none"/>
        </w:rPr>
      </w:pPr>
      <w:r>
        <w:rPr>
          <w:rFonts w:hint="eastAsia" w:ascii="宋体" w:hAnsi="宋体" w:cs="宋体"/>
          <w:spacing w:val="4"/>
          <w:szCs w:val="24"/>
          <w:highlight w:val="none"/>
        </w:rPr>
        <w:t>日期：</w:t>
      </w:r>
    </w:p>
    <w:p w14:paraId="5B553867">
      <w:pPr>
        <w:spacing w:before="156" w:beforeLines="50" w:after="156" w:afterLines="50"/>
        <w:rPr>
          <w:rFonts w:ascii="宋体" w:hAnsi="宋体" w:cs="宋体"/>
          <w:highlight w:val="none"/>
        </w:rPr>
      </w:pPr>
      <w:r>
        <w:rPr>
          <w:rFonts w:hint="eastAsia" w:ascii="宋体" w:hAnsi="宋体" w:cs="宋体"/>
          <w:sz w:val="28"/>
          <w:szCs w:val="28"/>
          <w:highlight w:val="none"/>
          <w:u w:val="single"/>
        </w:rPr>
        <w:br w:type="page"/>
      </w:r>
      <w:r>
        <w:rPr>
          <w:rFonts w:hint="eastAsia" w:ascii="宋体" w:hAnsi="宋体" w:cs="宋体"/>
          <w:b/>
          <w:bCs/>
          <w:sz w:val="28"/>
          <w:szCs w:val="28"/>
          <w:highlight w:val="none"/>
        </w:rPr>
        <w:t>附件2：</w:t>
      </w:r>
    </w:p>
    <w:p w14:paraId="2E4E3556">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中小企业声明函</w:t>
      </w:r>
    </w:p>
    <w:p w14:paraId="67F3FDAC">
      <w:pPr>
        <w:pStyle w:val="2"/>
        <w:rPr>
          <w:rFonts w:ascii="宋体"/>
          <w:b/>
          <w:sz w:val="20"/>
          <w:highlight w:val="none"/>
        </w:rPr>
      </w:pPr>
    </w:p>
    <w:p w14:paraId="1877444C">
      <w:pPr>
        <w:pStyle w:val="2"/>
        <w:spacing w:before="2"/>
        <w:rPr>
          <w:rFonts w:ascii="宋体"/>
          <w:b/>
          <w:sz w:val="24"/>
          <w:highlight w:val="none"/>
        </w:rPr>
      </w:pPr>
    </w:p>
    <w:p w14:paraId="7FD747B4">
      <w:pPr>
        <w:pStyle w:val="2"/>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36"/>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3982D3A8">
      <w:pPr>
        <w:pStyle w:val="36"/>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2"/>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2"/>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2"/>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2"/>
        <w:spacing w:before="35" w:line="316" w:lineRule="auto"/>
        <w:ind w:left="4060" w:right="2166"/>
        <w:rPr>
          <w:rFonts w:ascii="宋体" w:hAnsi="宋体" w:eastAsia="宋体" w:cs="宋体"/>
          <w:spacing w:val="6"/>
          <w:sz w:val="24"/>
          <w:szCs w:val="24"/>
          <w:highlight w:val="none"/>
        </w:rPr>
      </w:pPr>
    </w:p>
    <w:p w14:paraId="06C4ECD3">
      <w:pPr>
        <w:pStyle w:val="2"/>
        <w:spacing w:before="35" w:line="316" w:lineRule="auto"/>
        <w:ind w:left="4060" w:right="2166"/>
        <w:rPr>
          <w:rFonts w:ascii="宋体" w:hAnsi="宋体" w:eastAsia="宋体" w:cs="宋体"/>
          <w:spacing w:val="6"/>
          <w:sz w:val="24"/>
          <w:szCs w:val="24"/>
          <w:highlight w:val="none"/>
        </w:rPr>
      </w:pPr>
    </w:p>
    <w:p w14:paraId="3859722E">
      <w:pPr>
        <w:pStyle w:val="2"/>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2"/>
        <w:spacing w:before="35" w:line="316" w:lineRule="auto"/>
        <w:ind w:left="4060" w:right="2166"/>
        <w:rPr>
          <w:rFonts w:ascii="宋体" w:hAnsi="宋体" w:eastAsia="宋体" w:cs="宋体"/>
          <w:spacing w:val="6"/>
          <w:sz w:val="24"/>
          <w:szCs w:val="24"/>
          <w:highlight w:val="none"/>
        </w:rPr>
      </w:pPr>
    </w:p>
    <w:p w14:paraId="02BAE06C">
      <w:pPr>
        <w:pStyle w:val="2"/>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344F61BF">
      <w:pPr>
        <w:tabs>
          <w:tab w:val="left" w:pos="1620"/>
          <w:tab w:val="left" w:pos="1800"/>
        </w:tabs>
        <w:spacing w:line="500" w:lineRule="exact"/>
        <w:ind w:firstLine="420" w:firstLineChars="200"/>
        <w:rPr>
          <w:rFonts w:ascii="宋体" w:hAnsi="宋体" w:cs="宋体"/>
          <w:szCs w:val="21"/>
          <w:highlight w:val="none"/>
        </w:rPr>
      </w:pPr>
    </w:p>
    <w:p w14:paraId="1103578C">
      <w:pPr>
        <w:rPr>
          <w:rFonts w:ascii="宋体" w:hAnsi="宋体" w:cs="宋体"/>
          <w:szCs w:val="21"/>
          <w:highlight w:val="none"/>
        </w:rPr>
      </w:pPr>
      <w:r>
        <w:rPr>
          <w:rFonts w:hint="eastAsia" w:ascii="宋体" w:hAnsi="宋体" w:cs="宋体"/>
          <w:szCs w:val="21"/>
          <w:highlight w:val="none"/>
        </w:rPr>
        <w:br w:type="page"/>
      </w:r>
    </w:p>
    <w:p w14:paraId="35986A4A">
      <w:pPr>
        <w:spacing w:before="100" w:beforeAutospacing="1" w:after="156" w:afterLines="50" w:line="360" w:lineRule="auto"/>
        <w:rPr>
          <w:rFonts w:ascii="宋体" w:hAnsi="宋体" w:cs="宋体"/>
          <w:b/>
          <w:bCs/>
          <w:spacing w:val="6"/>
          <w:sz w:val="30"/>
          <w:szCs w:val="30"/>
          <w:highlight w:val="none"/>
        </w:rPr>
      </w:pPr>
      <w:r>
        <w:rPr>
          <w:rFonts w:hint="eastAsia" w:ascii="宋体" w:hAnsi="宋体" w:cs="宋体"/>
          <w:b/>
          <w:bCs/>
          <w:spacing w:val="6"/>
          <w:sz w:val="30"/>
          <w:szCs w:val="30"/>
          <w:highlight w:val="none"/>
        </w:rPr>
        <w:t>附件3（如有）：</w:t>
      </w:r>
    </w:p>
    <w:p w14:paraId="5366F74B">
      <w:pPr>
        <w:spacing w:line="588" w:lineRule="exact"/>
        <w:jc w:val="center"/>
        <w:rPr>
          <w:rFonts w:ascii="宋体" w:hAnsi="宋体" w:cs="宋体"/>
          <w:b/>
          <w:spacing w:val="6"/>
          <w:sz w:val="32"/>
          <w:szCs w:val="32"/>
          <w:highlight w:val="none"/>
        </w:rPr>
      </w:pPr>
      <w:bookmarkStart w:id="66" w:name="OLE_LINK13"/>
      <w:bookmarkStart w:id="67" w:name="OLE_LINK14"/>
      <w:r>
        <w:rPr>
          <w:rFonts w:hint="eastAsia" w:ascii="宋体" w:hAnsi="宋体" w:cs="宋体"/>
          <w:b/>
          <w:spacing w:val="6"/>
          <w:sz w:val="32"/>
          <w:szCs w:val="32"/>
          <w:highlight w:val="none"/>
        </w:rPr>
        <w:t>残疾人福利性单位声明函</w:t>
      </w:r>
    </w:p>
    <w:bookmarkEnd w:id="66"/>
    <w:bookmarkEnd w:id="67"/>
    <w:p w14:paraId="2F7FBC7B">
      <w:pPr>
        <w:spacing w:line="588" w:lineRule="exact"/>
        <w:rPr>
          <w:rFonts w:ascii="宋体" w:hAnsi="宋体" w:cs="宋体"/>
          <w:b/>
          <w:spacing w:val="6"/>
          <w:sz w:val="30"/>
          <w:szCs w:val="30"/>
          <w:highlight w:val="none"/>
        </w:rPr>
      </w:pPr>
    </w:p>
    <w:p w14:paraId="0A67528C">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 民政部 中国残疾人联合会关于促进残疾人就业政府采购政策的通知》（财库</w:t>
      </w:r>
      <w:r>
        <w:rPr>
          <w:rFonts w:hint="eastAsia" w:ascii="宋体" w:hAnsi="宋体" w:cs="宋体"/>
          <w:szCs w:val="24"/>
          <w:highlight w:val="none"/>
        </w:rPr>
        <w:t>〔2017〕 141</w:t>
      </w:r>
      <w:r>
        <w:rPr>
          <w:rFonts w:hint="eastAsia" w:ascii="宋体"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45743">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p w14:paraId="05F4969F">
      <w:pPr>
        <w:spacing w:line="588" w:lineRule="exact"/>
        <w:ind w:firstLine="444" w:firstLineChars="200"/>
        <w:rPr>
          <w:rFonts w:ascii="宋体" w:hAnsi="宋体" w:cs="宋体"/>
          <w:spacing w:val="6"/>
          <w:szCs w:val="24"/>
          <w:highlight w:val="none"/>
        </w:rPr>
      </w:pPr>
    </w:p>
    <w:p w14:paraId="384496A5">
      <w:pPr>
        <w:spacing w:line="588" w:lineRule="exact"/>
        <w:ind w:firstLine="444" w:firstLineChars="200"/>
        <w:rPr>
          <w:rFonts w:ascii="宋体" w:hAnsi="宋体" w:cs="宋体"/>
          <w:spacing w:val="6"/>
          <w:szCs w:val="24"/>
          <w:highlight w:val="none"/>
        </w:rPr>
      </w:pPr>
    </w:p>
    <w:p w14:paraId="591AA39D">
      <w:pPr>
        <w:spacing w:line="588" w:lineRule="exact"/>
        <w:ind w:firstLine="444" w:firstLineChars="200"/>
        <w:rPr>
          <w:rFonts w:ascii="宋体" w:hAnsi="宋体" w:cs="宋体"/>
          <w:spacing w:val="6"/>
          <w:szCs w:val="24"/>
          <w:highlight w:val="none"/>
        </w:rPr>
      </w:pPr>
    </w:p>
    <w:p w14:paraId="5EF882F9">
      <w:pPr>
        <w:spacing w:line="588" w:lineRule="exact"/>
        <w:ind w:firstLine="444" w:firstLineChars="200"/>
        <w:rPr>
          <w:rFonts w:ascii="宋体" w:hAnsi="宋体" w:cs="宋体"/>
          <w:spacing w:val="6"/>
          <w:szCs w:val="24"/>
          <w:highlight w:val="none"/>
        </w:rPr>
      </w:pPr>
    </w:p>
    <w:p w14:paraId="2F5ED50A">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单位名称（盖章）：</w:t>
      </w:r>
    </w:p>
    <w:p w14:paraId="04747AED">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日    期：</w:t>
      </w:r>
    </w:p>
    <w:p w14:paraId="11ADE7BD">
      <w:pPr>
        <w:spacing w:line="360" w:lineRule="auto"/>
        <w:rPr>
          <w:rFonts w:ascii="宋体" w:hAnsi="宋体" w:cs="宋体"/>
          <w:b/>
          <w:sz w:val="28"/>
          <w:szCs w:val="28"/>
          <w:highlight w:val="none"/>
        </w:rPr>
      </w:pPr>
      <w:r>
        <w:rPr>
          <w:rFonts w:hint="eastAsia" w:ascii="宋体" w:hAnsi="宋体" w:cs="宋体"/>
          <w:highlight w:val="none"/>
        </w:rPr>
        <w:br w:type="page"/>
      </w:r>
    </w:p>
    <w:p w14:paraId="77AEB064">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262979AA">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4B944CCB">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6C3C553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3B8E507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59447E1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1253DF0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6975DEC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4A22D36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414F4B2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FCAA60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04A4876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0CC97F3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4ECC6F1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176EA530">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719A7995">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00C11DF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25506C1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1169A82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2F06712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395C4357">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6E1C7F1C">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4CBEF25D">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4CC1712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3DE75452">
      <w:pPr>
        <w:rPr>
          <w:rFonts w:ascii="宋体" w:hAnsi="宋体" w:cs="宋体"/>
          <w:sz w:val="24"/>
          <w:szCs w:val="24"/>
          <w:highlight w:val="none"/>
        </w:rPr>
      </w:pPr>
      <w:r>
        <w:rPr>
          <w:rFonts w:hint="eastAsia" w:ascii="宋体" w:hAnsi="宋体" w:cs="宋体"/>
          <w:sz w:val="24"/>
          <w:szCs w:val="24"/>
          <w:highlight w:val="none"/>
        </w:rPr>
        <w:t xml:space="preserve">日期：    </w:t>
      </w:r>
    </w:p>
    <w:p w14:paraId="68BF0384">
      <w:pPr>
        <w:jc w:val="center"/>
        <w:rPr>
          <w:rFonts w:ascii="宋体" w:hAnsi="宋体" w:cs="宋体"/>
          <w:b/>
          <w:sz w:val="44"/>
          <w:szCs w:val="44"/>
          <w:highlight w:val="none"/>
        </w:rPr>
      </w:pPr>
    </w:p>
    <w:p w14:paraId="1FBEF1A1">
      <w:pPr>
        <w:rPr>
          <w:rFonts w:ascii="宋体" w:hAnsi="宋体" w:cs="宋体"/>
          <w:b/>
          <w:sz w:val="44"/>
          <w:szCs w:val="44"/>
          <w:highlight w:val="none"/>
        </w:rPr>
      </w:pPr>
      <w:r>
        <w:rPr>
          <w:rFonts w:hint="eastAsia" w:ascii="宋体" w:hAnsi="宋体" w:cs="宋体"/>
          <w:b/>
          <w:sz w:val="44"/>
          <w:szCs w:val="44"/>
          <w:highlight w:val="none"/>
        </w:rPr>
        <w:br w:type="page"/>
      </w:r>
    </w:p>
    <w:p w14:paraId="5666FDA0">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10EA2B5D">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3A66C495">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361A1DAC">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2A8E270">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1FEFCEFB">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66795F40">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311C4EDF">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3AAC218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F452776">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905CFA8">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BAF81E0">
      <w:pPr>
        <w:rPr>
          <w:rFonts w:ascii="宋体" w:hAnsi="宋体" w:cs="宋体"/>
          <w:sz w:val="24"/>
          <w:szCs w:val="24"/>
          <w:highlight w:val="none"/>
        </w:rPr>
      </w:pPr>
      <w:r>
        <w:rPr>
          <w:rFonts w:hint="eastAsia" w:ascii="宋体" w:hAnsi="宋体" w:cs="宋体"/>
          <w:sz w:val="24"/>
          <w:szCs w:val="24"/>
          <w:highlight w:val="none"/>
        </w:rPr>
        <w:t>被投诉人2</w:t>
      </w:r>
    </w:p>
    <w:p w14:paraId="4A5AFF64">
      <w:pPr>
        <w:rPr>
          <w:rFonts w:ascii="宋体" w:hAnsi="宋体" w:cs="宋体"/>
          <w:sz w:val="24"/>
          <w:szCs w:val="24"/>
          <w:highlight w:val="none"/>
          <w:u w:val="dotted"/>
        </w:rPr>
      </w:pPr>
      <w:r>
        <w:rPr>
          <w:rFonts w:hint="eastAsia" w:ascii="宋体" w:hAnsi="宋体" w:cs="宋体"/>
          <w:sz w:val="24"/>
          <w:szCs w:val="24"/>
          <w:highlight w:val="none"/>
        </w:rPr>
        <w:t>……</w:t>
      </w:r>
    </w:p>
    <w:p w14:paraId="2F61B7F4">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F00FF3B">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5F99934">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A92A212">
      <w:pPr>
        <w:rPr>
          <w:rFonts w:ascii="宋体" w:hAnsi="宋体" w:cs="宋体"/>
          <w:sz w:val="24"/>
          <w:szCs w:val="24"/>
          <w:highlight w:val="none"/>
        </w:rPr>
      </w:pPr>
      <w:r>
        <w:rPr>
          <w:rFonts w:hint="eastAsia" w:ascii="宋体" w:hAnsi="宋体" w:cs="宋体"/>
          <w:sz w:val="24"/>
          <w:szCs w:val="24"/>
          <w:highlight w:val="none"/>
        </w:rPr>
        <w:t>二、投诉项目基本情况</w:t>
      </w:r>
    </w:p>
    <w:p w14:paraId="4D208B2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6608A330">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F0B73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178B281">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151268AE">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46690049">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40BAB3A">
      <w:pPr>
        <w:rPr>
          <w:rFonts w:ascii="宋体" w:hAnsi="宋体" w:cs="宋体"/>
          <w:sz w:val="24"/>
          <w:szCs w:val="24"/>
          <w:highlight w:val="none"/>
        </w:rPr>
      </w:pPr>
      <w:r>
        <w:rPr>
          <w:rFonts w:hint="eastAsia" w:ascii="宋体" w:hAnsi="宋体" w:cs="宋体"/>
          <w:sz w:val="24"/>
          <w:szCs w:val="24"/>
          <w:highlight w:val="none"/>
        </w:rPr>
        <w:t>三、质疑基本情况</w:t>
      </w:r>
    </w:p>
    <w:p w14:paraId="0C39214B">
      <w:pPr>
        <w:ind w:firstLine="480"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4407A8A2">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056DCFF">
      <w:pPr>
        <w:ind w:firstLine="360"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34A186D0">
      <w:pPr>
        <w:rPr>
          <w:rFonts w:ascii="宋体" w:hAnsi="宋体" w:cs="宋体"/>
          <w:sz w:val="24"/>
          <w:szCs w:val="24"/>
          <w:highlight w:val="none"/>
        </w:rPr>
      </w:pPr>
      <w:r>
        <w:rPr>
          <w:rFonts w:hint="eastAsia" w:ascii="宋体" w:hAnsi="宋体" w:cs="宋体"/>
          <w:sz w:val="24"/>
          <w:szCs w:val="24"/>
          <w:highlight w:val="none"/>
        </w:rPr>
        <w:t>四、投诉事项具体内容</w:t>
      </w:r>
    </w:p>
    <w:p w14:paraId="7AD1BCE2">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70F594F1">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2EB5CAD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2B49579">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7827475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77B3B44D">
      <w:pPr>
        <w:rPr>
          <w:rFonts w:ascii="宋体" w:hAnsi="宋体" w:cs="宋体"/>
          <w:sz w:val="24"/>
          <w:szCs w:val="24"/>
          <w:highlight w:val="none"/>
        </w:rPr>
      </w:pPr>
      <w:r>
        <w:rPr>
          <w:rFonts w:hint="eastAsia" w:ascii="宋体" w:hAnsi="宋体" w:cs="宋体"/>
          <w:sz w:val="24"/>
          <w:szCs w:val="24"/>
          <w:highlight w:val="none"/>
        </w:rPr>
        <w:t>投诉事项2</w:t>
      </w:r>
    </w:p>
    <w:p w14:paraId="08BD1EA4">
      <w:pPr>
        <w:rPr>
          <w:rFonts w:ascii="宋体" w:hAnsi="宋体" w:cs="宋体"/>
          <w:sz w:val="24"/>
          <w:szCs w:val="24"/>
          <w:highlight w:val="none"/>
          <w:u w:val="dotted"/>
        </w:rPr>
      </w:pPr>
      <w:r>
        <w:rPr>
          <w:rFonts w:hint="eastAsia" w:ascii="宋体" w:hAnsi="宋体" w:cs="宋体"/>
          <w:sz w:val="24"/>
          <w:szCs w:val="24"/>
          <w:highlight w:val="none"/>
        </w:rPr>
        <w:t>……</w:t>
      </w:r>
    </w:p>
    <w:p w14:paraId="0ED16F1F">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0F896278">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2CF7A562">
      <w:pPr>
        <w:rPr>
          <w:rFonts w:ascii="宋体" w:hAnsi="宋体" w:cs="宋体"/>
          <w:sz w:val="24"/>
          <w:szCs w:val="24"/>
          <w:highlight w:val="none"/>
          <w:u w:val="single"/>
        </w:rPr>
      </w:pPr>
      <w:r>
        <w:rPr>
          <w:rFonts w:hint="eastAsia" w:ascii="宋体" w:hAnsi="宋体" w:cs="宋体"/>
          <w:sz w:val="24"/>
          <w:szCs w:val="24"/>
          <w:highlight w:val="none"/>
        </w:rPr>
        <w:t xml:space="preserve">                                                                                                    </w:t>
      </w:r>
    </w:p>
    <w:p w14:paraId="015A2A0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17D7108">
      <w:pPr>
        <w:rPr>
          <w:rFonts w:ascii="宋体" w:hAnsi="宋体" w:cs="宋体"/>
          <w:sz w:val="18"/>
          <w:szCs w:val="21"/>
          <w:highlight w:val="none"/>
        </w:rPr>
      </w:pPr>
      <w:r>
        <w:rPr>
          <w:rFonts w:hint="eastAsia" w:ascii="宋体" w:hAnsi="宋体" w:cs="宋体"/>
          <w:sz w:val="24"/>
          <w:szCs w:val="24"/>
          <w:highlight w:val="none"/>
        </w:rPr>
        <w:t xml:space="preserve">日期：    </w:t>
      </w:r>
      <w:r>
        <w:rPr>
          <w:rFonts w:hint="eastAsia" w:ascii="宋体" w:hAnsi="宋体" w:cs="宋体"/>
          <w:sz w:val="18"/>
          <w:szCs w:val="21"/>
          <w:highlight w:val="none"/>
        </w:rPr>
        <w:t xml:space="preserve">                  </w:t>
      </w:r>
    </w:p>
    <w:p w14:paraId="45C726A5">
      <w:pPr>
        <w:rPr>
          <w:sz w:val="18"/>
          <w:szCs w:val="20"/>
          <w:highlight w:val="none"/>
        </w:rPr>
      </w:pPr>
    </w:p>
    <w:sectPr>
      <w:pgSz w:w="11906" w:h="16838"/>
      <w:pgMar w:top="1304" w:right="1361" w:bottom="130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96C">
    <w:pPr>
      <w:pStyle w:val="15"/>
      <w:jc w:val="both"/>
    </w:pPr>
    <w:r>
      <w:rPr>
        <w:rFonts w:hint="eastAsia"/>
      </w:rPr>
      <w:t>陕西至诚项目管理集团有限公司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52EB">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364093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0N5RNIAAAAEAQAADwAAAAAAAAABACAAAAAiAAAAZHJzL2Rvd25y&#10;ZXYueG1sUEsBAhQAFAAAAAgAh07iQK1UO5AEAgAACwQAAA4AAAAAAAAAAQAgAAAAIQEAAGRycy9l&#10;Mm9Eb2MueG1sUEsFBgAAAAAGAAYAWQEAAJcFAAAAAA==&#10;">
              <v:fill on="f" focussize="0,0"/>
              <v:stroke on="f"/>
              <v:imagedata o:title=""/>
              <o:lock v:ext="edit" aspectratio="f"/>
              <v:textbox inset="0mm,0mm,0mm,0mm" style="mso-fit-shape-to-text:t;">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8972">
    <w:pPr>
      <w:pStyle w:val="16"/>
      <w:jc w:val="left"/>
    </w:pPr>
    <w:bookmarkStart w:id="68" w:name="OLE_LINK16"/>
    <w:r>
      <w:rPr>
        <w:rFonts w:hint="eastAsia" w:ascii="宋体" w:hAnsi="宋体"/>
        <w:szCs w:val="20"/>
        <w:lang w:eastAsia="zh-CN"/>
      </w:rPr>
      <w:t>山阳中学信息系统安全等级保护定级项目</w:t>
    </w:r>
    <w:r>
      <w:rPr>
        <w:rFonts w:hint="eastAsia" w:ascii="宋体" w:hAnsi="宋体"/>
        <w:szCs w:val="20"/>
      </w:rPr>
      <w:t xml:space="preserve"> </w:t>
    </w:r>
    <w:r>
      <w:rPr>
        <w:rFonts w:hint="eastAsia" w:ascii="宋体" w:hAnsi="宋体"/>
        <w:b/>
        <w:bCs/>
      </w:rPr>
      <w:t xml:space="preserve">                         </w:t>
    </w:r>
    <w:r>
      <w:rPr>
        <w:rFonts w:hint="eastAsia" w:ascii="宋体" w:hAnsi="宋体"/>
        <w:b/>
        <w:bCs/>
        <w:lang w:val="en-US" w:eastAsia="zh-CN"/>
      </w:rPr>
      <w:t xml:space="preserve">                        </w:t>
    </w:r>
    <w:r>
      <w:rPr>
        <w:rFonts w:hint="eastAsia" w:ascii="宋体" w:hAnsi="宋体"/>
        <w:b/>
        <w:bCs/>
      </w:rPr>
      <w:t xml:space="preserve"> </w:t>
    </w:r>
    <w:r>
      <w:rPr>
        <w:rFonts w:hint="eastAsia" w:ascii="宋体" w:hAnsi="宋体"/>
      </w:rPr>
      <w:t>竞争性谈判文件</w:t>
    </w:r>
    <w:bookmarkEnd w:id="6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235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MjYxMTc2YmNmM2ZiYzM3MzRiYzBiMTAxOWMxMDcifQ=="/>
  </w:docVars>
  <w:rsids>
    <w:rsidRoot w:val="0014515D"/>
    <w:rsid w:val="0014515D"/>
    <w:rsid w:val="001907E1"/>
    <w:rsid w:val="00294959"/>
    <w:rsid w:val="00350148"/>
    <w:rsid w:val="003E734F"/>
    <w:rsid w:val="00833635"/>
    <w:rsid w:val="00AC7D1B"/>
    <w:rsid w:val="0189351F"/>
    <w:rsid w:val="02E63976"/>
    <w:rsid w:val="02F3173F"/>
    <w:rsid w:val="03E40828"/>
    <w:rsid w:val="03EE202A"/>
    <w:rsid w:val="03FC02B1"/>
    <w:rsid w:val="04DB7D92"/>
    <w:rsid w:val="06D2675C"/>
    <w:rsid w:val="08623BBD"/>
    <w:rsid w:val="09170A84"/>
    <w:rsid w:val="09853D1F"/>
    <w:rsid w:val="09A67CBF"/>
    <w:rsid w:val="0AD36108"/>
    <w:rsid w:val="0D5A5A48"/>
    <w:rsid w:val="0F5D017B"/>
    <w:rsid w:val="0FC91F7B"/>
    <w:rsid w:val="10CF50A9"/>
    <w:rsid w:val="10F863AD"/>
    <w:rsid w:val="131D1C21"/>
    <w:rsid w:val="15AE7B5D"/>
    <w:rsid w:val="164D7533"/>
    <w:rsid w:val="17075BE6"/>
    <w:rsid w:val="17AE10DC"/>
    <w:rsid w:val="185300E7"/>
    <w:rsid w:val="1887534D"/>
    <w:rsid w:val="19EC0249"/>
    <w:rsid w:val="1B216BF3"/>
    <w:rsid w:val="1B59213E"/>
    <w:rsid w:val="1B762B2C"/>
    <w:rsid w:val="1D3805D3"/>
    <w:rsid w:val="1D835093"/>
    <w:rsid w:val="1E2B0E39"/>
    <w:rsid w:val="1F3F0483"/>
    <w:rsid w:val="1F6E79C7"/>
    <w:rsid w:val="1FDE5886"/>
    <w:rsid w:val="20EE64D8"/>
    <w:rsid w:val="22653C1A"/>
    <w:rsid w:val="23007451"/>
    <w:rsid w:val="238F4F40"/>
    <w:rsid w:val="24476356"/>
    <w:rsid w:val="24EC19D4"/>
    <w:rsid w:val="255039B6"/>
    <w:rsid w:val="267F382B"/>
    <w:rsid w:val="27773980"/>
    <w:rsid w:val="27784AB0"/>
    <w:rsid w:val="27C53C65"/>
    <w:rsid w:val="28C371BA"/>
    <w:rsid w:val="29AE5D4B"/>
    <w:rsid w:val="29D33A72"/>
    <w:rsid w:val="2B0169E0"/>
    <w:rsid w:val="2B47360D"/>
    <w:rsid w:val="2B8913C1"/>
    <w:rsid w:val="2B957367"/>
    <w:rsid w:val="2BAA2542"/>
    <w:rsid w:val="2C7F3E8F"/>
    <w:rsid w:val="2D1B0003"/>
    <w:rsid w:val="2E0A74A6"/>
    <w:rsid w:val="2E9D6A19"/>
    <w:rsid w:val="2E9F56F1"/>
    <w:rsid w:val="305D19B7"/>
    <w:rsid w:val="309B202F"/>
    <w:rsid w:val="31630ABB"/>
    <w:rsid w:val="32954D06"/>
    <w:rsid w:val="32FA6AA6"/>
    <w:rsid w:val="33305557"/>
    <w:rsid w:val="344C5E85"/>
    <w:rsid w:val="35CD326F"/>
    <w:rsid w:val="37532476"/>
    <w:rsid w:val="37B771BB"/>
    <w:rsid w:val="37B94388"/>
    <w:rsid w:val="37F00EE5"/>
    <w:rsid w:val="3874263B"/>
    <w:rsid w:val="38907216"/>
    <w:rsid w:val="3892120F"/>
    <w:rsid w:val="38AA78C5"/>
    <w:rsid w:val="39E61DB8"/>
    <w:rsid w:val="3AC45AA7"/>
    <w:rsid w:val="3B81506E"/>
    <w:rsid w:val="3BA564E5"/>
    <w:rsid w:val="3C33003F"/>
    <w:rsid w:val="3C3C4165"/>
    <w:rsid w:val="3D4F2498"/>
    <w:rsid w:val="3E7663F5"/>
    <w:rsid w:val="3F214DC8"/>
    <w:rsid w:val="40725CDD"/>
    <w:rsid w:val="40B2087F"/>
    <w:rsid w:val="41BB7B91"/>
    <w:rsid w:val="42220C2D"/>
    <w:rsid w:val="425766C9"/>
    <w:rsid w:val="42696C98"/>
    <w:rsid w:val="42CB0B87"/>
    <w:rsid w:val="42E56500"/>
    <w:rsid w:val="435741C3"/>
    <w:rsid w:val="44003929"/>
    <w:rsid w:val="440F5F94"/>
    <w:rsid w:val="44442B5F"/>
    <w:rsid w:val="4487191E"/>
    <w:rsid w:val="44E12EF2"/>
    <w:rsid w:val="464C6278"/>
    <w:rsid w:val="46FF66A1"/>
    <w:rsid w:val="477F5D9A"/>
    <w:rsid w:val="481D4619"/>
    <w:rsid w:val="486263AA"/>
    <w:rsid w:val="49781A3A"/>
    <w:rsid w:val="49951E76"/>
    <w:rsid w:val="49FC7F95"/>
    <w:rsid w:val="4A8412F4"/>
    <w:rsid w:val="4AD42735"/>
    <w:rsid w:val="4B9232EE"/>
    <w:rsid w:val="4B9E74A0"/>
    <w:rsid w:val="4D376CCF"/>
    <w:rsid w:val="4D9E6F4A"/>
    <w:rsid w:val="4DBF7F06"/>
    <w:rsid w:val="4E6E7A0C"/>
    <w:rsid w:val="4EB722B3"/>
    <w:rsid w:val="4EF86F9D"/>
    <w:rsid w:val="4F06726E"/>
    <w:rsid w:val="4F62007B"/>
    <w:rsid w:val="504A17A4"/>
    <w:rsid w:val="51052B71"/>
    <w:rsid w:val="511261FD"/>
    <w:rsid w:val="52D3320A"/>
    <w:rsid w:val="555C539F"/>
    <w:rsid w:val="56390BA0"/>
    <w:rsid w:val="572C5985"/>
    <w:rsid w:val="578F2469"/>
    <w:rsid w:val="59B97850"/>
    <w:rsid w:val="59F7349E"/>
    <w:rsid w:val="5B7D288E"/>
    <w:rsid w:val="5B810FF9"/>
    <w:rsid w:val="5C12622D"/>
    <w:rsid w:val="5C4E5CD8"/>
    <w:rsid w:val="5D8A4AB6"/>
    <w:rsid w:val="5E194E72"/>
    <w:rsid w:val="5EC977D5"/>
    <w:rsid w:val="5F8E0D72"/>
    <w:rsid w:val="603A5607"/>
    <w:rsid w:val="61A51CE7"/>
    <w:rsid w:val="626E4A6D"/>
    <w:rsid w:val="62CD31A3"/>
    <w:rsid w:val="646B7E2D"/>
    <w:rsid w:val="647472B1"/>
    <w:rsid w:val="64AD5CFB"/>
    <w:rsid w:val="680E76A8"/>
    <w:rsid w:val="684819E5"/>
    <w:rsid w:val="69B000EB"/>
    <w:rsid w:val="6A4E5CEC"/>
    <w:rsid w:val="6ADE24FE"/>
    <w:rsid w:val="6B336454"/>
    <w:rsid w:val="6B6C014B"/>
    <w:rsid w:val="6C7D7E8B"/>
    <w:rsid w:val="6CAE0DFF"/>
    <w:rsid w:val="6D62512A"/>
    <w:rsid w:val="6FF90FB1"/>
    <w:rsid w:val="700D7F77"/>
    <w:rsid w:val="703C3363"/>
    <w:rsid w:val="70827FAD"/>
    <w:rsid w:val="733E7410"/>
    <w:rsid w:val="738D454E"/>
    <w:rsid w:val="739521B8"/>
    <w:rsid w:val="747162BE"/>
    <w:rsid w:val="74D03397"/>
    <w:rsid w:val="74DE2282"/>
    <w:rsid w:val="74F40F84"/>
    <w:rsid w:val="76E17C69"/>
    <w:rsid w:val="770E6D7C"/>
    <w:rsid w:val="773909AC"/>
    <w:rsid w:val="792E31D8"/>
    <w:rsid w:val="79814576"/>
    <w:rsid w:val="7A436DF5"/>
    <w:rsid w:val="7B761E63"/>
    <w:rsid w:val="7D630702"/>
    <w:rsid w:val="7EE747B5"/>
    <w:rsid w:val="7EE94323"/>
    <w:rsid w:val="7F6B7426"/>
    <w:rsid w:val="7FAF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autoRedefine/>
    <w:qFormat/>
    <w:uiPriority w:val="0"/>
    <w:pPr>
      <w:keepNext/>
      <w:spacing w:beforeLines="200" w:line="400" w:lineRule="exact"/>
      <w:jc w:val="center"/>
      <w:outlineLvl w:val="2"/>
    </w:pPr>
    <w:rPr>
      <w:b/>
      <w:bCs/>
      <w:sz w:val="24"/>
      <w:szCs w:val="24"/>
    </w:rPr>
  </w:style>
  <w:style w:type="paragraph" w:styleId="6">
    <w:name w:val="heading 4"/>
    <w:basedOn w:val="1"/>
    <w:next w:val="1"/>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7">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pacing w:val="-20"/>
      <w:sz w:val="28"/>
      <w:szCs w:val="20"/>
    </w:rPr>
  </w:style>
  <w:style w:type="paragraph" w:styleId="8">
    <w:name w:val="Normal Indent"/>
    <w:basedOn w:val="1"/>
    <w:next w:val="9"/>
    <w:autoRedefine/>
    <w:qFormat/>
    <w:uiPriority w:val="0"/>
    <w:pPr>
      <w:spacing w:line="300" w:lineRule="auto"/>
      <w:ind w:firstLine="420" w:firstLineChars="200"/>
    </w:pPr>
    <w:rPr>
      <w:szCs w:val="24"/>
    </w:rPr>
  </w:style>
  <w:style w:type="paragraph" w:styleId="9">
    <w:name w:val="toc 4"/>
    <w:basedOn w:val="1"/>
    <w:next w:val="1"/>
    <w:autoRedefine/>
    <w:qFormat/>
    <w:uiPriority w:val="0"/>
    <w:pPr>
      <w:ind w:left="1260" w:leftChars="600"/>
    </w:pPr>
  </w:style>
  <w:style w:type="paragraph" w:styleId="10">
    <w:name w:val="annotation text"/>
    <w:basedOn w:val="1"/>
    <w:autoRedefine/>
    <w:qFormat/>
    <w:uiPriority w:val="0"/>
    <w:pPr>
      <w:jc w:val="left"/>
    </w:pPr>
  </w:style>
  <w:style w:type="paragraph" w:styleId="11">
    <w:name w:val="Body Text Indent"/>
    <w:basedOn w:val="1"/>
    <w:autoRedefine/>
    <w:qFormat/>
    <w:uiPriority w:val="0"/>
    <w:pPr>
      <w:widowControl/>
      <w:ind w:firstLine="652" w:firstLineChars="233"/>
    </w:pPr>
    <w:rPr>
      <w:kern w:val="0"/>
      <w:sz w:val="28"/>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cs="宋体"/>
    </w:rPr>
  </w:style>
  <w:style w:type="paragraph" w:styleId="14">
    <w:name w:val="Date"/>
    <w:basedOn w:val="1"/>
    <w:next w:val="1"/>
    <w:autoRedefine/>
    <w:qFormat/>
    <w:uiPriority w:val="0"/>
    <w:rPr>
      <w:sz w:val="2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adjustRightInd w:val="0"/>
      <w:snapToGrid w:val="0"/>
      <w:spacing w:line="480" w:lineRule="atLeast"/>
    </w:pPr>
    <w:rPr>
      <w:rFonts w:ascii="宋体" w:hAnsi="宋体"/>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Cs/>
    </w:rPr>
  </w:style>
  <w:style w:type="character" w:styleId="25">
    <w:name w:val="Hyperlink"/>
    <w:basedOn w:val="23"/>
    <w:autoRedefine/>
    <w:qFormat/>
    <w:uiPriority w:val="0"/>
    <w:rPr>
      <w:color w:val="0000FF"/>
      <w:u w:val="single"/>
    </w:rPr>
  </w:style>
  <w:style w:type="paragraph" w:customStyle="1" w:styleId="26">
    <w:name w:val="列出段落1"/>
    <w:basedOn w:val="1"/>
    <w:autoRedefine/>
    <w:qFormat/>
    <w:uiPriority w:val="34"/>
    <w:pPr>
      <w:ind w:firstLine="420" w:firstLineChars="200"/>
    </w:pPr>
  </w:style>
  <w:style w:type="paragraph" w:customStyle="1" w:styleId="27">
    <w:name w:val="Char1"/>
    <w:basedOn w:val="1"/>
    <w:autoRedefine/>
    <w:qFormat/>
    <w:uiPriority w:val="0"/>
    <w:pPr>
      <w:tabs>
        <w:tab w:val="left" w:pos="360"/>
      </w:tabs>
      <w:ind w:left="360" w:hanging="360" w:hangingChars="200"/>
    </w:pPr>
    <w:rPr>
      <w:sz w:val="24"/>
      <w:szCs w:val="24"/>
    </w:rPr>
  </w:style>
  <w:style w:type="paragraph" w:customStyle="1" w:styleId="28">
    <w:name w:val="段"/>
    <w:link w:val="2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autoRedefine/>
    <w:qFormat/>
    <w:uiPriority w:val="0"/>
    <w:rPr>
      <w:rFonts w:ascii="宋体"/>
      <w:sz w:val="21"/>
    </w:rPr>
  </w:style>
  <w:style w:type="paragraph" w:customStyle="1" w:styleId="30">
    <w:name w:val="二级条标题"/>
    <w:basedOn w:val="1"/>
    <w:next w:val="28"/>
    <w:autoRedefine/>
    <w:qFormat/>
    <w:uiPriority w:val="0"/>
    <w:pPr>
      <w:widowControl/>
      <w:spacing w:beforeLines="50" w:afterLines="50"/>
      <w:jc w:val="left"/>
      <w:outlineLvl w:val="3"/>
    </w:pPr>
    <w:rPr>
      <w:rFonts w:ascii="黑体" w:eastAsia="黑体"/>
      <w:kern w:val="0"/>
      <w:szCs w:val="21"/>
    </w:rPr>
  </w:style>
  <w:style w:type="paragraph" w:customStyle="1" w:styleId="31">
    <w:name w:val="样式 首行缩进:  2 字符"/>
    <w:basedOn w:val="1"/>
    <w:autoRedefine/>
    <w:qFormat/>
    <w:uiPriority w:val="0"/>
    <w:pPr>
      <w:spacing w:line="400" w:lineRule="exact"/>
      <w:ind w:firstLine="200" w:firstLineChars="200"/>
    </w:pPr>
    <w:rPr>
      <w:sz w:val="24"/>
    </w:rPr>
  </w:style>
  <w:style w:type="paragraph" w:customStyle="1" w:styleId="32">
    <w:name w:val="Body text|1"/>
    <w:basedOn w:val="1"/>
    <w:autoRedefine/>
    <w:qFormat/>
    <w:uiPriority w:val="0"/>
    <w:pPr>
      <w:spacing w:line="374" w:lineRule="auto"/>
      <w:jc w:val="left"/>
    </w:pPr>
    <w:rPr>
      <w:rFonts w:ascii="宋体" w:hAnsi="宋体" w:cs="宋体"/>
      <w:sz w:val="28"/>
      <w:szCs w:val="28"/>
      <w:lang w:val="zh-TW" w:eastAsia="zh-TW" w:bidi="zh-TW"/>
    </w:rPr>
  </w:style>
  <w:style w:type="paragraph" w:customStyle="1" w:styleId="33">
    <w:name w:val="Other|1"/>
    <w:basedOn w:val="1"/>
    <w:autoRedefine/>
    <w:qFormat/>
    <w:uiPriority w:val="0"/>
    <w:pPr>
      <w:jc w:val="left"/>
    </w:pPr>
    <w:rPr>
      <w:sz w:val="26"/>
      <w:szCs w:val="26"/>
      <w:lang w:val="zh-TW" w:eastAsia="zh-TW" w:bidi="zh-TW"/>
    </w:rPr>
  </w:style>
  <w:style w:type="paragraph" w:customStyle="1" w:styleId="34">
    <w:name w:val="Table Paragraph"/>
    <w:basedOn w:val="1"/>
    <w:autoRedefine/>
    <w:qFormat/>
    <w:uiPriority w:val="1"/>
    <w:pPr>
      <w:autoSpaceDE w:val="0"/>
      <w:autoSpaceDN w:val="0"/>
      <w:spacing w:before="21"/>
      <w:jc w:val="right"/>
    </w:pPr>
    <w:rPr>
      <w:rFonts w:ascii="宋体" w:hAnsi="宋体" w:cs="宋体"/>
      <w:kern w:val="0"/>
      <w:sz w:val="22"/>
      <w:lang w:val="zh-CN" w:bidi="zh-CN"/>
    </w:rPr>
  </w:style>
  <w:style w:type="table" w:customStyle="1" w:styleId="3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36">
    <w:name w:val="List Paragraph"/>
    <w:basedOn w:val="1"/>
    <w:autoRedefine/>
    <w:qFormat/>
    <w:uiPriority w:val="1"/>
    <w:pPr>
      <w:ind w:left="205" w:right="169" w:firstLine="655"/>
    </w:pPr>
    <w:rPr>
      <w:rFonts w:ascii="仿宋" w:hAnsi="仿宋" w:eastAsia="仿宋" w:cs="仿宋"/>
      <w:u w:val="single" w:color="000000"/>
      <w:lang w:val="zh-CN" w:bidi="zh-CN"/>
    </w:rPr>
  </w:style>
  <w:style w:type="character" w:customStyle="1" w:styleId="37">
    <w:name w:val="font31"/>
    <w:basedOn w:val="23"/>
    <w:autoRedefine/>
    <w:qFormat/>
    <w:uiPriority w:val="0"/>
    <w:rPr>
      <w:rFonts w:hint="eastAsia" w:ascii="宋体" w:hAnsi="宋体" w:eastAsia="宋体" w:cs="宋体"/>
      <w:color w:val="000000"/>
      <w:sz w:val="20"/>
      <w:szCs w:val="20"/>
      <w:u w:val="none"/>
    </w:rPr>
  </w:style>
  <w:style w:type="character" w:customStyle="1" w:styleId="38">
    <w:name w:val="font11"/>
    <w:basedOn w:val="23"/>
    <w:autoRedefine/>
    <w:qFormat/>
    <w:uiPriority w:val="0"/>
    <w:rPr>
      <w:rFonts w:ascii="Arial" w:hAnsi="Arial" w:cs="Arial"/>
      <w:color w:val="000000"/>
      <w:sz w:val="20"/>
      <w:szCs w:val="20"/>
      <w:u w:val="none"/>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Table Text"/>
    <w:basedOn w:val="1"/>
    <w:semiHidden/>
    <w:qFormat/>
    <w:uiPriority w:val="0"/>
    <w:rPr>
      <w:rFonts w:ascii="Arial" w:hAnsi="Arial" w:eastAsia="Arial" w:cs="Arial"/>
      <w:sz w:val="21"/>
      <w:szCs w:val="21"/>
      <w:lang w:val="en-US" w:eastAsia="en-US" w:bidi="ar-SA"/>
    </w:rPr>
  </w:style>
  <w:style w:type="character" w:customStyle="1" w:styleId="41">
    <w:name w:val="font81"/>
    <w:basedOn w:val="23"/>
    <w:qFormat/>
    <w:uiPriority w:val="0"/>
    <w:rPr>
      <w:rFonts w:hint="eastAsia" w:ascii="微软雅黑" w:hAnsi="微软雅黑" w:eastAsia="微软雅黑" w:cs="微软雅黑"/>
      <w:color w:val="000000"/>
      <w:sz w:val="18"/>
      <w:szCs w:val="18"/>
      <w:u w:val="none"/>
    </w:rPr>
  </w:style>
  <w:style w:type="character" w:customStyle="1" w:styleId="42">
    <w:name w:val="font121"/>
    <w:basedOn w:val="23"/>
    <w:qFormat/>
    <w:uiPriority w:val="0"/>
    <w:rPr>
      <w:rFonts w:hint="eastAsia" w:ascii="微软雅黑" w:hAnsi="微软雅黑" w:eastAsia="微软雅黑" w:cs="微软雅黑"/>
      <w:color w:val="FF0000"/>
      <w:sz w:val="18"/>
      <w:szCs w:val="18"/>
      <w:u w:val="none"/>
    </w:rPr>
  </w:style>
  <w:style w:type="character" w:customStyle="1" w:styleId="43">
    <w:name w:val="font61"/>
    <w:basedOn w:val="23"/>
    <w:qFormat/>
    <w:uiPriority w:val="0"/>
    <w:rPr>
      <w:rFonts w:hint="eastAsia" w:ascii="宋体" w:hAnsi="宋体" w:eastAsia="宋体" w:cs="宋体"/>
      <w:color w:val="000000"/>
      <w:sz w:val="22"/>
      <w:szCs w:val="22"/>
      <w:u w:val="none"/>
    </w:rPr>
  </w:style>
  <w:style w:type="character" w:customStyle="1" w:styleId="44">
    <w:name w:val="font51"/>
    <w:basedOn w:val="23"/>
    <w:qFormat/>
    <w:uiPriority w:val="0"/>
    <w:rPr>
      <w:rFonts w:hint="eastAsia" w:ascii="宋体" w:hAnsi="宋体" w:eastAsia="宋体" w:cs="宋体"/>
      <w:color w:val="000000"/>
      <w:sz w:val="22"/>
      <w:szCs w:val="22"/>
      <w:u w:val="none"/>
    </w:rPr>
  </w:style>
  <w:style w:type="character" w:customStyle="1" w:styleId="45">
    <w:name w:val="font71"/>
    <w:basedOn w:val="23"/>
    <w:qFormat/>
    <w:uiPriority w:val="0"/>
    <w:rPr>
      <w:rFonts w:hint="eastAsia" w:ascii="宋体" w:hAnsi="宋体" w:eastAsia="宋体" w:cs="宋体"/>
      <w:color w:val="000000"/>
      <w:sz w:val="22"/>
      <w:szCs w:val="22"/>
      <w:u w:val="none"/>
    </w:rPr>
  </w:style>
  <w:style w:type="character" w:customStyle="1" w:styleId="46">
    <w:name w:val="font41"/>
    <w:basedOn w:val="23"/>
    <w:qFormat/>
    <w:uiPriority w:val="0"/>
    <w:rPr>
      <w:rFonts w:hint="eastAsia" w:ascii="宋体" w:hAnsi="宋体" w:eastAsia="宋体" w:cs="宋体"/>
      <w:color w:val="000000"/>
      <w:sz w:val="22"/>
      <w:szCs w:val="22"/>
      <w:u w:val="none"/>
    </w:rPr>
  </w:style>
  <w:style w:type="character" w:customStyle="1" w:styleId="47">
    <w:name w:val="font112"/>
    <w:basedOn w:val="23"/>
    <w:qFormat/>
    <w:uiPriority w:val="0"/>
    <w:rPr>
      <w:rFonts w:hint="eastAsia" w:ascii="微软雅黑" w:hAnsi="微软雅黑" w:eastAsia="微软雅黑" w:cs="微软雅黑"/>
      <w:color w:val="000000"/>
      <w:sz w:val="22"/>
      <w:szCs w:val="22"/>
      <w:u w:val="none"/>
    </w:rPr>
  </w:style>
  <w:style w:type="character" w:customStyle="1" w:styleId="48">
    <w:name w:val="font2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A8F1-0DB7-422F-830A-48E26A41CC9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53</Pages>
  <Words>18234</Words>
  <Characters>19634</Characters>
  <Lines>286</Lines>
  <Paragraphs>80</Paragraphs>
  <TotalTime>2</TotalTime>
  <ScaleCrop>false</ScaleCrop>
  <LinksUpToDate>false</LinksUpToDate>
  <CharactersWithSpaces>20354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2024-03-22T05:55:00Z</dcterms:created>
  <dc:creator>天海1415003450</dc:creator>
  <cp:lastModifiedBy>Mr.sy</cp:lastModifiedBy>
  <cp:lastPrinted>2021-03-02T00:00:00Z</cp:lastPrinted>
  <dcterms:modified xsi:type="dcterms:W3CDTF">2025-07-15T09:27:33Z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8FE00DBFE5814E69B030E68CD50E5D2F</vt:lpwstr>
  </property>
  <property fmtid="{D5CDD505-2E9C-101B-9397-08002B2CF9AE}" pid="4" name="KSOTemplateDocerSaveRecord">
    <vt:lpwstr>eyJoZGlkIjoiNjE3MzAxNTgxYjAxOTI0ZjUxMzZjMDU1NTMzNDBmOTIiLCJ1c2VySWQiOiIyMzA4NTAzMTYifQ==</vt:lpwstr>
  </property>
</Properties>
</file>