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219FE">
      <w:pPr>
        <w:pStyle w:val="13"/>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框架协议采购征集文件</w:t>
      </w:r>
    </w:p>
    <w:p w14:paraId="79169B84">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pPr>
      <w:r>
        <w:rPr>
          <w:rFonts w:hint="eastAsia" w:ascii="楷体_GB2312" w:hAnsi="楷体_GB2312" w:eastAsia="楷体_GB2312" w:cs="楷体_GB2312"/>
          <w:b w:val="0"/>
          <w:bCs/>
          <w:sz w:val="32"/>
          <w:szCs w:val="32"/>
        </w:rPr>
        <w:t>征集项目名称：</w:t>
      </w:r>
      <w:r>
        <w:rPr>
          <w:rFonts w:hint="eastAsia" w:ascii="楷体_GB2312" w:hAnsi="楷体_GB2312" w:eastAsia="楷体_GB2312" w:cs="楷体_GB2312"/>
          <w:b w:val="0"/>
          <w:bCs/>
          <w:sz w:val="32"/>
          <w:szCs w:val="32"/>
          <w:lang w:val="en-US" w:eastAsia="zh-CN"/>
        </w:rPr>
        <w:t>佛坪县2025-2027年度党政机关会议定点场所及公务接待定点场所开放式框架协议采购</w:t>
      </w:r>
      <w:r>
        <w:rPr>
          <w:rFonts w:hint="eastAsia" w:ascii="楷体_GB2312" w:hAnsi="楷体_GB2312" w:eastAsia="楷体_GB2312" w:cs="楷体_GB2312"/>
          <w:b w:val="0"/>
          <w:bCs/>
          <w:sz w:val="32"/>
          <w:szCs w:val="32"/>
        </w:rPr>
        <w:t>项目</w:t>
      </w:r>
    </w:p>
    <w:p w14:paraId="514B8522">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征集项目编号：FPX-KJXY-2025-01号</w:t>
      </w:r>
    </w:p>
    <w:p w14:paraId="5D036924">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5"/>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lang w:val="en-US" w:eastAsia="zh-CN"/>
        </w:rPr>
        <w:t>佛坪县</w:t>
      </w:r>
      <w:r>
        <w:rPr>
          <w:rFonts w:hint="eastAsia" w:ascii="楷体_GB2312" w:hAnsi="楷体_GB2312" w:eastAsia="楷体_GB2312" w:cs="楷体_GB2312"/>
          <w:b/>
          <w:sz w:val="32"/>
          <w:szCs w:val="32"/>
        </w:rPr>
        <w:t>政府采购中心</w:t>
      </w:r>
    </w:p>
    <w:p w14:paraId="135A4275">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5"/>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2025年</w:t>
      </w:r>
      <w:r>
        <w:rPr>
          <w:rFonts w:hint="eastAsia" w:ascii="楷体_GB2312" w:hAnsi="楷体_GB2312" w:eastAsia="楷体_GB2312" w:cs="楷体_GB2312"/>
          <w:b/>
          <w:sz w:val="32"/>
          <w:szCs w:val="32"/>
          <w:lang w:val="en-US" w:eastAsia="zh-CN"/>
        </w:rPr>
        <w:t>7</w:t>
      </w:r>
      <w:r>
        <w:rPr>
          <w:rFonts w:hint="eastAsia" w:ascii="楷体_GB2312" w:hAnsi="楷体_GB2312" w:eastAsia="楷体_GB2312" w:cs="楷体_GB2312"/>
          <w:b/>
          <w:sz w:val="32"/>
          <w:szCs w:val="32"/>
        </w:rPr>
        <w:t>月</w:t>
      </w:r>
      <w:r>
        <w:rPr>
          <w:rFonts w:hint="eastAsia" w:ascii="楷体_GB2312" w:hAnsi="楷体_GB2312" w:eastAsia="楷体_GB2312" w:cs="楷体_GB2312"/>
          <w:b/>
          <w:sz w:val="32"/>
          <w:szCs w:val="32"/>
          <w:lang w:val="en-US" w:eastAsia="zh-CN"/>
        </w:rPr>
        <w:t>22</w:t>
      </w:r>
      <w:r>
        <w:rPr>
          <w:rFonts w:hint="eastAsia" w:ascii="楷体_GB2312" w:hAnsi="楷体_GB2312" w:eastAsia="楷体_GB2312" w:cs="楷体_GB2312"/>
          <w:b/>
          <w:sz w:val="32"/>
          <w:szCs w:val="32"/>
        </w:rPr>
        <w:t>日</w:t>
      </w:r>
    </w:p>
    <w:p w14:paraId="5795B091">
      <w:pPr>
        <w:pStyle w:val="13"/>
      </w:pPr>
      <w:r>
        <w:t xml:space="preserve"> </w:t>
      </w:r>
    </w:p>
    <w:p w14:paraId="6844BE8C">
      <w:pPr>
        <w:pStyle w:val="13"/>
        <w:jc w:val="center"/>
        <w:outlineLvl w:val="1"/>
      </w:pPr>
      <w:r>
        <w:rPr>
          <w:b/>
          <w:sz w:val="36"/>
        </w:rPr>
        <w:t>第一章 征集邀请</w:t>
      </w:r>
    </w:p>
    <w:p w14:paraId="5E6A4025">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佛坪县</w:t>
      </w:r>
      <w:r>
        <w:rPr>
          <w:rFonts w:hint="eastAsia" w:ascii="仿宋_GB2312" w:hAnsi="仿宋_GB2312" w:eastAsia="仿宋_GB2312" w:cs="仿宋_GB2312"/>
          <w:sz w:val="24"/>
          <w:szCs w:val="24"/>
        </w:rPr>
        <w:t>政府采购中心作为本项目征集人，拟对佛坪县2025-</w:t>
      </w:r>
      <w:r>
        <w:rPr>
          <w:rFonts w:hint="eastAsia" w:ascii="仿宋_GB2312" w:hAnsi="仿宋_GB2312" w:eastAsia="仿宋_GB2312" w:cs="仿宋_GB2312"/>
          <w:sz w:val="24"/>
          <w:szCs w:val="24"/>
          <w:lang w:eastAsia="zh-CN"/>
        </w:rPr>
        <w:t>2027</w:t>
      </w:r>
      <w:r>
        <w:rPr>
          <w:rFonts w:hint="eastAsia" w:ascii="仿宋_GB2312" w:hAnsi="仿宋_GB2312" w:eastAsia="仿宋_GB2312" w:cs="仿宋_GB2312"/>
          <w:sz w:val="24"/>
          <w:szCs w:val="24"/>
        </w:rPr>
        <w:t>年度党政机关会议定点场所及公务接待定点场所</w:t>
      </w:r>
      <w:r>
        <w:rPr>
          <w:rFonts w:hint="eastAsia" w:ascii="仿宋_GB2312" w:hAnsi="仿宋_GB2312" w:eastAsia="仿宋_GB2312" w:cs="仿宋_GB2312"/>
          <w:sz w:val="24"/>
          <w:szCs w:val="24"/>
          <w:lang w:val="en-US" w:eastAsia="zh-CN"/>
        </w:rPr>
        <w:t>采用</w:t>
      </w:r>
      <w:r>
        <w:rPr>
          <w:rFonts w:hint="eastAsia" w:ascii="仿宋_GB2312" w:hAnsi="仿宋_GB2312" w:eastAsia="仿宋_GB2312" w:cs="仿宋_GB2312"/>
          <w:sz w:val="24"/>
          <w:szCs w:val="24"/>
        </w:rPr>
        <w:t>开放式框架协议采购征集，兹邀请符合本次征集要求的供应商参加征集。</w:t>
      </w:r>
    </w:p>
    <w:p w14:paraId="11EB5620">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项目概况：为加强和规范我县党政机关会议定点管理</w:t>
      </w:r>
      <w:r>
        <w:rPr>
          <w:rFonts w:hint="eastAsia" w:ascii="仿宋_GB2312" w:hAnsi="仿宋_GB2312" w:eastAsia="仿宋_GB2312" w:cs="仿宋_GB2312"/>
          <w:sz w:val="24"/>
          <w:szCs w:val="24"/>
          <w:lang w:val="en-US" w:eastAsia="zh-CN"/>
        </w:rPr>
        <w:t>和公务接待管理</w:t>
      </w:r>
      <w:r>
        <w:rPr>
          <w:rFonts w:hint="eastAsia" w:ascii="仿宋_GB2312" w:hAnsi="仿宋_GB2312" w:eastAsia="仿宋_GB2312" w:cs="仿宋_GB2312"/>
          <w:sz w:val="24"/>
          <w:szCs w:val="24"/>
        </w:rPr>
        <w:t>，落实党政机关过紧日子要求，节约会议费及公务接待支出，降低行政运行成本，根据《党政机关厉行节约反对浪费条例》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国内公务接待管理办法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《党政机关会议定点管理办法》（财行〔2024〕437 号）《党政机关会议定点管理实施办法》（陕财办行〔2025〕18 号）等相关规定，开展2025-</w:t>
      </w:r>
      <w:r>
        <w:rPr>
          <w:rFonts w:hint="eastAsia" w:ascii="仿宋_GB2312" w:hAnsi="仿宋_GB2312" w:eastAsia="仿宋_GB2312" w:cs="仿宋_GB2312"/>
          <w:sz w:val="24"/>
          <w:szCs w:val="24"/>
          <w:lang w:eastAsia="zh-CN"/>
        </w:rPr>
        <w:t>2027</w:t>
      </w:r>
      <w:r>
        <w:rPr>
          <w:rFonts w:hint="eastAsia" w:ascii="仿宋_GB2312" w:hAnsi="仿宋_GB2312" w:eastAsia="仿宋_GB2312" w:cs="仿宋_GB2312"/>
          <w:sz w:val="24"/>
          <w:szCs w:val="24"/>
        </w:rPr>
        <w:t>年度党政机关会议定点场所及公务接待定点场所开放式框架协议采购工作。确定一批具备相应服务能力和条件的宾馆、饭店、专业会议场所等作为我县党政机关2025-</w:t>
      </w:r>
      <w:r>
        <w:rPr>
          <w:rFonts w:hint="eastAsia" w:ascii="仿宋_GB2312" w:hAnsi="仿宋_GB2312" w:eastAsia="仿宋_GB2312" w:cs="仿宋_GB2312"/>
          <w:sz w:val="24"/>
          <w:szCs w:val="24"/>
          <w:lang w:eastAsia="zh-CN"/>
        </w:rPr>
        <w:t>2027</w:t>
      </w:r>
      <w:r>
        <w:rPr>
          <w:rFonts w:hint="eastAsia" w:ascii="仿宋_GB2312" w:hAnsi="仿宋_GB2312" w:eastAsia="仿宋_GB2312" w:cs="仿宋_GB2312"/>
          <w:sz w:val="24"/>
          <w:szCs w:val="24"/>
        </w:rPr>
        <w:t>年度会议定点场所及公务接待定点场所，实现资源共享，为党政机关提供优质、高效、价格合理的会议及接待服务。本项目由</w:t>
      </w:r>
      <w:r>
        <w:rPr>
          <w:rFonts w:hint="eastAsia" w:ascii="仿宋_GB2312" w:hAnsi="仿宋_GB2312" w:eastAsia="仿宋_GB2312" w:cs="仿宋_GB2312"/>
          <w:sz w:val="24"/>
          <w:szCs w:val="24"/>
          <w:lang w:val="en-US" w:eastAsia="zh-CN"/>
        </w:rPr>
        <w:t>佛坪县</w:t>
      </w:r>
      <w:r>
        <w:rPr>
          <w:rFonts w:hint="eastAsia" w:ascii="仿宋_GB2312" w:hAnsi="仿宋_GB2312" w:eastAsia="仿宋_GB2312" w:cs="仿宋_GB2312"/>
          <w:sz w:val="24"/>
          <w:szCs w:val="24"/>
        </w:rPr>
        <w:t>政府采购中心采用框架协议采购方式确定入围供应商。</w:t>
      </w:r>
    </w:p>
    <w:p w14:paraId="37EAE8E0">
      <w:pPr>
        <w:pStyle w:val="13"/>
        <w:outlineLvl w:val="2"/>
      </w:pPr>
      <w:r>
        <w:rPr>
          <w:b/>
          <w:sz w:val="28"/>
        </w:rPr>
        <w:t xml:space="preserve"> 一、项目基本情况</w:t>
      </w:r>
    </w:p>
    <w:p w14:paraId="381243F9">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（一）征集项目编号：FPX-KJXY-2025-01</w:t>
      </w:r>
    </w:p>
    <w:p w14:paraId="38B9CAFF">
      <w:pPr>
        <w:pStyle w:val="13"/>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（二）征集项目名称：佛坪县2025-</w:t>
      </w:r>
      <w:r>
        <w:rPr>
          <w:rFonts w:hint="eastAsia" w:ascii="仿宋_GB2312" w:hAnsi="仿宋_GB2312" w:eastAsia="仿宋_GB2312" w:cs="仿宋_GB2312"/>
          <w:sz w:val="24"/>
          <w:szCs w:val="24"/>
          <w:lang w:eastAsia="zh-CN"/>
        </w:rPr>
        <w:t>2027</w:t>
      </w:r>
      <w:r>
        <w:rPr>
          <w:rFonts w:hint="eastAsia" w:ascii="仿宋_GB2312" w:hAnsi="仿宋_GB2312" w:eastAsia="仿宋_GB2312" w:cs="仿宋_GB2312"/>
          <w:sz w:val="24"/>
          <w:szCs w:val="24"/>
        </w:rPr>
        <w:t>年度党政机关会议定点场所及公务接待定点场所开放式框架协议采购项目</w:t>
      </w:r>
      <w:r>
        <w:rPr>
          <w:rFonts w:hint="eastAsia" w:ascii="仿宋_GB2312" w:hAnsi="仿宋_GB2312" w:eastAsia="仿宋_GB2312" w:cs="仿宋_GB2312"/>
          <w:sz w:val="24"/>
          <w:szCs w:val="24"/>
          <w:lang w:eastAsia="zh-CN"/>
        </w:rPr>
        <w:t>。</w:t>
      </w:r>
    </w:p>
    <w:p w14:paraId="57A825AC">
      <w:pPr>
        <w:pStyle w:val="13"/>
        <w:outlineLvl w:val="2"/>
      </w:pPr>
      <w:r>
        <w:rPr>
          <w:b/>
          <w:sz w:val="28"/>
        </w:rPr>
        <w:t>二、供应商参加本次政府采购活动应具备下列条件：</w:t>
      </w:r>
    </w:p>
    <w:p w14:paraId="239D8BA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（一）满足《中华人民共和国政府采购法》第二十二条规定；详见第四章资格审查 → 一、</w:t>
      </w:r>
      <w:r>
        <w:rPr>
          <w:rFonts w:hint="eastAsia" w:ascii="仿宋_GB2312" w:hAnsi="仿宋_GB2312" w:eastAsia="仿宋_GB2312" w:cs="仿宋_GB2312"/>
          <w:sz w:val="24"/>
          <w:szCs w:val="24"/>
          <w:lang w:val="en-US" w:eastAsia="zh-CN"/>
        </w:rPr>
        <w:t>基本资格要求</w:t>
      </w:r>
    </w:p>
    <w:p w14:paraId="557EBA76">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（二）落实政府采购政策需满足的资格要求：</w:t>
      </w:r>
    </w:p>
    <w:p w14:paraId="176645DA">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执行政府采购促进中小企业发展的相关政策:</w:t>
      </w:r>
    </w:p>
    <w:p w14:paraId="7B06C2A1">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本项目不属于专门面向中小企业采购。</w:t>
      </w:r>
    </w:p>
    <w:p w14:paraId="1EDFCF90">
      <w:pPr>
        <w:pStyle w:val="13"/>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（三）本项目的特定资格要求：详见第四章资格审查 → 二、特</w:t>
      </w:r>
      <w:r>
        <w:rPr>
          <w:rFonts w:hint="eastAsia" w:ascii="仿宋_GB2312" w:hAnsi="仿宋_GB2312" w:eastAsia="仿宋_GB2312" w:cs="仿宋_GB2312"/>
          <w:sz w:val="24"/>
          <w:szCs w:val="24"/>
          <w:lang w:val="en-US" w:eastAsia="zh-CN"/>
        </w:rPr>
        <w:t>定</w:t>
      </w:r>
      <w:r>
        <w:rPr>
          <w:rFonts w:hint="eastAsia" w:ascii="仿宋_GB2312" w:hAnsi="仿宋_GB2312" w:eastAsia="仿宋_GB2312" w:cs="仿宋_GB2312"/>
          <w:sz w:val="24"/>
          <w:szCs w:val="24"/>
        </w:rPr>
        <w:t>资格</w:t>
      </w:r>
      <w:r>
        <w:rPr>
          <w:rFonts w:hint="eastAsia" w:ascii="仿宋_GB2312" w:hAnsi="仿宋_GB2312" w:eastAsia="仿宋_GB2312" w:cs="仿宋_GB2312"/>
          <w:sz w:val="24"/>
          <w:szCs w:val="24"/>
          <w:lang w:val="en-US" w:eastAsia="zh-CN"/>
        </w:rPr>
        <w:t>要求</w:t>
      </w:r>
    </w:p>
    <w:p w14:paraId="4AE03657">
      <w:pPr>
        <w:pStyle w:val="13"/>
        <w:outlineLvl w:val="2"/>
      </w:pPr>
      <w:r>
        <w:rPr>
          <w:rFonts w:hint="eastAsia"/>
          <w:b/>
          <w:sz w:val="28"/>
          <w:lang w:eastAsia="zh-CN"/>
        </w:rPr>
        <w:t>三</w:t>
      </w:r>
      <w:r>
        <w:rPr>
          <w:b/>
          <w:sz w:val="28"/>
        </w:rPr>
        <w:t>、征集文件获取时间、方式及地址</w:t>
      </w:r>
    </w:p>
    <w:p w14:paraId="298866B9">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（一）征集文件获取时间：2025年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日至2025年</w:t>
      </w:r>
      <w:r>
        <w:rPr>
          <w:rFonts w:hint="eastAsia" w:ascii="仿宋_GB2312" w:hAnsi="仿宋_GB2312" w:eastAsia="仿宋_GB2312" w:cs="仿宋_GB2312"/>
          <w:sz w:val="24"/>
          <w:szCs w:val="24"/>
          <w:lang w:val="en-US" w:eastAsia="zh-CN"/>
        </w:rPr>
        <w:t>7月29</w:t>
      </w:r>
      <w:r>
        <w:rPr>
          <w:rFonts w:hint="eastAsia" w:ascii="仿宋_GB2312" w:hAnsi="仿宋_GB2312" w:eastAsia="仿宋_GB2312" w:cs="仿宋_GB2312"/>
          <w:sz w:val="24"/>
          <w:szCs w:val="24"/>
        </w:rPr>
        <w:t>日</w:t>
      </w:r>
      <w:bookmarkStart w:id="0" w:name="OLE_LINK6"/>
      <w:r>
        <w:rPr>
          <w:rFonts w:hint="eastAsia" w:ascii="仿宋_GB2312" w:hAnsi="仿宋_GB2312" w:eastAsia="仿宋_GB2312" w:cs="仿宋_GB2312"/>
          <w:sz w:val="24"/>
          <w:szCs w:val="24"/>
          <w:lang w:val="en-US" w:eastAsia="zh-CN"/>
        </w:rPr>
        <w:t>18：00</w:t>
      </w:r>
      <w:r>
        <w:rPr>
          <w:rFonts w:hint="eastAsia" w:ascii="仿宋_GB2312" w:hAnsi="仿宋_GB2312" w:eastAsia="仿宋_GB2312" w:cs="仿宋_GB2312"/>
          <w:sz w:val="24"/>
          <w:szCs w:val="24"/>
        </w:rPr>
        <w:t>（北京时间）。</w:t>
      </w:r>
      <w:bookmarkEnd w:id="0"/>
    </w:p>
    <w:p w14:paraId="3FDF39D3">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（二）获取途径：陕西省政府采购网（https://www.ccgp-shaanxi.gov.cn/）登录选择本项目参与并自行下载征集文件。</w:t>
      </w:r>
    </w:p>
    <w:p w14:paraId="7DD621D8">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（三）获取方式：在征集文件获取开始时间前，征集人将本项目征集文件上传</w:t>
      </w:r>
      <w:r>
        <w:rPr>
          <w:rFonts w:hint="eastAsia" w:ascii="仿宋_GB2312" w:hAnsi="仿宋_GB2312" w:eastAsia="仿宋_GB2312" w:cs="仿宋_GB2312"/>
          <w:sz w:val="24"/>
          <w:szCs w:val="24"/>
          <w:lang w:val="en-US" w:eastAsia="zh-CN"/>
        </w:rPr>
        <w:t>陕西省政府采购网</w:t>
      </w:r>
      <w:r>
        <w:rPr>
          <w:rFonts w:hint="eastAsia" w:ascii="仿宋_GB2312" w:hAnsi="仿宋_GB2312" w:eastAsia="仿宋_GB2312" w:cs="仿宋_GB2312"/>
          <w:sz w:val="24"/>
          <w:szCs w:val="24"/>
        </w:rPr>
        <w:t>，免费向供应商提供。供应商通过陕西省政府采购网（www.ccgp-shaanxi.gov.cn）登录获取征集文件。</w:t>
      </w:r>
    </w:p>
    <w:p w14:paraId="126D48F6">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成功获取征集文件后，征集人进行澄清或者修改的，澄清或者修改的内容可能影响响应文件编制的，征集人将通过</w:t>
      </w:r>
      <w:r>
        <w:rPr>
          <w:rFonts w:hint="eastAsia" w:ascii="仿宋_GB2312" w:hAnsi="仿宋_GB2312" w:eastAsia="仿宋_GB2312" w:cs="仿宋_GB2312"/>
          <w:sz w:val="24"/>
          <w:szCs w:val="24"/>
          <w:lang w:val="en-US" w:eastAsia="zh-CN"/>
        </w:rPr>
        <w:t>陕西省政府采购网</w:t>
      </w:r>
      <w:r>
        <w:rPr>
          <w:rFonts w:hint="eastAsia" w:ascii="仿宋_GB2312" w:hAnsi="仿宋_GB2312" w:eastAsia="仿宋_GB2312" w:cs="仿宋_GB2312"/>
          <w:sz w:val="24"/>
          <w:szCs w:val="24"/>
        </w:rPr>
        <w:t>发布澄清或者修改后的征集文件，供应商应当重新获取征集文件。供应商未重新获取征集文件或者未按照澄清或者修改后的征集文件编制响应文件进行响应的，自行承担不利后果。</w:t>
      </w:r>
    </w:p>
    <w:p w14:paraId="2A05612D">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获取的征集文件主体格式包括pdf、word两种格式版本，其中以pdf格式为准。</w:t>
      </w:r>
    </w:p>
    <w:p w14:paraId="0A143B97">
      <w:pPr>
        <w:pStyle w:val="13"/>
        <w:outlineLvl w:val="2"/>
      </w:pPr>
      <w:r>
        <w:rPr>
          <w:rFonts w:hint="eastAsia"/>
          <w:b/>
          <w:sz w:val="28"/>
          <w:lang w:eastAsia="zh-CN"/>
        </w:rPr>
        <w:t>四</w:t>
      </w:r>
      <w:r>
        <w:rPr>
          <w:b/>
          <w:sz w:val="28"/>
        </w:rPr>
        <w:t>、响应文件提交截止时间及开启时间、地点、方式</w:t>
      </w:r>
    </w:p>
    <w:p w14:paraId="3A33AD1C">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（一）响应文件提交截止时间及开启时间：2025年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lang w:val="en-US" w:eastAsia="zh-CN"/>
        </w:rPr>
        <w:t>00</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val="en-US" w:eastAsia="zh-CN"/>
        </w:rPr>
        <w:t>00</w:t>
      </w:r>
      <w:r>
        <w:rPr>
          <w:rFonts w:hint="eastAsia" w:ascii="仿宋_GB2312" w:hAnsi="仿宋_GB2312" w:eastAsia="仿宋_GB2312" w:cs="仿宋_GB2312"/>
          <w:sz w:val="24"/>
          <w:szCs w:val="24"/>
        </w:rPr>
        <w:t>秒 （北京时间）</w:t>
      </w:r>
    </w:p>
    <w:p w14:paraId="55B373D1">
      <w:pPr>
        <w:pStyle w:val="13"/>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（二）响应文件提交方式、地点：供应商应当在响应文件提交截止时间前，供应商应当在响应文件提交截止时间前，将纸质响应文件报至县政府采购中心</w:t>
      </w:r>
      <w:r>
        <w:rPr>
          <w:rFonts w:hint="eastAsia" w:ascii="仿宋_GB2312" w:hAnsi="仿宋_GB2312" w:eastAsia="仿宋_GB2312" w:cs="仿宋_GB2312"/>
          <w:sz w:val="24"/>
          <w:szCs w:val="24"/>
          <w:lang w:eastAsia="zh-CN"/>
        </w:rPr>
        <w:t>。</w:t>
      </w:r>
    </w:p>
    <w:p w14:paraId="173A477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（三）开启时间：2025年7月30日9时00分（北京时间）。</w:t>
      </w:r>
    </w:p>
    <w:p w14:paraId="3E9BF07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（四）开启方式和地点：供应商在开启时间于佛坪县财政局五楼会议室开启。</w:t>
      </w:r>
    </w:p>
    <w:p w14:paraId="1AA1AC41">
      <w:pPr>
        <w:pStyle w:val="13"/>
        <w:outlineLvl w:val="2"/>
      </w:pPr>
      <w:r>
        <w:rPr>
          <w:rFonts w:hint="eastAsia"/>
          <w:b/>
          <w:sz w:val="28"/>
          <w:lang w:eastAsia="zh-CN"/>
        </w:rPr>
        <w:t>五</w:t>
      </w:r>
      <w:r>
        <w:rPr>
          <w:b/>
          <w:sz w:val="28"/>
        </w:rPr>
        <w:t>、本征集邀请在陕西省政府采购网以公告形式发布</w:t>
      </w:r>
    </w:p>
    <w:p w14:paraId="2484F00C">
      <w:pPr>
        <w:pStyle w:val="13"/>
        <w:outlineLvl w:val="2"/>
      </w:pPr>
      <w:r>
        <w:rPr>
          <w:rFonts w:hint="eastAsia"/>
          <w:b/>
          <w:sz w:val="28"/>
          <w:lang w:eastAsia="zh-CN"/>
        </w:rPr>
        <w:t>六</w:t>
      </w:r>
      <w:r>
        <w:rPr>
          <w:b/>
          <w:sz w:val="28"/>
        </w:rPr>
        <w:t>、其他补充事宜</w:t>
      </w:r>
    </w:p>
    <w:p w14:paraId="5BB74DB2">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本项目第一阶段入围供应商的入围结果可以共享使用。</w:t>
      </w:r>
    </w:p>
    <w:p w14:paraId="3C38F00E">
      <w:pPr>
        <w:pStyle w:val="13"/>
        <w:outlineLvl w:val="2"/>
      </w:pPr>
      <w:r>
        <w:rPr>
          <w:rFonts w:hint="eastAsia"/>
          <w:b/>
          <w:sz w:val="28"/>
          <w:lang w:eastAsia="zh-CN"/>
        </w:rPr>
        <w:t>七</w:t>
      </w:r>
      <w:r>
        <w:rPr>
          <w:b/>
          <w:sz w:val="28"/>
        </w:rPr>
        <w:t>、联系方式</w:t>
      </w:r>
    </w:p>
    <w:p w14:paraId="2BEFAACF">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二、征集人信息</w:t>
      </w:r>
    </w:p>
    <w:p w14:paraId="0DDAFE03">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3BE6D16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名称：佛坪县机关事务服务中心</w:t>
      </w:r>
    </w:p>
    <w:p w14:paraId="77C4B66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val="en-US" w:eastAsia="zh-CN"/>
        </w:rPr>
        <w:t>佛坪县新街2号</w:t>
      </w:r>
    </w:p>
    <w:p w14:paraId="61FDB75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孙珂慧</w:t>
      </w:r>
    </w:p>
    <w:p w14:paraId="155879BE">
      <w:pPr>
        <w:pStyle w:val="13"/>
        <w:ind w:firstLine="4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0916-2999930</w:t>
      </w:r>
    </w:p>
    <w:p w14:paraId="1E415B46">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43D843A2">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名称：佛坪县政府采购中心</w:t>
      </w:r>
    </w:p>
    <w:p w14:paraId="523106E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地址：熊猫大道与秦泉西路交叉口西南100米</w:t>
      </w:r>
    </w:p>
    <w:p w14:paraId="25CB75A8">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联系人：靳黎</w:t>
      </w:r>
    </w:p>
    <w:p w14:paraId="297A9BE4">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联系方式：0916-8915466</w:t>
      </w:r>
    </w:p>
    <w:p w14:paraId="7F6471F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采购监督机构：</w:t>
      </w:r>
      <w:r>
        <w:rPr>
          <w:rFonts w:hint="eastAsia" w:ascii="仿宋_GB2312" w:hAnsi="仿宋_GB2312" w:eastAsia="仿宋_GB2312" w:cs="仿宋_GB2312"/>
          <w:sz w:val="24"/>
          <w:szCs w:val="24"/>
          <w:lang w:val="en-US" w:eastAsia="zh-CN"/>
        </w:rPr>
        <w:t>佛坪县财政局</w:t>
      </w:r>
    </w:p>
    <w:p w14:paraId="7775C399">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0916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8913691</w:t>
      </w:r>
    </w:p>
    <w:p w14:paraId="177A541E">
      <w:pPr>
        <w:pStyle w:val="13"/>
        <w:ind w:firstLine="480" w:firstLineChars="200"/>
        <w:rPr>
          <w:b/>
          <w:sz w:val="36"/>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lang w:eastAsia="zh-CN"/>
        </w:rPr>
        <w:t>佛坪县财政局</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楼</w:t>
      </w:r>
      <w:r>
        <w:rPr>
          <w:rFonts w:hint="eastAsia" w:ascii="仿宋_GB2312" w:hAnsi="仿宋_GB2312" w:eastAsia="仿宋_GB2312" w:cs="仿宋_GB2312"/>
          <w:sz w:val="24"/>
          <w:szCs w:val="24"/>
        </w:rPr>
        <w:t xml:space="preserve"> </w:t>
      </w:r>
    </w:p>
    <w:p w14:paraId="5A6ADBB2">
      <w:pPr>
        <w:pStyle w:val="13"/>
        <w:jc w:val="center"/>
        <w:outlineLvl w:val="1"/>
      </w:pPr>
      <w:r>
        <w:rPr>
          <w:b/>
          <w:sz w:val="36"/>
        </w:rPr>
        <w:t>第二章 供应商须知</w:t>
      </w:r>
    </w:p>
    <w:p w14:paraId="0939683D">
      <w:pPr>
        <w:pStyle w:val="13"/>
        <w:outlineLvl w:val="2"/>
      </w:pPr>
      <w:r>
        <w:rPr>
          <w:b/>
          <w:sz w:val="28"/>
        </w:rPr>
        <w:t>一、供应商须知前附表</w:t>
      </w:r>
    </w:p>
    <w:tbl>
      <w:tblPr>
        <w:tblStyle w:val="10"/>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1"/>
        <w:gridCol w:w="2252"/>
        <w:gridCol w:w="5004"/>
      </w:tblGrid>
      <w:tr w14:paraId="171AA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42C829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52" w:type="dxa"/>
          </w:tcPr>
          <w:p w14:paraId="0B3CAEC6">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应知事项</w:t>
            </w:r>
          </w:p>
        </w:tc>
        <w:tc>
          <w:tcPr>
            <w:tcW w:w="5004" w:type="dxa"/>
          </w:tcPr>
          <w:p w14:paraId="31F494B1">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说明和要求</w:t>
            </w:r>
          </w:p>
        </w:tc>
      </w:tr>
      <w:tr w14:paraId="7FCAC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CC321A5">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p>
        </w:tc>
        <w:tc>
          <w:tcPr>
            <w:tcW w:w="2252" w:type="dxa"/>
          </w:tcPr>
          <w:p w14:paraId="4DE57500">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框架协议采购分类</w:t>
            </w:r>
          </w:p>
        </w:tc>
        <w:tc>
          <w:tcPr>
            <w:tcW w:w="5004" w:type="dxa"/>
          </w:tcPr>
          <w:p w14:paraId="7970A3F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开放式</w:t>
            </w:r>
            <w:r>
              <w:rPr>
                <w:rFonts w:hint="eastAsia" w:ascii="仿宋_GB2312" w:hAnsi="仿宋_GB2312" w:eastAsia="仿宋_GB2312" w:cs="仿宋_GB2312"/>
                <w:sz w:val="24"/>
                <w:szCs w:val="24"/>
              </w:rPr>
              <w:t>框架协议采购</w:t>
            </w:r>
          </w:p>
        </w:tc>
      </w:tr>
      <w:tr w14:paraId="3741A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AD27F1">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p>
        </w:tc>
        <w:tc>
          <w:tcPr>
            <w:tcW w:w="2252" w:type="dxa"/>
          </w:tcPr>
          <w:p w14:paraId="6984AD27">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框架协议期限</w:t>
            </w:r>
          </w:p>
        </w:tc>
        <w:tc>
          <w:tcPr>
            <w:tcW w:w="5004" w:type="dxa"/>
          </w:tcPr>
          <w:p w14:paraId="01B20FF7">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自框架协议签订之日起 2年 。</w:t>
            </w:r>
          </w:p>
        </w:tc>
      </w:tr>
      <w:tr w14:paraId="49F46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B86821D">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p>
        </w:tc>
        <w:tc>
          <w:tcPr>
            <w:tcW w:w="2252" w:type="dxa"/>
          </w:tcPr>
          <w:p w14:paraId="7189ADE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是否接受联合体</w:t>
            </w:r>
          </w:p>
        </w:tc>
        <w:tc>
          <w:tcPr>
            <w:tcW w:w="5004" w:type="dxa"/>
          </w:tcPr>
          <w:p w14:paraId="32CE213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不接受联合体。</w:t>
            </w:r>
          </w:p>
        </w:tc>
      </w:tr>
      <w:tr w14:paraId="57541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4698735">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p>
        </w:tc>
        <w:tc>
          <w:tcPr>
            <w:tcW w:w="2252" w:type="dxa"/>
          </w:tcPr>
          <w:p w14:paraId="3B009C37">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监狱企业、残疾人福利性单位视同小微企业价格扣除</w:t>
            </w:r>
          </w:p>
        </w:tc>
        <w:tc>
          <w:tcPr>
            <w:tcW w:w="5004" w:type="dxa"/>
          </w:tcPr>
          <w:p w14:paraId="4D4D032E">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专门面向小微企业采购的）根据《政府采购促进中小企业发展管理办法》（财库〔2020〕46号）第九条和《关于进一步加大政府采购支持中小企业力度的通知》（财库〔2022〕19号）的规定，本项目执行小微企业（</w:t>
            </w:r>
            <w:r>
              <w:rPr>
                <w:rFonts w:hint="eastAsia" w:ascii="仿宋_GB2312" w:hAnsi="仿宋_GB2312" w:eastAsia="仿宋_GB2312" w:cs="仿宋_GB2312"/>
                <w:sz w:val="24"/>
                <w:szCs w:val="24"/>
                <w:lang w:val="en-US" w:eastAsia="zh-CN"/>
              </w:rPr>
              <w:t>包括</w:t>
            </w:r>
            <w:r>
              <w:rPr>
                <w:rFonts w:hint="eastAsia" w:ascii="仿宋_GB2312" w:hAnsi="仿宋_GB2312" w:eastAsia="仿宋_GB2312" w:cs="仿宋_GB2312"/>
                <w:sz w:val="24"/>
                <w:szCs w:val="24"/>
              </w:rPr>
              <w:t>监狱企业、残疾人福利性单位视同小微企业）价格扣除，具体扣除比例和规则详见第5章。 （专门面向小微企业的）不适用。</w:t>
            </w:r>
          </w:p>
        </w:tc>
      </w:tr>
      <w:tr w14:paraId="1878C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6E64CC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c>
          <w:tcPr>
            <w:tcW w:w="2252" w:type="dxa"/>
          </w:tcPr>
          <w:p w14:paraId="691B004F">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不正当竞争预防措施</w:t>
            </w:r>
          </w:p>
        </w:tc>
        <w:tc>
          <w:tcPr>
            <w:tcW w:w="5004" w:type="dxa"/>
          </w:tcPr>
          <w:p w14:paraId="0F5AD8B1">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在评审过程中，评审委员会认为供应商响应报价明显低于其他通过符合性审查供应商的响应报价，有可能影响产品质量或者不能诚信履约的，评审委员会应当要求其在合理的时间内在</w:t>
            </w:r>
            <w:r>
              <w:rPr>
                <w:rFonts w:hint="eastAsia" w:ascii="仿宋_GB2312" w:hAnsi="仿宋_GB2312" w:eastAsia="仿宋_GB2312" w:cs="仿宋_GB2312"/>
                <w:sz w:val="24"/>
                <w:szCs w:val="24"/>
                <w:lang w:val="en-US" w:eastAsia="zh-CN"/>
              </w:rPr>
              <w:t>陕西政府采购网</w:t>
            </w:r>
            <w:r>
              <w:rPr>
                <w:rFonts w:hint="eastAsia" w:ascii="仿宋_GB2312" w:hAnsi="仿宋_GB2312" w:eastAsia="仿宋_GB2312" w:cs="仿宋_GB2312"/>
                <w:sz w:val="24"/>
                <w:szCs w:val="24"/>
              </w:rPr>
              <w:t>中上传说明材料，必要时提交相关证明材料。供应商提交的相关证明材料，应当加盖供应商公章，在评审委员会要求的时间内提交，否则无效。供应商不能证明其响应报价合理性的，评审委员会应当将其响应文件作为无效处理。</w:t>
            </w:r>
          </w:p>
        </w:tc>
      </w:tr>
      <w:tr w14:paraId="4DDD5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1204BF0">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p>
        </w:tc>
        <w:tc>
          <w:tcPr>
            <w:tcW w:w="2252" w:type="dxa"/>
          </w:tcPr>
          <w:p w14:paraId="6C58DE2E">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tc>
        <w:tc>
          <w:tcPr>
            <w:tcW w:w="5004" w:type="dxa"/>
          </w:tcPr>
          <w:p w14:paraId="7226D609">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质量优先法，评审因素包括：</w:t>
            </w:r>
            <w:r>
              <w:rPr>
                <w:rFonts w:hint="eastAsia" w:ascii="仿宋_GB2312" w:hAnsi="仿宋_GB2312" w:eastAsia="仿宋_GB2312" w:cs="仿宋_GB2312"/>
                <w:sz w:val="24"/>
                <w:szCs w:val="24"/>
                <w:lang w:val="en-US" w:eastAsia="zh-CN"/>
              </w:rPr>
              <w:t>综合实力</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会议室</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15分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客房</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15分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餐厅（</w:t>
            </w:r>
            <w:r>
              <w:rPr>
                <w:rFonts w:hint="eastAsia" w:ascii="仿宋_GB2312" w:hAnsi="仿宋_GB2312" w:eastAsia="仿宋_GB2312" w:cs="仿宋_GB2312"/>
                <w:sz w:val="24"/>
                <w:szCs w:val="24"/>
                <w:lang w:val="en-US" w:eastAsia="zh-CN"/>
              </w:rPr>
              <w:t>15分</w:t>
            </w:r>
            <w:r>
              <w:rPr>
                <w:rFonts w:hint="eastAsia" w:ascii="仿宋_GB2312" w:hAnsi="仿宋_GB2312" w:eastAsia="仿宋_GB2312" w:cs="仿宋_GB2312"/>
                <w:sz w:val="24"/>
                <w:szCs w:val="24"/>
                <w:lang w:eastAsia="zh-CN"/>
              </w:rPr>
              <w:t>）、停车场（</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配套设施（5份）、服务质理及能力</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10分</w:t>
            </w:r>
            <w:r>
              <w:rPr>
                <w:rFonts w:hint="eastAsia" w:ascii="仿宋_GB2312" w:hAnsi="仿宋_GB2312" w:eastAsia="仿宋_GB2312" w:cs="仿宋_GB2312"/>
                <w:sz w:val="24"/>
                <w:szCs w:val="24"/>
              </w:rPr>
              <w:t>）。</w:t>
            </w:r>
          </w:p>
        </w:tc>
      </w:tr>
      <w:tr w14:paraId="53C74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9974D19">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p>
        </w:tc>
        <w:tc>
          <w:tcPr>
            <w:tcW w:w="2252" w:type="dxa"/>
          </w:tcPr>
          <w:p w14:paraId="7E99B6BC">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004" w:type="dxa"/>
          </w:tcPr>
          <w:p w14:paraId="7383E08C">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本项目不收取履约保证金。</w:t>
            </w:r>
          </w:p>
        </w:tc>
      </w:tr>
      <w:tr w14:paraId="769BB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7FC4B65">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p>
        </w:tc>
        <w:tc>
          <w:tcPr>
            <w:tcW w:w="2252" w:type="dxa"/>
          </w:tcPr>
          <w:p w14:paraId="271F45C6">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响应有效期</w:t>
            </w:r>
          </w:p>
        </w:tc>
        <w:tc>
          <w:tcPr>
            <w:tcW w:w="5004" w:type="dxa"/>
          </w:tcPr>
          <w:p w14:paraId="7AB88F33">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提交响应文件的截止之日起不少于</w:t>
            </w:r>
            <w:r>
              <w:rPr>
                <w:rFonts w:hint="eastAsia" w:ascii="仿宋_GB2312" w:hAnsi="仿宋_GB2312" w:eastAsia="仿宋_GB2312" w:cs="仿宋_GB2312"/>
                <w:sz w:val="24"/>
                <w:szCs w:val="24"/>
                <w:lang w:val="en-US" w:eastAsia="zh-CN"/>
              </w:rPr>
              <w:t>90</w:t>
            </w:r>
            <w:r>
              <w:rPr>
                <w:rFonts w:hint="eastAsia" w:ascii="仿宋_GB2312" w:hAnsi="仿宋_GB2312" w:eastAsia="仿宋_GB2312" w:cs="仿宋_GB2312"/>
                <w:sz w:val="24"/>
                <w:szCs w:val="24"/>
              </w:rPr>
              <w:t>天。</w:t>
            </w:r>
          </w:p>
        </w:tc>
      </w:tr>
      <w:tr w14:paraId="57BCA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C1FDF04">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p>
        </w:tc>
        <w:tc>
          <w:tcPr>
            <w:tcW w:w="2252" w:type="dxa"/>
          </w:tcPr>
          <w:p w14:paraId="06A77E57">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履约评价机制</w:t>
            </w:r>
          </w:p>
        </w:tc>
        <w:tc>
          <w:tcPr>
            <w:tcW w:w="5004" w:type="dxa"/>
          </w:tcPr>
          <w:p w14:paraId="2DF744B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采购人每半年对入围供应商进行服务满意度评价，评价结果作为续用或淘汰依据。</w:t>
            </w:r>
          </w:p>
        </w:tc>
      </w:tr>
      <w:tr w14:paraId="3704E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E5F26BE">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tc>
        <w:tc>
          <w:tcPr>
            <w:tcW w:w="2252" w:type="dxa"/>
          </w:tcPr>
          <w:p w14:paraId="33A697A1">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入围结果公告</w:t>
            </w:r>
          </w:p>
        </w:tc>
        <w:tc>
          <w:tcPr>
            <w:tcW w:w="5004" w:type="dxa"/>
          </w:tcPr>
          <w:p w14:paraId="122FAE4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入围结果公告将在陕西省政府采购网站予以公告。</w:t>
            </w:r>
          </w:p>
        </w:tc>
      </w:tr>
      <w:tr w14:paraId="3605E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1051" w:type="dxa"/>
          </w:tcPr>
          <w:p w14:paraId="67FC9071">
            <w:pPr>
              <w:pStyle w:val="13"/>
              <w:numPr>
                <w:ilvl w:val="0"/>
                <w:numId w:val="1"/>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252" w:type="dxa"/>
          </w:tcPr>
          <w:p w14:paraId="179173F9">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采购人或服务对象范围</w:t>
            </w:r>
          </w:p>
        </w:tc>
        <w:tc>
          <w:tcPr>
            <w:tcW w:w="5004" w:type="dxa"/>
          </w:tcPr>
          <w:p w14:paraId="0566620F">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（1）陕西省</w:t>
            </w:r>
            <w:r>
              <w:rPr>
                <w:rFonts w:hint="eastAsia" w:ascii="仿宋_GB2312" w:hAnsi="仿宋_GB2312" w:eastAsia="仿宋_GB2312" w:cs="仿宋_GB2312"/>
                <w:sz w:val="24"/>
                <w:szCs w:val="24"/>
                <w:lang w:val="en-US" w:eastAsia="zh-CN"/>
              </w:rPr>
              <w:t>佛坪县</w:t>
            </w:r>
            <w:r>
              <w:rPr>
                <w:rFonts w:hint="eastAsia" w:ascii="仿宋_GB2312" w:hAnsi="仿宋_GB2312" w:eastAsia="仿宋_GB2312" w:cs="仿宋_GB2312"/>
                <w:sz w:val="24"/>
                <w:szCs w:val="24"/>
              </w:rPr>
              <w:t>，类型：行政区划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服务对象：县所属党政机关单位、事业单位。</w:t>
            </w:r>
          </w:p>
        </w:tc>
      </w:tr>
      <w:tr w14:paraId="799BA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EDAD1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p>
        </w:tc>
        <w:tc>
          <w:tcPr>
            <w:tcW w:w="2252" w:type="dxa"/>
          </w:tcPr>
          <w:p w14:paraId="350AAF75">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供应商响应注意事项</w:t>
            </w:r>
          </w:p>
        </w:tc>
        <w:tc>
          <w:tcPr>
            <w:tcW w:w="5004" w:type="dxa"/>
          </w:tcPr>
          <w:p w14:paraId="6F768683">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响应文件中响应的信息的真实性、完整性由供应商负责。</w:t>
            </w:r>
          </w:p>
        </w:tc>
      </w:tr>
      <w:tr w14:paraId="53E6E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85100D6">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w:t>
            </w:r>
          </w:p>
        </w:tc>
        <w:tc>
          <w:tcPr>
            <w:tcW w:w="2252" w:type="dxa"/>
          </w:tcPr>
          <w:p w14:paraId="5A73C2F2">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执行的其他政府采购政策</w:t>
            </w:r>
          </w:p>
        </w:tc>
        <w:tc>
          <w:tcPr>
            <w:tcW w:w="5004" w:type="dxa"/>
          </w:tcPr>
          <w:p w14:paraId="67EA895D">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1、《关于在政府采购活动中查询及使用信用记录有关问题的通知》（财库〔2016〕125号）；</w:t>
            </w:r>
          </w:p>
          <w:p w14:paraId="47A89AB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政府采购促进中小企业发展管理办法》（财库〔2020〕46号）、《关于政府采购支持监狱企业发展有关问题的通知》（财库〔2014〕68号）以及《关于促进残疾人就业政府采购政策的通知》（财库〔2017〕141号）；</w:t>
            </w:r>
          </w:p>
          <w:p w14:paraId="18B9C2CD">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3、《陕西省财政厅关于加快推进我省中小企业政府采购信用融资工作的通知》（陕财办采〔2020〕15号）、陕西省财政厅关于印发《陕西省中小企业政府采购信用融资办法》（陕财办采〔2018〕23号）。</w:t>
            </w:r>
          </w:p>
        </w:tc>
      </w:tr>
    </w:tbl>
    <w:p w14:paraId="13FDF843">
      <w:pPr>
        <w:pStyle w:val="13"/>
        <w:outlineLvl w:val="2"/>
      </w:pPr>
      <w:r>
        <w:rPr>
          <w:b/>
          <w:sz w:val="28"/>
        </w:rPr>
        <w:t>二、总则</w:t>
      </w:r>
    </w:p>
    <w:p w14:paraId="32E096E4">
      <w:pPr>
        <w:pStyle w:val="13"/>
        <w:keepNext w:val="0"/>
        <w:keepLines w:val="0"/>
        <w:pageBreakBefore w:val="0"/>
        <w:widowControl/>
        <w:kinsoku/>
        <w:wordWrap/>
        <w:overflowPunct/>
        <w:topLinePunct w:val="0"/>
        <w:autoSpaceDE/>
        <w:autoSpaceDN/>
        <w:bidi w:val="0"/>
        <w:adjustRightInd/>
        <w:snapToGrid/>
        <w:spacing w:before="63" w:beforeLines="20" w:after="63" w:afterLines="20"/>
        <w:textAlignment w:val="auto"/>
        <w:outlineLvl w:val="3"/>
      </w:pPr>
      <w:r>
        <w:rPr>
          <w:b/>
          <w:sz w:val="24"/>
        </w:rPr>
        <w:t>（一）适用范围</w:t>
      </w:r>
    </w:p>
    <w:p w14:paraId="68848136">
      <w:pPr>
        <w:pStyle w:val="13"/>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本征集文件仅适用于本次</w:t>
      </w:r>
      <w:r>
        <w:rPr>
          <w:rFonts w:hint="eastAsia" w:ascii="仿宋_GB2312" w:hAnsi="仿宋_GB2312" w:eastAsia="仿宋_GB2312" w:cs="仿宋_GB2312"/>
          <w:sz w:val="24"/>
          <w:szCs w:val="24"/>
          <w:lang w:val="en-US" w:eastAsia="zh-CN"/>
        </w:rPr>
        <w:t>开放式</w:t>
      </w:r>
      <w:r>
        <w:rPr>
          <w:rFonts w:hint="eastAsia" w:ascii="仿宋_GB2312" w:hAnsi="仿宋_GB2312" w:eastAsia="仿宋_GB2312" w:cs="仿宋_GB2312"/>
          <w:sz w:val="24"/>
          <w:szCs w:val="24"/>
        </w:rPr>
        <w:t>框架协议采购征集项目。</w:t>
      </w:r>
    </w:p>
    <w:p w14:paraId="7C1CFA98">
      <w:pPr>
        <w:pStyle w:val="13"/>
        <w:keepNext w:val="0"/>
        <w:keepLines w:val="0"/>
        <w:pageBreakBefore w:val="0"/>
        <w:widowControl/>
        <w:kinsoku/>
        <w:wordWrap/>
        <w:overflowPunct/>
        <w:topLinePunct w:val="0"/>
        <w:autoSpaceDE/>
        <w:autoSpaceDN/>
        <w:bidi w:val="0"/>
        <w:adjustRightInd/>
        <w:snapToGrid/>
        <w:ind w:firstLine="480" w:firstLineChars="200"/>
        <w:textAlignment w:val="auto"/>
      </w:pPr>
      <w:r>
        <w:rPr>
          <w:rFonts w:hint="eastAsia" w:ascii="仿宋_GB2312" w:hAnsi="仿宋_GB2312" w:eastAsia="仿宋_GB2312" w:cs="仿宋_GB2312"/>
          <w:sz w:val="24"/>
          <w:szCs w:val="24"/>
        </w:rPr>
        <w:t>2. 本征集文件的最终解释权由征集人享有。征集文件内容由征集人负责解释。</w:t>
      </w:r>
    </w:p>
    <w:p w14:paraId="738A7D49">
      <w:pPr>
        <w:pStyle w:val="13"/>
        <w:keepNext w:val="0"/>
        <w:keepLines w:val="0"/>
        <w:pageBreakBefore w:val="0"/>
        <w:widowControl/>
        <w:kinsoku/>
        <w:wordWrap/>
        <w:overflowPunct/>
        <w:topLinePunct w:val="0"/>
        <w:autoSpaceDE/>
        <w:autoSpaceDN/>
        <w:bidi w:val="0"/>
        <w:adjustRightInd/>
        <w:snapToGrid/>
        <w:spacing w:before="63" w:beforeLines="20" w:after="63" w:afterLines="20"/>
        <w:textAlignment w:val="auto"/>
        <w:outlineLvl w:val="3"/>
      </w:pPr>
      <w:r>
        <w:rPr>
          <w:b/>
          <w:sz w:val="24"/>
        </w:rPr>
        <w:t>（二）有关定义</w:t>
      </w:r>
    </w:p>
    <w:p w14:paraId="2DD7E851">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“征集人”是指负责征集程序和订立框架协议的集中采购机构。本次征集项目的征集人是</w:t>
      </w:r>
      <w:r>
        <w:rPr>
          <w:rFonts w:hint="eastAsia" w:ascii="仿宋_GB2312" w:hAnsi="仿宋_GB2312" w:eastAsia="仿宋_GB2312" w:cs="仿宋_GB2312"/>
          <w:sz w:val="24"/>
          <w:szCs w:val="24"/>
          <w:lang w:val="en-US" w:eastAsia="zh-CN"/>
        </w:rPr>
        <w:t>佛坪县</w:t>
      </w:r>
      <w:r>
        <w:rPr>
          <w:rFonts w:hint="eastAsia" w:ascii="仿宋_GB2312" w:hAnsi="仿宋_GB2312" w:eastAsia="仿宋_GB2312" w:cs="仿宋_GB2312"/>
          <w:sz w:val="24"/>
          <w:szCs w:val="24"/>
        </w:rPr>
        <w:t>政府采购中心。</w:t>
      </w:r>
    </w:p>
    <w:p w14:paraId="3D3F09FB">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“供应商”是指按照征集公告规定获取了征集文件，拟参加征集或签订框架协议的法人、其他组织或者自然人。其中货物项目框架协议的供应商应当为响应产品生产厂家或者生产厂家唯一授权供应商。</w:t>
      </w:r>
    </w:p>
    <w:p w14:paraId="15EBE634">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“入围供应商”是指参与第一阶段征集活动并入围的法人、其他组织或者自然人。</w:t>
      </w:r>
    </w:p>
    <w:p w14:paraId="7DCCE233">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“成交供应商”是指在第一阶段入围并在第二阶段与采购人签订合同的入围供应商。</w:t>
      </w:r>
    </w:p>
    <w:p w14:paraId="371B7AC7">
      <w:pPr>
        <w:pStyle w:val="13"/>
        <w:outlineLvl w:val="2"/>
      </w:pPr>
      <w:r>
        <w:rPr>
          <w:b/>
          <w:sz w:val="28"/>
        </w:rPr>
        <w:t>三、征集文件</w:t>
      </w:r>
    </w:p>
    <w:p w14:paraId="33B9CF15">
      <w:pPr>
        <w:pStyle w:val="13"/>
        <w:keepNext w:val="0"/>
        <w:keepLines w:val="0"/>
        <w:pageBreakBefore w:val="0"/>
        <w:widowControl/>
        <w:kinsoku/>
        <w:wordWrap/>
        <w:overflowPunct/>
        <w:topLinePunct w:val="0"/>
        <w:autoSpaceDE/>
        <w:autoSpaceDN/>
        <w:bidi w:val="0"/>
        <w:adjustRightInd/>
        <w:snapToGrid/>
        <w:spacing w:before="63" w:beforeLines="20" w:after="63" w:afterLines="20"/>
        <w:textAlignment w:val="auto"/>
        <w:outlineLvl w:val="3"/>
      </w:pPr>
      <w:r>
        <w:rPr>
          <w:b/>
          <w:sz w:val="24"/>
        </w:rPr>
        <w:t>（一）征集文件的构成</w:t>
      </w:r>
    </w:p>
    <w:p w14:paraId="09C39944">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征集文件是供应商准备响应文件和参加征集响应的依据，同时也是资格审查、评审的重要依据。征集文件用以阐明征集项目所需的资质、技术、服务、商务及报价等要求、征集和响应程序、有关规定和注意事项、框架协议主要条款以及合同主要条款等。本征集文件包括以下内容：</w:t>
      </w:r>
    </w:p>
    <w:p w14:paraId="40FEB048">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第一章 征集邀请；</w:t>
      </w:r>
    </w:p>
    <w:p w14:paraId="7198F089">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第二章 供应商须知；</w:t>
      </w:r>
    </w:p>
    <w:p w14:paraId="145FE55E">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第三章 征集项目技术、服务、商务及其他要求；</w:t>
      </w:r>
    </w:p>
    <w:p w14:paraId="29914863">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第四章 资格审查；</w:t>
      </w:r>
    </w:p>
    <w:p w14:paraId="331D4C4A">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第五章 入围评审办法；</w:t>
      </w:r>
    </w:p>
    <w:p w14:paraId="1D759CAA">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 拟签订采购合同文本；</w:t>
      </w:r>
    </w:p>
    <w:p w14:paraId="099486B6">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第七章 响应文件格式。</w:t>
      </w:r>
    </w:p>
    <w:p w14:paraId="17196CA4">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供应商应认真阅读和充分理解征集文件中所有的事项、格式条款和规范要求。供应商没有对征集文件全面做出实质性响应所产生的风险由供应商承担。</w:t>
      </w:r>
    </w:p>
    <w:p w14:paraId="7F3D0DE8">
      <w:pPr>
        <w:pStyle w:val="13"/>
        <w:keepNext w:val="0"/>
        <w:keepLines w:val="0"/>
        <w:pageBreakBefore w:val="0"/>
        <w:widowControl/>
        <w:kinsoku/>
        <w:wordWrap/>
        <w:overflowPunct/>
        <w:topLinePunct w:val="0"/>
        <w:autoSpaceDE/>
        <w:autoSpaceDN/>
        <w:bidi w:val="0"/>
        <w:adjustRightInd/>
        <w:snapToGrid/>
        <w:spacing w:before="63" w:beforeLines="20" w:after="63" w:afterLines="20"/>
        <w:textAlignment w:val="auto"/>
        <w:outlineLvl w:val="3"/>
      </w:pPr>
      <w:r>
        <w:rPr>
          <w:b/>
          <w:sz w:val="24"/>
        </w:rPr>
        <w:t>（二）征集文件的澄清和修改</w:t>
      </w:r>
    </w:p>
    <w:p w14:paraId="79D6B6C9">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在响应文件提交截止时间前，征集人可以对已发出的征集文件进行必要的澄清或者修改。</w:t>
      </w:r>
    </w:p>
    <w:p w14:paraId="0EF7E1A1">
      <w:pPr>
        <w:pStyle w:val="13"/>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澄清或者修改的内容为征集文件的组成部分，征集人将在</w:t>
      </w:r>
      <w:bookmarkStart w:id="1" w:name="OLE_LINK1"/>
      <w:r>
        <w:rPr>
          <w:rFonts w:hint="eastAsia" w:ascii="仿宋_GB2312" w:hAnsi="仿宋_GB2312" w:eastAsia="仿宋_GB2312" w:cs="仿宋_GB2312"/>
          <w:sz w:val="24"/>
          <w:szCs w:val="24"/>
        </w:rPr>
        <w:t>陕西省政府采购网站</w:t>
      </w:r>
      <w:bookmarkEnd w:id="1"/>
      <w:r>
        <w:rPr>
          <w:rFonts w:hint="eastAsia" w:ascii="仿宋_GB2312" w:hAnsi="仿宋_GB2312" w:eastAsia="仿宋_GB2312" w:cs="仿宋_GB2312"/>
          <w:sz w:val="24"/>
          <w:szCs w:val="24"/>
        </w:rPr>
        <w:t>发布更正公告，供应商应及时关注本项目更正公告信息，按更正后公告要求进行征集响应。更正内容可能影响响应文件编制的，征集人将通过陕西省政府采购网站发布更正后的征集文件，供应商应依据更正后的征集文件编制响应文件。若供应商未按前述要求进行征集响应的，自行承担不利后果。</w:t>
      </w:r>
    </w:p>
    <w:p w14:paraId="074E68F1">
      <w:pPr>
        <w:pStyle w:val="13"/>
        <w:jc w:val="center"/>
        <w:outlineLvl w:val="1"/>
        <w:rPr>
          <w:rFonts w:hint="eastAsia"/>
          <w:b/>
          <w:sz w:val="36"/>
        </w:rPr>
      </w:pPr>
      <w:r>
        <w:rPr>
          <w:rFonts w:hint="eastAsia"/>
          <w:b/>
          <w:sz w:val="36"/>
        </w:rPr>
        <w:t>第三章 征集项目技术、服务、商务及其他要求</w:t>
      </w:r>
    </w:p>
    <w:p w14:paraId="78C8150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Theme="minorHAnsi" w:hAnsiTheme="minorHAnsi" w:eastAsiaTheme="minorEastAsia" w:cstheme="minorBidi"/>
          <w:b/>
          <w:kern w:val="0"/>
          <w:sz w:val="28"/>
          <w:szCs w:val="22"/>
          <w:lang w:val="en-US" w:eastAsia="zh-CN"/>
        </w:rPr>
        <w:t>一、</w:t>
      </w:r>
      <w:r>
        <w:rPr>
          <w:rFonts w:hint="eastAsia" w:asciiTheme="minorHAnsi" w:hAnsiTheme="minorHAnsi" w:eastAsiaTheme="minorEastAsia" w:cstheme="minorBidi"/>
          <w:b/>
          <w:kern w:val="0"/>
          <w:sz w:val="28"/>
          <w:szCs w:val="22"/>
          <w:lang w:val="en-US" w:eastAsia="zh-Hans"/>
        </w:rPr>
        <w:t>采购需求</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50"/>
        <w:gridCol w:w="1434"/>
        <w:gridCol w:w="850"/>
        <w:gridCol w:w="850"/>
        <w:gridCol w:w="1065"/>
        <w:gridCol w:w="1066"/>
        <w:gridCol w:w="1066"/>
      </w:tblGrid>
      <w:tr w14:paraId="734D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41" w:type="dxa"/>
            <w:vAlign w:val="center"/>
          </w:tcPr>
          <w:p w14:paraId="113CF8BD">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w:t>
            </w:r>
          </w:p>
          <w:p w14:paraId="4879A9A4">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号</w:t>
            </w:r>
          </w:p>
        </w:tc>
        <w:tc>
          <w:tcPr>
            <w:tcW w:w="1450" w:type="dxa"/>
            <w:vAlign w:val="center"/>
          </w:tcPr>
          <w:p w14:paraId="4D2754EB">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  购</w:t>
            </w:r>
          </w:p>
          <w:p w14:paraId="1BCE1F47">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包  号</w:t>
            </w:r>
          </w:p>
        </w:tc>
        <w:tc>
          <w:tcPr>
            <w:tcW w:w="1434" w:type="dxa"/>
            <w:vAlign w:val="center"/>
          </w:tcPr>
          <w:p w14:paraId="55915DE4">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标 的</w:t>
            </w:r>
          </w:p>
          <w:p w14:paraId="49CB683D">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名 称</w:t>
            </w:r>
          </w:p>
        </w:tc>
        <w:tc>
          <w:tcPr>
            <w:tcW w:w="850" w:type="dxa"/>
            <w:vAlign w:val="center"/>
          </w:tcPr>
          <w:p w14:paraId="61E1FC2E">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采购品目</w:t>
            </w:r>
          </w:p>
        </w:tc>
        <w:tc>
          <w:tcPr>
            <w:tcW w:w="850" w:type="dxa"/>
            <w:vAlign w:val="center"/>
          </w:tcPr>
          <w:p w14:paraId="61FCFFD6">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计量单位</w:t>
            </w:r>
          </w:p>
        </w:tc>
        <w:tc>
          <w:tcPr>
            <w:tcW w:w="1065" w:type="dxa"/>
            <w:vAlign w:val="center"/>
          </w:tcPr>
          <w:p w14:paraId="5220824C">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所 属</w:t>
            </w:r>
          </w:p>
          <w:p w14:paraId="12E4249C">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 业</w:t>
            </w:r>
          </w:p>
        </w:tc>
        <w:tc>
          <w:tcPr>
            <w:tcW w:w="1066" w:type="dxa"/>
            <w:vAlign w:val="center"/>
          </w:tcPr>
          <w:p w14:paraId="162CC9FF">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预估采购数量</w:t>
            </w:r>
          </w:p>
        </w:tc>
        <w:tc>
          <w:tcPr>
            <w:tcW w:w="1066" w:type="dxa"/>
            <w:vAlign w:val="center"/>
          </w:tcPr>
          <w:p w14:paraId="7E56B10B">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是否属于政府购买服务</w:t>
            </w:r>
          </w:p>
        </w:tc>
      </w:tr>
      <w:tr w14:paraId="1D1F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41" w:type="dxa"/>
            <w:vAlign w:val="center"/>
          </w:tcPr>
          <w:p w14:paraId="3B3D6861">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450" w:type="dxa"/>
            <w:vAlign w:val="center"/>
          </w:tcPr>
          <w:p w14:paraId="44705230">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佛坪县党政机关会议定点场所采购</w:t>
            </w:r>
          </w:p>
        </w:tc>
        <w:tc>
          <w:tcPr>
            <w:tcW w:w="1434" w:type="dxa"/>
            <w:vAlign w:val="center"/>
          </w:tcPr>
          <w:p w14:paraId="1578F8FA">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佛坪县党政机关会议定点场所采购</w:t>
            </w:r>
          </w:p>
        </w:tc>
        <w:tc>
          <w:tcPr>
            <w:tcW w:w="850" w:type="dxa"/>
            <w:vAlign w:val="center"/>
          </w:tcPr>
          <w:p w14:paraId="47D47FA0">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餐饮、住宿、会议及其服务</w:t>
            </w:r>
          </w:p>
        </w:tc>
        <w:tc>
          <w:tcPr>
            <w:tcW w:w="850" w:type="dxa"/>
            <w:vAlign w:val="center"/>
          </w:tcPr>
          <w:p w14:paraId="2B3EE64E">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w:t>
            </w:r>
          </w:p>
        </w:tc>
        <w:tc>
          <w:tcPr>
            <w:tcW w:w="1065" w:type="dxa"/>
            <w:vAlign w:val="center"/>
          </w:tcPr>
          <w:p w14:paraId="1D6B80B6">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服务行业</w:t>
            </w:r>
          </w:p>
        </w:tc>
        <w:tc>
          <w:tcPr>
            <w:tcW w:w="1066" w:type="dxa"/>
            <w:vAlign w:val="center"/>
          </w:tcPr>
          <w:p w14:paraId="1850EDA4">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066" w:type="dxa"/>
            <w:vAlign w:val="center"/>
          </w:tcPr>
          <w:p w14:paraId="4B0A2E6C">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w:t>
            </w:r>
          </w:p>
          <w:p w14:paraId="316FDDC7">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p>
        </w:tc>
      </w:tr>
      <w:tr w14:paraId="4D3E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41" w:type="dxa"/>
            <w:vAlign w:val="center"/>
          </w:tcPr>
          <w:p w14:paraId="3756CC8A">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450" w:type="dxa"/>
            <w:vAlign w:val="center"/>
          </w:tcPr>
          <w:p w14:paraId="41ED0CDD">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佛坪县党政机关公务接待定点场所采购</w:t>
            </w:r>
          </w:p>
        </w:tc>
        <w:tc>
          <w:tcPr>
            <w:tcW w:w="1434" w:type="dxa"/>
            <w:vAlign w:val="center"/>
          </w:tcPr>
          <w:p w14:paraId="37598C9E">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佛坪县党政机关公务接待定点场所采购</w:t>
            </w:r>
          </w:p>
        </w:tc>
        <w:tc>
          <w:tcPr>
            <w:tcW w:w="850" w:type="dxa"/>
            <w:vAlign w:val="center"/>
          </w:tcPr>
          <w:p w14:paraId="20529998">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餐饮、住宿及其服务</w:t>
            </w:r>
          </w:p>
        </w:tc>
        <w:tc>
          <w:tcPr>
            <w:tcW w:w="850" w:type="dxa"/>
            <w:vAlign w:val="center"/>
          </w:tcPr>
          <w:p w14:paraId="01AB420F">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w:t>
            </w:r>
          </w:p>
        </w:tc>
        <w:tc>
          <w:tcPr>
            <w:tcW w:w="1065" w:type="dxa"/>
            <w:vAlign w:val="center"/>
          </w:tcPr>
          <w:p w14:paraId="0E4F2441">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服务行业</w:t>
            </w:r>
          </w:p>
        </w:tc>
        <w:tc>
          <w:tcPr>
            <w:tcW w:w="1066" w:type="dxa"/>
            <w:vAlign w:val="center"/>
          </w:tcPr>
          <w:p w14:paraId="6F9D1109">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bookmarkStart w:id="20" w:name="_GoBack"/>
            <w:bookmarkEnd w:id="20"/>
          </w:p>
        </w:tc>
        <w:tc>
          <w:tcPr>
            <w:tcW w:w="1066" w:type="dxa"/>
            <w:vAlign w:val="center"/>
          </w:tcPr>
          <w:p w14:paraId="62D200F2">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w:t>
            </w:r>
          </w:p>
        </w:tc>
      </w:tr>
    </w:tbl>
    <w:p w14:paraId="54086D06">
      <w:pPr>
        <w:pStyle w:val="13"/>
        <w:ind w:firstLine="480" w:firstLineChars="200"/>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lang w:val="en-US" w:eastAsia="zh-Hans"/>
        </w:rPr>
        <w:t>要求：详见征集文件</w:t>
      </w:r>
    </w:p>
    <w:p w14:paraId="33C2AF2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是否存在量价折扣关系：</w:t>
      </w:r>
      <w:r>
        <w:rPr>
          <w:rFonts w:hint="eastAsia" w:ascii="仿宋_GB2312" w:hAnsi="仿宋_GB2312" w:eastAsia="仿宋_GB2312" w:cs="仿宋_GB2312"/>
          <w:sz w:val="24"/>
          <w:szCs w:val="24"/>
          <w:lang w:val="en-US" w:eastAsia="zh-CN"/>
        </w:rPr>
        <w:t>否</w:t>
      </w:r>
    </w:p>
    <w:p w14:paraId="03EC7278">
      <w:pPr>
        <w:pStyle w:val="13"/>
        <w:outlineLvl w:val="2"/>
      </w:pPr>
      <w:r>
        <w:rPr>
          <w:rFonts w:hint="eastAsia"/>
          <w:b/>
          <w:sz w:val="28"/>
          <w:lang w:val="en-US" w:eastAsia="zh-CN"/>
        </w:rPr>
        <w:t>二</w:t>
      </w:r>
      <w:r>
        <w:rPr>
          <w:b/>
          <w:sz w:val="28"/>
        </w:rPr>
        <w:t>、响应文件</w:t>
      </w:r>
    </w:p>
    <w:p w14:paraId="7D0C12FD">
      <w:pPr>
        <w:pStyle w:val="13"/>
        <w:outlineLvl w:val="3"/>
      </w:pPr>
      <w:r>
        <w:rPr>
          <w:b/>
          <w:sz w:val="24"/>
        </w:rPr>
        <w:t>（一）响应文件的语言</w:t>
      </w:r>
    </w:p>
    <w:p w14:paraId="3A86F46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供应商提交的响应文件以及供应商与征集人就有关响应的所有来往书面文件均须使用中文。响应文件中如附有外文资料，主要部分要对应翻译成中文并附在相关外文资料后面。未翻译的外文资料，评审委员会可将其视为无效材料。</w:t>
      </w:r>
    </w:p>
    <w:p w14:paraId="3C01CF5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翻译的中文资料与外文资料如果出现差异和矛盾时，以中文为准。涉嫌提供虚假材料的按照相关法律法规处理。</w:t>
      </w:r>
    </w:p>
    <w:p w14:paraId="7E3C438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如因未翻译而造成对供应商的不利后果，由供应商承担。</w:t>
      </w:r>
    </w:p>
    <w:p w14:paraId="1A942EC5">
      <w:pPr>
        <w:pStyle w:val="13"/>
        <w:outlineLvl w:val="3"/>
      </w:pPr>
      <w:r>
        <w:rPr>
          <w:b/>
          <w:sz w:val="24"/>
        </w:rPr>
        <w:t>（二）计量单位</w:t>
      </w:r>
    </w:p>
    <w:p w14:paraId="36EAD7D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除征集文件中另有规定外，本项目均采用国家法定的计量单位。</w:t>
      </w:r>
    </w:p>
    <w:p w14:paraId="758F59D7">
      <w:pPr>
        <w:pStyle w:val="13"/>
        <w:outlineLvl w:val="3"/>
      </w:pPr>
      <w:r>
        <w:rPr>
          <w:b/>
          <w:sz w:val="24"/>
        </w:rPr>
        <w:t>（三）响应货币</w:t>
      </w:r>
    </w:p>
    <w:p w14:paraId="78ECC57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本项目均以人民币报价。</w:t>
      </w:r>
    </w:p>
    <w:p w14:paraId="1614BC8F">
      <w:pPr>
        <w:pStyle w:val="13"/>
        <w:outlineLvl w:val="3"/>
      </w:pPr>
      <w:r>
        <w:rPr>
          <w:b/>
          <w:sz w:val="24"/>
        </w:rPr>
        <w:t>（四）知识产权</w:t>
      </w:r>
    </w:p>
    <w:p w14:paraId="576473E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征集人和采购人享有本项目实施过程中产生的知识成果及知识产权。</w:t>
      </w:r>
    </w:p>
    <w:p w14:paraId="79C5526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38DFE60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如采用供应商所不拥有的知识产权，则在响应报价中必须包括合法使用该知识产权的相关费用。</w:t>
      </w:r>
    </w:p>
    <w:p w14:paraId="5632A0E8">
      <w:pPr>
        <w:pStyle w:val="13"/>
        <w:outlineLvl w:val="3"/>
      </w:pPr>
      <w:r>
        <w:rPr>
          <w:b/>
          <w:sz w:val="24"/>
        </w:rPr>
        <w:t>（五）响应文件的组成</w:t>
      </w:r>
    </w:p>
    <w:p w14:paraId="701B92A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供应商应当按照征集文件的要求编制响应文件。响应文件应当对征集文件提出的要求和条件做出明确响应。</w:t>
      </w:r>
    </w:p>
    <w:p w14:paraId="2B62E14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响应文件具体内容详见第七章。</w:t>
      </w:r>
    </w:p>
    <w:p w14:paraId="6D54593F">
      <w:pPr>
        <w:pStyle w:val="13"/>
        <w:outlineLvl w:val="3"/>
      </w:pPr>
      <w:r>
        <w:rPr>
          <w:b/>
          <w:sz w:val="24"/>
        </w:rPr>
        <w:t>（六）响应文件格式</w:t>
      </w:r>
    </w:p>
    <w:p w14:paraId="4765C75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供应商应按照征集文件第七章中提供的“响应文件格式”填写相关内容。</w:t>
      </w:r>
    </w:p>
    <w:p w14:paraId="2106C50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对于没有格式要求的响应文件由供应商自行编写。</w:t>
      </w:r>
    </w:p>
    <w:p w14:paraId="6828F50A">
      <w:pPr>
        <w:pStyle w:val="13"/>
        <w:outlineLvl w:val="3"/>
      </w:pPr>
      <w:r>
        <w:rPr>
          <w:b/>
          <w:sz w:val="24"/>
        </w:rPr>
        <w:t>（七）响应报价</w:t>
      </w:r>
    </w:p>
    <w:p w14:paraId="66DBE85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供应商根据采购文件进行响应报价。服务项目单价按照单位采购标的价格或者人工单价等确定。服务项目所涉及的货物的费用，能够折算入服务项目总价的应当折入，需要按实结算的应当明确结算规则。</w:t>
      </w:r>
    </w:p>
    <w:p w14:paraId="03C8BB74">
      <w:pPr>
        <w:pStyle w:val="13"/>
        <w:outlineLvl w:val="3"/>
      </w:pPr>
      <w:r>
        <w:rPr>
          <w:b/>
          <w:sz w:val="24"/>
        </w:rPr>
        <w:t>（八）响应有效期</w:t>
      </w:r>
    </w:p>
    <w:p w14:paraId="1F6015E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响应有效期详见第二章“供应商须知前附表”，响应文件未明确响应有效期或者响应有效期小于“供应商须知前附表”中响应有效期要求的，其响应文件按无效处理。</w:t>
      </w:r>
    </w:p>
    <w:p w14:paraId="3D2BF729">
      <w:pPr>
        <w:pStyle w:val="13"/>
        <w:outlineLvl w:val="3"/>
      </w:pPr>
      <w:r>
        <w:rPr>
          <w:b/>
          <w:sz w:val="24"/>
        </w:rPr>
        <w:t>（</w:t>
      </w:r>
      <w:r>
        <w:rPr>
          <w:rFonts w:hint="eastAsia"/>
          <w:b/>
          <w:sz w:val="24"/>
          <w:lang w:val="en-US" w:eastAsia="zh-CN"/>
        </w:rPr>
        <w:t>九</w:t>
      </w:r>
      <w:r>
        <w:rPr>
          <w:b/>
          <w:sz w:val="24"/>
        </w:rPr>
        <w:t>）响应文件的提交</w:t>
      </w:r>
    </w:p>
    <w:p w14:paraId="3791EDA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供应商应当在响应文件提交截止时间前，将纸质响应文件报至县政府采购中心。</w:t>
      </w:r>
    </w:p>
    <w:p w14:paraId="61EAFC8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在响应文件提交截止时间后，征集人不再接受供应商提交响应文件。供应商应充分考虑影响响应文件提交的各种因素，确保在响应文件提交截止时间前完成提交。</w:t>
      </w:r>
    </w:p>
    <w:p w14:paraId="2DCAB049">
      <w:pPr>
        <w:pStyle w:val="13"/>
        <w:outlineLvl w:val="3"/>
      </w:pPr>
      <w:r>
        <w:rPr>
          <w:b/>
          <w:sz w:val="24"/>
        </w:rPr>
        <w:t>（十）响应文件的补充、修改、撤回</w:t>
      </w:r>
    </w:p>
    <w:p w14:paraId="227BCC9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响应文件提交截止时间前，供应商可以补充、修改或者撤回已成功提交的响应文件；对响应文件进行补充、修改的，应当先行撤回已提交的响应文件，补充、修改后重新提交。</w:t>
      </w:r>
    </w:p>
    <w:p w14:paraId="2FBF174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供应商响应文件撤回后，视为未提交过响应文件。</w:t>
      </w:r>
    </w:p>
    <w:p w14:paraId="5EC3FEBA">
      <w:pPr>
        <w:pStyle w:val="13"/>
        <w:outlineLvl w:val="2"/>
      </w:pPr>
      <w:r>
        <w:rPr>
          <w:b/>
          <w:sz w:val="28"/>
        </w:rPr>
        <w:t>（十</w:t>
      </w:r>
      <w:r>
        <w:rPr>
          <w:rFonts w:hint="eastAsia"/>
          <w:b/>
          <w:sz w:val="28"/>
          <w:lang w:val="en-US" w:eastAsia="zh-CN"/>
        </w:rPr>
        <w:t>一</w:t>
      </w:r>
      <w:r>
        <w:rPr>
          <w:b/>
          <w:sz w:val="28"/>
        </w:rPr>
        <w:t>）响应文件开启、资格审查、评审和确定入围供应商</w:t>
      </w:r>
    </w:p>
    <w:p w14:paraId="1B2F54B7">
      <w:pPr>
        <w:pStyle w:val="13"/>
        <w:ind w:firstLine="480" w:firstLineChars="200"/>
        <w:outlineLvl w:val="3"/>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查询及使用信用记录</w:t>
      </w:r>
    </w:p>
    <w:p w14:paraId="243038B8">
      <w:pPr>
        <w:pStyle w:val="13"/>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szCs w:val="24"/>
          <w:lang w:val="en-US" w:eastAsia="zh-CN"/>
        </w:rPr>
        <w:t>开启结束后，征集人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w:t>
      </w:r>
      <w:r>
        <w:rPr>
          <w:rFonts w:hint="eastAsia" w:ascii="仿宋_GB2312" w:hAnsi="仿宋_GB2312" w:eastAsia="仿宋_GB2312" w:cs="仿宋_GB2312"/>
          <w:b w:val="0"/>
          <w:bCs/>
          <w:sz w:val="24"/>
          <w:szCs w:val="24"/>
          <w:lang w:val="en-US" w:eastAsia="zh-CN"/>
        </w:rPr>
        <w:t>记录名单中的供应商参加本项目的采购活动。</w:t>
      </w:r>
    </w:p>
    <w:p w14:paraId="14C1FF75">
      <w:pPr>
        <w:pStyle w:val="13"/>
        <w:ind w:firstLine="480" w:firstLineChars="200"/>
        <w:outlineLvl w:val="3"/>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2.资格审查</w:t>
      </w:r>
    </w:p>
    <w:p w14:paraId="43B4B04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详见征集文件第四章。</w:t>
      </w:r>
    </w:p>
    <w:p w14:paraId="65B8D2F9">
      <w:pPr>
        <w:pStyle w:val="13"/>
        <w:ind w:firstLine="480" w:firstLineChars="200"/>
        <w:outlineLvl w:val="3"/>
      </w:pPr>
      <w:r>
        <w:rPr>
          <w:rFonts w:hint="eastAsia" w:ascii="仿宋_GB2312" w:hAnsi="仿宋_GB2312" w:eastAsia="仿宋_GB2312" w:cs="仿宋_GB2312"/>
          <w:b w:val="0"/>
          <w:bCs/>
          <w:sz w:val="24"/>
          <w:szCs w:val="24"/>
          <w:lang w:val="en-US" w:eastAsia="zh-CN"/>
        </w:rPr>
        <w:t>3.入围评审</w:t>
      </w:r>
    </w:p>
    <w:p w14:paraId="1ADFF86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详见征集文件第五章。</w:t>
      </w:r>
    </w:p>
    <w:p w14:paraId="38954458">
      <w:pPr>
        <w:pStyle w:val="13"/>
        <w:ind w:firstLine="480" w:firstLineChars="200"/>
        <w:outlineLvl w:val="3"/>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4.入围公告</w:t>
      </w:r>
    </w:p>
    <w:p w14:paraId="0662943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评审委员会确定入围供应商后，征集人在陕西省政府采购网站发布入围结果公告。</w:t>
      </w:r>
    </w:p>
    <w:p w14:paraId="6CFEBEFF">
      <w:pPr>
        <w:pStyle w:val="13"/>
        <w:outlineLvl w:val="2"/>
      </w:pPr>
      <w:r>
        <w:rPr>
          <w:rFonts w:hint="eastAsia"/>
          <w:b/>
          <w:sz w:val="28"/>
          <w:lang w:eastAsia="zh-CN"/>
        </w:rPr>
        <w:t>三</w:t>
      </w:r>
      <w:r>
        <w:rPr>
          <w:b/>
          <w:sz w:val="28"/>
        </w:rPr>
        <w:t>、签订框架协议</w:t>
      </w:r>
    </w:p>
    <w:p w14:paraId="2F8178D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（一）征集人与入围供应商签订框架协议，并在框架协议签订后7个工作日内，将框架协议报本级财政部门备案。</w:t>
      </w:r>
    </w:p>
    <w:p w14:paraId="24BFAB4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（二）征集人和入围供应商签订的框架协议不得对征集文件确定的事项以及入围供应商的响应文件作实质性修改。</w:t>
      </w:r>
    </w:p>
    <w:p w14:paraId="2446E822">
      <w:pPr>
        <w:pStyle w:val="13"/>
        <w:outlineLvl w:val="2"/>
      </w:pPr>
      <w:r>
        <w:rPr>
          <w:rFonts w:hint="eastAsia"/>
          <w:b/>
          <w:sz w:val="28"/>
          <w:lang w:eastAsia="zh-CN"/>
        </w:rPr>
        <w:t>四</w:t>
      </w:r>
      <w:r>
        <w:rPr>
          <w:b/>
          <w:sz w:val="28"/>
        </w:rPr>
        <w:t>、纪律要求</w:t>
      </w:r>
    </w:p>
    <w:p w14:paraId="34504EE8">
      <w:pPr>
        <w:pStyle w:val="13"/>
        <w:outlineLvl w:val="3"/>
      </w:pPr>
      <w:r>
        <w:rPr>
          <w:b/>
          <w:sz w:val="24"/>
        </w:rPr>
        <w:t>（一）评审活动纪律要求</w:t>
      </w:r>
    </w:p>
    <w:p w14:paraId="671F2EE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征集人应保证评审活动在严格保密的情况下进行，征集人、供应商和评审委员会成员应当严格遵守政府采购法律法规规章制度和本项目征集文件以及征集人现场管理规定，接受征集人委派的监督人员的监督，任何单位和个人不得非法干预和影响评审过程和结果。对各供应商的商业秘密，评审委员会成员应予以保密，不得泄露给其他供应商。</w:t>
      </w:r>
    </w:p>
    <w:p w14:paraId="54FE1B3F">
      <w:pPr>
        <w:pStyle w:val="13"/>
        <w:outlineLvl w:val="3"/>
      </w:pPr>
      <w:r>
        <w:rPr>
          <w:b/>
          <w:sz w:val="24"/>
        </w:rPr>
        <w:t>（二）供应商不得具有的情形</w:t>
      </w:r>
    </w:p>
    <w:p w14:paraId="028C796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供应商参加征集响应不得有下列情形：</w:t>
      </w:r>
    </w:p>
    <w:p w14:paraId="588EA9F5">
      <w:pPr>
        <w:pStyle w:val="13"/>
        <w:numPr>
          <w:ilvl w:val="0"/>
          <w:numId w:val="2"/>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有下列情形之一的，视为供应商串通响应，其响应无效：</w:t>
      </w:r>
    </w:p>
    <w:p w14:paraId="2D5D625A">
      <w:pPr>
        <w:pStyle w:val="13"/>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（1）不同供应商的响应文件由同一单位或者个人编制；</w:t>
      </w:r>
    </w:p>
    <w:p w14:paraId="4F2A69F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（2）不同供应商委托同一单位或者个人办理响应事宜；</w:t>
      </w:r>
    </w:p>
    <w:p w14:paraId="2C7DF8A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（3）不同供应商的响应文件载明的项目管理成员或者联系人员为同一人；</w:t>
      </w:r>
    </w:p>
    <w:p w14:paraId="7717563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（4）不同供应商的响应文件异常一致或者响应报价呈规律性差异；</w:t>
      </w:r>
    </w:p>
    <w:p w14:paraId="04BBC62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（5）不同供应商的响应文件相互混装。</w:t>
      </w:r>
    </w:p>
    <w:p w14:paraId="28FBCC7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提供虚假材料谋取入围；</w:t>
      </w:r>
    </w:p>
    <w:p w14:paraId="77C6669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采取不正当手段诋毁、排挤其他供应商；</w:t>
      </w:r>
    </w:p>
    <w:p w14:paraId="2410A9A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 与征集人或其他供应商恶意串通；</w:t>
      </w:r>
    </w:p>
    <w:p w14:paraId="0CEC285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向征集人、评审委员会成员行贿或者提供其他不正当利益；</w:t>
      </w:r>
    </w:p>
    <w:p w14:paraId="30E4C7B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在征集过程中与征集人进行协商谈判；</w:t>
      </w:r>
    </w:p>
    <w:p w14:paraId="6D310C5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 入围后无正当理由拒不与征集人签订框架协议；</w:t>
      </w:r>
    </w:p>
    <w:p w14:paraId="2DD6CC2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 未按照征集文件确定的事项签订框架协议；</w:t>
      </w:r>
    </w:p>
    <w:p w14:paraId="5578CFC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 提供假冒伪劣产品；</w:t>
      </w:r>
    </w:p>
    <w:p w14:paraId="231E105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 擅自变更、中止或者终止框架协议；</w:t>
      </w:r>
    </w:p>
    <w:p w14:paraId="1EE8D46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 拒绝有关部门的监督检查或者向监督检查部门提供虚假情况；</w:t>
      </w:r>
    </w:p>
    <w:p w14:paraId="213BF01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 法律法规规定的其他禁止情形。</w:t>
      </w:r>
    </w:p>
    <w:p w14:paraId="1B95047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供应商出现上述情形，将依法追究其法律责任；已提交响应文件的，其响应文件作无效处理；已入围的，取消入围资格或者解除框架协议。</w:t>
      </w:r>
    </w:p>
    <w:p w14:paraId="0182CD6B">
      <w:pPr>
        <w:pStyle w:val="13"/>
        <w:outlineLvl w:val="3"/>
      </w:pPr>
      <w:r>
        <w:rPr>
          <w:b/>
          <w:sz w:val="24"/>
        </w:rPr>
        <w:t>（三）征集人员及相关人员回避要求</w:t>
      </w:r>
    </w:p>
    <w:p w14:paraId="314D342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政府采购活动中，征集人相关人员与供应商有下列利害关系之一的，应当回避：</w:t>
      </w:r>
    </w:p>
    <w:p w14:paraId="53716B0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参加采购活动前3年内与供应商存在劳动关系；</w:t>
      </w:r>
    </w:p>
    <w:p w14:paraId="23B40EB9">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参加采购活动前3年内担任供应商的董事、监事；</w:t>
      </w:r>
    </w:p>
    <w:p w14:paraId="1F27FB2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参加采购活动前3年内是供应商的控股股东或者实际控制人；</w:t>
      </w:r>
    </w:p>
    <w:p w14:paraId="77867219">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 与供应商的法定代表人或者负责人有夫妻、直系血亲、三代以内旁系血亲或者近姻亲关系；</w:t>
      </w:r>
    </w:p>
    <w:p w14:paraId="0765A25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与供应商有其他可能影响政府采购活动公平、公正进行的关系。</w:t>
      </w:r>
    </w:p>
    <w:p w14:paraId="1E1AEDF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供应商认为征集人相关人员与其他供应商有利害关系的，可以向征集人书面提出回避申请，并说明理由。征集人将及时询问被申请回避人员，有利害关系的被申请回避人员应当回避。</w:t>
      </w:r>
    </w:p>
    <w:p w14:paraId="11B37271">
      <w:pPr>
        <w:pStyle w:val="13"/>
        <w:outlineLvl w:val="2"/>
      </w:pPr>
      <w:r>
        <w:rPr>
          <w:rFonts w:hint="eastAsia"/>
          <w:b/>
          <w:sz w:val="28"/>
          <w:lang w:val="en-US" w:eastAsia="zh-CN"/>
        </w:rPr>
        <w:t>五</w:t>
      </w:r>
      <w:r>
        <w:rPr>
          <w:b/>
          <w:sz w:val="28"/>
        </w:rPr>
        <w:t>、用户反馈和评价机制</w:t>
      </w:r>
    </w:p>
    <w:p w14:paraId="699C9AB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和服务对象将对入围供应商履行框架协议和采购合同情况进行反馈与评价，反馈和评价情况将向采购人和服务对象公开，作为第二阶段直接选定成交供应商的参考。征集人根据《政府采购框架协议采购方式管理暂行办法》规定，结合项目实际，建立对入围供应商、商品、代理商的评价反馈制度。</w:t>
      </w:r>
    </w:p>
    <w:p w14:paraId="6F8226CD">
      <w:pPr>
        <w:pStyle w:val="13"/>
        <w:outlineLvl w:val="2"/>
      </w:pPr>
      <w:r>
        <w:rPr>
          <w:rFonts w:hint="eastAsia"/>
          <w:b/>
          <w:sz w:val="28"/>
          <w:lang w:val="en-US" w:eastAsia="zh-CN"/>
        </w:rPr>
        <w:t>六</w:t>
      </w:r>
      <w:r>
        <w:rPr>
          <w:b/>
          <w:sz w:val="28"/>
        </w:rPr>
        <w:t>、入围供应商的清退和补充规则</w:t>
      </w:r>
    </w:p>
    <w:p w14:paraId="21E9E42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（一）入围供应商清退规则：</w:t>
      </w:r>
    </w:p>
    <w:p w14:paraId="1731BDF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入围供应商有下列情形之一，尚未签订框架协议的，取消其入围资格；已经签订框架协议的，解除与其签订的框架协议：</w:t>
      </w:r>
    </w:p>
    <w:p w14:paraId="5AECA1A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恶意串通谋取入围或者合同成交的；</w:t>
      </w:r>
    </w:p>
    <w:p w14:paraId="0FAE016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提供虚假材料谋取入围或者合同成交的；</w:t>
      </w:r>
    </w:p>
    <w:p w14:paraId="3A17A57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无正当理由拒不接受合同授予的；</w:t>
      </w:r>
    </w:p>
    <w:p w14:paraId="557D460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 不履行合同义务或者履行合同义务不符合约定，经采购人请求履行后仍不履行或者仍未按约定履行的；</w:t>
      </w:r>
    </w:p>
    <w:p w14:paraId="057CB94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框架协议有效期内，因违法行为被禁止或限制参加政府采购活动的；</w:t>
      </w:r>
    </w:p>
    <w:p w14:paraId="6215113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框架协议约定的其他情形：</w:t>
      </w:r>
    </w:p>
    <w:p w14:paraId="4D5C600F">
      <w:pPr>
        <w:pStyle w:val="13"/>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被取消入围资格或者被解除框架协议的供应商不得参加同一开放式框架协议补充征集。</w:t>
      </w:r>
    </w:p>
    <w:p w14:paraId="3EE28A63">
      <w:pPr>
        <w:pStyle w:val="13"/>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（二）入围供应商退出规则：</w:t>
      </w:r>
    </w:p>
    <w:p w14:paraId="620CA07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开放式框架协议入围供应商无正当理由，不得主动放弃入围资格或者退出框架协议。</w:t>
      </w:r>
    </w:p>
    <w:p w14:paraId="11758BD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开放式框架协议入围供应商可以随时申请退出框架协议。集中采购机构或主管预算单位应当在收到退出申请2个工作日内，发布入围供应商退出公告。</w:t>
      </w:r>
    </w:p>
    <w:p w14:paraId="096D37C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（三）入围供应商补充规则：是否允许补充征集供应商：是</w:t>
      </w:r>
    </w:p>
    <w:p w14:paraId="297A75B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1.供应商被取消入围资格或者被解除框架协议的，不得参加同一框架协议补充征集活动。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2.供应商退出或者被取消供应商入围资格后，剩余入围供应商数量不足原入围供应商数量70%且影响框架协议执行的，征集人将补充征集供应商。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3.补充征集的条件、程序、评审方法和淘汰比例，以及入围最高限价或入围质量标准与初次征集相同。补充征集遵守原框架协议的有效期。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4.框架协议剩余期限不足以补充征集供应商时，框架协议将履行至期满终止。</w:t>
      </w:r>
    </w:p>
    <w:p w14:paraId="1F4453C2">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16F7FFD6">
      <w:pPr>
        <w:pStyle w:val="13"/>
        <w:outlineLvl w:val="2"/>
      </w:pPr>
      <w:r>
        <w:rPr>
          <w:rFonts w:hint="eastAsia"/>
          <w:b/>
          <w:sz w:val="28"/>
          <w:lang w:val="en-US" w:eastAsia="zh-CN"/>
        </w:rPr>
        <w:t>七</w:t>
      </w:r>
      <w:r>
        <w:rPr>
          <w:b/>
          <w:sz w:val="28"/>
        </w:rPr>
        <w:t>、其他要求</w:t>
      </w:r>
    </w:p>
    <w:p w14:paraId="247DB072">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w:t>
      </w:r>
    </w:p>
    <w:p w14:paraId="08FC6178">
      <w:pPr>
        <w:pStyle w:val="13"/>
        <w:outlineLvl w:val="2"/>
      </w:pPr>
      <w:r>
        <w:rPr>
          <w:rFonts w:hint="eastAsia"/>
          <w:b/>
          <w:sz w:val="28"/>
          <w:lang w:val="en-US" w:eastAsia="zh-CN"/>
        </w:rPr>
        <w:t>八</w:t>
      </w:r>
      <w:r>
        <w:rPr>
          <w:b/>
          <w:sz w:val="28"/>
        </w:rPr>
        <w:t>、商务要求</w:t>
      </w:r>
    </w:p>
    <w:p w14:paraId="7DB8048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采购包名称：佛坪县2025-2027年度党政机关会议定点场所及公务接待定点场所开放式框架协议采购项目</w:t>
      </w:r>
    </w:p>
    <w:p w14:paraId="234E2BC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（一）支付时间和条件：据实结算</w:t>
      </w:r>
    </w:p>
    <w:p w14:paraId="7B1A3EC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（二）考核（验收）标准和方法：以采购人与入围供应商签订的合同为准。</w:t>
      </w:r>
    </w:p>
    <w:p w14:paraId="2AE12BFD">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（三）违约责任：</w:t>
      </w:r>
    </w:p>
    <w:p w14:paraId="738BB77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1.按《中华人民共和国民法典》中的相关条款执行。</w:t>
      </w:r>
    </w:p>
    <w:p w14:paraId="0B71043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2.未按合同要求提供服务或服务质量不能满足合同要求，采购人有权依据《中华人民共和国民法典》有关条款及合同约定终止合同，并要求入围供应商承担违约责任。</w:t>
      </w:r>
    </w:p>
    <w:p w14:paraId="5F8E9FE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（四）解决争议的方式：</w:t>
      </w:r>
    </w:p>
    <w:p w14:paraId="6E92933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执行本合同中产生纠纷，由采购人与入围供应商双方协商解决；协商不成，向有管辖权的人民法院提起诉讼。</w:t>
      </w:r>
    </w:p>
    <w:p w14:paraId="24FB6C1B">
      <w:pPr>
        <w:pStyle w:val="13"/>
        <w:outlineLvl w:val="2"/>
      </w:pPr>
      <w:r>
        <w:rPr>
          <w:rFonts w:hint="eastAsia"/>
          <w:b/>
          <w:sz w:val="28"/>
          <w:lang w:val="en-US" w:eastAsia="zh-CN"/>
        </w:rPr>
        <w:t>九</w:t>
      </w:r>
      <w:r>
        <w:rPr>
          <w:b/>
          <w:sz w:val="28"/>
        </w:rPr>
        <w:t>、其他要求</w:t>
      </w:r>
    </w:p>
    <w:p w14:paraId="1ED250E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无 </w:t>
      </w:r>
    </w:p>
    <w:p w14:paraId="6EA5B00D">
      <w:pPr>
        <w:pStyle w:val="13"/>
        <w:jc w:val="center"/>
        <w:outlineLvl w:val="1"/>
      </w:pPr>
      <w:r>
        <w:rPr>
          <w:b/>
          <w:sz w:val="36"/>
        </w:rPr>
        <w:t>第四章 资格审查</w:t>
      </w:r>
    </w:p>
    <w:p w14:paraId="335319F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征集人负责对响应供应商进行资格审查，出具资格审查报告。不满足任何一项审查内容要求，资格审查即为不合格。资格审查标准及要求如下：</w:t>
      </w:r>
    </w:p>
    <w:p w14:paraId="64D026EC">
      <w:pPr>
        <w:pStyle w:val="13"/>
        <w:outlineLvl w:val="2"/>
        <w:rPr>
          <w:rFonts w:hint="eastAsia" w:ascii="仿宋_GB2312" w:hAnsi="仿宋_GB2312" w:eastAsia="仿宋_GB2312" w:cs="仿宋_GB2312"/>
          <w:b/>
          <w:sz w:val="28"/>
          <w:szCs w:val="28"/>
        </w:rPr>
      </w:pPr>
      <w:r>
        <w:rPr>
          <w:rFonts w:hint="eastAsia"/>
          <w:b/>
          <w:sz w:val="28"/>
          <w:szCs w:val="22"/>
          <w:lang w:val="en-US" w:eastAsia="zh-CN"/>
        </w:rPr>
        <w:t>一、基本资格要求</w:t>
      </w:r>
      <w:r>
        <w:rPr>
          <w:rFonts w:hint="eastAsia" w:ascii="仿宋_GB2312" w:hAnsi="仿宋_GB2312" w:eastAsia="仿宋_GB2312" w:cs="仿宋_GB2312"/>
          <w:b/>
          <w:sz w:val="28"/>
          <w:szCs w:val="28"/>
        </w:rPr>
        <w:t>​</w:t>
      </w:r>
    </w:p>
    <w:p w14:paraId="7EE247E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中华人民共和国政府采购法》第二十二条规定，即具有独立承担民事责任的能力；具有良好的商业信誉和健全的财务会计制度；具有履行合同所必需的设备和专业技术能力；有依法缴纳税收和社会保障资金的良好记录；参加政府采购活动近三年内，在经营活动中没有重大违法记录；法律、行政法规规定的其他条件。​</w:t>
      </w:r>
    </w:p>
    <w:p w14:paraId="193D719E">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落实政府采购政策需满足的资格要求，本项目可根据实际情况确定是否专门面向中小企业采购等相关政策要求。​</w:t>
      </w:r>
    </w:p>
    <w:p w14:paraId="056290EF">
      <w:pPr>
        <w:pStyle w:val="13"/>
        <w:outlineLvl w:val="2"/>
        <w:rPr>
          <w:rFonts w:hint="eastAsia"/>
          <w:b/>
          <w:sz w:val="28"/>
          <w:szCs w:val="22"/>
          <w:lang w:val="en-US" w:eastAsia="zh-CN"/>
        </w:rPr>
      </w:pPr>
      <w:r>
        <w:rPr>
          <w:rFonts w:hint="eastAsia"/>
          <w:b/>
          <w:sz w:val="28"/>
          <w:szCs w:val="22"/>
          <w:lang w:val="en-US" w:eastAsia="zh-CN"/>
        </w:rPr>
        <w:t>二、特定资格要求​</w:t>
      </w:r>
    </w:p>
    <w:p w14:paraId="78D16D09">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人应具有加载统一社会信用代码的《营业执照》有效证件；响应人如为企业法人，须提供企业法人营业执照；响应人如为事业单位或其他组织，须提供事业单位法人证书或执业许可证或个体工商户营业执照，本条所指的其他组织不包含法人的分支机构（银行、保险、石油、石化、电力、电信等有行业特殊情况的除外）。​</w:t>
      </w:r>
    </w:p>
    <w:p w14:paraId="78CC8605">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于会议定点场所供应商，需具备《卫生许可证》；对于提供餐饮服务的会议定点场所及公务接待定点场所供应商，需满足一次性接待30人以上规模，还需具备《餐饮服务许可证》或《食品经营许可证》的有效证件。​</w:t>
      </w:r>
    </w:p>
    <w:p w14:paraId="0AE186D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响应人应未被列入 “信用中国” 网站、中国政府采购网等渠道信用记录中的失信被执行人、重大税收违法案件当事人名单、政府采购严重违法失信行为记录名单。</w:t>
      </w:r>
    </w:p>
    <w:p w14:paraId="45DB336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会议定点场所及公务接待定点场所不得位于旅游景区。</w:t>
      </w:r>
    </w:p>
    <w:p w14:paraId="099E55E7">
      <w:pPr>
        <w:pStyle w:val="13"/>
        <w:outlineLvl w:val="2"/>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三、落实政府采购政策资格审查</w:t>
      </w:r>
    </w:p>
    <w:p w14:paraId="140538E4">
      <w:pPr>
        <w:pStyle w:val="13"/>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本项目不属于专门面向中小企业采购。</w:t>
      </w:r>
    </w:p>
    <w:p w14:paraId="63E6A00D">
      <w:pPr>
        <w:pStyle w:val="13"/>
        <w:jc w:val="center"/>
        <w:outlineLvl w:val="1"/>
      </w:pPr>
      <w:r>
        <w:rPr>
          <w:b/>
          <w:sz w:val="36"/>
        </w:rPr>
        <w:t>第五章 入围评审办法</w:t>
      </w:r>
    </w:p>
    <w:p w14:paraId="136A7DA3">
      <w:pPr>
        <w:pStyle w:val="13"/>
        <w:outlineLvl w:val="2"/>
      </w:pPr>
      <w:r>
        <w:rPr>
          <w:b/>
          <w:sz w:val="28"/>
        </w:rPr>
        <w:t>一、总则</w:t>
      </w:r>
    </w:p>
    <w:p w14:paraId="7790657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（一）根据《中华人民共和国政府采购法》、《中华人民共和国政府采购法实施条例》、《政府采购框架协议采购方式管理暂行办法》、《政府采购需求管理办法》等法律规章，结合本项目特点制定本评审办法。</w:t>
      </w:r>
    </w:p>
    <w:p w14:paraId="4CF6546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（二）评审工作由征集人负责组织，具体评审事务由征集人依法组建的评审委员会负责。评审委员会由评审专家组成。</w:t>
      </w:r>
    </w:p>
    <w:p w14:paraId="5EBFE84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（三）评审工作应遵循公平、公正、科学及择优的原则，并以相同的评审程序和标准对待所有的供应商。</w:t>
      </w:r>
    </w:p>
    <w:p w14:paraId="1137EC0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（四）评审过程应当独立、保密，任何单位和个人不得非法干预评审活动。供应商非法干预评审活动的，其响应文件将作无效处理；征集人及其工作人员非法干预评审活动的，将依法追究其责任。</w:t>
      </w:r>
    </w:p>
    <w:p w14:paraId="0D95061E">
      <w:pPr>
        <w:pStyle w:val="13"/>
        <w:outlineLvl w:val="2"/>
      </w:pPr>
      <w:r>
        <w:rPr>
          <w:b/>
          <w:sz w:val="28"/>
        </w:rPr>
        <w:t>二、评审委员会</w:t>
      </w:r>
    </w:p>
    <w:p w14:paraId="5B4D743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 本项目评审委员会成员人数应当为五人以上单数，其中评审专家不得少于成员总数的三分之二。评审专家是采取随机方式在陕西省政府采购综合管理平台专家库系统（以下简称专家库系统）抽取。技术复杂、专业性较强的采购项目，评审专家中应当包含1名法律专家。</w:t>
      </w:r>
    </w:p>
    <w:p w14:paraId="3FCBEB0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评审委员会成员获取解密后的响应文件，开展评审活动。出现应当回避的情形时，评审委员会成员应当主动回避；征集人按规定申请补充抽取评审专家；无法及时补充抽取的，征集人应当封存供应商响应文件，按规定重新组建评审委员会，解封响应文件后，开展评审活动。</w:t>
      </w:r>
    </w:p>
    <w:p w14:paraId="0212B05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（三）评审委员会按照征集文件规定的评审程序、评审方法和标准进行评审，并独立履行下列职责：</w:t>
      </w:r>
    </w:p>
    <w:p w14:paraId="7C433B8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熟悉和理解征集文件；</w:t>
      </w:r>
    </w:p>
    <w:p w14:paraId="2406C90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审查供应商响应文件等是否满足征集文件要求，并作出评价；</w:t>
      </w:r>
    </w:p>
    <w:p w14:paraId="6F740E8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根据需要要求征集人对征集文件作出解释；根据需要要求供应商对响应文件有关事项作出澄清、说明或者更正；</w:t>
      </w:r>
    </w:p>
    <w:p w14:paraId="3F075DA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 确定入围供应商名单；</w:t>
      </w:r>
    </w:p>
    <w:p w14:paraId="6B90904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起草评审报告并进行签署;</w:t>
      </w:r>
    </w:p>
    <w:p w14:paraId="642CAC0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向征集人、财政部门或者其他监督部门报告非法干预评审工作的行为；</w:t>
      </w:r>
    </w:p>
    <w:p w14:paraId="67F8E9C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 法律、法规和规章规定的其他职责。</w:t>
      </w:r>
    </w:p>
    <w:p w14:paraId="463DC29E">
      <w:pPr>
        <w:pStyle w:val="13"/>
        <w:outlineLvl w:val="2"/>
      </w:pPr>
      <w:r>
        <w:rPr>
          <w:rFonts w:hint="eastAsia"/>
          <w:b/>
          <w:sz w:val="28"/>
          <w:lang w:eastAsia="zh-CN"/>
        </w:rPr>
        <w:t>三</w:t>
      </w:r>
      <w:r>
        <w:rPr>
          <w:b/>
          <w:sz w:val="28"/>
        </w:rPr>
        <w:t>、评审程序</w:t>
      </w:r>
    </w:p>
    <w:p w14:paraId="69DB9535">
      <w:pPr>
        <w:pStyle w:val="13"/>
        <w:ind w:firstLine="482" w:firstLineChars="200"/>
        <w:outlineLvl w:val="3"/>
      </w:pPr>
      <w:r>
        <w:rPr>
          <w:b/>
          <w:sz w:val="24"/>
        </w:rPr>
        <w:t>(一)审查征集文件和停止评审</w:t>
      </w:r>
    </w:p>
    <w:p w14:paraId="75E2FBE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评审委员会正式评审前，应当对征集文件进行熟悉和理解，内容主要包括征集文件中供应商资格资质性要求、采购项目技术、服务和商务要求、评审方法和标准以及可能涉及签订框架协议和采购合同的内容等。</w:t>
      </w:r>
    </w:p>
    <w:p w14:paraId="35FD707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本征集文件有下列情形之一的，评审委员会应当停止评审：</w:t>
      </w:r>
    </w:p>
    <w:p w14:paraId="5356041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（1）征集文件的规定存在歧义、重大缺陷的；</w:t>
      </w:r>
    </w:p>
    <w:p w14:paraId="1B22CDD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（2）征集文件明显以不合理条件对供应商实行差别待遇或者歧视待遇的；</w:t>
      </w:r>
    </w:p>
    <w:p w14:paraId="00F34B3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（3）项目属于国家规定的优先、强制采购范围，但是征集文件未依法体现优先、强制采购相关规定的；</w:t>
      </w:r>
    </w:p>
    <w:p w14:paraId="378372E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（4）项目属于政府采购促进中小企业发展的范围，但是征集文件未依法体现促进中小企业发展相关规定的；</w:t>
      </w:r>
    </w:p>
    <w:p w14:paraId="1DA20F2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（5）征集文件规定的评审方法是价格优先法或质量优先法之外的评审方法，或者虽然名称为价格优先法、质量优先法，但实际上不符合国家规定；</w:t>
      </w:r>
    </w:p>
    <w:p w14:paraId="671C01E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（6）征集文件将供应商的资格条件列为评分因素的；</w:t>
      </w:r>
    </w:p>
    <w:p w14:paraId="772AA8A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（7）征集文件有违反国家其他有关强制性规定的情形。</w:t>
      </w:r>
    </w:p>
    <w:p w14:paraId="4515789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出现上述应当停止评审情形的，评审委员会应当通过陕西政府采购网向征集人提交情况说明。除上述情形外，评审委员会不得以任何方式和理由停止评审。</w:t>
      </w:r>
    </w:p>
    <w:p w14:paraId="26A77BCC">
      <w:pPr>
        <w:pStyle w:val="13"/>
        <w:outlineLvl w:val="3"/>
      </w:pPr>
      <w:r>
        <w:rPr>
          <w:b/>
          <w:sz w:val="24"/>
        </w:rPr>
        <w:t>（二）符合性审查</w:t>
      </w:r>
    </w:p>
    <w:p w14:paraId="625A4C8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评审委员会依据征集文件的规定，对响应文件的有效性、完整性和对征集文件的响应程度进行审查，以确定是否对征集文件的全部实质性要求作出响应。</w:t>
      </w:r>
    </w:p>
    <w:p w14:paraId="512CAD9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在符合性审查过程中，如果出现评审委员会成员意见不一致的情况，按照少数服从多数的原则确定，但不得违背政府采购基本原则和征集文件规定。</w:t>
      </w:r>
    </w:p>
    <w:p w14:paraId="36E1008F">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符合性审查标准见下表（按以下顺序审查）：</w:t>
      </w:r>
    </w:p>
    <w:tbl>
      <w:tblPr>
        <w:tblStyle w:val="10"/>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1"/>
        <w:gridCol w:w="2373"/>
        <w:gridCol w:w="3164"/>
        <w:gridCol w:w="1978"/>
      </w:tblGrid>
      <w:tr w14:paraId="08CA0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4F35E09F">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序号</w:t>
            </w:r>
          </w:p>
        </w:tc>
        <w:tc>
          <w:tcPr>
            <w:tcW w:w="2373" w:type="dxa"/>
          </w:tcPr>
          <w:p w14:paraId="631B02AD">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评审项</w:t>
            </w:r>
          </w:p>
        </w:tc>
        <w:tc>
          <w:tcPr>
            <w:tcW w:w="3164" w:type="dxa"/>
          </w:tcPr>
          <w:p w14:paraId="70CA159E">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详细要求</w:t>
            </w:r>
          </w:p>
        </w:tc>
        <w:tc>
          <w:tcPr>
            <w:tcW w:w="1978" w:type="dxa"/>
          </w:tcPr>
          <w:p w14:paraId="66D94A00">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关联格式</w:t>
            </w:r>
          </w:p>
        </w:tc>
      </w:tr>
      <w:tr w14:paraId="074A4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002E10BB">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373" w:type="dxa"/>
          </w:tcPr>
          <w:p w14:paraId="608AA894">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响应文件语言及有效期</w:t>
            </w:r>
          </w:p>
        </w:tc>
        <w:tc>
          <w:tcPr>
            <w:tcW w:w="3164" w:type="dxa"/>
          </w:tcPr>
          <w:p w14:paraId="3ACB8E29">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响应文件语言及有效期符合征集文件要求，加盖公章。</w:t>
            </w:r>
          </w:p>
        </w:tc>
        <w:tc>
          <w:tcPr>
            <w:tcW w:w="1978" w:type="dxa"/>
          </w:tcPr>
          <w:p w14:paraId="783FB7C0">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响应函</w:t>
            </w:r>
          </w:p>
        </w:tc>
      </w:tr>
      <w:tr w14:paraId="4991A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71989C5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373" w:type="dxa"/>
          </w:tcPr>
          <w:p w14:paraId="2A60651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响应文件封面、响应函、法定代表人授权委托书两处的项目名称、项目编号</w:t>
            </w:r>
          </w:p>
        </w:tc>
        <w:tc>
          <w:tcPr>
            <w:tcW w:w="3164" w:type="dxa"/>
          </w:tcPr>
          <w:p w14:paraId="149846FA">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两处均无遗漏，且与所投项目名称、项目编号一致，加盖公章。</w:t>
            </w:r>
          </w:p>
        </w:tc>
        <w:tc>
          <w:tcPr>
            <w:tcW w:w="1978" w:type="dxa"/>
          </w:tcPr>
          <w:p w14:paraId="19077605">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法定代表人授权委托书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封面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响应函</w:t>
            </w:r>
          </w:p>
        </w:tc>
      </w:tr>
      <w:tr w14:paraId="664CA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3CCA982C">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373" w:type="dxa"/>
          </w:tcPr>
          <w:p w14:paraId="02B6325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供应商承诺书（一）</w:t>
            </w:r>
          </w:p>
        </w:tc>
        <w:tc>
          <w:tcPr>
            <w:tcW w:w="3164" w:type="dxa"/>
          </w:tcPr>
          <w:p w14:paraId="69B0B97D">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完全理解并接受《质量安全责任承诺书》，加盖公章。</w:t>
            </w:r>
          </w:p>
        </w:tc>
        <w:tc>
          <w:tcPr>
            <w:tcW w:w="1978" w:type="dxa"/>
          </w:tcPr>
          <w:p w14:paraId="484C59AA">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供应商承诺书（一）</w:t>
            </w:r>
          </w:p>
        </w:tc>
      </w:tr>
      <w:tr w14:paraId="39CAA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56F20E7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373" w:type="dxa"/>
          </w:tcPr>
          <w:p w14:paraId="77132FBB">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供应商承诺书（二）</w:t>
            </w:r>
          </w:p>
        </w:tc>
        <w:tc>
          <w:tcPr>
            <w:tcW w:w="3164" w:type="dxa"/>
          </w:tcPr>
          <w:p w14:paraId="6D618032">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完全理解并接受《拒绝政府采购领域商业贿赂承诺书》，加盖公章。</w:t>
            </w:r>
          </w:p>
        </w:tc>
        <w:tc>
          <w:tcPr>
            <w:tcW w:w="1978" w:type="dxa"/>
          </w:tcPr>
          <w:p w14:paraId="0BCC461C">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供应商承诺书（二）</w:t>
            </w:r>
          </w:p>
        </w:tc>
      </w:tr>
      <w:tr w14:paraId="0B575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08842A25">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373" w:type="dxa"/>
          </w:tcPr>
          <w:p w14:paraId="54BC1FCF">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框架协议响应</w:t>
            </w:r>
          </w:p>
        </w:tc>
        <w:tc>
          <w:tcPr>
            <w:tcW w:w="3164" w:type="dxa"/>
          </w:tcPr>
          <w:p w14:paraId="48DA8F48">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有完全理解并接受征集文件第六章“框架协议”，加盖公章。</w:t>
            </w:r>
          </w:p>
        </w:tc>
        <w:tc>
          <w:tcPr>
            <w:tcW w:w="1978" w:type="dxa"/>
          </w:tcPr>
          <w:p w14:paraId="16F535FA">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框架协议</w:t>
            </w:r>
          </w:p>
        </w:tc>
      </w:tr>
    </w:tbl>
    <w:p w14:paraId="3E203A1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上实质性要求全部响应并满足采购需求的，则通过符合性审查；如有任意一项结论未响应或不满足采购需求的，则按无效响应文件处理。如果评审委员会认为供应商有任意一项不通过的，应在评审报告中载明不通过的具体原因。</w:t>
      </w:r>
    </w:p>
    <w:p w14:paraId="4359DDD8">
      <w:pPr>
        <w:pStyle w:val="13"/>
        <w:outlineLvl w:val="3"/>
      </w:pPr>
      <w:r>
        <w:rPr>
          <w:b/>
          <w:sz w:val="24"/>
        </w:rPr>
        <w:t>（</w:t>
      </w:r>
      <w:r>
        <w:rPr>
          <w:rFonts w:hint="eastAsia"/>
          <w:b/>
          <w:sz w:val="24"/>
          <w:lang w:eastAsia="zh-CN"/>
        </w:rPr>
        <w:t>三</w:t>
      </w:r>
      <w:r>
        <w:rPr>
          <w:b/>
          <w:sz w:val="24"/>
        </w:rPr>
        <w:t>）解释、澄清有关问题</w:t>
      </w:r>
    </w:p>
    <w:p w14:paraId="4FCA5C9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评审过程中，评审委员会认为征集文件有关事项表述不明确或需要说明的，可以提请征集人书面解释。征集人的解释不得改变征集文件的原义或者影响公平、公正，解释事项如果涉及供应商权益的以有利于供应商的原则进行解释。</w:t>
      </w:r>
    </w:p>
    <w:p w14:paraId="370D848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对响应文件中含义不明确、同类问题表述不一致或者有明显文字和计算错误的内容，评审委员会应当要求供应商作出必要的澄清、说明或更正，并给予供应商必要的反馈时间。供应商应当按评审委员会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14:paraId="0F4378C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供应商的澄清、说明或者更正应当不超出响应文件的范围、不实质性改变响应文件的内容、不影响供应商的公平竞争、不导致响应文件从不响应征集文件变为响应征集文件的条件。下列内容不得澄清：</w:t>
      </w:r>
    </w:p>
    <w:p w14:paraId="4170F5A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（1）供应商响应文件中不响应征集文件规定的技术参数指标和商务应答；</w:t>
      </w:r>
    </w:p>
    <w:p w14:paraId="6112EAD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（2）供应商响应文件中未提供的证明其是否符合征集文件资格性、符合性规定要求的相关材料。</w:t>
      </w:r>
    </w:p>
    <w:p w14:paraId="5153C8D4">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（3）供应商响应文件中的材料因印刷、影印等不清晰而难以辨认的。</w:t>
      </w:r>
    </w:p>
    <w:p w14:paraId="0CD71429">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 响应文件报价出现下列情况的，按以下原则处理：</w:t>
      </w:r>
    </w:p>
    <w:p w14:paraId="3E3678C9">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（1）响应文件中开启一览表内容与响应文件中相应内容不一致的，以开启一览表为准；</w:t>
      </w:r>
    </w:p>
    <w:p w14:paraId="36D95AF5">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（2）大写金额和小写金额不一致的，以大写金额为准，但大写金额出现文字错误，导致金额无法判断的除外；</w:t>
      </w:r>
    </w:p>
    <w:p w14:paraId="19A4A4E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（3）单价金额小数点或者百分比有明显错位的，以开启一览表中的报价为准。</w:t>
      </w:r>
    </w:p>
    <w:p w14:paraId="28A5C407">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同时出现两种以上不一致的，按照前款规定的顺序修正。修正后的报价经供应商确认后产生约束力，供应商不确认的，其响应无效。</w:t>
      </w:r>
    </w:p>
    <w:p w14:paraId="388FA495">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对不同语言文本响应文件的解释发生异议的，以中文文本为准。</w:t>
      </w:r>
    </w:p>
    <w:p w14:paraId="167DB81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征集人宣布评审结束之前，供应商应通过陕西政府采购网随时关注评审消息提示，及时响应评审委员会发出的澄清、说明或补正要求。供应商未能及时响应的，自行承担不利后果。</w:t>
      </w:r>
    </w:p>
    <w:p w14:paraId="68A3693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 评审委员会应当积极履行澄清、说明或者更正的职责，不得滥用权力。</w:t>
      </w:r>
    </w:p>
    <w:p w14:paraId="29B034F1">
      <w:pPr>
        <w:pStyle w:val="13"/>
        <w:outlineLvl w:val="3"/>
      </w:pPr>
      <w:r>
        <w:rPr>
          <w:b/>
          <w:sz w:val="24"/>
        </w:rPr>
        <w:t>（</w:t>
      </w:r>
      <w:r>
        <w:rPr>
          <w:rFonts w:hint="eastAsia"/>
          <w:b/>
          <w:sz w:val="24"/>
          <w:lang w:eastAsia="zh-CN"/>
        </w:rPr>
        <w:t>四</w:t>
      </w:r>
      <w:r>
        <w:rPr>
          <w:b/>
          <w:sz w:val="24"/>
        </w:rPr>
        <w:t>）比较与评价</w:t>
      </w:r>
    </w:p>
    <w:p w14:paraId="56CFF8B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按征集文件中规定的评审细则及标准，对符合性审查合格的响应文件进行商务和技术评估，综合比较和评价。</w:t>
      </w:r>
    </w:p>
    <w:p w14:paraId="6B88EA39">
      <w:pPr>
        <w:pStyle w:val="13"/>
        <w:outlineLvl w:val="3"/>
      </w:pPr>
      <w:r>
        <w:rPr>
          <w:b/>
          <w:sz w:val="24"/>
        </w:rPr>
        <w:t>（</w:t>
      </w:r>
      <w:r>
        <w:rPr>
          <w:rFonts w:hint="eastAsia"/>
          <w:b/>
          <w:sz w:val="24"/>
          <w:lang w:eastAsia="zh-CN"/>
        </w:rPr>
        <w:t>五</w:t>
      </w:r>
      <w:r>
        <w:rPr>
          <w:b/>
          <w:sz w:val="24"/>
        </w:rPr>
        <w:t>）复核</w:t>
      </w:r>
    </w:p>
    <w:p w14:paraId="09ADC3D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评审结果汇总完成后，除下列情形外，任何人不得修改评审结果：</w:t>
      </w:r>
    </w:p>
    <w:p w14:paraId="1D4E5CD5">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（一）分值汇总计算错误的；</w:t>
      </w:r>
    </w:p>
    <w:p w14:paraId="3A0DA41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（二）分项评分超出评分标准范围的；</w:t>
      </w:r>
    </w:p>
    <w:p w14:paraId="3A0F141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（三）评审委员会成员对客观评审因素评分不一致的；</w:t>
      </w:r>
    </w:p>
    <w:p w14:paraId="09A20CF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（四）经评审委员会认定评分畸高、畸低的。</w:t>
      </w:r>
    </w:p>
    <w:p w14:paraId="5D82CAB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报告签署前，经复核发现存在以上情形之一的，评审委员会应当当场修改评审结果，并在评审报告中记载；评审报告签署后，征集人发现存在以上情形之一的，应当组织原评审委员会进行重新评审，重新评审改变评审结果的，书面报告本级财政部门。</w:t>
      </w:r>
    </w:p>
    <w:p w14:paraId="6832179B">
      <w:pPr>
        <w:pStyle w:val="13"/>
        <w:outlineLvl w:val="3"/>
      </w:pPr>
      <w:r>
        <w:rPr>
          <w:b/>
          <w:sz w:val="24"/>
        </w:rPr>
        <w:t>（</w:t>
      </w:r>
      <w:r>
        <w:rPr>
          <w:rFonts w:hint="eastAsia"/>
          <w:b/>
          <w:sz w:val="24"/>
          <w:lang w:val="en-US" w:eastAsia="zh-CN"/>
        </w:rPr>
        <w:t>六</w:t>
      </w:r>
      <w:r>
        <w:rPr>
          <w:b/>
          <w:sz w:val="24"/>
        </w:rPr>
        <w:t>）确定入围供应商名单</w:t>
      </w:r>
    </w:p>
    <w:p w14:paraId="35F8DE7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对满足采购需求，按照响应报价从低到高排序，根据征集文件规定确定入围供应商。</w:t>
      </w:r>
    </w:p>
    <w:p w14:paraId="25D89229">
      <w:pPr>
        <w:pStyle w:val="13"/>
        <w:outlineLvl w:val="3"/>
      </w:pPr>
      <w:r>
        <w:rPr>
          <w:b/>
          <w:sz w:val="24"/>
        </w:rPr>
        <w:t>（</w:t>
      </w:r>
      <w:r>
        <w:rPr>
          <w:rFonts w:hint="eastAsia"/>
          <w:b/>
          <w:sz w:val="24"/>
          <w:lang w:val="en-US" w:eastAsia="zh-CN"/>
        </w:rPr>
        <w:t>七</w:t>
      </w:r>
      <w:r>
        <w:rPr>
          <w:b/>
          <w:sz w:val="24"/>
        </w:rPr>
        <w:t>）编写评审报告</w:t>
      </w:r>
    </w:p>
    <w:p w14:paraId="44C86C1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评审报告是评审委员会根据全体评审成员签字的评审记录和评审结果编写的报告，其主要内容包括：</w:t>
      </w:r>
    </w:p>
    <w:p w14:paraId="04B725E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1.征集公告刊登的媒体名称、开启日期和地点；</w:t>
      </w:r>
    </w:p>
    <w:p w14:paraId="39855FF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2.响应供应商名单和评审委员会成员名单；</w:t>
      </w:r>
    </w:p>
    <w:p w14:paraId="36A7DBF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3.评审方法和标准；</w:t>
      </w:r>
    </w:p>
    <w:p w14:paraId="730E2C4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4.开启记录和评审情况及说明，包括响应无效供应商名单及原因；</w:t>
      </w:r>
    </w:p>
    <w:p w14:paraId="4DD86B2E">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5.评审结果，确定的入围供应商名单；</w:t>
      </w:r>
    </w:p>
    <w:p w14:paraId="388DD059">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6.其他需要说明的情况，包括评审过程中供应商根据评审委员会要求进行的澄清、说明或者补正，评审委员会成员的更换等。</w:t>
      </w:r>
    </w:p>
    <w:p w14:paraId="38981F1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14:paraId="38AE68C1">
      <w:pPr>
        <w:pStyle w:val="13"/>
        <w:numPr>
          <w:ilvl w:val="0"/>
          <w:numId w:val="3"/>
        </w:numPr>
        <w:outlineLvl w:val="2"/>
        <w:rPr>
          <w:b/>
          <w:sz w:val="28"/>
        </w:rPr>
      </w:pPr>
      <w:r>
        <w:rPr>
          <w:b/>
          <w:sz w:val="28"/>
        </w:rPr>
        <w:t>评审争议处理规则</w:t>
      </w:r>
    </w:p>
    <w:p w14:paraId="06605C60">
      <w:pPr>
        <w:pStyle w:val="13"/>
        <w:numPr>
          <w:ilvl w:val="0"/>
          <w:numId w:val="0"/>
        </w:numPr>
        <w:ind w:firstLine="480" w:firstLineChars="200"/>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委员会在评审过程中，对于符合性审查、对响应文件做无效响应处理及其他需要共同认定的事项存在争议的，应当以少数服从多数的原则做出结论，但不得违背法律法规和征集文件规定。持不同意见的评审委员会成员应当在评审报告上签署不同意见及理由，否则视为同意评审报告。持不同意见的评审委员会成员认为认定过程和结果不符合法律法规或者征集文件规定的，应当及时向征集人书面反映。征集人收到书面反映后，对存在的违法违规问题应当书面报告采购项目同级财政部门。</w:t>
      </w:r>
    </w:p>
    <w:p w14:paraId="18B8E068">
      <w:pPr>
        <w:pStyle w:val="13"/>
        <w:outlineLvl w:val="2"/>
      </w:pPr>
      <w:r>
        <w:rPr>
          <w:rFonts w:hint="eastAsia"/>
          <w:b/>
          <w:sz w:val="28"/>
          <w:lang w:eastAsia="zh-CN"/>
        </w:rPr>
        <w:t>五</w:t>
      </w:r>
      <w:r>
        <w:rPr>
          <w:b/>
          <w:sz w:val="28"/>
        </w:rPr>
        <w:t>、评审细则及标准</w:t>
      </w:r>
    </w:p>
    <w:p w14:paraId="7955C8D3">
      <w:pPr>
        <w:pStyle w:val="13"/>
        <w:outlineLvl w:val="2"/>
        <w:rPr>
          <w:rFonts w:hint="eastAsia"/>
          <w:b/>
          <w:sz w:val="28"/>
          <w:lang w:val="en-US" w:eastAsia="zh-CN"/>
        </w:rPr>
      </w:pPr>
      <w:r>
        <w:rPr>
          <w:rFonts w:hint="eastAsia"/>
          <w:b/>
          <w:sz w:val="28"/>
          <w:lang w:val="en-US" w:eastAsia="zh-CN"/>
        </w:rPr>
        <w:t>（一）评审总则​</w:t>
      </w:r>
    </w:p>
    <w:p w14:paraId="39728D0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评审委员会仅对通过资格性、符合性审查的响应文件，依据本征集文件规定的评审程序、评审标准及评分办法开展评价与比较。​</w:t>
      </w:r>
    </w:p>
    <w:p w14:paraId="56FD062A">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评审委员会成员须严格依照征集文件规定的评审标准 / 评分办法独立进行评审。​</w:t>
      </w:r>
    </w:p>
    <w:p w14:paraId="32D96220">
      <w:pPr>
        <w:pStyle w:val="13"/>
        <w:outlineLvl w:val="2"/>
        <w:rPr>
          <w:rFonts w:hint="eastAsia"/>
          <w:b/>
          <w:sz w:val="28"/>
          <w:lang w:val="en-US" w:eastAsia="zh-CN"/>
        </w:rPr>
      </w:pPr>
      <w:r>
        <w:rPr>
          <w:rFonts w:hint="eastAsia"/>
          <w:b/>
          <w:sz w:val="28"/>
          <w:lang w:val="en-US" w:eastAsia="zh-CN"/>
        </w:rPr>
        <w:t>（二）评审方法​</w:t>
      </w:r>
    </w:p>
    <w:p w14:paraId="4336DFE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1.价格优先法​</w:t>
      </w:r>
    </w:p>
    <w:p w14:paraId="29668C3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适用于对服务质量要求差异较小的采购项目。对满足采购需求，按照响应报价（落实政府采购政策进行价格调整的，以调整后的价格为准）从低到高排序。具体流程如下：​</w:t>
      </w:r>
    </w:p>
    <w:p w14:paraId="2761FB1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计算初步淘汰数量：评审委员会按淘汰率计算得出初步淘汰供应商数量，即淘汰供应商数量 = 有效报价供应商数量 × 淘汰率。计算结果存在小数时，按征集文件明确规则确定最终需淘汰供应商数量。​</w:t>
      </w:r>
    </w:p>
    <w:p w14:paraId="10E7AD98">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确定入围名单：根据最终确定的淘汰供应商总数，按评审排序进行淘汰，确定入围名单。若存在排名并列且仍需淘汰一定数量供应商的情况，则在并列供应商中通过随机抽取确定相应数量入围供应商，剩余供应商予以淘汰。​</w:t>
      </w:r>
    </w:p>
    <w:p w14:paraId="7B9AAC45">
      <w:pPr>
        <w:pStyle w:val="13"/>
        <w:numPr>
          <w:ilvl w:val="0"/>
          <w:numId w:val="2"/>
        </w:numPr>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质量优先法​</w:t>
      </w:r>
    </w:p>
    <w:p w14:paraId="3C5959F4">
      <w:pPr>
        <w:pStyle w:val="13"/>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由评审委员会各成员独立对通过初审（资格检查和符合性检查）的供应商提供的服务进行质量综合评分，按照质量评分从高到低排序，确定入围供应商。</w:t>
      </w:r>
    </w:p>
    <w:p w14:paraId="280376E8">
      <w:pPr>
        <w:pStyle w:val="13"/>
        <w:numPr>
          <w:ilvl w:val="0"/>
          <w:numId w:val="0"/>
        </w:num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评分一览表</w:t>
      </w:r>
    </w:p>
    <w:p w14:paraId="23355C2E">
      <w:pPr>
        <w:pStyle w:val="13"/>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bl>
      <w:tblPr>
        <w:tblStyle w:val="11"/>
        <w:tblpPr w:leftFromText="180" w:rightFromText="180" w:vertAnchor="page" w:horzAnchor="page" w:tblpX="1519" w:tblpY="3052"/>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59"/>
        <w:gridCol w:w="7260"/>
      </w:tblGrid>
      <w:tr w14:paraId="7698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11" w:type="dxa"/>
            <w:vMerge w:val="restart"/>
            <w:vAlign w:val="center"/>
          </w:tcPr>
          <w:p w14:paraId="778B5275">
            <w:pPr>
              <w:snapToGrid w:val="0"/>
              <w:spacing w:line="340" w:lineRule="exact"/>
              <w:jc w:val="center"/>
              <w:rPr>
                <w:rFonts w:hint="eastAsia" w:ascii="仿宋" w:hAnsi="仿宋" w:eastAsia="仿宋"/>
                <w:szCs w:val="21"/>
              </w:rPr>
            </w:pPr>
            <w:r>
              <w:rPr>
                <w:rFonts w:hint="eastAsia" w:ascii="仿宋" w:hAnsi="仿宋" w:eastAsia="仿宋"/>
                <w:szCs w:val="21"/>
              </w:rPr>
              <w:t>项别</w:t>
            </w:r>
          </w:p>
        </w:tc>
        <w:tc>
          <w:tcPr>
            <w:tcW w:w="1059" w:type="dxa"/>
            <w:vAlign w:val="top"/>
          </w:tcPr>
          <w:p w14:paraId="424A78DB">
            <w:pPr>
              <w:snapToGrid w:val="0"/>
              <w:spacing w:line="340" w:lineRule="exact"/>
              <w:jc w:val="center"/>
              <w:rPr>
                <w:rFonts w:hint="eastAsia" w:ascii="仿宋" w:hAnsi="仿宋" w:eastAsia="仿宋"/>
                <w:szCs w:val="21"/>
              </w:rPr>
            </w:pPr>
            <w:r>
              <w:rPr>
                <w:rFonts w:hint="eastAsia" w:ascii="仿宋" w:hAnsi="仿宋" w:eastAsia="仿宋"/>
                <w:szCs w:val="21"/>
              </w:rPr>
              <w:t>总 分 值100分</w:t>
            </w:r>
          </w:p>
        </w:tc>
        <w:tc>
          <w:tcPr>
            <w:tcW w:w="7260" w:type="dxa"/>
            <w:vMerge w:val="restart"/>
            <w:vAlign w:val="center"/>
          </w:tcPr>
          <w:p w14:paraId="4277E05E">
            <w:pPr>
              <w:snapToGrid w:val="0"/>
              <w:spacing w:line="340" w:lineRule="exact"/>
              <w:jc w:val="center"/>
              <w:rPr>
                <w:rFonts w:hint="eastAsia" w:ascii="仿宋" w:hAnsi="仿宋" w:eastAsia="仿宋"/>
                <w:szCs w:val="21"/>
              </w:rPr>
            </w:pPr>
            <w:r>
              <w:rPr>
                <w:rFonts w:hint="eastAsia" w:ascii="仿宋" w:hAnsi="仿宋" w:eastAsia="仿宋"/>
                <w:szCs w:val="21"/>
              </w:rPr>
              <w:t>评 审 要 素</w:t>
            </w:r>
          </w:p>
        </w:tc>
      </w:tr>
      <w:tr w14:paraId="5AB7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vAlign w:val="center"/>
          </w:tcPr>
          <w:p w14:paraId="19C587AD">
            <w:pPr>
              <w:snapToGrid w:val="0"/>
              <w:spacing w:line="340" w:lineRule="exact"/>
              <w:jc w:val="center"/>
              <w:rPr>
                <w:rFonts w:hint="eastAsia" w:ascii="仿宋" w:hAnsi="仿宋" w:eastAsia="仿宋"/>
                <w:szCs w:val="21"/>
              </w:rPr>
            </w:pPr>
          </w:p>
        </w:tc>
        <w:tc>
          <w:tcPr>
            <w:tcW w:w="1059" w:type="dxa"/>
            <w:vAlign w:val="center"/>
          </w:tcPr>
          <w:p w14:paraId="72FD3A72">
            <w:pPr>
              <w:snapToGrid w:val="0"/>
              <w:spacing w:line="340" w:lineRule="exact"/>
              <w:jc w:val="center"/>
              <w:rPr>
                <w:rFonts w:hint="eastAsia" w:ascii="仿宋" w:hAnsi="仿宋" w:eastAsia="仿宋"/>
                <w:szCs w:val="21"/>
              </w:rPr>
            </w:pPr>
            <w:r>
              <w:rPr>
                <w:rFonts w:hint="eastAsia" w:ascii="仿宋" w:hAnsi="仿宋" w:eastAsia="仿宋"/>
                <w:szCs w:val="21"/>
              </w:rPr>
              <w:t>分项值</w:t>
            </w:r>
          </w:p>
        </w:tc>
        <w:tc>
          <w:tcPr>
            <w:tcW w:w="7260" w:type="dxa"/>
            <w:vMerge w:val="continue"/>
            <w:vAlign w:val="center"/>
          </w:tcPr>
          <w:p w14:paraId="3A9E3BA1">
            <w:pPr>
              <w:snapToGrid w:val="0"/>
              <w:spacing w:line="340" w:lineRule="exact"/>
              <w:jc w:val="center"/>
              <w:rPr>
                <w:rFonts w:hint="eastAsia" w:ascii="仿宋" w:hAnsi="仿宋" w:eastAsia="仿宋"/>
                <w:szCs w:val="21"/>
              </w:rPr>
            </w:pPr>
          </w:p>
        </w:tc>
      </w:tr>
      <w:tr w14:paraId="60DC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dxa"/>
            <w:vAlign w:val="center"/>
          </w:tcPr>
          <w:p w14:paraId="4D6ADDB2">
            <w:pPr>
              <w:snapToGrid w:val="0"/>
              <w:spacing w:line="340" w:lineRule="exact"/>
              <w:jc w:val="center"/>
              <w:rPr>
                <w:rFonts w:hint="eastAsia" w:ascii="仿宋" w:hAnsi="仿宋" w:eastAsia="仿宋"/>
                <w:szCs w:val="21"/>
              </w:rPr>
            </w:pPr>
            <w:r>
              <w:rPr>
                <w:rFonts w:hint="eastAsia" w:ascii="仿宋" w:hAnsi="仿宋" w:eastAsia="仿宋"/>
                <w:szCs w:val="21"/>
              </w:rPr>
              <w:t>综合实力</w:t>
            </w:r>
          </w:p>
        </w:tc>
        <w:tc>
          <w:tcPr>
            <w:tcW w:w="1059" w:type="dxa"/>
            <w:vAlign w:val="center"/>
          </w:tcPr>
          <w:p w14:paraId="3CAF8CE8">
            <w:pPr>
              <w:snapToGrid w:val="0"/>
              <w:spacing w:line="340" w:lineRule="exact"/>
              <w:jc w:val="center"/>
              <w:rPr>
                <w:rFonts w:hint="eastAsia" w:ascii="仿宋" w:hAnsi="仿宋" w:eastAsia="仿宋"/>
                <w:szCs w:val="21"/>
                <w:lang w:val="en-US" w:eastAsia="zh-CN"/>
              </w:rPr>
            </w:pPr>
            <w:r>
              <w:rPr>
                <w:rFonts w:hint="eastAsia" w:ascii="仿宋" w:hAnsi="仿宋" w:eastAsia="仿宋"/>
                <w:szCs w:val="21"/>
                <w:lang w:val="en-US" w:eastAsia="zh-CN"/>
              </w:rPr>
              <w:t>30</w:t>
            </w:r>
          </w:p>
        </w:tc>
        <w:tc>
          <w:tcPr>
            <w:tcW w:w="7260" w:type="dxa"/>
            <w:vAlign w:val="center"/>
          </w:tcPr>
          <w:p w14:paraId="3BB0C42D">
            <w:pPr>
              <w:snapToGrid w:val="0"/>
              <w:spacing w:line="340" w:lineRule="exact"/>
              <w:rPr>
                <w:rFonts w:hint="eastAsia" w:ascii="仿宋" w:hAnsi="仿宋" w:eastAsia="仿宋"/>
                <w:szCs w:val="21"/>
              </w:rPr>
            </w:pPr>
            <w:r>
              <w:rPr>
                <w:rFonts w:hint="eastAsia" w:ascii="仿宋" w:hAnsi="仿宋" w:eastAsia="仿宋"/>
                <w:szCs w:val="21"/>
              </w:rPr>
              <w:t>整体环境</w:t>
            </w:r>
            <w:r>
              <w:rPr>
                <w:rFonts w:hint="eastAsia" w:ascii="仿宋" w:hAnsi="仿宋" w:eastAsia="仿宋"/>
                <w:szCs w:val="21"/>
                <w:lang w:eastAsia="zh-CN"/>
              </w:rPr>
              <w:t>20</w:t>
            </w:r>
            <w:r>
              <w:rPr>
                <w:rFonts w:hint="eastAsia" w:ascii="仿宋" w:hAnsi="仿宋" w:eastAsia="仿宋"/>
                <w:szCs w:val="21"/>
              </w:rPr>
              <w:t>分。1、企业硬件（</w:t>
            </w:r>
            <w:r>
              <w:rPr>
                <w:rFonts w:hint="eastAsia" w:ascii="仿宋" w:hAnsi="仿宋" w:eastAsia="仿宋"/>
                <w:szCs w:val="21"/>
                <w:lang w:eastAsia="zh-CN"/>
              </w:rPr>
              <w:t>8</w:t>
            </w:r>
            <w:r>
              <w:rPr>
                <w:rFonts w:hint="eastAsia" w:ascii="仿宋" w:hAnsi="仿宋" w:eastAsia="仿宋"/>
                <w:szCs w:val="21"/>
              </w:rPr>
              <w:t>分）：由评委从客房间数、会议室数量、员工总人数及操作技能、是否有绿色饭店认证</w:t>
            </w:r>
            <w:r>
              <w:rPr>
                <w:rFonts w:hint="eastAsia" w:ascii="仿宋" w:hAnsi="仿宋" w:eastAsia="仿宋"/>
                <w:szCs w:val="21"/>
                <w:lang w:eastAsia="zh-CN"/>
              </w:rPr>
              <w:t>、星级认证</w:t>
            </w:r>
            <w:r>
              <w:rPr>
                <w:rFonts w:hint="eastAsia" w:ascii="仿宋" w:hAnsi="仿宋" w:eastAsia="仿宋"/>
                <w:szCs w:val="21"/>
              </w:rPr>
              <w:t>等方面综合评比。2、配套设施（</w:t>
            </w:r>
            <w:r>
              <w:rPr>
                <w:rFonts w:hint="eastAsia" w:ascii="仿宋" w:hAnsi="仿宋" w:eastAsia="仿宋"/>
                <w:szCs w:val="21"/>
                <w:lang w:eastAsia="zh-CN"/>
              </w:rPr>
              <w:t>6</w:t>
            </w:r>
            <w:r>
              <w:rPr>
                <w:rFonts w:hint="eastAsia" w:ascii="仿宋" w:hAnsi="仿宋" w:eastAsia="仿宋"/>
                <w:szCs w:val="21"/>
              </w:rPr>
              <w:t>分）：由评委从停车场情况、医疗和保卫、商务服务（文印、订票等）、附属设施等方面综合评比。3、接待管理制度（</w:t>
            </w:r>
            <w:r>
              <w:rPr>
                <w:rFonts w:hint="eastAsia" w:ascii="仿宋" w:hAnsi="仿宋" w:eastAsia="仿宋"/>
                <w:szCs w:val="21"/>
                <w:lang w:eastAsia="zh-CN"/>
              </w:rPr>
              <w:t>6</w:t>
            </w:r>
            <w:r>
              <w:rPr>
                <w:rFonts w:hint="eastAsia" w:ascii="仿宋" w:hAnsi="仿宋" w:eastAsia="仿宋"/>
                <w:szCs w:val="21"/>
              </w:rPr>
              <w:t>分）各磋商供应商应递交保证政府采购实施的管理制度，包括响应人组织机构、管理规章目录、安全管理办法等。</w:t>
            </w:r>
          </w:p>
          <w:p w14:paraId="58DE5A0E">
            <w:pPr>
              <w:snapToGrid w:val="0"/>
              <w:spacing w:line="340" w:lineRule="exact"/>
              <w:rPr>
                <w:rFonts w:hint="eastAsia" w:ascii="仿宋" w:hAnsi="仿宋" w:eastAsia="仿宋"/>
                <w:b/>
                <w:szCs w:val="21"/>
              </w:rPr>
            </w:pPr>
            <w:r>
              <w:rPr>
                <w:rFonts w:hint="eastAsia" w:ascii="仿宋" w:hAnsi="仿宋" w:eastAsia="仿宋"/>
                <w:szCs w:val="21"/>
              </w:rPr>
              <w:t>地理位置及交通</w:t>
            </w:r>
            <w:r>
              <w:rPr>
                <w:rFonts w:hint="eastAsia" w:ascii="仿宋" w:hAnsi="仿宋" w:eastAsia="仿宋"/>
                <w:szCs w:val="21"/>
                <w:lang w:eastAsia="zh-CN"/>
              </w:rPr>
              <w:t>5</w:t>
            </w:r>
            <w:r>
              <w:rPr>
                <w:rFonts w:hint="eastAsia" w:ascii="仿宋" w:hAnsi="仿宋" w:eastAsia="仿宋"/>
                <w:szCs w:val="21"/>
              </w:rPr>
              <w:t>分：1、地理位置</w:t>
            </w:r>
            <w:r>
              <w:rPr>
                <w:rFonts w:hint="eastAsia" w:ascii="仿宋" w:hAnsi="仿宋" w:eastAsia="仿宋"/>
                <w:szCs w:val="21"/>
                <w:lang w:eastAsia="zh-CN"/>
              </w:rPr>
              <w:t>及交通</w:t>
            </w:r>
            <w:r>
              <w:rPr>
                <w:rFonts w:hint="eastAsia" w:ascii="仿宋" w:hAnsi="仿宋" w:eastAsia="仿宋"/>
                <w:szCs w:val="21"/>
              </w:rPr>
              <w:t>（3－5分）：评委根据响应人地理</w:t>
            </w:r>
            <w:r>
              <w:rPr>
                <w:rFonts w:hint="eastAsia" w:ascii="仿宋" w:hAnsi="仿宋" w:eastAsia="仿宋"/>
                <w:szCs w:val="21"/>
                <w:lang w:eastAsia="zh-CN"/>
              </w:rPr>
              <w:t>位置及交通状况</w:t>
            </w:r>
            <w:r>
              <w:rPr>
                <w:rFonts w:hint="eastAsia" w:ascii="仿宋" w:hAnsi="仿宋" w:eastAsia="仿宋"/>
                <w:szCs w:val="21"/>
              </w:rPr>
              <w:t>相应打分；</w:t>
            </w:r>
          </w:p>
        </w:tc>
      </w:tr>
      <w:tr w14:paraId="56AE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dxa"/>
            <w:vAlign w:val="center"/>
          </w:tcPr>
          <w:p w14:paraId="0AF220B5">
            <w:pPr>
              <w:snapToGrid w:val="0"/>
              <w:spacing w:line="340" w:lineRule="exact"/>
              <w:jc w:val="center"/>
              <w:rPr>
                <w:rFonts w:hint="eastAsia" w:ascii="仿宋" w:hAnsi="仿宋" w:eastAsia="仿宋"/>
                <w:szCs w:val="21"/>
              </w:rPr>
            </w:pPr>
            <w:r>
              <w:rPr>
                <w:rFonts w:hint="eastAsia" w:ascii="仿宋" w:hAnsi="仿宋" w:eastAsia="仿宋"/>
                <w:szCs w:val="21"/>
              </w:rPr>
              <w:t>会议室</w:t>
            </w:r>
          </w:p>
        </w:tc>
        <w:tc>
          <w:tcPr>
            <w:tcW w:w="1059" w:type="dxa"/>
            <w:vAlign w:val="center"/>
          </w:tcPr>
          <w:p w14:paraId="008A2822">
            <w:pPr>
              <w:snapToGrid w:val="0"/>
              <w:spacing w:line="340" w:lineRule="exact"/>
              <w:jc w:val="center"/>
              <w:rPr>
                <w:rFonts w:hint="eastAsia" w:ascii="仿宋" w:hAnsi="仿宋" w:eastAsia="仿宋"/>
                <w:szCs w:val="21"/>
                <w:lang w:eastAsia="zh-CN"/>
              </w:rPr>
            </w:pPr>
            <w:r>
              <w:rPr>
                <w:rFonts w:hint="eastAsia" w:ascii="仿宋" w:hAnsi="仿宋" w:eastAsia="仿宋"/>
                <w:szCs w:val="21"/>
              </w:rPr>
              <w:t>1</w:t>
            </w:r>
            <w:r>
              <w:rPr>
                <w:rFonts w:hint="eastAsia" w:ascii="仿宋" w:hAnsi="仿宋" w:eastAsia="仿宋"/>
                <w:szCs w:val="21"/>
                <w:lang w:val="en-US" w:eastAsia="zh-CN"/>
              </w:rPr>
              <w:t>5</w:t>
            </w:r>
          </w:p>
        </w:tc>
        <w:tc>
          <w:tcPr>
            <w:tcW w:w="7260" w:type="dxa"/>
            <w:vAlign w:val="center"/>
          </w:tcPr>
          <w:p w14:paraId="55E072CB">
            <w:pPr>
              <w:snapToGrid w:val="0"/>
              <w:spacing w:line="340" w:lineRule="exact"/>
              <w:rPr>
                <w:rFonts w:hint="eastAsia" w:ascii="仿宋" w:hAnsi="仿宋" w:eastAsia="仿宋"/>
                <w:szCs w:val="21"/>
              </w:rPr>
            </w:pPr>
            <w:r>
              <w:rPr>
                <w:rFonts w:hint="eastAsia" w:ascii="仿宋" w:hAnsi="仿宋" w:eastAsia="仿宋"/>
                <w:szCs w:val="21"/>
              </w:rPr>
              <w:t>设备设施条件：结合会议室宽带、投影、多媒体设备等，有1个大会议室得</w:t>
            </w:r>
            <w:r>
              <w:rPr>
                <w:rFonts w:hint="eastAsia" w:ascii="仿宋" w:hAnsi="仿宋" w:eastAsia="仿宋"/>
                <w:szCs w:val="21"/>
                <w:lang w:eastAsia="zh-CN"/>
              </w:rPr>
              <w:t>3-5</w:t>
            </w:r>
            <w:r>
              <w:rPr>
                <w:rFonts w:hint="eastAsia" w:ascii="仿宋" w:hAnsi="仿宋" w:eastAsia="仿宋"/>
                <w:szCs w:val="21"/>
              </w:rPr>
              <w:t>分；1个中会议室</w:t>
            </w:r>
            <w:r>
              <w:rPr>
                <w:rFonts w:hint="eastAsia" w:ascii="仿宋" w:hAnsi="仿宋" w:eastAsia="仿宋"/>
                <w:szCs w:val="21"/>
                <w:lang w:eastAsia="zh-CN"/>
              </w:rPr>
              <w:t>2-4</w:t>
            </w:r>
            <w:r>
              <w:rPr>
                <w:rFonts w:hint="eastAsia" w:ascii="仿宋" w:hAnsi="仿宋" w:eastAsia="仿宋"/>
                <w:szCs w:val="21"/>
              </w:rPr>
              <w:t>分；有1个小会议室的得</w:t>
            </w:r>
            <w:r>
              <w:rPr>
                <w:rFonts w:hint="eastAsia" w:ascii="仿宋" w:hAnsi="仿宋" w:eastAsia="仿宋"/>
                <w:szCs w:val="21"/>
                <w:lang w:eastAsia="zh-CN"/>
              </w:rPr>
              <w:t>1-3</w:t>
            </w:r>
            <w:r>
              <w:rPr>
                <w:rFonts w:hint="eastAsia" w:ascii="仿宋" w:hAnsi="仿宋" w:eastAsia="仿宋"/>
                <w:szCs w:val="21"/>
              </w:rPr>
              <w:t>分</w:t>
            </w:r>
          </w:p>
        </w:tc>
      </w:tr>
      <w:tr w14:paraId="5BB6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1" w:type="dxa"/>
            <w:vAlign w:val="center"/>
          </w:tcPr>
          <w:p w14:paraId="3F45DE5A">
            <w:pPr>
              <w:snapToGrid w:val="0"/>
              <w:spacing w:line="340" w:lineRule="exact"/>
              <w:jc w:val="center"/>
              <w:rPr>
                <w:rFonts w:hint="eastAsia" w:ascii="仿宋" w:hAnsi="仿宋" w:eastAsia="仿宋"/>
                <w:szCs w:val="21"/>
              </w:rPr>
            </w:pPr>
            <w:r>
              <w:rPr>
                <w:rFonts w:hint="eastAsia" w:ascii="仿宋" w:hAnsi="仿宋" w:eastAsia="仿宋"/>
                <w:szCs w:val="21"/>
              </w:rPr>
              <w:t>客房</w:t>
            </w:r>
          </w:p>
        </w:tc>
        <w:tc>
          <w:tcPr>
            <w:tcW w:w="1059" w:type="dxa"/>
            <w:vAlign w:val="center"/>
          </w:tcPr>
          <w:p w14:paraId="66085B82">
            <w:pPr>
              <w:snapToGrid w:val="0"/>
              <w:spacing w:line="340" w:lineRule="exact"/>
              <w:jc w:val="center"/>
              <w:rPr>
                <w:rFonts w:hint="eastAsia" w:ascii="仿宋" w:hAnsi="仿宋" w:eastAsia="仿宋"/>
                <w:szCs w:val="21"/>
                <w:lang w:eastAsia="zh-CN"/>
              </w:rPr>
            </w:pPr>
            <w:r>
              <w:rPr>
                <w:rFonts w:hint="eastAsia" w:ascii="仿宋" w:hAnsi="仿宋" w:eastAsia="仿宋"/>
                <w:szCs w:val="21"/>
              </w:rPr>
              <w:t>1</w:t>
            </w:r>
            <w:r>
              <w:rPr>
                <w:rFonts w:hint="eastAsia" w:ascii="仿宋" w:hAnsi="仿宋" w:eastAsia="仿宋"/>
                <w:szCs w:val="21"/>
                <w:lang w:val="en-US" w:eastAsia="zh-CN"/>
              </w:rPr>
              <w:t>5</w:t>
            </w:r>
          </w:p>
        </w:tc>
        <w:tc>
          <w:tcPr>
            <w:tcW w:w="7260" w:type="dxa"/>
            <w:vAlign w:val="center"/>
          </w:tcPr>
          <w:p w14:paraId="13A0AAEC">
            <w:pPr>
              <w:snapToGrid w:val="0"/>
              <w:spacing w:line="340" w:lineRule="exact"/>
              <w:rPr>
                <w:rFonts w:hint="eastAsia" w:ascii="仿宋" w:hAnsi="仿宋" w:eastAsia="仿宋"/>
                <w:szCs w:val="21"/>
              </w:rPr>
            </w:pPr>
            <w:r>
              <w:rPr>
                <w:rFonts w:hint="eastAsia" w:ascii="仿宋" w:hAnsi="仿宋" w:eastAsia="仿宋"/>
                <w:szCs w:val="21"/>
              </w:rPr>
              <w:t>客房设施情况及总的客房间数：有</w:t>
            </w:r>
            <w:r>
              <w:rPr>
                <w:rFonts w:hint="eastAsia" w:ascii="仿宋" w:hAnsi="仿宋" w:eastAsia="仿宋"/>
                <w:szCs w:val="21"/>
                <w:lang w:eastAsia="zh-CN"/>
              </w:rPr>
              <w:t>6</w:t>
            </w:r>
            <w:r>
              <w:rPr>
                <w:rFonts w:hint="eastAsia" w:ascii="仿宋" w:hAnsi="仿宋" w:eastAsia="仿宋"/>
                <w:szCs w:val="21"/>
              </w:rPr>
              <w:t>0间及以上设施建全的得8－10分；有客房</w:t>
            </w:r>
            <w:r>
              <w:rPr>
                <w:rFonts w:hint="eastAsia" w:ascii="仿宋" w:hAnsi="仿宋" w:eastAsia="仿宋"/>
                <w:szCs w:val="21"/>
                <w:lang w:eastAsia="zh-CN"/>
              </w:rPr>
              <w:t>40</w:t>
            </w:r>
            <w:r>
              <w:rPr>
                <w:rFonts w:hint="eastAsia" w:ascii="仿宋" w:hAnsi="仿宋" w:eastAsia="仿宋"/>
                <w:szCs w:val="21"/>
              </w:rPr>
              <w:t>－</w:t>
            </w:r>
            <w:r>
              <w:rPr>
                <w:rFonts w:hint="eastAsia" w:ascii="仿宋" w:hAnsi="仿宋" w:eastAsia="仿宋"/>
                <w:szCs w:val="21"/>
                <w:lang w:eastAsia="zh-CN"/>
              </w:rPr>
              <w:t>60</w:t>
            </w:r>
            <w:r>
              <w:rPr>
                <w:rFonts w:hint="eastAsia" w:ascii="仿宋" w:hAnsi="仿宋" w:eastAsia="仿宋"/>
                <w:szCs w:val="21"/>
              </w:rPr>
              <w:t>间设施齐全的得5－7分；</w:t>
            </w:r>
            <w:r>
              <w:rPr>
                <w:rFonts w:hint="eastAsia" w:ascii="仿宋" w:hAnsi="仿宋" w:eastAsia="仿宋"/>
                <w:szCs w:val="21"/>
                <w:lang w:eastAsia="zh-CN"/>
              </w:rPr>
              <w:t>23</w:t>
            </w:r>
            <w:r>
              <w:rPr>
                <w:rFonts w:hint="eastAsia" w:ascii="仿宋" w:hAnsi="仿宋" w:eastAsia="仿宋"/>
                <w:szCs w:val="21"/>
              </w:rPr>
              <w:t>－</w:t>
            </w:r>
            <w:r>
              <w:rPr>
                <w:rFonts w:hint="eastAsia" w:ascii="仿宋" w:hAnsi="仿宋" w:eastAsia="仿宋"/>
                <w:szCs w:val="21"/>
                <w:lang w:eastAsia="zh-CN"/>
              </w:rPr>
              <w:t>40</w:t>
            </w:r>
            <w:r>
              <w:rPr>
                <w:rFonts w:hint="eastAsia" w:ascii="仿宋" w:hAnsi="仿宋" w:eastAsia="仿宋"/>
                <w:szCs w:val="21"/>
              </w:rPr>
              <w:t>间设施基本齐全的得3－6分</w:t>
            </w:r>
          </w:p>
        </w:tc>
      </w:tr>
      <w:tr w14:paraId="4518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11" w:type="dxa"/>
            <w:vAlign w:val="center"/>
          </w:tcPr>
          <w:p w14:paraId="5E78C232">
            <w:pPr>
              <w:snapToGrid w:val="0"/>
              <w:spacing w:line="340" w:lineRule="exact"/>
              <w:jc w:val="center"/>
              <w:rPr>
                <w:rFonts w:hint="eastAsia" w:ascii="仿宋" w:hAnsi="仿宋" w:eastAsia="仿宋"/>
                <w:szCs w:val="21"/>
              </w:rPr>
            </w:pPr>
            <w:r>
              <w:rPr>
                <w:rFonts w:hint="eastAsia" w:ascii="仿宋" w:hAnsi="仿宋" w:eastAsia="仿宋"/>
                <w:szCs w:val="21"/>
              </w:rPr>
              <w:t>餐厅</w:t>
            </w:r>
          </w:p>
        </w:tc>
        <w:tc>
          <w:tcPr>
            <w:tcW w:w="1059" w:type="dxa"/>
            <w:vAlign w:val="center"/>
          </w:tcPr>
          <w:p w14:paraId="24B2F98D">
            <w:pPr>
              <w:snapToGrid w:val="0"/>
              <w:spacing w:line="340" w:lineRule="exact"/>
              <w:jc w:val="center"/>
              <w:rPr>
                <w:rFonts w:hint="eastAsia" w:ascii="仿宋" w:hAnsi="仿宋" w:eastAsia="仿宋"/>
                <w:szCs w:val="21"/>
                <w:lang w:eastAsia="zh-CN"/>
              </w:rPr>
            </w:pPr>
            <w:r>
              <w:rPr>
                <w:rFonts w:hint="eastAsia" w:ascii="仿宋" w:hAnsi="仿宋" w:eastAsia="仿宋"/>
                <w:szCs w:val="21"/>
              </w:rPr>
              <w:t>1</w:t>
            </w:r>
            <w:r>
              <w:rPr>
                <w:rFonts w:hint="eastAsia" w:ascii="仿宋" w:hAnsi="仿宋" w:eastAsia="仿宋"/>
                <w:szCs w:val="21"/>
                <w:lang w:val="en-US" w:eastAsia="zh-CN"/>
              </w:rPr>
              <w:t>5</w:t>
            </w:r>
          </w:p>
        </w:tc>
        <w:tc>
          <w:tcPr>
            <w:tcW w:w="7260" w:type="dxa"/>
            <w:vAlign w:val="center"/>
          </w:tcPr>
          <w:p w14:paraId="20B996F2">
            <w:pPr>
              <w:snapToGrid w:val="0"/>
              <w:spacing w:line="340" w:lineRule="exact"/>
              <w:rPr>
                <w:rFonts w:hint="eastAsia" w:ascii="仿宋" w:hAnsi="仿宋" w:eastAsia="仿宋"/>
                <w:szCs w:val="21"/>
              </w:rPr>
            </w:pPr>
            <w:r>
              <w:rPr>
                <w:rFonts w:hint="eastAsia" w:ascii="仿宋" w:hAnsi="仿宋" w:eastAsia="仿宋"/>
                <w:szCs w:val="21"/>
              </w:rPr>
              <w:t>结合餐厅设施条件，有容纳</w:t>
            </w:r>
            <w:r>
              <w:rPr>
                <w:rFonts w:hint="eastAsia" w:ascii="仿宋" w:hAnsi="仿宋" w:eastAsia="仿宋"/>
                <w:szCs w:val="21"/>
                <w:lang w:eastAsia="zh-CN"/>
              </w:rPr>
              <w:t>100</w:t>
            </w:r>
            <w:r>
              <w:rPr>
                <w:rFonts w:hint="eastAsia" w:ascii="仿宋" w:hAnsi="仿宋" w:eastAsia="仿宋"/>
                <w:szCs w:val="21"/>
              </w:rPr>
              <w:t>人及以上的就餐自助场所且有菜品简介及保障措施齐全的8－10分，有容纳</w:t>
            </w:r>
            <w:r>
              <w:rPr>
                <w:rFonts w:hint="eastAsia" w:ascii="仿宋" w:hAnsi="仿宋" w:eastAsia="仿宋"/>
                <w:szCs w:val="21"/>
                <w:lang w:eastAsia="zh-CN"/>
              </w:rPr>
              <w:t>80</w:t>
            </w:r>
            <w:r>
              <w:rPr>
                <w:rFonts w:hint="eastAsia" w:ascii="仿宋" w:hAnsi="仿宋" w:eastAsia="仿宋"/>
                <w:szCs w:val="21"/>
              </w:rPr>
              <w:t>－1</w:t>
            </w:r>
            <w:r>
              <w:rPr>
                <w:rFonts w:hint="eastAsia" w:ascii="仿宋" w:hAnsi="仿宋" w:eastAsia="仿宋"/>
                <w:szCs w:val="21"/>
                <w:lang w:eastAsia="zh-CN"/>
              </w:rPr>
              <w:t>0</w:t>
            </w:r>
            <w:r>
              <w:rPr>
                <w:rFonts w:hint="eastAsia" w:ascii="仿宋" w:hAnsi="仿宋" w:eastAsia="仿宋"/>
                <w:szCs w:val="21"/>
              </w:rPr>
              <w:t>0人就餐自助场所且有菜品简介及保障措施齐全的5－7分，50－</w:t>
            </w:r>
            <w:r>
              <w:rPr>
                <w:rFonts w:hint="eastAsia" w:ascii="仿宋" w:hAnsi="仿宋" w:eastAsia="仿宋"/>
                <w:szCs w:val="21"/>
                <w:lang w:eastAsia="zh-CN"/>
              </w:rPr>
              <w:t>80</w:t>
            </w:r>
            <w:r>
              <w:rPr>
                <w:rFonts w:hint="eastAsia" w:ascii="仿宋" w:hAnsi="仿宋" w:eastAsia="仿宋"/>
                <w:szCs w:val="21"/>
              </w:rPr>
              <w:t>人就餐自助场所且有菜品简介及保障措施齐全的得3－6分</w:t>
            </w:r>
            <w:r>
              <w:rPr>
                <w:rFonts w:hint="eastAsia" w:ascii="仿宋" w:hAnsi="仿宋" w:eastAsia="仿宋"/>
                <w:szCs w:val="21"/>
                <w:lang w:eastAsia="zh-CN"/>
              </w:rPr>
              <w:t>，3</w:t>
            </w:r>
            <w:r>
              <w:rPr>
                <w:rFonts w:hint="eastAsia" w:ascii="仿宋" w:hAnsi="仿宋" w:eastAsia="仿宋"/>
                <w:szCs w:val="21"/>
              </w:rPr>
              <w:t>0－</w:t>
            </w:r>
            <w:r>
              <w:rPr>
                <w:rFonts w:hint="eastAsia" w:ascii="仿宋" w:hAnsi="仿宋" w:eastAsia="仿宋"/>
                <w:szCs w:val="21"/>
                <w:lang w:eastAsia="zh-CN"/>
              </w:rPr>
              <w:t>50</w:t>
            </w:r>
            <w:r>
              <w:rPr>
                <w:rFonts w:hint="eastAsia" w:ascii="仿宋" w:hAnsi="仿宋" w:eastAsia="仿宋"/>
                <w:szCs w:val="21"/>
              </w:rPr>
              <w:t>人就餐自助场所且有菜品简介及保障措施齐全的得</w:t>
            </w:r>
            <w:r>
              <w:rPr>
                <w:rFonts w:hint="eastAsia" w:ascii="仿宋" w:hAnsi="仿宋" w:eastAsia="仿宋"/>
                <w:szCs w:val="21"/>
                <w:lang w:eastAsia="zh-CN"/>
              </w:rPr>
              <w:t>1</w:t>
            </w:r>
            <w:r>
              <w:rPr>
                <w:rFonts w:hint="eastAsia" w:ascii="仿宋" w:hAnsi="仿宋" w:eastAsia="仿宋"/>
                <w:szCs w:val="21"/>
              </w:rPr>
              <w:t>－</w:t>
            </w:r>
            <w:r>
              <w:rPr>
                <w:rFonts w:hint="eastAsia" w:ascii="仿宋" w:hAnsi="仿宋" w:eastAsia="仿宋"/>
                <w:szCs w:val="21"/>
                <w:lang w:eastAsia="zh-CN"/>
              </w:rPr>
              <w:t>3</w:t>
            </w:r>
            <w:r>
              <w:rPr>
                <w:rFonts w:hint="eastAsia" w:ascii="仿宋" w:hAnsi="仿宋" w:eastAsia="仿宋"/>
                <w:szCs w:val="21"/>
              </w:rPr>
              <w:t xml:space="preserve">分    </w:t>
            </w:r>
          </w:p>
        </w:tc>
      </w:tr>
      <w:tr w14:paraId="01D5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1" w:type="dxa"/>
            <w:vAlign w:val="center"/>
          </w:tcPr>
          <w:p w14:paraId="2E495064">
            <w:pPr>
              <w:snapToGrid w:val="0"/>
              <w:spacing w:line="340" w:lineRule="exact"/>
              <w:jc w:val="center"/>
              <w:rPr>
                <w:rFonts w:hint="eastAsia" w:ascii="仿宋" w:hAnsi="仿宋" w:eastAsia="仿宋"/>
                <w:szCs w:val="21"/>
              </w:rPr>
            </w:pPr>
            <w:r>
              <w:rPr>
                <w:rFonts w:hint="eastAsia" w:ascii="仿宋" w:hAnsi="仿宋" w:eastAsia="仿宋"/>
                <w:szCs w:val="21"/>
              </w:rPr>
              <w:t>停车场</w:t>
            </w:r>
          </w:p>
        </w:tc>
        <w:tc>
          <w:tcPr>
            <w:tcW w:w="1059" w:type="dxa"/>
            <w:vAlign w:val="center"/>
          </w:tcPr>
          <w:p w14:paraId="0A00E039">
            <w:pPr>
              <w:snapToGrid w:val="0"/>
              <w:spacing w:line="340" w:lineRule="exact"/>
              <w:jc w:val="center"/>
              <w:rPr>
                <w:rFonts w:hint="eastAsia" w:ascii="仿宋" w:hAnsi="仿宋" w:eastAsia="仿宋"/>
                <w:szCs w:val="21"/>
              </w:rPr>
            </w:pPr>
            <w:r>
              <w:rPr>
                <w:rFonts w:hint="eastAsia" w:ascii="仿宋" w:hAnsi="仿宋" w:eastAsia="仿宋"/>
                <w:szCs w:val="21"/>
              </w:rPr>
              <w:t>10</w:t>
            </w:r>
          </w:p>
        </w:tc>
        <w:tc>
          <w:tcPr>
            <w:tcW w:w="7260" w:type="dxa"/>
            <w:vAlign w:val="center"/>
          </w:tcPr>
          <w:p w14:paraId="7F71260F">
            <w:pPr>
              <w:snapToGrid w:val="0"/>
              <w:spacing w:line="340" w:lineRule="exact"/>
              <w:rPr>
                <w:rFonts w:hint="eastAsia" w:ascii="仿宋" w:hAnsi="仿宋" w:eastAsia="仿宋"/>
                <w:szCs w:val="21"/>
              </w:rPr>
            </w:pPr>
            <w:r>
              <w:rPr>
                <w:rFonts w:hint="eastAsia" w:ascii="仿宋" w:hAnsi="仿宋" w:eastAsia="仿宋"/>
                <w:szCs w:val="21"/>
              </w:rPr>
              <w:t>有</w:t>
            </w:r>
            <w:r>
              <w:rPr>
                <w:rFonts w:hint="eastAsia" w:ascii="仿宋" w:hAnsi="仿宋" w:eastAsia="仿宋"/>
                <w:szCs w:val="21"/>
                <w:lang w:eastAsia="zh-CN"/>
              </w:rPr>
              <w:t>3</w:t>
            </w:r>
            <w:r>
              <w:rPr>
                <w:rFonts w:hint="eastAsia" w:ascii="仿宋" w:hAnsi="仿宋" w:eastAsia="仿宋"/>
                <w:szCs w:val="21"/>
              </w:rPr>
              <w:t>0个及以上停车位的得10分，</w:t>
            </w:r>
            <w:r>
              <w:rPr>
                <w:rFonts w:hint="eastAsia" w:ascii="仿宋" w:hAnsi="仿宋" w:eastAsia="仿宋"/>
                <w:szCs w:val="21"/>
                <w:lang w:eastAsia="zh-CN"/>
              </w:rPr>
              <w:t>2</w:t>
            </w:r>
            <w:r>
              <w:rPr>
                <w:rFonts w:hint="eastAsia" w:ascii="仿宋" w:hAnsi="仿宋" w:eastAsia="仿宋"/>
                <w:szCs w:val="21"/>
              </w:rPr>
              <w:t>0－</w:t>
            </w:r>
            <w:r>
              <w:rPr>
                <w:rFonts w:hint="eastAsia" w:ascii="仿宋" w:hAnsi="仿宋" w:eastAsia="仿宋"/>
                <w:szCs w:val="21"/>
                <w:lang w:eastAsia="zh-CN"/>
              </w:rPr>
              <w:t>30</w:t>
            </w:r>
            <w:r>
              <w:rPr>
                <w:rFonts w:hint="eastAsia" w:ascii="仿宋" w:hAnsi="仿宋" w:eastAsia="仿宋"/>
                <w:szCs w:val="21"/>
              </w:rPr>
              <w:t>个的得5－9分，10－</w:t>
            </w:r>
            <w:r>
              <w:rPr>
                <w:rFonts w:hint="eastAsia" w:ascii="仿宋" w:hAnsi="仿宋" w:eastAsia="仿宋"/>
                <w:szCs w:val="21"/>
                <w:lang w:eastAsia="zh-CN"/>
              </w:rPr>
              <w:t>20</w:t>
            </w:r>
            <w:r>
              <w:rPr>
                <w:rFonts w:hint="eastAsia" w:ascii="仿宋" w:hAnsi="仿宋" w:eastAsia="仿宋"/>
                <w:szCs w:val="21"/>
              </w:rPr>
              <w:t>个的得2－4分（必须免费停车，不承诺免费停车的不得分）</w:t>
            </w:r>
          </w:p>
        </w:tc>
      </w:tr>
      <w:tr w14:paraId="0979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11" w:type="dxa"/>
            <w:vAlign w:val="center"/>
          </w:tcPr>
          <w:p w14:paraId="7F1EB1D8">
            <w:pPr>
              <w:snapToGrid w:val="0"/>
              <w:spacing w:line="340" w:lineRule="exact"/>
              <w:jc w:val="center"/>
              <w:rPr>
                <w:rFonts w:hint="eastAsia" w:ascii="仿宋" w:hAnsi="仿宋" w:eastAsia="仿宋"/>
                <w:szCs w:val="21"/>
              </w:rPr>
            </w:pPr>
            <w:r>
              <w:rPr>
                <w:rFonts w:hint="eastAsia" w:ascii="仿宋" w:hAnsi="仿宋" w:eastAsia="仿宋"/>
                <w:szCs w:val="21"/>
              </w:rPr>
              <w:t>配套设施</w:t>
            </w:r>
          </w:p>
        </w:tc>
        <w:tc>
          <w:tcPr>
            <w:tcW w:w="1059" w:type="dxa"/>
            <w:vAlign w:val="center"/>
          </w:tcPr>
          <w:p w14:paraId="60356FF9">
            <w:pPr>
              <w:snapToGrid w:val="0"/>
              <w:spacing w:line="340" w:lineRule="exact"/>
              <w:jc w:val="center"/>
              <w:rPr>
                <w:rFonts w:hint="eastAsia" w:ascii="仿宋" w:hAnsi="仿宋" w:eastAsia="仿宋"/>
                <w:szCs w:val="21"/>
              </w:rPr>
            </w:pPr>
            <w:r>
              <w:rPr>
                <w:rFonts w:hint="eastAsia" w:ascii="仿宋" w:hAnsi="仿宋" w:eastAsia="仿宋"/>
                <w:szCs w:val="21"/>
              </w:rPr>
              <w:t>5</w:t>
            </w:r>
          </w:p>
        </w:tc>
        <w:tc>
          <w:tcPr>
            <w:tcW w:w="7260" w:type="dxa"/>
            <w:vAlign w:val="center"/>
          </w:tcPr>
          <w:p w14:paraId="46CBE04F">
            <w:pPr>
              <w:snapToGrid w:val="0"/>
              <w:spacing w:line="340" w:lineRule="exact"/>
              <w:rPr>
                <w:rFonts w:hint="eastAsia" w:ascii="仿宋" w:hAnsi="仿宋" w:eastAsia="仿宋"/>
                <w:szCs w:val="21"/>
              </w:rPr>
            </w:pPr>
            <w:r>
              <w:rPr>
                <w:rFonts w:hint="eastAsia" w:ascii="仿宋" w:hAnsi="仿宋" w:eastAsia="仿宋"/>
                <w:szCs w:val="21"/>
              </w:rPr>
              <w:t>其他商务服务设备设施齐全，有自已网站，免费上网，提供订票，复印，打印等共他服务，结合收费情况，评委对比打分 （1－5分）</w:t>
            </w:r>
          </w:p>
        </w:tc>
      </w:tr>
      <w:tr w14:paraId="579A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1" w:type="dxa"/>
            <w:tcBorders>
              <w:bottom w:val="single" w:color="auto" w:sz="4" w:space="0"/>
              <w:right w:val="single" w:color="auto" w:sz="4" w:space="0"/>
            </w:tcBorders>
            <w:vAlign w:val="center"/>
          </w:tcPr>
          <w:p w14:paraId="3DA556B7">
            <w:pPr>
              <w:snapToGrid w:val="0"/>
              <w:spacing w:line="340" w:lineRule="exact"/>
              <w:jc w:val="center"/>
              <w:rPr>
                <w:rFonts w:hint="eastAsia" w:ascii="仿宋" w:hAnsi="仿宋" w:eastAsia="仿宋"/>
                <w:szCs w:val="21"/>
              </w:rPr>
            </w:pPr>
            <w:r>
              <w:rPr>
                <w:rFonts w:hint="eastAsia" w:ascii="仿宋" w:hAnsi="仿宋" w:eastAsia="仿宋"/>
                <w:szCs w:val="21"/>
              </w:rPr>
              <w:t>服务质理及能力</w:t>
            </w:r>
          </w:p>
        </w:tc>
        <w:tc>
          <w:tcPr>
            <w:tcW w:w="1059" w:type="dxa"/>
            <w:tcBorders>
              <w:left w:val="single" w:color="auto" w:sz="4" w:space="0"/>
              <w:bottom w:val="single" w:color="auto" w:sz="4" w:space="0"/>
            </w:tcBorders>
            <w:vAlign w:val="center"/>
          </w:tcPr>
          <w:p w14:paraId="75A4E034">
            <w:pPr>
              <w:snapToGrid w:val="0"/>
              <w:spacing w:line="340" w:lineRule="exact"/>
              <w:jc w:val="center"/>
              <w:rPr>
                <w:rFonts w:hint="eastAsia" w:ascii="仿宋" w:hAnsi="仿宋" w:eastAsia="仿宋"/>
                <w:szCs w:val="21"/>
              </w:rPr>
            </w:pPr>
            <w:r>
              <w:rPr>
                <w:rFonts w:hint="eastAsia" w:ascii="仿宋" w:hAnsi="仿宋" w:eastAsia="仿宋"/>
                <w:szCs w:val="21"/>
              </w:rPr>
              <w:t>10</w:t>
            </w:r>
          </w:p>
        </w:tc>
        <w:tc>
          <w:tcPr>
            <w:tcW w:w="7260" w:type="dxa"/>
            <w:tcBorders>
              <w:bottom w:val="single" w:color="auto" w:sz="4" w:space="0"/>
            </w:tcBorders>
            <w:vAlign w:val="center"/>
          </w:tcPr>
          <w:p w14:paraId="57BE9352">
            <w:pPr>
              <w:snapToGrid w:val="0"/>
              <w:spacing w:line="340" w:lineRule="exact"/>
              <w:rPr>
                <w:rFonts w:hint="eastAsia" w:ascii="仿宋" w:hAnsi="仿宋" w:eastAsia="仿宋"/>
                <w:szCs w:val="21"/>
              </w:rPr>
            </w:pPr>
            <w:r>
              <w:rPr>
                <w:rFonts w:hint="eastAsia" w:ascii="仿宋" w:hAnsi="仿宋" w:eastAsia="仿宋"/>
                <w:szCs w:val="21"/>
              </w:rPr>
              <w:t>1、安全消防设施，医疗措施，卫生情况，住宿服务承诺，计划周密，服务周到，条件优惠程度（1－5分）</w:t>
            </w:r>
          </w:p>
          <w:p w14:paraId="7A2E07A7">
            <w:pPr>
              <w:snapToGrid w:val="0"/>
              <w:spacing w:line="340" w:lineRule="exact"/>
              <w:rPr>
                <w:rFonts w:hint="eastAsia" w:ascii="仿宋" w:hAnsi="仿宋" w:eastAsia="仿宋"/>
                <w:szCs w:val="21"/>
              </w:rPr>
            </w:pPr>
            <w:r>
              <w:rPr>
                <w:rFonts w:hint="eastAsia" w:ascii="仿宋" w:hAnsi="仿宋" w:eastAsia="仿宋"/>
                <w:szCs w:val="21"/>
              </w:rPr>
              <w:t>3、经营与管理制度、组织机构图、管理人员岗位说明书、技术服务人员岗位说明书、工作技术标准，服务项目流程及标准等有关规章制度健全程度（1－5分）</w:t>
            </w:r>
          </w:p>
        </w:tc>
      </w:tr>
    </w:tbl>
    <w:p w14:paraId="0AF2A41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评分的取值按四舍五入法，保留小数点后两位。​</w:t>
      </w:r>
    </w:p>
    <w:p w14:paraId="042FB842">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评分标准中要求提供复印件的证明材料须清晰可辨，否则相关评分项不得分。</w:t>
      </w:r>
    </w:p>
    <w:p w14:paraId="3F417D39">
      <w:pPr>
        <w:pStyle w:val="13"/>
        <w:jc w:val="center"/>
        <w:rPr>
          <w:rFonts w:hint="eastAsia" w:ascii="仿宋_GB2312" w:hAnsi="仿宋_GB2312" w:eastAsia="仿宋_GB2312" w:cs="仿宋_GB2312"/>
          <w:sz w:val="24"/>
          <w:szCs w:val="24"/>
          <w:lang w:val="en-US" w:eastAsia="zh-CN"/>
        </w:rPr>
      </w:pPr>
    </w:p>
    <w:p w14:paraId="59A6DE58">
      <w:pPr>
        <w:pStyle w:val="13"/>
      </w:pPr>
      <w:r>
        <w:rPr>
          <w:rFonts w:hint="eastAsia"/>
          <w:b/>
          <w:sz w:val="28"/>
          <w:lang w:val="en-US" w:eastAsia="zh-CN"/>
        </w:rPr>
        <w:t>六</w:t>
      </w:r>
      <w:r>
        <w:rPr>
          <w:b/>
          <w:sz w:val="28"/>
        </w:rPr>
        <w:t>、废标</w:t>
      </w:r>
    </w:p>
    <w:p w14:paraId="7EB668F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本次政府采购活动中，出现下列情形之一的，予以废标：</w:t>
      </w:r>
    </w:p>
    <w:p w14:paraId="08C17B0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（一）对征集文件作实质响应的供应商不足2家的；</w:t>
      </w:r>
    </w:p>
    <w:p w14:paraId="3CFD3B7B">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（二）出现影响采购公正的违法、违规行为的；</w:t>
      </w:r>
    </w:p>
    <w:p w14:paraId="38DE304F">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（三）因重大变故，采购任务取消的；</w:t>
      </w:r>
    </w:p>
    <w:p w14:paraId="0936F2C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废标后，征集人将在陕西省政府采购网公告。对于评审过程中废标的征集项目，评审委员会应当对征集文件是否存在倾向性和歧视性、是否存在不合理条款进行论证，并出具书面论证意见。</w:t>
      </w:r>
    </w:p>
    <w:p w14:paraId="0A8179CC">
      <w:pPr>
        <w:pStyle w:val="13"/>
        <w:numPr>
          <w:ilvl w:val="0"/>
          <w:numId w:val="0"/>
        </w:numPr>
        <w:outlineLvl w:val="2"/>
      </w:pPr>
      <w:r>
        <w:rPr>
          <w:rFonts w:hint="eastAsia"/>
          <w:b/>
          <w:sz w:val="28"/>
          <w:lang w:val="en-US" w:eastAsia="zh-CN"/>
        </w:rPr>
        <w:t>七、</w:t>
      </w:r>
      <w:r>
        <w:rPr>
          <w:b/>
          <w:sz w:val="28"/>
        </w:rPr>
        <w:t>确认入围供应商名单及结果</w:t>
      </w:r>
    </w:p>
    <w:p w14:paraId="0E6D070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（一）征集人在收到评审报告后5个工作日内，确认入围供应商名单。逾期未确认的，又不能说明合法理由的，视同确认评审报告中入围供应商名单。</w:t>
      </w:r>
    </w:p>
    <w:p w14:paraId="37333DB1">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（二）根据确定的入围供应商结果，征集人在陕西省政府采购网发布入围结果公告。</w:t>
      </w:r>
    </w:p>
    <w:p w14:paraId="05171802">
      <w:pPr>
        <w:pStyle w:val="13"/>
        <w:outlineLvl w:val="2"/>
      </w:pPr>
      <w:r>
        <w:rPr>
          <w:rFonts w:hint="eastAsia"/>
          <w:b/>
          <w:sz w:val="28"/>
          <w:lang w:val="en-US" w:eastAsia="zh-CN"/>
        </w:rPr>
        <w:t>八</w:t>
      </w:r>
      <w:r>
        <w:rPr>
          <w:b/>
          <w:sz w:val="28"/>
        </w:rPr>
        <w:t>、评审专家在政府采购活动中承担以下义务</w:t>
      </w:r>
    </w:p>
    <w:p w14:paraId="787FECC3">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（一）遵守评审工作纪律；</w:t>
      </w:r>
    </w:p>
    <w:p w14:paraId="67C90A4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（二）按照客观、公正、审慎的原则，根据征集文件规定的评审程序、评审方法和评审标准进行独立评审；</w:t>
      </w:r>
    </w:p>
    <w:p w14:paraId="6959E9A2">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（三）不得泄露评审文件、评审情况和在评审过程中获悉的商业秘密；</w:t>
      </w:r>
    </w:p>
    <w:p w14:paraId="48049A5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（四）及时向监督管理部门报告评审过程中的违法违规情况，包括征集人向评审专家作出倾向性、误导性的解释或者说明情况，供应商行贿、提供虚假材料或者串通情况，其他非法干预评审情况等；</w:t>
      </w:r>
    </w:p>
    <w:p w14:paraId="49EC2D1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（五）发现征集文件内容违反国家有关强制性规定或者存在歧义、重大缺陷导致评审工作无法进行时，停止评审并向征集人书面说明情况，说明停止评审的情形和具体理由；</w:t>
      </w:r>
    </w:p>
    <w:p w14:paraId="736C550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（六）配合答复处理供应商的询问、质疑和投诉等事项；</w:t>
      </w:r>
    </w:p>
    <w:p w14:paraId="54C143FC">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（七）法律、法规和规章规定的其他义务。</w:t>
      </w:r>
    </w:p>
    <w:p w14:paraId="7C5021B2">
      <w:pPr>
        <w:pStyle w:val="13"/>
        <w:outlineLvl w:val="2"/>
      </w:pPr>
      <w:r>
        <w:rPr>
          <w:rFonts w:hint="eastAsia"/>
          <w:b/>
          <w:sz w:val="28"/>
          <w:lang w:val="en-US" w:eastAsia="zh-CN"/>
        </w:rPr>
        <w:t>九</w:t>
      </w:r>
      <w:r>
        <w:rPr>
          <w:b/>
          <w:sz w:val="28"/>
        </w:rPr>
        <w:t>、评审专家在政府采购活动中应当遵守以下工作纪律</w:t>
      </w:r>
    </w:p>
    <w:p w14:paraId="0BB00CD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（一）遵行《中华人民共和国政府采购法》第十二条、《中华人民共和国政府采购法实施条例》第九条和《政府采购评审专家管理办法》第十六条及财政部关于回避的规定。</w:t>
      </w:r>
    </w:p>
    <w:p w14:paraId="41137950">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（二）评审前，应当将通讯工具或者相关电子设备交由采购组织单位统一保管。</w:t>
      </w:r>
    </w:p>
    <w:p w14:paraId="4723229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（三）评审过程中，不得与外界联系，因发生不可预见情况，确实需要与外界联系的， 应当在工作人员监督之下办理。</w:t>
      </w:r>
    </w:p>
    <w:p w14:paraId="442A0C3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（四）评审过程中，不得干预或者影响正常评审工作，不得发表倾向性、引导性意见， 不得修改或细化征集文件确定的评审程序、评审方法、评审因素和评审标准，不得接受供应商主动提出的澄清和解释，不得征询征集人代表的意见，不得协商评审，不得违反规定的评审格式评分和撰写评审意见，不得拒绝对自己的评审意见签字确认。</w:t>
      </w:r>
    </w:p>
    <w:p w14:paraId="38B8994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（五）在评审过程中和评审结束后，不得记录、复制或带走任何评审资料，不得向外界透露评审内容。</w:t>
      </w:r>
    </w:p>
    <w:p w14:paraId="2AAF5FB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（六）服从评审现场采购组织单位的现场秩序管理，接受评审现场工作人员的合法监督。</w:t>
      </w:r>
    </w:p>
    <w:p w14:paraId="0025993D">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（七）遵守有关廉洁自律规定，不得私下接触供应商，不得收受供应商及有关业务单位和个人的财物或好处，不得接受采购组织单位的请托。</w:t>
      </w:r>
    </w:p>
    <w:p w14:paraId="44753BBF">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435A0DD8">
      <w:pPr>
        <w:pStyle w:val="13"/>
        <w:jc w:val="center"/>
        <w:outlineLvl w:val="1"/>
      </w:pPr>
      <w:r>
        <w:rPr>
          <w:b/>
          <w:sz w:val="36"/>
        </w:rPr>
        <w:t>第六章框架协议</w:t>
      </w:r>
    </w:p>
    <w:p w14:paraId="5D36D5F4">
      <w:pPr>
        <w:pStyle w:val="13"/>
        <w:jc w:val="center"/>
        <w:outlineLvl w:val="2"/>
        <w:rPr>
          <w:rFonts w:hint="eastAsia"/>
          <w:b/>
          <w:sz w:val="28"/>
        </w:rPr>
      </w:pPr>
      <w:r>
        <w:rPr>
          <w:rFonts w:hint="eastAsia"/>
          <w:b/>
          <w:sz w:val="28"/>
        </w:rPr>
        <w:t>佛坪县2025-</w:t>
      </w:r>
      <w:r>
        <w:rPr>
          <w:rFonts w:hint="eastAsia"/>
          <w:b/>
          <w:sz w:val="28"/>
          <w:lang w:eastAsia="zh-CN"/>
        </w:rPr>
        <w:t>2027</w:t>
      </w:r>
      <w:r>
        <w:rPr>
          <w:rFonts w:hint="eastAsia"/>
          <w:b/>
          <w:sz w:val="28"/>
        </w:rPr>
        <w:t>年度党政机关会议定点</w:t>
      </w:r>
    </w:p>
    <w:p w14:paraId="5202DCFA">
      <w:pPr>
        <w:pStyle w:val="13"/>
        <w:jc w:val="center"/>
        <w:outlineLvl w:val="2"/>
      </w:pPr>
      <w:r>
        <w:rPr>
          <w:rFonts w:hint="eastAsia"/>
          <w:b/>
          <w:sz w:val="28"/>
        </w:rPr>
        <w:t>场所及公务接待定点场所框架性协议</w:t>
      </w:r>
    </w:p>
    <w:p w14:paraId="59EF5AE7">
      <w:pPr>
        <w:pStyle w:val="13"/>
        <w:jc w:val="center"/>
        <w:outlineLvl w:val="2"/>
      </w:pPr>
      <w:r>
        <w:rPr>
          <w:b/>
          <w:sz w:val="28"/>
        </w:rPr>
        <w:t>（</w:t>
      </w:r>
      <w:r>
        <w:rPr>
          <w:rFonts w:hint="eastAsia"/>
          <w:b/>
          <w:sz w:val="28"/>
          <w:lang w:val="en-US" w:eastAsia="zh-CN"/>
        </w:rPr>
        <w:t>开放式</w:t>
      </w:r>
      <w:r>
        <w:rPr>
          <w:b/>
          <w:sz w:val="28"/>
        </w:rPr>
        <w:t>框架协议）</w:t>
      </w:r>
      <w:r>
        <w:br w:type="textWrapping"/>
      </w:r>
    </w:p>
    <w:p w14:paraId="7121F57A">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框架协议编号：</w:t>
      </w:r>
    </w:p>
    <w:p w14:paraId="275B5E9B">
      <w:pPr>
        <w:pStyle w:val="13"/>
      </w:pPr>
      <w:r>
        <w:rPr>
          <w:b/>
        </w:rPr>
        <w:t>一、协议方基础信息</w:t>
      </w:r>
    </w:p>
    <w:p w14:paraId="0A18586D">
      <w:pPr>
        <w:pStyle w:val="13"/>
        <w:rPr>
          <w:rFonts w:hint="eastAsia" w:ascii="仿宋_GB2312" w:hAnsi="仿宋_GB2312" w:eastAsia="仿宋_GB2312" w:cs="仿宋_GB2312"/>
          <w:sz w:val="24"/>
          <w:szCs w:val="24"/>
          <w:lang w:val="en-US" w:eastAsia="zh-CN"/>
        </w:rPr>
      </w:pPr>
      <w:r>
        <w:t xml:space="preserve"> </w:t>
      </w:r>
      <w:r>
        <w:rPr>
          <w:rFonts w:hint="eastAsia" w:ascii="仿宋_GB2312" w:hAnsi="仿宋_GB2312" w:eastAsia="仿宋_GB2312" w:cs="仿宋_GB2312"/>
          <w:sz w:val="24"/>
          <w:szCs w:val="24"/>
          <w:lang w:val="en-US" w:eastAsia="zh-CN"/>
        </w:rPr>
        <w:t xml:space="preserve"> 征集人（甲方）：</w:t>
      </w:r>
    </w:p>
    <w:p w14:paraId="58DB5EC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地址：</w:t>
      </w:r>
    </w:p>
    <w:p w14:paraId="7B683F90">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联系方式：</w:t>
      </w:r>
    </w:p>
    <w:p w14:paraId="30083FB0">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入围供应商（乙方）：</w:t>
      </w:r>
    </w:p>
    <w:p w14:paraId="52D9DEF8">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地址：</w:t>
      </w:r>
    </w:p>
    <w:p w14:paraId="43BD2425">
      <w:pPr>
        <w:pStyle w:val="13"/>
      </w:pPr>
      <w:r>
        <w:t xml:space="preserve"> </w:t>
      </w:r>
      <w:r>
        <w:rPr>
          <w:rFonts w:hint="eastAsia" w:ascii="仿宋_GB2312" w:hAnsi="仿宋_GB2312" w:eastAsia="仿宋_GB2312" w:cs="仿宋_GB2312"/>
          <w:sz w:val="24"/>
          <w:szCs w:val="24"/>
          <w:lang w:val="en-US" w:eastAsia="zh-CN"/>
        </w:rPr>
        <w:t xml:space="preserve"> 联系方式：</w:t>
      </w:r>
    </w:p>
    <w:p w14:paraId="4BDA3948">
      <w:pPr>
        <w:pStyle w:val="13"/>
      </w:pPr>
      <w:r>
        <w:rPr>
          <w:b/>
        </w:rPr>
        <w:t>二、采购项目信息</w:t>
      </w:r>
    </w:p>
    <w:p w14:paraId="431F1F30">
      <w:pPr>
        <w:pStyle w:val="13"/>
        <w:rPr>
          <w:rFonts w:hint="eastAsia" w:ascii="仿宋_GB2312" w:hAnsi="仿宋_GB2312" w:eastAsia="仿宋_GB2312" w:cs="仿宋_GB2312"/>
          <w:sz w:val="24"/>
          <w:szCs w:val="24"/>
          <w:lang w:val="en-US" w:eastAsia="zh-CN"/>
        </w:rPr>
      </w:pPr>
      <w:r>
        <w:t xml:space="preserve"> </w:t>
      </w:r>
      <w:r>
        <w:rPr>
          <w:rFonts w:hint="eastAsia" w:ascii="仿宋_GB2312" w:hAnsi="仿宋_GB2312" w:eastAsia="仿宋_GB2312" w:cs="仿宋_GB2312"/>
          <w:sz w:val="24"/>
          <w:szCs w:val="24"/>
          <w:lang w:val="en-US" w:eastAsia="zh-CN"/>
        </w:rPr>
        <w:t xml:space="preserve"> 采购项目名称：</w:t>
      </w:r>
    </w:p>
    <w:p w14:paraId="67D8EBFB">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采购项目编号：</w:t>
      </w:r>
    </w:p>
    <w:p w14:paraId="7A0A42D1">
      <w:pPr>
        <w:pStyle w:val="13"/>
      </w:pPr>
      <w:r>
        <w:rPr>
          <w:b/>
        </w:rPr>
        <w:t>三、采购需求和最高限价</w:t>
      </w:r>
    </w:p>
    <w:p w14:paraId="1ED89284">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1.分包名称：</w:t>
      </w:r>
    </w:p>
    <w:p w14:paraId="4472FBF0">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2.采购品目：</w:t>
      </w:r>
    </w:p>
    <w:p w14:paraId="6285A02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3.标的名称：</w:t>
      </w:r>
    </w:p>
    <w:p w14:paraId="2F7BA6D4">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1）计量单位：</w:t>
      </w:r>
    </w:p>
    <w:p w14:paraId="2997C8CA">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2）标的物所属服务行业：</w:t>
      </w:r>
    </w:p>
    <w:p w14:paraId="055C4B8F">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3）采购标的技术要求和入围服务内容及服务要求：详见征集文件《第三章 征集项目技术、服务、商务及其他要求》。</w:t>
      </w:r>
    </w:p>
    <w:p w14:paraId="51D441C9">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4.入围供应商第一阶段的响应报价是采购人或者服务对象确定第二阶段成交供应商的最高限价。</w:t>
      </w:r>
    </w:p>
    <w:p w14:paraId="06523CC2">
      <w:pPr>
        <w:pStyle w:val="13"/>
      </w:pPr>
      <w:r>
        <w:rPr>
          <w:b/>
        </w:rPr>
        <w:t>四、第二阶段成交供应商的方式</w:t>
      </w:r>
    </w:p>
    <w:p w14:paraId="4EBF87C8">
      <w:pPr>
        <w:pStyle w:val="4"/>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直接选定/二次竞价/顺序轮候</w:t>
      </w:r>
      <w:r>
        <w:rPr>
          <w:rFonts w:hint="eastAsia" w:ascii="仿宋_GB2312" w:hAnsi="仿宋_GB2312" w:eastAsia="仿宋_GB2312" w:cs="仿宋_GB2312"/>
          <w:sz w:val="24"/>
          <w:szCs w:val="24"/>
          <w:lang w:val="en-US" w:eastAsia="zh-CN"/>
        </w:rPr>
        <w:t>（结合工作开展实际在遵循政府采购相关规定的基础上确定方式）</w:t>
      </w:r>
    </w:p>
    <w:p w14:paraId="5E0CE134">
      <w:pPr>
        <w:pStyle w:val="13"/>
      </w:pPr>
      <w:r>
        <w:rPr>
          <w:b/>
        </w:rPr>
        <w:t>五、适用框架协议的采购人，以及履行合同的地域范围</w:t>
      </w:r>
    </w:p>
    <w:p w14:paraId="76B627D2">
      <w:pPr>
        <w:pStyle w:val="13"/>
        <w:rPr>
          <w:rFonts w:hint="default" w:ascii="仿宋_GB2312" w:hAnsi="仿宋_GB2312" w:eastAsia="仿宋_GB2312" w:cs="仿宋_GB2312"/>
          <w:kern w:val="2"/>
          <w:sz w:val="24"/>
          <w:szCs w:val="24"/>
          <w:lang w:val="en-US" w:eastAsia="zh-CN" w:bidi="ar-SA"/>
        </w:rPr>
      </w:pPr>
      <w:r>
        <w:t xml:space="preserve"> </w:t>
      </w:r>
      <w:r>
        <w:rPr>
          <w:rFonts w:hint="eastAsia" w:ascii="仿宋_GB2312" w:hAnsi="仿宋_GB2312" w:eastAsia="仿宋_GB2312" w:cs="仿宋_GB2312"/>
          <w:kern w:val="2"/>
          <w:sz w:val="24"/>
          <w:szCs w:val="24"/>
          <w:lang w:val="en-US" w:eastAsia="zh-Hans" w:bidi="ar-SA"/>
        </w:rPr>
        <w:t xml:space="preserve"> 1.本框架协议适用于以下行政区域的采购人：</w:t>
      </w:r>
      <w:r>
        <w:rPr>
          <w:rFonts w:hint="eastAsia" w:ascii="仿宋_GB2312" w:hAnsi="仿宋_GB2312" w:eastAsia="仿宋_GB2312" w:cs="仿宋_GB2312"/>
          <w:kern w:val="2"/>
          <w:sz w:val="24"/>
          <w:szCs w:val="24"/>
          <w:lang w:val="en-US" w:eastAsia="zh-CN" w:bidi="ar-SA"/>
        </w:rPr>
        <w:t>陕西省佛坪县</w:t>
      </w:r>
    </w:p>
    <w:p w14:paraId="71DE4342">
      <w:pPr>
        <w:pStyle w:val="13"/>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Hans" w:bidi="ar-SA"/>
        </w:rPr>
        <w:t xml:space="preserve">  2.履行合同的地域范围描述：</w:t>
      </w:r>
      <w:r>
        <w:rPr>
          <w:rFonts w:hint="eastAsia" w:ascii="仿宋_GB2312" w:hAnsi="仿宋_GB2312" w:eastAsia="仿宋_GB2312" w:cs="仿宋_GB2312"/>
          <w:kern w:val="2"/>
          <w:sz w:val="24"/>
          <w:szCs w:val="24"/>
          <w:lang w:val="en-US" w:eastAsia="zh-CN" w:bidi="ar-SA"/>
        </w:rPr>
        <w:t>陕西省佛坪县</w:t>
      </w:r>
    </w:p>
    <w:p w14:paraId="0C26521D">
      <w:pPr>
        <w:pStyle w:val="13"/>
      </w:pPr>
      <w:r>
        <w:rPr>
          <w:b/>
        </w:rPr>
        <w:t>六、框架协议期限</w:t>
      </w:r>
    </w:p>
    <w:p w14:paraId="7DEE2B89">
      <w:pPr>
        <w:pStyle w:val="13"/>
        <w:ind w:firstLine="480" w:firstLineChars="200"/>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本协议有效期为自框架协议签订之日起 [X] 月 / 年。开放式框架协议入围供应商可以随时申请退出框架协议。集中采购机构或主管预算单位应当在收到退出申请 2 个工作日内，发布入围供应商退出公告。</w:t>
      </w:r>
    </w:p>
    <w:p w14:paraId="163119B0">
      <w:pPr>
        <w:pStyle w:val="13"/>
      </w:pPr>
      <w:r>
        <w:rPr>
          <w:b/>
        </w:rPr>
        <w:t>七、资金支付方式、时间和条件</w:t>
      </w:r>
    </w:p>
    <w:p w14:paraId="080E9656">
      <w:pPr>
        <w:pStyle w:val="13"/>
        <w:rPr>
          <w:rFonts w:hint="eastAsia" w:ascii="仿宋_GB2312" w:hAnsi="仿宋_GB2312" w:eastAsia="仿宋_GB2312" w:cs="仿宋_GB2312"/>
          <w:kern w:val="2"/>
          <w:sz w:val="24"/>
          <w:szCs w:val="24"/>
          <w:lang w:val="en-US" w:eastAsia="zh-Hans" w:bidi="ar-SA"/>
        </w:rPr>
      </w:pPr>
      <w:r>
        <w:t xml:space="preserve"> </w:t>
      </w:r>
      <w:r>
        <w:rPr>
          <w:rFonts w:hint="eastAsia" w:ascii="仿宋_GB2312" w:hAnsi="仿宋_GB2312" w:eastAsia="仿宋_GB2312" w:cs="仿宋_GB2312"/>
          <w:kern w:val="2"/>
          <w:sz w:val="24"/>
          <w:szCs w:val="24"/>
          <w:lang w:val="en-US" w:eastAsia="zh-Hans" w:bidi="ar-SA"/>
        </w:rPr>
        <w:t xml:space="preserve"> 1.支付方式：</w:t>
      </w:r>
    </w:p>
    <w:p w14:paraId="2A9FA4AA">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2.支付时间和条件：</w:t>
      </w:r>
    </w:p>
    <w:p w14:paraId="7E9E51BB">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3.货币单位：人民币</w:t>
      </w:r>
    </w:p>
    <w:p w14:paraId="4835C3AA">
      <w:pPr>
        <w:pStyle w:val="13"/>
      </w:pPr>
      <w:r>
        <w:rPr>
          <w:b/>
        </w:rPr>
        <w:t>八、采购合同文本</w:t>
      </w:r>
    </w:p>
    <w:p w14:paraId="4D2E4D38">
      <w:pPr>
        <w:pStyle w:val="13"/>
        <w:rPr>
          <w:rFonts w:hint="eastAsia" w:ascii="仿宋_GB2312" w:hAnsi="仿宋_GB2312" w:eastAsia="仿宋_GB2312" w:cs="仿宋_GB2312"/>
          <w:kern w:val="2"/>
          <w:sz w:val="24"/>
          <w:szCs w:val="24"/>
          <w:lang w:val="en-US" w:eastAsia="zh-Hans" w:bidi="ar-SA"/>
        </w:rPr>
      </w:pPr>
      <w:r>
        <w:t xml:space="preserve"> </w:t>
      </w:r>
      <w:r>
        <w:rPr>
          <w:rFonts w:hint="eastAsia" w:ascii="仿宋_GB2312" w:hAnsi="仿宋_GB2312" w:eastAsia="仿宋_GB2312" w:cs="仿宋_GB2312"/>
          <w:kern w:val="2"/>
          <w:sz w:val="24"/>
          <w:szCs w:val="24"/>
          <w:lang w:val="en-US" w:eastAsia="zh-Hans" w:bidi="ar-SA"/>
        </w:rPr>
        <w:t xml:space="preserve"> 根据第二阶段成交方式展示合同文本</w:t>
      </w:r>
    </w:p>
    <w:p w14:paraId="20FAEA1D">
      <w:pPr>
        <w:pStyle w:val="13"/>
      </w:pPr>
      <w:r>
        <w:rPr>
          <w:b/>
        </w:rPr>
        <w:t>九、入围供应商清退和补充规则</w:t>
      </w:r>
    </w:p>
    <w:p w14:paraId="69FB0AC6">
      <w:pPr>
        <w:pStyle w:val="13"/>
        <w:rPr>
          <w:rFonts w:hint="eastAsia" w:ascii="仿宋_GB2312" w:hAnsi="仿宋_GB2312" w:eastAsia="仿宋_GB2312" w:cs="仿宋_GB2312"/>
          <w:kern w:val="2"/>
          <w:sz w:val="24"/>
          <w:szCs w:val="24"/>
          <w:lang w:val="en-US" w:eastAsia="zh-Hans" w:bidi="ar-SA"/>
        </w:rPr>
      </w:pPr>
      <w:r>
        <w:t xml:space="preserve"> </w:t>
      </w:r>
      <w:r>
        <w:rPr>
          <w:rFonts w:hint="eastAsia" w:ascii="仿宋_GB2312" w:hAnsi="仿宋_GB2312" w:eastAsia="仿宋_GB2312" w:cs="仿宋_GB2312"/>
          <w:kern w:val="2"/>
          <w:sz w:val="24"/>
          <w:szCs w:val="24"/>
          <w:lang w:val="en-US" w:eastAsia="zh-Hans" w:bidi="ar-SA"/>
        </w:rPr>
        <w:t xml:space="preserve"> 1.入围供应商清退规则：</w:t>
      </w:r>
    </w:p>
    <w:p w14:paraId="20F201D8">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入围供应商有下列情形之一，尚未签订框架协议的，取消其入围资格；已经签订框架协议的，解除与其签订的框架协议：</w:t>
      </w:r>
    </w:p>
    <w:p w14:paraId="7DA1F0D4">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1）恶意串通谋取入围或者合同成交的；</w:t>
      </w:r>
    </w:p>
    <w:p w14:paraId="0F51EF19">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2）提供虚假材料谋取入围或者合同成交的；</w:t>
      </w:r>
    </w:p>
    <w:p w14:paraId="51ADF90B">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3）无正当理由拒不接受合同授予的；</w:t>
      </w:r>
    </w:p>
    <w:p w14:paraId="353BD468">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4）不履行合同义务或者履行合同义务不符合约定，经采购人请求履行后仍不履行或者仍未按约定履行的；</w:t>
      </w:r>
    </w:p>
    <w:p w14:paraId="5BADE5A1">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5）框架协议有效期内，被禁止或限制参加政府采购活动的；</w:t>
      </w:r>
    </w:p>
    <w:p w14:paraId="2FCBE54A">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6）拒不按照本协议约定的事项履行本协议约定义务的；</w:t>
      </w:r>
    </w:p>
    <w:p w14:paraId="7F3B4D98">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7）框架协议约定的其他情形；</w:t>
      </w:r>
    </w:p>
    <w:p w14:paraId="2CEC7A07">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被取消入围资格或者被解除框架协议的供应商不得参加同一封闭式框架协议补充征集。</w:t>
      </w:r>
    </w:p>
    <w:p w14:paraId="5A10D72A">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w:t>
      </w: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kern w:val="2"/>
          <w:sz w:val="24"/>
          <w:szCs w:val="24"/>
          <w:lang w:val="en-US" w:eastAsia="zh-Hans" w:bidi="ar-SA"/>
        </w:rPr>
        <w:t>.入围供应商补充规则：</w:t>
      </w:r>
    </w:p>
    <w:p w14:paraId="13E849B4">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框架协议有效期内，若因供应商退出等原因导致剩余入围供应商不足影响框架协议执行时，征集人可根据实际情况启动补充征集供应商。补充征集的条件、程序、评审方法等可参照初次征集执行，有效期可根据实际情况确定，可遵守原框架协议的有效期或另行规定。</w:t>
      </w:r>
    </w:p>
    <w:p w14:paraId="27FDD948">
      <w:pPr>
        <w:pStyle w:val="13"/>
      </w:pPr>
      <w:r>
        <w:rPr>
          <w:b/>
        </w:rPr>
        <w:t>十、服务承诺</w:t>
      </w:r>
    </w:p>
    <w:p w14:paraId="18D27109">
      <w:pPr>
        <w:pStyle w:val="13"/>
        <w:rPr>
          <w:rFonts w:hint="eastAsia" w:ascii="仿宋_GB2312" w:hAnsi="仿宋_GB2312" w:eastAsia="仿宋_GB2312" w:cs="仿宋_GB2312"/>
          <w:kern w:val="2"/>
          <w:sz w:val="24"/>
          <w:szCs w:val="24"/>
          <w:lang w:val="en-US" w:eastAsia="zh-Hans" w:bidi="ar-SA"/>
        </w:rPr>
      </w:pPr>
      <w:r>
        <w:t xml:space="preserve">  </w:t>
      </w:r>
      <w:r>
        <w:rPr>
          <w:rFonts w:hint="eastAsia" w:ascii="仿宋_GB2312" w:hAnsi="仿宋_GB2312" w:eastAsia="仿宋_GB2312" w:cs="仿宋_GB2312"/>
          <w:kern w:val="2"/>
          <w:sz w:val="24"/>
          <w:szCs w:val="24"/>
          <w:lang w:val="en-US" w:eastAsia="zh-Hans" w:bidi="ar-SA"/>
        </w:rPr>
        <w:t>以征集文件（包含框架协议）、响应文件、澄清表（函）和随服务的相关文件为准。</w:t>
      </w:r>
    </w:p>
    <w:p w14:paraId="66CDF5C7">
      <w:pPr>
        <w:pStyle w:val="13"/>
      </w:pPr>
      <w:r>
        <w:rPr>
          <w:b/>
        </w:rPr>
        <w:t>十一、协议方的权利和义务</w:t>
      </w:r>
    </w:p>
    <w:p w14:paraId="243558DA">
      <w:pPr>
        <w:pStyle w:val="13"/>
        <w:rPr>
          <w:rFonts w:hint="eastAsia" w:ascii="仿宋_GB2312" w:hAnsi="仿宋_GB2312" w:eastAsia="仿宋_GB2312" w:cs="仿宋_GB2312"/>
          <w:kern w:val="2"/>
          <w:sz w:val="24"/>
          <w:szCs w:val="24"/>
          <w:lang w:val="en-US" w:eastAsia="zh-Hans" w:bidi="ar-SA"/>
        </w:rPr>
      </w:pPr>
      <w:r>
        <w:t xml:space="preserve">  </w:t>
      </w:r>
      <w:r>
        <w:rPr>
          <w:rFonts w:hint="eastAsia"/>
          <w:lang w:val="en-US" w:eastAsia="zh-CN"/>
        </w:rPr>
        <w:t xml:space="preserve">  </w:t>
      </w:r>
      <w:r>
        <w:rPr>
          <w:rFonts w:hint="eastAsia" w:ascii="仿宋_GB2312" w:hAnsi="仿宋_GB2312" w:eastAsia="仿宋_GB2312" w:cs="仿宋_GB2312"/>
          <w:kern w:val="2"/>
          <w:sz w:val="24"/>
          <w:szCs w:val="24"/>
          <w:lang w:val="en-US" w:eastAsia="zh-Hans" w:bidi="ar-SA"/>
        </w:rPr>
        <w:t>甲乙双方应当根据框架协议的约定依法履行协议义务。政府采购框架协议的履行、违约责任和解决争议的方法等适用《中华人民共和国民法典》。</w:t>
      </w:r>
    </w:p>
    <w:p w14:paraId="6E0935FE">
      <w:pPr>
        <w:pStyle w:val="13"/>
      </w:pPr>
      <w:r>
        <w:rPr>
          <w:b/>
        </w:rPr>
        <w:t>十二、税费</w:t>
      </w:r>
    </w:p>
    <w:p w14:paraId="6FD7292E">
      <w:pPr>
        <w:pStyle w:val="13"/>
        <w:rPr>
          <w:rFonts w:hint="eastAsia" w:ascii="仿宋_GB2312" w:hAnsi="仿宋_GB2312" w:eastAsia="仿宋_GB2312" w:cs="仿宋_GB2312"/>
          <w:kern w:val="2"/>
          <w:sz w:val="24"/>
          <w:szCs w:val="24"/>
          <w:lang w:val="en-US" w:eastAsia="zh-Hans" w:bidi="ar-SA"/>
        </w:rPr>
      </w:pPr>
      <w:r>
        <w:t xml:space="preserve"> </w:t>
      </w:r>
      <w:r>
        <w:rPr>
          <w:rFonts w:hint="eastAsia" w:ascii="仿宋_GB2312" w:hAnsi="仿宋_GB2312" w:eastAsia="仿宋_GB2312" w:cs="仿宋_GB2312"/>
          <w:kern w:val="2"/>
          <w:sz w:val="24"/>
          <w:szCs w:val="24"/>
          <w:lang w:val="en-US" w:eastAsia="zh-Hans" w:bidi="ar-SA"/>
        </w:rPr>
        <w:t xml:space="preserve"> 本框架协议执行中相关的一切税费均由乙方负担。</w:t>
      </w:r>
    </w:p>
    <w:p w14:paraId="57E709DB">
      <w:pPr>
        <w:pStyle w:val="13"/>
      </w:pPr>
      <w:r>
        <w:rPr>
          <w:b/>
        </w:rPr>
        <w:t>十三、生效条款</w:t>
      </w:r>
    </w:p>
    <w:p w14:paraId="7B4A2C03">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自双方签字盖章后发生法律效力。</w:t>
      </w:r>
      <w:r>
        <w:rPr>
          <w:rFonts w:hint="eastAsia" w:ascii="仿宋_GB2312" w:hAnsi="仿宋_GB2312" w:eastAsia="仿宋_GB2312" w:cs="仿宋_GB2312"/>
          <w:kern w:val="2"/>
          <w:sz w:val="24"/>
          <w:szCs w:val="24"/>
          <w:lang w:val="en-US" w:eastAsia="zh-Hans" w:bidi="ar-SA"/>
        </w:rPr>
        <w:br w:type="textWrapping"/>
      </w:r>
    </w:p>
    <w:p w14:paraId="78A32A2E">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w:t>
      </w:r>
    </w:p>
    <w:p w14:paraId="6AFDD38A">
      <w:pPr>
        <w:pStyle w:val="13"/>
        <w:rPr>
          <w:rFonts w:hint="eastAsia" w:ascii="仿宋_GB2312" w:hAnsi="仿宋_GB2312" w:eastAsia="仿宋_GB2312" w:cs="仿宋_GB2312"/>
          <w:kern w:val="2"/>
          <w:sz w:val="24"/>
          <w:szCs w:val="24"/>
          <w:lang w:val="en-US" w:eastAsia="zh-Hans" w:bidi="ar-SA"/>
        </w:rPr>
      </w:pPr>
    </w:p>
    <w:p w14:paraId="6153ACD1">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甲方(公章)：</w:t>
      </w:r>
    </w:p>
    <w:p w14:paraId="5740219C">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甲方代表：</w:t>
      </w:r>
    </w:p>
    <w:p w14:paraId="5EFC2A1D">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甲方联系人：</w:t>
      </w:r>
    </w:p>
    <w:p w14:paraId="128ADD8E">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联系电话：</w:t>
      </w:r>
    </w:p>
    <w:p w14:paraId="08BD12A5">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单位地址：</w:t>
      </w:r>
    </w:p>
    <w:p w14:paraId="02BADC7C">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协议签订日期：    年    月    日</w:t>
      </w:r>
      <w:r>
        <w:rPr>
          <w:rFonts w:hint="eastAsia" w:ascii="仿宋_GB2312" w:hAnsi="仿宋_GB2312" w:eastAsia="仿宋_GB2312" w:cs="仿宋_GB2312"/>
          <w:kern w:val="2"/>
          <w:sz w:val="24"/>
          <w:szCs w:val="24"/>
          <w:lang w:val="en-US" w:eastAsia="zh-Hans" w:bidi="ar-SA"/>
        </w:rPr>
        <w:br w:type="textWrapping"/>
      </w:r>
    </w:p>
    <w:p w14:paraId="306C427D">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乙方(公章)：</w:t>
      </w:r>
    </w:p>
    <w:p w14:paraId="4AB2A925">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乙方代表：</w:t>
      </w:r>
    </w:p>
    <w:p w14:paraId="77C0BECA">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乙方联系人：</w:t>
      </w:r>
    </w:p>
    <w:p w14:paraId="7B82034A">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联系电话：</w:t>
      </w:r>
    </w:p>
    <w:p w14:paraId="0C10F9A4">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单位地址：</w:t>
      </w:r>
    </w:p>
    <w:p w14:paraId="114CB7DB">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 协议签订日期：    年    月    日</w:t>
      </w:r>
      <w:r>
        <w:rPr>
          <w:rFonts w:hint="eastAsia" w:ascii="仿宋_GB2312" w:hAnsi="仿宋_GB2312" w:eastAsia="仿宋_GB2312" w:cs="仿宋_GB2312"/>
          <w:kern w:val="2"/>
          <w:sz w:val="24"/>
          <w:szCs w:val="24"/>
          <w:lang w:val="en-US" w:eastAsia="zh-Hans" w:bidi="ar-SA"/>
        </w:rPr>
        <w:br w:type="textWrapping"/>
      </w:r>
      <w:r>
        <w:rPr>
          <w:rFonts w:hint="eastAsia" w:ascii="仿宋_GB2312" w:hAnsi="仿宋_GB2312" w:eastAsia="仿宋_GB2312" w:cs="仿宋_GB2312"/>
          <w:kern w:val="2"/>
          <w:sz w:val="24"/>
          <w:szCs w:val="24"/>
          <w:lang w:val="en-US" w:eastAsia="zh-Hans" w:bidi="ar-SA"/>
        </w:rPr>
        <w:t xml:space="preserve"> </w:t>
      </w:r>
    </w:p>
    <w:p w14:paraId="24D691EF">
      <w:pPr>
        <w:pStyle w:val="13"/>
        <w:outlineLvl w:val="1"/>
        <w:rPr>
          <w:b/>
          <w:sz w:val="36"/>
        </w:rPr>
      </w:pPr>
    </w:p>
    <w:p w14:paraId="6DAA47C5">
      <w:pPr>
        <w:pStyle w:val="13"/>
        <w:jc w:val="center"/>
        <w:outlineLvl w:val="1"/>
      </w:pPr>
      <w:r>
        <w:rPr>
          <w:b/>
          <w:sz w:val="36"/>
        </w:rPr>
        <w:t>第七章 响应文件格式</w:t>
      </w:r>
    </w:p>
    <w:p w14:paraId="56113E44">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分册名称：响应性投标文件分册</w:t>
      </w:r>
    </w:p>
    <w:p w14:paraId="6FC9177A">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详见附件：封面</w:t>
      </w:r>
    </w:p>
    <w:p w14:paraId="4D9B0CBE">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详见附件：书面声明</w:t>
      </w:r>
    </w:p>
    <w:p w14:paraId="1E140987">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详见附件：非联合体不分包投标声明</w:t>
      </w:r>
    </w:p>
    <w:p w14:paraId="0CB11435">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详见附件：供应商承诺书（一）</w:t>
      </w:r>
    </w:p>
    <w:p w14:paraId="57E6A04F">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详见附件：供应商承诺书（二）</w:t>
      </w:r>
    </w:p>
    <w:p w14:paraId="29D48388">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详见附件：框架协议</w:t>
      </w:r>
    </w:p>
    <w:p w14:paraId="79DF4E55">
      <w:pPr>
        <w:pStyle w:val="13"/>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详见附件：法定代表人授权委托书</w:t>
      </w:r>
    </w:p>
    <w:p w14:paraId="21C3D304">
      <w:pPr>
        <w:pStyle w:val="13"/>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详见附件：营业执照等主体资格证明文件</w:t>
      </w:r>
    </w:p>
    <w:p w14:paraId="50DDDFCF">
      <w:pPr>
        <w:pStyle w:val="13"/>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详见附件：报价表</w:t>
      </w:r>
    </w:p>
    <w:p w14:paraId="51ACB6CA">
      <w:pPr>
        <w:pStyle w:val="13"/>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详见附件：磋商服务方案</w:t>
      </w:r>
    </w:p>
    <w:p w14:paraId="720D225E">
      <w:pPr>
        <w:pStyle w:val="13"/>
        <w:rPr>
          <w:rFonts w:hint="eastAsia"/>
          <w:lang w:val="en-US" w:eastAsia="zh-Hans"/>
        </w:rPr>
      </w:pPr>
      <w:r>
        <w:rPr>
          <w:rFonts w:hint="eastAsia" w:ascii="仿宋_GB2312" w:hAnsi="仿宋_GB2312" w:eastAsia="仿宋_GB2312" w:cs="仿宋_GB2312"/>
          <w:kern w:val="2"/>
          <w:sz w:val="24"/>
          <w:szCs w:val="24"/>
          <w:lang w:val="en-US" w:eastAsia="zh-CN" w:bidi="ar-SA"/>
        </w:rPr>
        <w:t>详见附件：响应供应商基本情况表</w:t>
      </w:r>
    </w:p>
    <w:p w14:paraId="2045161B">
      <w:pPr>
        <w:pStyle w:val="13"/>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pacing w:val="0"/>
          <w:position w:val="0"/>
          <w:sz w:val="24"/>
          <w:szCs w:val="24"/>
          <w:lang w:val="en-US" w:eastAsia="zh-CN"/>
        </w:rPr>
        <w:t>详见附件：</w:t>
      </w:r>
      <w:r>
        <w:rPr>
          <w:rFonts w:hint="eastAsia" w:ascii="仿宋_GB2312" w:hAnsi="仿宋_GB2312" w:eastAsia="仿宋_GB2312" w:cs="仿宋_GB2312"/>
          <w:spacing w:val="0"/>
          <w:position w:val="0"/>
          <w:sz w:val="24"/>
          <w:szCs w:val="24"/>
        </w:rPr>
        <w:t>汉中市政府采购供应商资格承诺函</w:t>
      </w:r>
    </w:p>
    <w:p w14:paraId="1670AAB7">
      <w:pPr>
        <w:pStyle w:val="13"/>
        <w:rPr>
          <w:rFonts w:hint="eastAsia"/>
          <w:lang w:val="en-US" w:eastAsia="zh-Hans"/>
        </w:rPr>
      </w:pPr>
    </w:p>
    <w:p w14:paraId="0FD54782">
      <w:pPr>
        <w:pStyle w:val="13"/>
        <w:rPr>
          <w:rFonts w:hint="eastAsia"/>
          <w:lang w:val="en-US" w:eastAsia="zh-Hans"/>
        </w:rPr>
      </w:pPr>
    </w:p>
    <w:p w14:paraId="6FDEF96C">
      <w:pPr>
        <w:pStyle w:val="13"/>
        <w:rPr>
          <w:rFonts w:hint="eastAsia"/>
          <w:lang w:val="en-US" w:eastAsia="zh-Hans"/>
        </w:rPr>
      </w:pPr>
    </w:p>
    <w:p w14:paraId="6FA02E6E">
      <w:pPr>
        <w:pStyle w:val="13"/>
        <w:rPr>
          <w:rFonts w:hint="eastAsia"/>
          <w:lang w:val="en-US" w:eastAsia="zh-Hans"/>
        </w:rPr>
      </w:pPr>
    </w:p>
    <w:p w14:paraId="06C89BD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7D4D785F">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附件：1-1</w:t>
      </w:r>
    </w:p>
    <w:p w14:paraId="727523BA">
      <w:pPr>
        <w:pStyle w:val="5"/>
        <w:rPr>
          <w:rFonts w:hint="eastAsia" w:ascii="仿宋_GB2312" w:hAnsi="仿宋_GB2312" w:eastAsia="仿宋_GB2312" w:cs="仿宋_GB2312"/>
        </w:rPr>
      </w:pPr>
    </w:p>
    <w:p w14:paraId="43361131">
      <w:pPr>
        <w:spacing w:line="360" w:lineRule="auto"/>
        <w:jc w:val="center"/>
        <w:rPr>
          <w:rFonts w:hint="eastAsia" w:ascii="仿宋_GB2312" w:hAnsi="仿宋_GB2312" w:eastAsia="仿宋_GB2312" w:cs="仿宋_GB2312"/>
          <w:spacing w:val="78"/>
          <w:sz w:val="96"/>
          <w:szCs w:val="120"/>
        </w:rPr>
      </w:pPr>
    </w:p>
    <w:p w14:paraId="50521A94">
      <w:pPr>
        <w:spacing w:line="360" w:lineRule="auto"/>
        <w:jc w:val="center"/>
        <w:rPr>
          <w:rFonts w:hint="eastAsia" w:ascii="仿宋_GB2312" w:hAnsi="仿宋_GB2312" w:eastAsia="仿宋_GB2312" w:cs="仿宋_GB2312"/>
          <w:b/>
          <w:bCs/>
          <w:spacing w:val="78"/>
          <w:sz w:val="96"/>
          <w:szCs w:val="120"/>
          <w:lang w:eastAsia="zh-Hans"/>
        </w:rPr>
      </w:pPr>
      <w:r>
        <w:rPr>
          <w:rFonts w:hint="eastAsia" w:ascii="仿宋_GB2312" w:hAnsi="仿宋_GB2312" w:eastAsia="仿宋_GB2312" w:cs="仿宋_GB2312"/>
          <w:b/>
          <w:bCs/>
          <w:spacing w:val="78"/>
          <w:sz w:val="96"/>
          <w:szCs w:val="120"/>
        </w:rPr>
        <w:t>投标</w:t>
      </w:r>
      <w:r>
        <w:rPr>
          <w:rFonts w:hint="eastAsia" w:ascii="仿宋_GB2312" w:hAnsi="仿宋_GB2312" w:eastAsia="仿宋_GB2312" w:cs="仿宋_GB2312"/>
          <w:b/>
          <w:bCs/>
          <w:spacing w:val="78"/>
          <w:sz w:val="96"/>
          <w:szCs w:val="120"/>
          <w:lang w:eastAsia="zh-Hans"/>
        </w:rPr>
        <w:t>（</w:t>
      </w:r>
      <w:r>
        <w:rPr>
          <w:rFonts w:hint="eastAsia" w:ascii="仿宋_GB2312" w:hAnsi="仿宋_GB2312" w:eastAsia="仿宋_GB2312" w:cs="仿宋_GB2312"/>
          <w:b/>
          <w:bCs/>
          <w:spacing w:val="78"/>
          <w:sz w:val="96"/>
          <w:szCs w:val="120"/>
          <w:lang w:val="en-US" w:eastAsia="zh-Hans"/>
        </w:rPr>
        <w:t>响应</w:t>
      </w:r>
      <w:r>
        <w:rPr>
          <w:rFonts w:hint="eastAsia" w:ascii="仿宋_GB2312" w:hAnsi="仿宋_GB2312" w:eastAsia="仿宋_GB2312" w:cs="仿宋_GB2312"/>
          <w:b/>
          <w:bCs/>
          <w:spacing w:val="78"/>
          <w:sz w:val="96"/>
          <w:szCs w:val="120"/>
          <w:lang w:eastAsia="zh-Hans"/>
        </w:rPr>
        <w:t>）</w:t>
      </w:r>
    </w:p>
    <w:p w14:paraId="78F9902D">
      <w:pPr>
        <w:spacing w:line="360" w:lineRule="auto"/>
        <w:jc w:val="center"/>
        <w:rPr>
          <w:rFonts w:hint="eastAsia" w:ascii="仿宋_GB2312" w:hAnsi="仿宋_GB2312" w:eastAsia="仿宋_GB2312" w:cs="仿宋_GB2312"/>
          <w:b/>
          <w:bCs/>
          <w:spacing w:val="78"/>
          <w:sz w:val="96"/>
          <w:szCs w:val="120"/>
        </w:rPr>
      </w:pPr>
      <w:r>
        <w:rPr>
          <w:rFonts w:hint="eastAsia" w:ascii="仿宋_GB2312" w:hAnsi="仿宋_GB2312" w:eastAsia="仿宋_GB2312" w:cs="仿宋_GB2312"/>
          <w:b/>
          <w:bCs/>
          <w:spacing w:val="78"/>
          <w:sz w:val="96"/>
          <w:szCs w:val="120"/>
        </w:rPr>
        <w:t>文件</w:t>
      </w:r>
    </w:p>
    <w:p w14:paraId="0AE64A0C">
      <w:pPr>
        <w:spacing w:line="360" w:lineRule="auto"/>
        <w:jc w:val="center"/>
        <w:rPr>
          <w:rFonts w:hint="eastAsia" w:ascii="仿宋_GB2312" w:hAnsi="仿宋_GB2312" w:eastAsia="仿宋_GB2312" w:cs="仿宋_GB2312"/>
          <w:bCs/>
          <w:sz w:val="36"/>
        </w:rPr>
      </w:pPr>
    </w:p>
    <w:p w14:paraId="6E6CB492">
      <w:pPr>
        <w:pStyle w:val="5"/>
        <w:rPr>
          <w:rFonts w:hint="eastAsia" w:ascii="仿宋_GB2312" w:hAnsi="仿宋_GB2312" w:eastAsia="仿宋_GB2312" w:cs="仿宋_GB2312"/>
          <w:bCs/>
          <w:sz w:val="36"/>
        </w:rPr>
      </w:pPr>
    </w:p>
    <w:p w14:paraId="2FBC7598">
      <w:pPr>
        <w:rPr>
          <w:rFonts w:hint="eastAsia"/>
        </w:rPr>
      </w:pPr>
    </w:p>
    <w:p w14:paraId="0AE949E7">
      <w:pPr>
        <w:spacing w:line="360" w:lineRule="auto"/>
        <w:jc w:val="center"/>
        <w:rPr>
          <w:rFonts w:hint="eastAsia" w:ascii="仿宋_GB2312" w:hAnsi="仿宋_GB2312" w:eastAsia="仿宋_GB2312" w:cs="仿宋_GB2312"/>
          <w:bCs/>
          <w:sz w:val="36"/>
        </w:rPr>
      </w:pPr>
    </w:p>
    <w:p w14:paraId="1F85B28D">
      <w:pPr>
        <w:spacing w:line="360" w:lineRule="auto"/>
        <w:ind w:leftChars="3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sz w:val="32"/>
          <w:szCs w:val="32"/>
          <w:lang w:val="en-US" w:eastAsia="zh-Hans"/>
        </w:rPr>
        <w:t>采购</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系统取值，</w:t>
      </w:r>
      <w:r>
        <w:rPr>
          <w:rFonts w:hint="eastAsia" w:ascii="仿宋_GB2312" w:hAnsi="仿宋_GB2312" w:eastAsia="仿宋_GB2312" w:cs="仿宋_GB2312"/>
          <w:color w:val="auto"/>
          <w:sz w:val="32"/>
          <w:szCs w:val="32"/>
          <w:highlight w:val="none"/>
          <w:lang w:eastAsia="zh-Hans"/>
        </w:rPr>
        <w:t>采购项目名称</w:t>
      </w:r>
      <w:r>
        <w:rPr>
          <w:rFonts w:hint="eastAsia" w:ascii="仿宋_GB2312" w:hAnsi="仿宋_GB2312" w:eastAsia="仿宋_GB2312" w:cs="仿宋_GB2312"/>
          <w:color w:val="auto"/>
          <w:sz w:val="32"/>
          <w:szCs w:val="32"/>
          <w:highlight w:val="none"/>
        </w:rPr>
        <w:t>}</w:t>
      </w:r>
    </w:p>
    <w:p w14:paraId="6A185C10">
      <w:pPr>
        <w:spacing w:line="360" w:lineRule="auto"/>
        <w:ind w:left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Hans"/>
        </w:rPr>
        <w:t>采购</w:t>
      </w:r>
      <w:r>
        <w:rPr>
          <w:rFonts w:hint="eastAsia" w:ascii="仿宋_GB2312" w:hAnsi="仿宋_GB2312" w:eastAsia="仿宋_GB2312" w:cs="仿宋_GB2312"/>
          <w:b/>
          <w:bCs/>
          <w:color w:val="auto"/>
          <w:sz w:val="32"/>
          <w:szCs w:val="32"/>
          <w:highlight w:val="none"/>
        </w:rPr>
        <w:t>项目编号：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系统取值，</w:t>
      </w:r>
      <w:r>
        <w:rPr>
          <w:rFonts w:hint="eastAsia" w:ascii="仿宋_GB2312" w:hAnsi="仿宋_GB2312" w:eastAsia="仿宋_GB2312" w:cs="仿宋_GB2312"/>
          <w:color w:val="auto"/>
          <w:sz w:val="32"/>
          <w:szCs w:val="32"/>
          <w:highlight w:val="none"/>
          <w:lang w:eastAsia="zh-Hans"/>
        </w:rPr>
        <w:t>采购项目编号</w:t>
      </w:r>
      <w:r>
        <w:rPr>
          <w:rFonts w:hint="eastAsia" w:ascii="仿宋_GB2312" w:hAnsi="仿宋_GB2312" w:eastAsia="仿宋_GB2312" w:cs="仿宋_GB2312"/>
          <w:color w:val="auto"/>
          <w:sz w:val="32"/>
          <w:szCs w:val="32"/>
          <w:highlight w:val="none"/>
        </w:rPr>
        <w:t>}</w:t>
      </w:r>
    </w:p>
    <w:p w14:paraId="0EFB974E">
      <w:pPr>
        <w:spacing w:line="360" w:lineRule="auto"/>
        <w:rPr>
          <w:rFonts w:hint="eastAsia" w:ascii="仿宋_GB2312" w:hAnsi="仿宋_GB2312" w:eastAsia="仿宋_GB2312" w:cs="仿宋_GB2312"/>
          <w:b/>
          <w:bCs/>
          <w:color w:val="auto"/>
          <w:sz w:val="32"/>
          <w:szCs w:val="32"/>
        </w:rPr>
      </w:pPr>
    </w:p>
    <w:p w14:paraId="3ACDB621">
      <w:pPr>
        <w:pStyle w:val="5"/>
        <w:rPr>
          <w:rFonts w:hint="eastAsia" w:ascii="仿宋_GB2312" w:hAnsi="仿宋_GB2312" w:eastAsia="仿宋_GB2312" w:cs="仿宋_GB2312"/>
          <w:b/>
          <w:bCs/>
          <w:color w:val="auto"/>
          <w:sz w:val="32"/>
          <w:szCs w:val="32"/>
        </w:rPr>
      </w:pPr>
    </w:p>
    <w:p w14:paraId="219B59CF">
      <w:pPr>
        <w:rPr>
          <w:rFonts w:hint="eastAsia"/>
          <w:color w:val="auto"/>
        </w:rPr>
      </w:pPr>
    </w:p>
    <w:p w14:paraId="27818D4C">
      <w:pPr>
        <w:spacing w:line="360" w:lineRule="auto"/>
        <w:rPr>
          <w:rFonts w:hint="eastAsia" w:ascii="仿宋_GB2312" w:hAnsi="仿宋_GB2312" w:eastAsia="仿宋_GB2312" w:cs="仿宋_GB2312"/>
          <w:b/>
          <w:bCs/>
          <w:color w:val="auto"/>
          <w:sz w:val="32"/>
          <w:szCs w:val="32"/>
        </w:rPr>
      </w:pPr>
    </w:p>
    <w:p w14:paraId="28772924">
      <w:pPr>
        <w:spacing w:line="360" w:lineRule="auto"/>
        <w:ind w:firstLine="630" w:firstLineChars="196"/>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Hans"/>
        </w:rPr>
        <w:t>供应商</w:t>
      </w:r>
      <w:r>
        <w:rPr>
          <w:rFonts w:hint="eastAsia" w:ascii="仿宋_GB2312" w:hAnsi="仿宋_GB2312" w:eastAsia="仿宋_GB2312" w:cs="仿宋_GB2312"/>
          <w:b/>
          <w:bCs/>
          <w:color w:val="auto"/>
          <w:sz w:val="32"/>
          <w:szCs w:val="32"/>
          <w:highlight w:val="none"/>
        </w:rPr>
        <w:t>名称：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供应商名称</w:t>
      </w:r>
      <w:r>
        <w:rPr>
          <w:rFonts w:hint="eastAsia" w:ascii="仿宋_GB2312" w:hAnsi="仿宋_GB2312" w:eastAsia="仿宋_GB2312" w:cs="仿宋_GB2312"/>
          <w:color w:val="auto"/>
          <w:sz w:val="32"/>
          <w:szCs w:val="32"/>
          <w:highlight w:val="none"/>
        </w:rPr>
        <w:t>}</w:t>
      </w:r>
    </w:p>
    <w:p w14:paraId="5AFE15ED">
      <w:pPr>
        <w:spacing w:line="360" w:lineRule="auto"/>
        <w:ind w:firstLine="569" w:firstLineChars="177"/>
        <w:jc w:val="center"/>
        <w:rPr>
          <w:rFonts w:hint="eastAsia" w:ascii="华文仿宋" w:hAnsi="华文仿宋" w:eastAsia="华文仿宋" w:cs="华文仿宋"/>
          <w:b/>
          <w:bCs/>
          <w:color w:val="auto"/>
          <w:sz w:val="30"/>
          <w:szCs w:val="30"/>
          <w:highlight w:val="none"/>
          <w:u w:val="none"/>
          <w:lang w:val="en-US" w:eastAsia="zh-CN"/>
        </w:rPr>
      </w:pPr>
      <w:r>
        <w:rPr>
          <w:rFonts w:hint="eastAsia" w:ascii="仿宋_GB2312" w:hAnsi="仿宋_GB2312" w:eastAsia="仿宋_GB2312" w:cs="仿宋_GB2312"/>
          <w:b/>
          <w:bCs/>
          <w:color w:val="auto"/>
          <w:sz w:val="32"/>
          <w:szCs w:val="32"/>
          <w:highlight w:val="none"/>
        </w:rPr>
        <w:t>日 期：</w:t>
      </w:r>
      <w:r>
        <w:rPr>
          <w:rFonts w:hint="eastAsia" w:ascii="仿宋_GB2312" w:hAnsi="仿宋_GB2312" w:eastAsia="仿宋_GB2312" w:cs="仿宋_GB2312"/>
          <w:b w:val="0"/>
          <w:bCs w:val="0"/>
          <w:color w:val="auto"/>
          <w:sz w:val="32"/>
          <w:szCs w:val="32"/>
          <w:highlight w:val="none"/>
        </w:rPr>
        <w:t>{20XX年XX月XX日}</w:t>
      </w:r>
    </w:p>
    <w:p w14:paraId="4FBF150A">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C3DE27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附件：1-2</w:t>
      </w:r>
    </w:p>
    <w:p w14:paraId="488D2E22">
      <w:pPr>
        <w:widowControl/>
        <w:spacing w:line="500" w:lineRule="exact"/>
        <w:jc w:val="center"/>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书面声明</w:t>
      </w:r>
    </w:p>
    <w:p w14:paraId="21FD97AC">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en-US" w:eastAsia="zh-CN" w:bidi="ar-SA"/>
        </w:rPr>
        <w:t>佛坪县</w:t>
      </w:r>
      <w:r>
        <w:rPr>
          <w:rFonts w:hint="eastAsia" w:ascii="华文仿宋" w:hAnsi="华文仿宋" w:eastAsia="华文仿宋" w:cs="华文仿宋"/>
          <w:b w:val="0"/>
          <w:bCs w:val="0"/>
          <w:color w:val="auto"/>
          <w:kern w:val="2"/>
          <w:sz w:val="28"/>
          <w:szCs w:val="28"/>
          <w:highlight w:val="none"/>
          <w:u w:val="none"/>
          <w:lang w:val="zh-CN" w:eastAsia="zh-CN" w:bidi="ar-SA"/>
        </w:rPr>
        <w:t>政府采购中心：</w:t>
      </w:r>
    </w:p>
    <w:p w14:paraId="1C6D2A7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我方作为</w:t>
      </w:r>
      <w:r>
        <w:rPr>
          <w:rFonts w:hint="eastAsia" w:ascii="华文仿宋" w:hAnsi="华文仿宋" w:eastAsia="华文仿宋" w:cs="华文仿宋"/>
          <w:b w:val="0"/>
          <w:bCs w:val="0"/>
          <w:color w:val="auto"/>
          <w:kern w:val="2"/>
          <w:sz w:val="28"/>
          <w:szCs w:val="28"/>
          <w:highlight w:val="none"/>
          <w:u w:val="single"/>
          <w:lang w:val="en-US" w:eastAsia="zh-CN" w:bidi="ar-SA"/>
        </w:rPr>
        <w:t>《</w:t>
      </w:r>
      <w:r>
        <w:rPr>
          <w:rFonts w:hint="eastAsia" w:ascii="华文仿宋" w:hAnsi="华文仿宋" w:eastAsia="华文仿宋" w:cs="华文仿宋"/>
          <w:b w:val="0"/>
          <w:bCs w:val="0"/>
          <w:color w:val="auto"/>
          <w:kern w:val="2"/>
          <w:sz w:val="28"/>
          <w:szCs w:val="28"/>
          <w:highlight w:val="none"/>
          <w:u w:val="single"/>
          <w:lang w:val="zh-CN" w:eastAsia="zh-CN" w:bidi="ar-SA"/>
        </w:rPr>
        <w:t>项目名称</w:t>
      </w:r>
      <w:r>
        <w:rPr>
          <w:rFonts w:hint="eastAsia" w:ascii="华文仿宋" w:hAnsi="华文仿宋" w:eastAsia="华文仿宋" w:cs="华文仿宋"/>
          <w:b w:val="0"/>
          <w:bCs w:val="0"/>
          <w:color w:val="auto"/>
          <w:kern w:val="2"/>
          <w:sz w:val="28"/>
          <w:szCs w:val="28"/>
          <w:highlight w:val="none"/>
          <w:u w:val="single"/>
          <w:lang w:val="en-US" w:eastAsia="zh-CN" w:bidi="ar-SA"/>
        </w:rPr>
        <w:t>》</w:t>
      </w:r>
      <w:r>
        <w:rPr>
          <w:rFonts w:hint="eastAsia" w:ascii="华文仿宋" w:hAnsi="华文仿宋" w:eastAsia="华文仿宋" w:cs="华文仿宋"/>
          <w:b w:val="0"/>
          <w:bCs w:val="0"/>
          <w:color w:val="auto"/>
          <w:kern w:val="2"/>
          <w:sz w:val="28"/>
          <w:szCs w:val="28"/>
          <w:highlight w:val="none"/>
          <w:u w:val="none"/>
          <w:lang w:val="zh-CN" w:eastAsia="zh-CN" w:bidi="ar-SA"/>
        </w:rPr>
        <w:t>（项目编号：</w:t>
      </w:r>
      <w:r>
        <w:rPr>
          <w:rFonts w:hint="eastAsia" w:ascii="华文仿宋" w:hAnsi="华文仿宋" w:eastAsia="华文仿宋" w:cs="华文仿宋"/>
          <w:b w:val="0"/>
          <w:bCs w:val="0"/>
          <w:color w:val="auto"/>
          <w:kern w:val="2"/>
          <w:sz w:val="28"/>
          <w:szCs w:val="28"/>
          <w:highlight w:val="none"/>
          <w:u w:val="single"/>
          <w:lang w:val="en-US" w:eastAsia="zh-CN" w:bidi="ar-SA"/>
        </w:rPr>
        <w:t xml:space="preserve">         </w:t>
      </w:r>
      <w:r>
        <w:rPr>
          <w:rFonts w:hint="eastAsia" w:ascii="华文仿宋" w:hAnsi="华文仿宋" w:eastAsia="华文仿宋" w:cs="华文仿宋"/>
          <w:b w:val="0"/>
          <w:bCs w:val="0"/>
          <w:color w:val="auto"/>
          <w:kern w:val="2"/>
          <w:sz w:val="28"/>
          <w:szCs w:val="28"/>
          <w:highlight w:val="none"/>
          <w:u w:val="none"/>
          <w:lang w:val="zh-CN" w:eastAsia="zh-CN" w:bidi="ar-SA"/>
        </w:rPr>
        <w:t>）的供应商，在此郑重声明：</w:t>
      </w:r>
    </w:p>
    <w:p w14:paraId="300CA33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en-US" w:eastAsia="zh-CN" w:bidi="ar-SA"/>
        </w:rPr>
        <w:t>1、</w:t>
      </w:r>
      <w:r>
        <w:rPr>
          <w:rFonts w:hint="eastAsia" w:ascii="华文仿宋" w:hAnsi="华文仿宋" w:eastAsia="华文仿宋" w:cs="华文仿宋"/>
          <w:b w:val="0"/>
          <w:bCs w:val="0"/>
          <w:color w:val="auto"/>
          <w:kern w:val="2"/>
          <w:sz w:val="28"/>
          <w:szCs w:val="28"/>
          <w:highlight w:val="none"/>
          <w:u w:val="none"/>
          <w:lang w:val="zh-CN" w:eastAsia="zh-CN" w:bidi="ar-SA"/>
        </w:rPr>
        <w:t>我方具备履行合同所必须的设备和专业技术能力。</w:t>
      </w:r>
    </w:p>
    <w:p w14:paraId="3EB497E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2、我方未为本项目提供整体设计、规范编制或者项目管理、监理、检测等服务。</w:t>
      </w:r>
    </w:p>
    <w:p w14:paraId="058F60C3">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如有不实，我方将无条件地退出本项目的采购活动，并遵照《政府采购法》有关“提供虚假材料的规定”接受处罚。</w:t>
      </w:r>
    </w:p>
    <w:p w14:paraId="4ECFA38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特此声明。</w:t>
      </w:r>
    </w:p>
    <w:p w14:paraId="70442ECC">
      <w:pPr>
        <w:spacing w:after="120" w:afterLines="0" w:afterAutospacing="0" w:line="400" w:lineRule="exact"/>
        <w:jc w:val="both"/>
        <w:rPr>
          <w:rFonts w:hint="eastAsia" w:ascii="Calibri Light" w:hAnsi="Calibri Light" w:eastAsia="华文仿宋" w:cs="Calibri Light"/>
          <w:color w:val="auto"/>
          <w:kern w:val="2"/>
          <w:sz w:val="28"/>
          <w:szCs w:val="28"/>
          <w:highlight w:val="none"/>
          <w:u w:val="none"/>
          <w:lang w:val="zh-CN" w:eastAsia="zh-CN" w:bidi="ar-SA"/>
        </w:rPr>
      </w:pPr>
    </w:p>
    <w:p w14:paraId="00A24F11">
      <w:pPr>
        <w:spacing w:after="120" w:afterLines="0" w:afterAutospacing="0" w:line="400" w:lineRule="exact"/>
        <w:jc w:val="both"/>
        <w:rPr>
          <w:rFonts w:hint="eastAsia" w:ascii="Calibri Light" w:hAnsi="Calibri Light" w:eastAsia="华文仿宋" w:cs="Calibri Light"/>
          <w:color w:val="auto"/>
          <w:kern w:val="2"/>
          <w:sz w:val="28"/>
          <w:szCs w:val="28"/>
          <w:highlight w:val="none"/>
          <w:u w:val="none"/>
          <w:lang w:val="zh-CN" w:eastAsia="zh-CN" w:bidi="ar-SA"/>
        </w:rPr>
      </w:pPr>
    </w:p>
    <w:p w14:paraId="3F5109A6">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en-US" w:eastAsia="zh-CN" w:bidi="ar-SA"/>
        </w:rPr>
        <w:t xml:space="preserve">  </w:t>
      </w:r>
      <w:r>
        <w:rPr>
          <w:rFonts w:hint="eastAsia" w:ascii="华文仿宋" w:hAnsi="华文仿宋" w:eastAsia="华文仿宋" w:cs="华文仿宋"/>
          <w:b w:val="0"/>
          <w:bCs w:val="0"/>
          <w:color w:val="auto"/>
          <w:kern w:val="2"/>
          <w:sz w:val="28"/>
          <w:szCs w:val="28"/>
          <w:highlight w:val="none"/>
          <w:u w:val="none"/>
          <w:lang w:val="zh-CN" w:eastAsia="zh-CN" w:bidi="ar-SA"/>
        </w:rPr>
        <w:t>供应商：</w:t>
      </w:r>
      <w:r>
        <w:rPr>
          <w:rFonts w:hint="eastAsia" w:ascii="华文仿宋" w:hAnsi="华文仿宋" w:eastAsia="华文仿宋" w:cs="华文仿宋"/>
          <w:b w:val="0"/>
          <w:bCs w:val="0"/>
          <w:color w:val="auto"/>
          <w:kern w:val="2"/>
          <w:sz w:val="28"/>
          <w:szCs w:val="28"/>
          <w:highlight w:val="none"/>
          <w:u w:val="single"/>
          <w:lang w:val="zh-CN" w:eastAsia="zh-CN" w:bidi="ar-SA"/>
        </w:rPr>
        <w:t>名称</w:t>
      </w:r>
      <w:r>
        <w:rPr>
          <w:rFonts w:hint="eastAsia" w:ascii="华文仿宋" w:hAnsi="华文仿宋" w:eastAsia="华文仿宋" w:cs="华文仿宋"/>
          <w:b w:val="0"/>
          <w:bCs w:val="0"/>
          <w:color w:val="auto"/>
          <w:kern w:val="2"/>
          <w:sz w:val="28"/>
          <w:szCs w:val="28"/>
          <w:highlight w:val="none"/>
          <w:u w:val="none"/>
          <w:lang w:val="zh-CN" w:eastAsia="zh-CN" w:bidi="ar-SA"/>
        </w:rPr>
        <w:t>（加盖公章）</w:t>
      </w:r>
    </w:p>
    <w:p w14:paraId="56B14FF4">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日期：  年  月  日</w:t>
      </w:r>
    </w:p>
    <w:p w14:paraId="4E8C0645">
      <w:pPr>
        <w:pStyle w:val="2"/>
        <w:widowControl/>
        <w:rPr>
          <w:rFonts w:ascii="仿宋" w:hAnsi="仿宋" w:eastAsia="仿宋" w:cs="仿宋"/>
          <w:color w:val="auto"/>
          <w:highlight w:val="none"/>
          <w:u w:val="none"/>
        </w:rPr>
      </w:pPr>
    </w:p>
    <w:p w14:paraId="1E6BE62C">
      <w:pPr>
        <w:pStyle w:val="2"/>
        <w:widowControl/>
        <w:rPr>
          <w:rFonts w:ascii="仿宋" w:hAnsi="仿宋" w:eastAsia="仿宋" w:cs="仿宋"/>
          <w:color w:val="auto"/>
          <w:highlight w:val="none"/>
          <w:u w:val="none"/>
        </w:rPr>
      </w:pPr>
    </w:p>
    <w:p w14:paraId="5BFD179A">
      <w:pPr>
        <w:rPr>
          <w:rFonts w:hint="eastAsia" w:ascii="仿宋" w:hAnsi="仿宋" w:eastAsia="仿宋" w:cs="仿宋"/>
          <w:color w:val="auto"/>
          <w:kern w:val="28"/>
          <w:sz w:val="28"/>
          <w:szCs w:val="28"/>
          <w:highlight w:val="none"/>
          <w:u w:val="none"/>
        </w:rPr>
      </w:pPr>
    </w:p>
    <w:p w14:paraId="777D7AD1">
      <w:pPr>
        <w:pStyle w:val="13"/>
        <w:rPr>
          <w:rFonts w:hint="eastAsia"/>
          <w:lang w:val="en-US" w:eastAsia="zh-Hans"/>
        </w:rPr>
      </w:pPr>
    </w:p>
    <w:p w14:paraId="6A8D30A9">
      <w:pPr>
        <w:pStyle w:val="13"/>
        <w:rPr>
          <w:rFonts w:hint="eastAsia"/>
          <w:lang w:val="en-US" w:eastAsia="zh-Hans"/>
        </w:rPr>
      </w:pPr>
    </w:p>
    <w:p w14:paraId="456AEA3D">
      <w:pPr>
        <w:pStyle w:val="13"/>
        <w:rPr>
          <w:rFonts w:hint="eastAsia"/>
          <w:lang w:val="en-US" w:eastAsia="zh-Hans"/>
        </w:rPr>
      </w:pPr>
    </w:p>
    <w:p w14:paraId="4D7B1B62">
      <w:pPr>
        <w:pStyle w:val="13"/>
        <w:rPr>
          <w:rFonts w:hint="eastAsia"/>
          <w:lang w:val="en-US" w:eastAsia="zh-Hans"/>
        </w:rPr>
      </w:pPr>
    </w:p>
    <w:p w14:paraId="265E1A97">
      <w:pPr>
        <w:pStyle w:val="13"/>
        <w:rPr>
          <w:rFonts w:hint="eastAsia"/>
          <w:lang w:val="en-US" w:eastAsia="zh-Hans"/>
        </w:rPr>
      </w:pPr>
    </w:p>
    <w:p w14:paraId="3572425E">
      <w:pPr>
        <w:pStyle w:val="13"/>
        <w:rPr>
          <w:rFonts w:hint="eastAsia"/>
          <w:lang w:val="en-US" w:eastAsia="zh-Hans"/>
        </w:rPr>
      </w:pPr>
    </w:p>
    <w:p w14:paraId="63855C3E">
      <w:pPr>
        <w:pStyle w:val="13"/>
        <w:rPr>
          <w:rFonts w:hint="eastAsia"/>
          <w:lang w:val="en-US" w:eastAsia="zh-Hans"/>
        </w:rPr>
      </w:pPr>
    </w:p>
    <w:p w14:paraId="69BC8CC0">
      <w:pPr>
        <w:pStyle w:val="13"/>
        <w:rPr>
          <w:rFonts w:hint="eastAsia"/>
          <w:lang w:val="en-US" w:eastAsia="zh-Hans"/>
        </w:rPr>
      </w:pPr>
    </w:p>
    <w:p w14:paraId="39A63EF6">
      <w:pPr>
        <w:pStyle w:val="13"/>
        <w:rPr>
          <w:rFonts w:hint="eastAsia"/>
          <w:lang w:val="en-US" w:eastAsia="zh-Hans"/>
        </w:rPr>
      </w:pPr>
    </w:p>
    <w:p w14:paraId="7013CD81">
      <w:pPr>
        <w:pStyle w:val="13"/>
        <w:rPr>
          <w:rFonts w:hint="eastAsia"/>
          <w:lang w:val="en-US" w:eastAsia="zh-Hans"/>
        </w:rPr>
      </w:pPr>
    </w:p>
    <w:p w14:paraId="0841428F">
      <w:pPr>
        <w:pStyle w:val="13"/>
        <w:rPr>
          <w:rFonts w:hint="eastAsia"/>
          <w:lang w:val="en-US" w:eastAsia="zh-Hans"/>
        </w:rPr>
      </w:pPr>
    </w:p>
    <w:p w14:paraId="30F83C5E">
      <w:pPr>
        <w:pStyle w:val="13"/>
        <w:rPr>
          <w:rFonts w:hint="eastAsia"/>
          <w:lang w:val="en-US" w:eastAsia="zh-Hans"/>
        </w:rPr>
      </w:pPr>
    </w:p>
    <w:p w14:paraId="7DA0872B">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附件：1-3</w:t>
      </w:r>
    </w:p>
    <w:p w14:paraId="09488B1B">
      <w:pPr>
        <w:pStyle w:val="13"/>
        <w:rPr>
          <w:rFonts w:hint="eastAsia"/>
          <w:lang w:val="en-US" w:eastAsia="zh-Hans"/>
        </w:rPr>
      </w:pPr>
    </w:p>
    <w:p w14:paraId="0B5874B8">
      <w:pPr>
        <w:pStyle w:val="13"/>
        <w:rPr>
          <w:rFonts w:hint="eastAsia"/>
          <w:lang w:val="en-US" w:eastAsia="zh-Hans"/>
        </w:rPr>
      </w:pPr>
    </w:p>
    <w:p w14:paraId="47E79D66">
      <w:pPr>
        <w:pStyle w:val="2"/>
        <w:widowControl/>
        <w:ind w:left="0" w:leftChars="0" w:firstLine="0" w:firstLineChars="0"/>
        <w:jc w:val="center"/>
        <w:rPr>
          <w:rFonts w:ascii="华文仿宋" w:hAnsi="华文仿宋" w:cs="华文仿宋"/>
          <w:b/>
          <w:bCs/>
          <w:color w:val="auto"/>
          <w:sz w:val="30"/>
          <w:szCs w:val="30"/>
          <w:highlight w:val="none"/>
          <w:u w:val="none"/>
        </w:rPr>
      </w:pPr>
      <w:r>
        <w:rPr>
          <w:rFonts w:hint="eastAsia" w:ascii="华文仿宋" w:hAnsi="华文仿宋" w:cs="华文仿宋"/>
          <w:b/>
          <w:bCs/>
          <w:color w:val="auto"/>
          <w:sz w:val="30"/>
          <w:szCs w:val="30"/>
          <w:highlight w:val="none"/>
          <w:u w:val="none"/>
        </w:rPr>
        <w:t>非联合体不分包投标声明</w:t>
      </w:r>
    </w:p>
    <w:p w14:paraId="02A27144">
      <w:pPr>
        <w:widowControl/>
        <w:spacing w:line="500" w:lineRule="exact"/>
        <w:ind w:firstLine="560" w:firstLineChars="200"/>
        <w:rPr>
          <w:rFonts w:ascii="华文仿宋" w:hAnsi="华文仿宋" w:eastAsia="华文仿宋" w:cs="华文仿宋"/>
          <w:color w:val="auto"/>
          <w:sz w:val="28"/>
          <w:szCs w:val="28"/>
          <w:highlight w:val="none"/>
          <w:u w:val="none"/>
        </w:rPr>
      </w:pPr>
    </w:p>
    <w:p w14:paraId="63BDD5F0">
      <w:pPr>
        <w:widowControl/>
        <w:spacing w:line="500" w:lineRule="exact"/>
        <w:ind w:firstLine="560" w:firstLineChars="200"/>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本单位郑重声明，参加</w:t>
      </w:r>
      <w:r>
        <w:rPr>
          <w:rFonts w:hint="eastAsia" w:ascii="华文仿宋" w:hAnsi="华文仿宋" w:eastAsia="华文仿宋" w:cs="华文仿宋"/>
          <w:color w:val="auto"/>
          <w:sz w:val="28"/>
          <w:szCs w:val="28"/>
          <w:highlight w:val="none"/>
          <w:u w:val="none"/>
          <w:lang w:val="en-US" w:eastAsia="zh-CN"/>
        </w:rPr>
        <w:t>佛坪县</w:t>
      </w:r>
      <w:r>
        <w:rPr>
          <w:rFonts w:hint="eastAsia" w:ascii="华文仿宋" w:hAnsi="华文仿宋" w:eastAsia="华文仿宋" w:cs="华文仿宋"/>
          <w:color w:val="auto"/>
          <w:sz w:val="28"/>
          <w:szCs w:val="28"/>
          <w:highlight w:val="none"/>
          <w:u w:val="none"/>
        </w:rPr>
        <w:t>政府采购中心的</w:t>
      </w:r>
      <w:r>
        <w:rPr>
          <w:rFonts w:hint="eastAsia" w:ascii="华文仿宋" w:hAnsi="华文仿宋" w:eastAsia="华文仿宋" w:cs="华文仿宋"/>
          <w:color w:val="auto"/>
          <w:sz w:val="28"/>
          <w:szCs w:val="28"/>
          <w:highlight w:val="none"/>
          <w:u w:val="single"/>
          <w:lang w:eastAsia="zh-CN"/>
        </w:rPr>
        <w:t>《</w:t>
      </w:r>
      <w:r>
        <w:rPr>
          <w:rFonts w:hint="eastAsia" w:ascii="华文仿宋" w:hAnsi="华文仿宋" w:eastAsia="华文仿宋" w:cs="华文仿宋"/>
          <w:color w:val="auto"/>
          <w:sz w:val="28"/>
          <w:szCs w:val="28"/>
          <w:highlight w:val="none"/>
          <w:u w:val="single"/>
        </w:rPr>
        <w:t>项目名称</w:t>
      </w:r>
      <w:r>
        <w:rPr>
          <w:rFonts w:hint="eastAsia" w:ascii="华文仿宋" w:hAnsi="华文仿宋" w:eastAsia="华文仿宋" w:cs="华文仿宋"/>
          <w:color w:val="auto"/>
          <w:sz w:val="28"/>
          <w:szCs w:val="28"/>
          <w:highlight w:val="none"/>
          <w:u w:val="single"/>
          <w:lang w:eastAsia="zh-CN"/>
        </w:rPr>
        <w:t>》</w:t>
      </w:r>
      <w:r>
        <w:rPr>
          <w:rFonts w:hint="eastAsia" w:ascii="华文仿宋" w:hAnsi="华文仿宋" w:eastAsia="华文仿宋" w:cs="华文仿宋"/>
          <w:color w:val="auto"/>
          <w:sz w:val="28"/>
          <w:szCs w:val="28"/>
          <w:highlight w:val="none"/>
          <w:u w:val="none"/>
        </w:rPr>
        <w:t>（项目编号：</w:t>
      </w:r>
      <w:r>
        <w:rPr>
          <w:rFonts w:hint="eastAsia" w:ascii="华文仿宋" w:hAnsi="华文仿宋" w:eastAsia="华文仿宋" w:cs="华文仿宋"/>
          <w:color w:val="auto"/>
          <w:sz w:val="28"/>
          <w:szCs w:val="28"/>
          <w:highlight w:val="none"/>
          <w:u w:val="single"/>
          <w:lang w:val="en-US" w:eastAsia="zh-CN"/>
        </w:rPr>
        <w:t xml:space="preserve">        </w:t>
      </w:r>
      <w:r>
        <w:rPr>
          <w:rFonts w:hint="eastAsia" w:ascii="华文仿宋" w:hAnsi="华文仿宋" w:eastAsia="华文仿宋" w:cs="华文仿宋"/>
          <w:color w:val="auto"/>
          <w:sz w:val="28"/>
          <w:szCs w:val="28"/>
          <w:highlight w:val="none"/>
          <w:u w:val="none"/>
        </w:rPr>
        <w:t>）</w:t>
      </w:r>
      <w:r>
        <w:rPr>
          <w:rFonts w:hint="eastAsia" w:ascii="华文仿宋" w:hAnsi="华文仿宋" w:eastAsia="华文仿宋" w:cs="华文仿宋"/>
          <w:color w:val="auto"/>
          <w:sz w:val="28"/>
          <w:szCs w:val="28"/>
          <w:highlight w:val="none"/>
          <w:u w:val="none"/>
          <w:lang w:eastAsia="zh-CN"/>
        </w:rPr>
        <w:t>框架协议征集</w:t>
      </w:r>
      <w:r>
        <w:rPr>
          <w:rFonts w:hint="eastAsia" w:ascii="华文仿宋" w:hAnsi="华文仿宋" w:eastAsia="华文仿宋" w:cs="华文仿宋"/>
          <w:color w:val="auto"/>
          <w:sz w:val="28"/>
          <w:szCs w:val="28"/>
          <w:highlight w:val="none"/>
          <w:u w:val="none"/>
        </w:rPr>
        <w:t>活动，为非联合体</w:t>
      </w:r>
      <w:r>
        <w:rPr>
          <w:rFonts w:hint="eastAsia" w:ascii="华文仿宋" w:hAnsi="华文仿宋" w:eastAsia="华文仿宋" w:cs="华文仿宋"/>
          <w:color w:val="auto"/>
          <w:sz w:val="28"/>
          <w:szCs w:val="28"/>
          <w:highlight w:val="none"/>
          <w:u w:val="none"/>
          <w:lang w:eastAsia="zh-CN"/>
        </w:rPr>
        <w:t>响应</w:t>
      </w:r>
      <w:r>
        <w:rPr>
          <w:rFonts w:hint="eastAsia" w:ascii="华文仿宋" w:hAnsi="华文仿宋" w:eastAsia="华文仿宋" w:cs="华文仿宋"/>
          <w:color w:val="auto"/>
          <w:sz w:val="28"/>
          <w:szCs w:val="28"/>
          <w:highlight w:val="none"/>
          <w:u w:val="none"/>
        </w:rPr>
        <w:t>，本项目实施过程由本单位独立承担。</w:t>
      </w:r>
    </w:p>
    <w:p w14:paraId="6620B011">
      <w:pPr>
        <w:widowControl/>
        <w:spacing w:line="500" w:lineRule="exact"/>
        <w:ind w:firstLine="560" w:firstLineChars="200"/>
        <w:jc w:val="left"/>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本单位对上述声明的真实性负责。如有虚假，将依法承担相应责任。</w:t>
      </w:r>
    </w:p>
    <w:p w14:paraId="6E709106">
      <w:pPr>
        <w:widowControl/>
        <w:spacing w:line="500" w:lineRule="exact"/>
        <w:ind w:firstLine="560" w:firstLineChars="200"/>
        <w:jc w:val="left"/>
        <w:rPr>
          <w:rFonts w:ascii="华文仿宋" w:hAnsi="华文仿宋" w:eastAsia="华文仿宋" w:cs="华文仿宋"/>
          <w:color w:val="auto"/>
          <w:sz w:val="28"/>
          <w:szCs w:val="28"/>
          <w:highlight w:val="none"/>
          <w:u w:val="none"/>
        </w:rPr>
      </w:pPr>
    </w:p>
    <w:p w14:paraId="1D9E92A2">
      <w:pPr>
        <w:pStyle w:val="2"/>
        <w:widowControl/>
        <w:rPr>
          <w:rFonts w:ascii="华文仿宋" w:hAnsi="华文仿宋" w:cs="华文仿宋"/>
          <w:color w:val="auto"/>
          <w:highlight w:val="none"/>
          <w:u w:val="none"/>
        </w:rPr>
      </w:pPr>
    </w:p>
    <w:p w14:paraId="3FC48159">
      <w:pPr>
        <w:widowControl/>
        <w:spacing w:line="500" w:lineRule="exact"/>
        <w:ind w:firstLine="4760" w:firstLineChars="1700"/>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lang w:eastAsia="zh-CN"/>
        </w:rPr>
        <w:t>供应商</w:t>
      </w:r>
      <w:r>
        <w:rPr>
          <w:rFonts w:hint="eastAsia" w:ascii="华文仿宋" w:hAnsi="华文仿宋" w:eastAsia="华文仿宋" w:cs="华文仿宋"/>
          <w:color w:val="auto"/>
          <w:sz w:val="28"/>
          <w:szCs w:val="28"/>
          <w:highlight w:val="none"/>
          <w:u w:val="none"/>
        </w:rPr>
        <w:t>：</w:t>
      </w:r>
      <w:r>
        <w:rPr>
          <w:rFonts w:hint="eastAsia" w:ascii="华文仿宋" w:hAnsi="华文仿宋" w:eastAsia="华文仿宋" w:cs="华文仿宋"/>
          <w:color w:val="auto"/>
          <w:sz w:val="28"/>
          <w:szCs w:val="28"/>
          <w:highlight w:val="none"/>
          <w:u w:val="single"/>
        </w:rPr>
        <w:t>名称</w:t>
      </w:r>
      <w:r>
        <w:rPr>
          <w:rFonts w:hint="eastAsia" w:ascii="华文仿宋" w:hAnsi="华文仿宋" w:eastAsia="华文仿宋" w:cs="华文仿宋"/>
          <w:color w:val="auto"/>
          <w:sz w:val="28"/>
          <w:szCs w:val="28"/>
          <w:highlight w:val="none"/>
          <w:u w:val="none"/>
        </w:rPr>
        <w:t>（加盖公章）</w:t>
      </w:r>
    </w:p>
    <w:p w14:paraId="666D9696">
      <w:pPr>
        <w:widowControl/>
        <w:tabs>
          <w:tab w:val="left" w:pos="5670"/>
        </w:tabs>
        <w:spacing w:line="500" w:lineRule="exact"/>
        <w:ind w:firstLine="5320" w:firstLineChars="1900"/>
        <w:jc w:val="left"/>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日期：　　年　月　日</w:t>
      </w:r>
    </w:p>
    <w:p w14:paraId="44D57B1E">
      <w:pPr>
        <w:pStyle w:val="8"/>
        <w:widowControl/>
        <w:ind w:firstLine="183"/>
        <w:rPr>
          <w:rFonts w:ascii="华文仿宋"/>
          <w:color w:val="auto"/>
          <w:highlight w:val="none"/>
          <w:u w:val="none"/>
        </w:rPr>
      </w:pPr>
    </w:p>
    <w:p w14:paraId="0AFE4C00">
      <w:pPr>
        <w:jc w:val="center"/>
        <w:rPr>
          <w:rFonts w:hint="eastAsia" w:ascii="仿宋" w:hAnsi="仿宋" w:eastAsia="仿宋" w:cs="仿宋"/>
          <w:color w:val="auto"/>
          <w:kern w:val="28"/>
          <w:sz w:val="28"/>
          <w:szCs w:val="28"/>
          <w:highlight w:val="none"/>
          <w:u w:val="none"/>
        </w:rPr>
      </w:pPr>
    </w:p>
    <w:p w14:paraId="3B57577B">
      <w:pPr>
        <w:pStyle w:val="13"/>
        <w:rPr>
          <w:rFonts w:hint="eastAsia"/>
          <w:lang w:val="en-US" w:eastAsia="zh-Hans"/>
        </w:rPr>
      </w:pPr>
    </w:p>
    <w:p w14:paraId="4D700E87">
      <w:pPr>
        <w:pStyle w:val="13"/>
        <w:rPr>
          <w:rFonts w:hint="eastAsia"/>
          <w:lang w:val="en-US" w:eastAsia="zh-Hans"/>
        </w:rPr>
      </w:pPr>
    </w:p>
    <w:p w14:paraId="1F97D256">
      <w:pPr>
        <w:pStyle w:val="13"/>
        <w:rPr>
          <w:rFonts w:hint="eastAsia"/>
          <w:lang w:val="en-US" w:eastAsia="zh-Hans"/>
        </w:rPr>
      </w:pPr>
    </w:p>
    <w:p w14:paraId="699A1B64">
      <w:pPr>
        <w:pStyle w:val="13"/>
        <w:rPr>
          <w:rFonts w:hint="eastAsia"/>
          <w:lang w:val="en-US" w:eastAsia="zh-Hans"/>
        </w:rPr>
      </w:pPr>
    </w:p>
    <w:p w14:paraId="647DDED6">
      <w:pPr>
        <w:pStyle w:val="13"/>
        <w:rPr>
          <w:rFonts w:hint="eastAsia"/>
          <w:lang w:val="en-US" w:eastAsia="zh-Hans"/>
        </w:rPr>
      </w:pPr>
    </w:p>
    <w:p w14:paraId="5FB54C9C">
      <w:pPr>
        <w:pStyle w:val="13"/>
        <w:rPr>
          <w:rFonts w:hint="eastAsia"/>
          <w:lang w:val="en-US" w:eastAsia="zh-Hans"/>
        </w:rPr>
      </w:pPr>
    </w:p>
    <w:p w14:paraId="73081189">
      <w:pPr>
        <w:pStyle w:val="13"/>
        <w:rPr>
          <w:rFonts w:hint="eastAsia"/>
          <w:lang w:val="en-US" w:eastAsia="zh-Hans"/>
        </w:rPr>
      </w:pPr>
    </w:p>
    <w:p w14:paraId="5737B926">
      <w:pPr>
        <w:pStyle w:val="13"/>
        <w:rPr>
          <w:rFonts w:hint="eastAsia"/>
          <w:lang w:val="en-US" w:eastAsia="zh-Hans"/>
        </w:rPr>
      </w:pPr>
    </w:p>
    <w:p w14:paraId="51F6A50C">
      <w:pPr>
        <w:pStyle w:val="13"/>
        <w:rPr>
          <w:rFonts w:hint="eastAsia"/>
          <w:lang w:val="en-US" w:eastAsia="zh-Hans"/>
        </w:rPr>
      </w:pPr>
    </w:p>
    <w:p w14:paraId="51EBDCF4">
      <w:pPr>
        <w:pStyle w:val="13"/>
        <w:rPr>
          <w:rFonts w:hint="eastAsia"/>
          <w:lang w:val="en-US" w:eastAsia="zh-Hans"/>
        </w:rPr>
      </w:pPr>
    </w:p>
    <w:p w14:paraId="0AFA92E0">
      <w:pPr>
        <w:pStyle w:val="13"/>
        <w:rPr>
          <w:rFonts w:hint="eastAsia"/>
          <w:lang w:val="en-US" w:eastAsia="zh-Hans"/>
        </w:rPr>
      </w:pPr>
    </w:p>
    <w:p w14:paraId="673217B9">
      <w:pPr>
        <w:pStyle w:val="13"/>
        <w:rPr>
          <w:rFonts w:hint="eastAsia"/>
          <w:lang w:val="en-US" w:eastAsia="zh-Hans"/>
        </w:rPr>
      </w:pPr>
    </w:p>
    <w:p w14:paraId="72AB22DC">
      <w:pPr>
        <w:pStyle w:val="13"/>
        <w:rPr>
          <w:rFonts w:hint="eastAsia"/>
          <w:lang w:val="en-US" w:eastAsia="zh-Hans"/>
        </w:rPr>
      </w:pPr>
    </w:p>
    <w:p w14:paraId="23F596A9">
      <w:pPr>
        <w:pStyle w:val="13"/>
        <w:rPr>
          <w:rFonts w:hint="eastAsia"/>
          <w:lang w:val="en-US" w:eastAsia="zh-Hans"/>
        </w:rPr>
      </w:pPr>
    </w:p>
    <w:p w14:paraId="67573014">
      <w:pPr>
        <w:pStyle w:val="13"/>
        <w:rPr>
          <w:rFonts w:hint="eastAsia"/>
          <w:lang w:val="en-US" w:eastAsia="zh-Hans"/>
        </w:rPr>
      </w:pPr>
    </w:p>
    <w:p w14:paraId="64DEE1C4">
      <w:pPr>
        <w:pStyle w:val="13"/>
        <w:rPr>
          <w:rFonts w:hint="eastAsia"/>
          <w:lang w:val="en-US" w:eastAsia="zh-Hans"/>
        </w:rPr>
      </w:pPr>
    </w:p>
    <w:p w14:paraId="4CC7E878">
      <w:pPr>
        <w:pStyle w:val="13"/>
        <w:rPr>
          <w:rFonts w:hint="eastAsia"/>
          <w:lang w:val="en-US" w:eastAsia="zh-Hans"/>
        </w:rPr>
      </w:pPr>
    </w:p>
    <w:p w14:paraId="697E90EA">
      <w:pPr>
        <w:widowControl/>
        <w:spacing w:line="500" w:lineRule="exact"/>
        <w:jc w:val="both"/>
        <w:rPr>
          <w:rFonts w:hint="eastAsia"/>
          <w:lang w:val="en-US" w:eastAsia="zh-Hans"/>
        </w:rPr>
      </w:pPr>
      <w:r>
        <w:rPr>
          <w:rFonts w:hint="eastAsia" w:ascii="华文仿宋" w:hAnsi="华文仿宋" w:eastAsia="华文仿宋" w:cs="华文仿宋"/>
          <w:b/>
          <w:bCs/>
          <w:color w:val="auto"/>
          <w:sz w:val="30"/>
          <w:szCs w:val="30"/>
          <w:highlight w:val="none"/>
          <w:u w:val="none"/>
          <w:lang w:val="en-US" w:eastAsia="zh-CN"/>
        </w:rPr>
        <w:t>附件：1-4</w:t>
      </w:r>
    </w:p>
    <w:p w14:paraId="4B983B69">
      <w:pPr>
        <w:pStyle w:val="13"/>
        <w:rPr>
          <w:rFonts w:hint="eastAsia"/>
          <w:lang w:val="en-US" w:eastAsia="zh-Hans"/>
        </w:rPr>
      </w:pPr>
    </w:p>
    <w:p w14:paraId="015CED41">
      <w:pPr>
        <w:pStyle w:val="14"/>
        <w:widowControl/>
        <w:spacing w:line="500" w:lineRule="exact"/>
        <w:ind w:left="0" w:leftChars="0" w:firstLine="0" w:firstLineChars="0"/>
        <w:jc w:val="center"/>
        <w:outlineLvl w:val="2"/>
        <w:rPr>
          <w:rFonts w:hint="eastAsia" w:ascii="华文仿宋" w:hAnsi="华文仿宋" w:eastAsia="华文仿宋" w:cs="华文仿宋"/>
          <w:color w:val="auto"/>
          <w:sz w:val="32"/>
          <w:szCs w:val="36"/>
          <w:highlight w:val="none"/>
          <w:u w:val="none"/>
          <w:lang w:eastAsia="zh-CN"/>
        </w:rPr>
      </w:pPr>
      <w:bookmarkStart w:id="2" w:name="_Toc32030"/>
      <w:bookmarkStart w:id="3" w:name="_Toc12032"/>
      <w:bookmarkStart w:id="4" w:name="_Toc28430"/>
      <w:bookmarkStart w:id="5" w:name="_Toc20450"/>
      <w:bookmarkStart w:id="6" w:name="_Toc21044"/>
      <w:bookmarkStart w:id="7" w:name="_Toc27127"/>
      <w:bookmarkStart w:id="8" w:name="_Toc30708"/>
      <w:bookmarkStart w:id="9" w:name="_Toc10991"/>
      <w:bookmarkStart w:id="10" w:name="_Toc29248"/>
      <w:bookmarkStart w:id="11" w:name="_Toc27481"/>
      <w:bookmarkStart w:id="12" w:name="_Toc25612"/>
      <w:bookmarkStart w:id="13" w:name="_Toc9028"/>
      <w:bookmarkStart w:id="14" w:name="_Toc26656"/>
      <w:bookmarkStart w:id="15" w:name="_Toc6005"/>
      <w:r>
        <w:rPr>
          <w:rFonts w:hint="eastAsia" w:ascii="华文仿宋" w:hAnsi="华文仿宋" w:cs="华文仿宋"/>
          <w:color w:val="auto"/>
          <w:sz w:val="32"/>
          <w:szCs w:val="36"/>
          <w:highlight w:val="none"/>
          <w:u w:val="none"/>
          <w:lang w:eastAsia="zh-CN"/>
        </w:rPr>
        <w:t>供应商承诺书（一）（二）</w:t>
      </w:r>
    </w:p>
    <w:p w14:paraId="4B93DFD6">
      <w:pPr>
        <w:widowControl/>
        <w:spacing w:line="500" w:lineRule="exact"/>
        <w:ind w:firstLine="560" w:firstLineChars="200"/>
        <w:rPr>
          <w:rFonts w:hint="eastAsia" w:ascii="华文仿宋" w:hAnsi="华文仿宋" w:eastAsia="华文仿宋" w:cs="华文仿宋"/>
          <w:color w:val="auto"/>
          <w:highlight w:val="none"/>
          <w:u w:val="none"/>
        </w:rPr>
      </w:pPr>
      <w:r>
        <w:rPr>
          <w:rFonts w:hint="eastAsia" w:ascii="仿宋" w:hAnsi="仿宋" w:eastAsia="华文仿宋" w:cs="华文仿宋"/>
          <w:color w:val="auto"/>
          <w:sz w:val="28"/>
          <w:szCs w:val="28"/>
          <w:highlight w:val="none"/>
          <w:u w:val="none"/>
          <w:lang w:eastAsia="zh-CN"/>
        </w:rPr>
        <w:t>（供应商承诺书共两个，供应商均须进行响应并加盖公章）</w:t>
      </w:r>
    </w:p>
    <w:p w14:paraId="4FFDA191">
      <w:pPr>
        <w:pStyle w:val="14"/>
        <w:widowControl/>
        <w:spacing w:line="500" w:lineRule="exact"/>
        <w:ind w:left="0" w:leftChars="0" w:firstLine="0" w:firstLineChars="0"/>
        <w:jc w:val="center"/>
        <w:outlineLvl w:val="2"/>
        <w:rPr>
          <w:rFonts w:hint="eastAsia" w:ascii="华文仿宋" w:hAnsi="华文仿宋" w:eastAsia="华文仿宋" w:cs="华文仿宋"/>
          <w:color w:val="auto"/>
          <w:highlight w:val="none"/>
          <w:u w:val="none"/>
          <w:lang w:eastAsia="zh-CN"/>
        </w:rPr>
      </w:pPr>
      <w:r>
        <w:rPr>
          <w:rFonts w:hint="eastAsia" w:ascii="华文仿宋" w:hAnsi="华文仿宋" w:eastAsia="华文仿宋" w:cs="华文仿宋"/>
          <w:color w:val="auto"/>
          <w:highlight w:val="none"/>
          <w:u w:val="none"/>
        </w:rPr>
        <w:t>供应商承诺书</w:t>
      </w:r>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ascii="华文仿宋" w:hAnsi="华文仿宋" w:cs="华文仿宋"/>
          <w:color w:val="auto"/>
          <w:highlight w:val="none"/>
          <w:u w:val="none"/>
          <w:lang w:eastAsia="zh-CN"/>
        </w:rPr>
        <w:t>（一）</w:t>
      </w:r>
    </w:p>
    <w:p w14:paraId="47930CAD">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为保障定点接待及定点会议项目顺利实施，作为供应商，我方郑重承诺如下：​</w:t>
      </w:r>
    </w:p>
    <w:p w14:paraId="12CC70DB">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我方提供的会议场地、接待设施设备及相关服务，均完全符合国家现行质量、安全、消防、卫生、环保标准和要求。场地内各类硬件设施（包括但不限于会议桌椅、音响设备、照明系统、空调系统、餐饮器具等）及软件服务（如网络覆盖、会议指引、客房服务等），均经过严格检测与优化，确保安全、可靠、舒适。​</w:t>
      </w:r>
    </w:p>
    <w:p w14:paraId="4B5667DE">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我方将严格遵循国家及行业现行相关接待、会议服务标准及规范，在约定的服务时限内，以高标准、高质量完成定点接待及会议服务项目的全部内容。从前期筹备、现场执行到后期收尾，均提供专业化、精细化服务，确保为采购人交付满意的接待与会议成果。​</w:t>
      </w:r>
    </w:p>
    <w:p w14:paraId="1AEB6ABB">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对于因接待场地、设施设备质量问题，以及接待、会议服务过程中产生的任何安全事故（包括但不限于消防安全事故、食品安全事故、设施设备故障引发的人身伤害事故等），我方承担全部责任，并将积极采取有效措施妥善处理，保障采购人及参会人员的生命财产安全。</w:t>
      </w:r>
    </w:p>
    <w:p w14:paraId="36EDA3A4">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我方提供的接待、会议服务等符合现行的国家、行业、地区标准及要求，若存在标准不一致的情况，以更为严格的标准为准。我方对提供的接待、会议服务等的质量、安全、环保、卫生等方面承担全部责任，并承诺主动接受采购人及相关部门的监督与检查，及时整改存在的问题。</w:t>
      </w:r>
    </w:p>
    <w:p w14:paraId="0D484A83">
      <w:pPr>
        <w:keepNext w:val="0"/>
        <w:keepLines w:val="0"/>
        <w:pageBreakBefore w:val="0"/>
        <w:widowControl/>
        <w:kinsoku/>
        <w:wordWrap/>
        <w:overflowPunct/>
        <w:topLinePunct w:val="0"/>
        <w:autoSpaceDE/>
        <w:autoSpaceDN/>
        <w:bidi w:val="0"/>
        <w:adjustRightInd/>
        <w:snapToGrid/>
        <w:spacing w:line="580" w:lineRule="exact"/>
        <w:ind w:firstLine="5040" w:firstLineChars="1800"/>
        <w:textAlignment w:val="auto"/>
        <w:outlineLvl w:val="9"/>
        <w:rPr>
          <w:rFonts w:hint="eastAsia" w:ascii="仿宋" w:hAnsi="仿宋" w:eastAsia="华文仿宋" w:cs="华文仿宋"/>
          <w:color w:val="auto"/>
          <w:sz w:val="28"/>
          <w:szCs w:val="28"/>
          <w:highlight w:val="none"/>
          <w:u w:val="none"/>
          <w:lang w:eastAsia="zh-CN"/>
        </w:rPr>
      </w:pPr>
    </w:p>
    <w:p w14:paraId="32616925">
      <w:pPr>
        <w:keepNext w:val="0"/>
        <w:keepLines w:val="0"/>
        <w:pageBreakBefore w:val="0"/>
        <w:widowControl/>
        <w:kinsoku/>
        <w:wordWrap/>
        <w:overflowPunct/>
        <w:topLinePunct w:val="0"/>
        <w:autoSpaceDE/>
        <w:autoSpaceDN/>
        <w:bidi w:val="0"/>
        <w:adjustRightInd/>
        <w:snapToGrid/>
        <w:spacing w:line="580" w:lineRule="exact"/>
        <w:ind w:firstLine="5040" w:firstLineChars="1800"/>
        <w:textAlignment w:val="auto"/>
        <w:outlineLvl w:val="9"/>
        <w:rPr>
          <w:rFonts w:hint="eastAsia" w:ascii="仿宋" w:hAnsi="仿宋" w:eastAsia="华文仿宋" w:cs="华文仿宋"/>
          <w:color w:val="auto"/>
          <w:sz w:val="28"/>
          <w:szCs w:val="28"/>
          <w:highlight w:val="none"/>
          <w:u w:val="none"/>
          <w:lang w:eastAsia="zh-CN"/>
        </w:rPr>
      </w:pPr>
    </w:p>
    <w:p w14:paraId="27B96E3C">
      <w:pPr>
        <w:keepNext w:val="0"/>
        <w:keepLines w:val="0"/>
        <w:pageBreakBefore w:val="0"/>
        <w:widowControl/>
        <w:kinsoku/>
        <w:wordWrap/>
        <w:overflowPunct/>
        <w:topLinePunct w:val="0"/>
        <w:autoSpaceDE/>
        <w:autoSpaceDN/>
        <w:bidi w:val="0"/>
        <w:adjustRightInd/>
        <w:snapToGrid/>
        <w:spacing w:line="580" w:lineRule="exact"/>
        <w:ind w:firstLine="5040" w:firstLineChars="1800"/>
        <w:textAlignment w:val="auto"/>
        <w:outlineLvl w:val="9"/>
        <w:rPr>
          <w:rFonts w:hint="eastAsia" w:ascii="仿宋" w:hAnsi="仿宋" w:eastAsia="华文仿宋" w:cs="华文仿宋"/>
          <w:color w:val="auto"/>
          <w:sz w:val="28"/>
          <w:szCs w:val="28"/>
          <w:highlight w:val="none"/>
          <w:u w:val="none"/>
          <w:lang w:eastAsia="zh-CN"/>
        </w:rPr>
      </w:pPr>
    </w:p>
    <w:p w14:paraId="4F7EF2D8">
      <w:pPr>
        <w:widowControl/>
        <w:spacing w:line="500" w:lineRule="exact"/>
        <w:ind w:firstLine="4200" w:firstLineChars="1500"/>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lang w:eastAsia="zh-CN"/>
        </w:rPr>
        <w:t>供应商</w:t>
      </w:r>
      <w:r>
        <w:rPr>
          <w:rFonts w:hint="eastAsia" w:ascii="仿宋" w:hAnsi="仿宋" w:eastAsia="华文仿宋" w:cs="华文仿宋"/>
          <w:color w:val="auto"/>
          <w:sz w:val="28"/>
          <w:szCs w:val="28"/>
          <w:highlight w:val="none"/>
          <w:u w:val="none"/>
        </w:rPr>
        <w:t>：</w:t>
      </w:r>
      <w:r>
        <w:rPr>
          <w:rFonts w:hint="eastAsia" w:ascii="仿宋" w:hAnsi="仿宋" w:eastAsia="华文仿宋" w:cs="华文仿宋"/>
          <w:color w:val="auto"/>
          <w:sz w:val="28"/>
          <w:szCs w:val="28"/>
          <w:highlight w:val="none"/>
          <w:u w:val="single"/>
        </w:rPr>
        <w:t>名称</w:t>
      </w:r>
      <w:r>
        <w:rPr>
          <w:rFonts w:hint="eastAsia" w:ascii="仿宋" w:hAnsi="仿宋" w:eastAsia="华文仿宋" w:cs="华文仿宋"/>
          <w:color w:val="auto"/>
          <w:sz w:val="28"/>
          <w:szCs w:val="28"/>
          <w:highlight w:val="none"/>
          <w:u w:val="none"/>
        </w:rPr>
        <w:t>（加盖公章）</w:t>
      </w:r>
    </w:p>
    <w:p w14:paraId="3B1BEDFB">
      <w:pPr>
        <w:widowControl/>
        <w:spacing w:line="500" w:lineRule="exact"/>
        <w:ind w:firstLine="4480" w:firstLineChars="1600"/>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日期：　年　月　日</w:t>
      </w:r>
    </w:p>
    <w:p w14:paraId="1DB2840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7FD69D18">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3891370">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6AC5E3BB">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B6AB187">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33D2A34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A72E27A">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00494F76">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4ED9FD4">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A0B8371">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6AF5CEB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66736982">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0BCDF4AC">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78FB0B6F">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54418169">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2BFD739">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5BE7AFC0">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343968A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附件：1-5</w:t>
      </w:r>
    </w:p>
    <w:p w14:paraId="5D5F05CA">
      <w:pPr>
        <w:pStyle w:val="14"/>
        <w:pageBreakBefore w:val="0"/>
        <w:widowControl/>
        <w:kinsoku/>
        <w:wordWrap/>
        <w:autoSpaceDE/>
        <w:autoSpaceDN/>
        <w:bidi w:val="0"/>
        <w:adjustRightInd/>
        <w:snapToGrid/>
        <w:spacing w:line="500" w:lineRule="exact"/>
        <w:ind w:left="0" w:leftChars="0" w:firstLine="0" w:firstLineChars="0"/>
        <w:jc w:val="both"/>
        <w:textAlignment w:val="auto"/>
        <w:outlineLvl w:val="2"/>
        <w:rPr>
          <w:rFonts w:hint="eastAsia" w:ascii="华文仿宋" w:hAnsi="华文仿宋" w:eastAsia="华文仿宋" w:cs="华文仿宋"/>
          <w:color w:val="auto"/>
          <w:highlight w:val="none"/>
          <w:u w:val="none"/>
        </w:rPr>
      </w:pPr>
    </w:p>
    <w:p w14:paraId="504A3EE9">
      <w:pPr>
        <w:pStyle w:val="14"/>
        <w:pageBreakBefore w:val="0"/>
        <w:widowControl/>
        <w:kinsoku/>
        <w:wordWrap/>
        <w:autoSpaceDE/>
        <w:autoSpaceDN/>
        <w:bidi w:val="0"/>
        <w:adjustRightInd/>
        <w:snapToGrid/>
        <w:spacing w:line="500" w:lineRule="exact"/>
        <w:ind w:left="0" w:leftChars="0" w:firstLine="0" w:firstLineChars="0"/>
        <w:jc w:val="center"/>
        <w:textAlignment w:val="auto"/>
        <w:outlineLvl w:val="2"/>
        <w:rPr>
          <w:rFonts w:hint="eastAsia" w:ascii="华文仿宋" w:hAnsi="华文仿宋" w:eastAsia="华文仿宋" w:cs="华文仿宋"/>
          <w:color w:val="auto"/>
          <w:highlight w:val="none"/>
          <w:u w:val="none"/>
          <w:lang w:eastAsia="zh-CN"/>
        </w:rPr>
      </w:pPr>
      <w:r>
        <w:rPr>
          <w:rFonts w:hint="eastAsia" w:ascii="华文仿宋" w:hAnsi="华文仿宋" w:eastAsia="华文仿宋" w:cs="华文仿宋"/>
          <w:color w:val="auto"/>
          <w:highlight w:val="none"/>
          <w:u w:val="none"/>
        </w:rPr>
        <w:t>供应商承诺书</w:t>
      </w:r>
      <w:r>
        <w:rPr>
          <w:rFonts w:hint="eastAsia" w:ascii="华文仿宋" w:hAnsi="华文仿宋" w:cs="华文仿宋"/>
          <w:color w:val="auto"/>
          <w:highlight w:val="none"/>
          <w:u w:val="none"/>
          <w:lang w:eastAsia="zh-CN"/>
        </w:rPr>
        <w:t>（二）</w:t>
      </w:r>
    </w:p>
    <w:p w14:paraId="2DAE5C3E">
      <w:pPr>
        <w:pageBreakBefore w:val="0"/>
        <w:widowControl/>
        <w:kinsoku/>
        <w:wordWrap/>
        <w:autoSpaceDE/>
        <w:autoSpaceDN/>
        <w:bidi w:val="0"/>
        <w:adjustRightInd/>
        <w:snapToGrid/>
        <w:spacing w:line="500" w:lineRule="exact"/>
        <w:ind w:firstLine="562" w:firstLineChars="200"/>
        <w:textAlignment w:val="auto"/>
        <w:rPr>
          <w:rFonts w:ascii="Calibri Light" w:hAnsi="Calibri Light" w:eastAsia="华文仿宋" w:cs="Times New Roman"/>
          <w:b/>
          <w:bCs/>
          <w:color w:val="auto"/>
          <w:sz w:val="28"/>
          <w:szCs w:val="28"/>
          <w:highlight w:val="none"/>
          <w:u w:val="none"/>
        </w:rPr>
      </w:pPr>
      <w:r>
        <w:rPr>
          <w:rFonts w:hint="eastAsia" w:ascii="Calibri Light" w:hAnsi="Calibri Light" w:eastAsia="华文仿宋" w:cs="华文仿宋"/>
          <w:b/>
          <w:bCs/>
          <w:color w:val="auto"/>
          <w:sz w:val="28"/>
          <w:szCs w:val="28"/>
          <w:highlight w:val="none"/>
          <w:u w:val="none"/>
        </w:rPr>
        <w:t>（二）拒绝政府采购领域商业贿赂承诺书</w:t>
      </w:r>
    </w:p>
    <w:p w14:paraId="0777D164">
      <w:pPr>
        <w:pageBreakBefore w:val="0"/>
        <w:widowControl/>
        <w:kinsoku/>
        <w:wordWrap/>
        <w:overflowPunct w:val="0"/>
        <w:topLinePunct/>
        <w:autoSpaceDE/>
        <w:autoSpaceDN/>
        <w:bidi w:val="0"/>
        <w:adjustRightInd/>
        <w:snapToGrid/>
        <w:spacing w:line="500" w:lineRule="exact"/>
        <w:jc w:val="center"/>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（执行陕财办采管[2006]21号文件）</w:t>
      </w:r>
    </w:p>
    <w:p w14:paraId="006D944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为响应党中央、国务院关于治理政府采购领域商业贿赂行为的号召，我公司在此庄严承诺：</w:t>
      </w:r>
    </w:p>
    <w:p w14:paraId="1831A54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1、在参与政府采购活动中遵纪守法、诚信经营、公平竞标。</w:t>
      </w:r>
    </w:p>
    <w:p w14:paraId="2358AD4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2、不向政府采购人、采购代理机构和政府采购评审专家进行任何形式的商业贿赂以谋取交易机会。</w:t>
      </w:r>
    </w:p>
    <w:p w14:paraId="0FBEC37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3、不向政府采购代理机构和采购人提供虚假资质文件或采用虚假应标方式参与政府采购市场竞争并谋取中标、成交。</w:t>
      </w:r>
    </w:p>
    <w:p w14:paraId="0E97E01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4、不采取“围标、陪标”等商业欺诈手段获得政府采购定单。</w:t>
      </w:r>
    </w:p>
    <w:p w14:paraId="33B4D74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5、不采取不正当手段诋毁、排挤其他投标人。</w:t>
      </w:r>
    </w:p>
    <w:p w14:paraId="6552E60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6、不在提供商品和服务时“偷梁换柱、以次充好”损害采购人的合法权益。</w:t>
      </w:r>
    </w:p>
    <w:p w14:paraId="5F4F7FA1">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7、不与采购人、采购代理机构政府采购评审专家或其它投标人恶意串通，进行质疑和投诉，维护政府采购市场秩序。</w:t>
      </w:r>
    </w:p>
    <w:p w14:paraId="21CEC45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8、尊重和接受政府采购监督管理部门的监督和政府采购代理机构招标采购要求，承担因违约行为给采购人造成的损失。</w:t>
      </w:r>
    </w:p>
    <w:p w14:paraId="492CDFC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9、不发生其他有悖于政府采购公开、公平、公正和诚信原则的行为。</w:t>
      </w:r>
    </w:p>
    <w:p w14:paraId="000DDD6A">
      <w:pPr>
        <w:pageBreakBefore w:val="0"/>
        <w:widowControl/>
        <w:kinsoku/>
        <w:wordWrap/>
        <w:autoSpaceDE/>
        <w:autoSpaceDN/>
        <w:bidi w:val="0"/>
        <w:adjustRightInd/>
        <w:snapToGrid/>
        <w:spacing w:line="500" w:lineRule="exact"/>
        <w:ind w:firstLine="4200" w:firstLineChars="15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lang w:eastAsia="zh-CN"/>
        </w:rPr>
        <w:t>供应商</w:t>
      </w:r>
      <w:r>
        <w:rPr>
          <w:rFonts w:hint="eastAsia" w:ascii="仿宋" w:hAnsi="仿宋" w:eastAsia="华文仿宋" w:cs="华文仿宋"/>
          <w:color w:val="auto"/>
          <w:sz w:val="28"/>
          <w:szCs w:val="28"/>
          <w:highlight w:val="none"/>
          <w:u w:val="none"/>
        </w:rPr>
        <w:t>：</w:t>
      </w:r>
      <w:r>
        <w:rPr>
          <w:rFonts w:hint="eastAsia" w:ascii="仿宋" w:hAnsi="仿宋" w:eastAsia="华文仿宋" w:cs="华文仿宋"/>
          <w:color w:val="auto"/>
          <w:sz w:val="28"/>
          <w:szCs w:val="28"/>
          <w:highlight w:val="none"/>
          <w:u w:val="single"/>
        </w:rPr>
        <w:t>名称</w:t>
      </w:r>
      <w:r>
        <w:rPr>
          <w:rFonts w:hint="eastAsia" w:ascii="仿宋" w:hAnsi="仿宋" w:eastAsia="华文仿宋" w:cs="华文仿宋"/>
          <w:color w:val="auto"/>
          <w:sz w:val="28"/>
          <w:szCs w:val="28"/>
          <w:highlight w:val="none"/>
          <w:u w:val="none"/>
        </w:rPr>
        <w:t>（加盖公章）</w:t>
      </w:r>
    </w:p>
    <w:p w14:paraId="62427C16">
      <w:pPr>
        <w:pageBreakBefore w:val="0"/>
        <w:widowControl/>
        <w:kinsoku/>
        <w:wordWrap/>
        <w:autoSpaceDE/>
        <w:autoSpaceDN/>
        <w:bidi w:val="0"/>
        <w:adjustRightInd/>
        <w:snapToGrid/>
        <w:spacing w:line="500" w:lineRule="exact"/>
        <w:ind w:firstLine="4480" w:firstLineChars="1600"/>
        <w:textAlignment w:val="auto"/>
      </w:pPr>
      <w:r>
        <w:rPr>
          <w:rFonts w:hint="eastAsia" w:ascii="仿宋" w:hAnsi="仿宋" w:eastAsia="华文仿宋" w:cs="华文仿宋"/>
          <w:color w:val="auto"/>
          <w:sz w:val="28"/>
          <w:szCs w:val="28"/>
          <w:highlight w:val="none"/>
          <w:u w:val="none"/>
        </w:rPr>
        <w:t>日期：　年　月　日</w:t>
      </w:r>
    </w:p>
    <w:p w14:paraId="34D88D47"/>
    <w:p w14:paraId="0C8F1F55">
      <w:pPr>
        <w:pStyle w:val="13"/>
        <w:rPr>
          <w:rFonts w:hint="eastAsia"/>
          <w:lang w:val="en-US" w:eastAsia="zh-Hans"/>
        </w:rPr>
      </w:pPr>
    </w:p>
    <w:p w14:paraId="70DD7CB2">
      <w:pPr>
        <w:pStyle w:val="13"/>
        <w:rPr>
          <w:rFonts w:hint="eastAsia"/>
          <w:lang w:val="en-US" w:eastAsia="zh-Hans"/>
        </w:rPr>
      </w:pPr>
    </w:p>
    <w:p w14:paraId="37EAAFFB">
      <w:pPr>
        <w:pStyle w:val="13"/>
        <w:rPr>
          <w:rFonts w:hint="eastAsia"/>
          <w:lang w:val="en-US" w:eastAsia="zh-Hans"/>
        </w:rPr>
      </w:pPr>
    </w:p>
    <w:p w14:paraId="7D2BD613">
      <w:pPr>
        <w:pageBreakBefore w:val="0"/>
        <w:widowControl/>
        <w:kinsoku/>
        <w:wordWrap/>
        <w:overflowPunct/>
        <w:topLinePunct w:val="0"/>
        <w:autoSpaceDE/>
        <w:autoSpaceDN/>
        <w:bidi w:val="0"/>
        <w:adjustRightInd/>
        <w:spacing w:line="240" w:lineRule="auto"/>
        <w:jc w:val="both"/>
        <w:textAlignment w:val="auto"/>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附件：1-6</w:t>
      </w:r>
    </w:p>
    <w:p w14:paraId="1C421A5B">
      <w:pPr>
        <w:pStyle w:val="13"/>
        <w:pageBreakBefore w:val="0"/>
        <w:widowControl/>
        <w:kinsoku/>
        <w:wordWrap/>
        <w:overflowPunct/>
        <w:topLinePunct w:val="0"/>
        <w:autoSpaceDE/>
        <w:autoSpaceDN/>
        <w:bidi w:val="0"/>
        <w:adjustRightInd/>
        <w:spacing w:line="240" w:lineRule="auto"/>
        <w:textAlignment w:val="auto"/>
        <w:rPr>
          <w:rFonts w:hint="eastAsia"/>
          <w:lang w:val="en-US" w:eastAsia="zh-Hans"/>
        </w:rPr>
      </w:pPr>
    </w:p>
    <w:p w14:paraId="4F9E4945">
      <w:pPr>
        <w:pStyle w:val="15"/>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cs="Times New Roman"/>
          <w:color w:val="auto"/>
          <w:sz w:val="30"/>
          <w:szCs w:val="30"/>
          <w:highlight w:val="none"/>
          <w:u w:val="none"/>
        </w:rPr>
      </w:pPr>
      <w:r>
        <w:rPr>
          <w:rFonts w:hint="eastAsia" w:ascii="华文仿宋" w:hAnsi="华文仿宋" w:eastAsia="华文仿宋" w:cs="华文仿宋"/>
          <w:color w:val="auto"/>
          <w:sz w:val="30"/>
          <w:szCs w:val="30"/>
          <w:highlight w:val="none"/>
          <w:u w:val="none"/>
        </w:rPr>
        <w:t>法定代表人授权委托书</w:t>
      </w:r>
    </w:p>
    <w:p w14:paraId="16326559">
      <w:pPr>
        <w:keepNext w:val="0"/>
        <w:keepLines w:val="0"/>
        <w:pageBreakBefore w:val="0"/>
        <w:widowControl/>
        <w:kinsoku/>
        <w:wordWrap/>
        <w:overflowPunct/>
        <w:topLinePunct w:val="0"/>
        <w:autoSpaceDE/>
        <w:autoSpaceDN/>
        <w:bidi w:val="0"/>
        <w:adjustRightInd/>
        <w:snapToGrid w:val="0"/>
        <w:spacing w:line="240" w:lineRule="auto"/>
        <w:textAlignment w:val="auto"/>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lang w:val="en-US" w:eastAsia="zh-CN"/>
        </w:rPr>
        <w:t>佛坪县</w:t>
      </w:r>
      <w:r>
        <w:rPr>
          <w:rFonts w:hint="eastAsia" w:ascii="华文仿宋" w:hAnsi="华文仿宋" w:eastAsia="华文仿宋" w:cs="华文仿宋"/>
          <w:color w:val="auto"/>
          <w:sz w:val="28"/>
          <w:szCs w:val="28"/>
          <w:highlight w:val="none"/>
          <w:u w:val="none"/>
        </w:rPr>
        <w:t>政府采购中心：</w:t>
      </w:r>
    </w:p>
    <w:p w14:paraId="29724CC0">
      <w:pPr>
        <w:keepNext w:val="0"/>
        <w:keepLines w:val="0"/>
        <w:pageBreakBefore w:val="0"/>
        <w:widowControl/>
        <w:kinsoku/>
        <w:wordWrap/>
        <w:overflowPunct/>
        <w:topLinePunct w:val="0"/>
        <w:autoSpaceDE/>
        <w:autoSpaceDN/>
        <w:bidi w:val="0"/>
        <w:adjustRightInd/>
        <w:spacing w:line="240" w:lineRule="auto"/>
        <w:ind w:right="11" w:firstLine="560" w:firstLineChars="200"/>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现委派</w:t>
      </w:r>
      <w:r>
        <w:rPr>
          <w:rFonts w:hint="eastAsia" w:ascii="Calibri Light" w:hAnsi="Calibri Light" w:eastAsia="华文仿宋" w:cs="华文仿宋"/>
          <w:color w:val="auto"/>
          <w:sz w:val="28"/>
          <w:szCs w:val="28"/>
          <w:highlight w:val="none"/>
          <w:u w:val="single"/>
          <w:lang w:eastAsia="zh-CN"/>
        </w:rPr>
        <w:t>（</w:t>
      </w:r>
      <w:r>
        <w:rPr>
          <w:rFonts w:hint="eastAsia" w:ascii="华文仿宋" w:hAnsi="华文仿宋" w:eastAsia="华文仿宋" w:cs="华文仿宋"/>
          <w:color w:val="auto"/>
          <w:sz w:val="28"/>
          <w:szCs w:val="28"/>
          <w:highlight w:val="none"/>
          <w:u w:val="single"/>
        </w:rPr>
        <w:t>被授权代表</w:t>
      </w:r>
      <w:r>
        <w:rPr>
          <w:rFonts w:hint="eastAsia" w:ascii="华文仿宋" w:hAnsi="华文仿宋" w:eastAsia="华文仿宋" w:cs="华文仿宋"/>
          <w:color w:val="auto"/>
          <w:sz w:val="28"/>
          <w:szCs w:val="28"/>
          <w:highlight w:val="none"/>
          <w:u w:val="single"/>
          <w:lang w:eastAsia="zh-CN"/>
        </w:rPr>
        <w:t>姓名</w:t>
      </w:r>
      <w:r>
        <w:rPr>
          <w:rFonts w:hint="eastAsia" w:ascii="Calibri Light" w:hAnsi="Calibri Light" w:eastAsia="华文仿宋" w:cs="华文仿宋"/>
          <w:color w:val="auto"/>
          <w:sz w:val="28"/>
          <w:szCs w:val="28"/>
          <w:highlight w:val="none"/>
          <w:u w:val="single"/>
          <w:lang w:eastAsia="zh-CN"/>
        </w:rPr>
        <w:t>）</w:t>
      </w:r>
      <w:r>
        <w:rPr>
          <w:rFonts w:hint="eastAsia" w:ascii="Calibri Light" w:hAnsi="Calibri Light" w:eastAsia="华文仿宋" w:cs="华文仿宋"/>
          <w:color w:val="auto"/>
          <w:sz w:val="28"/>
          <w:szCs w:val="28"/>
          <w:highlight w:val="none"/>
          <w:u w:val="none"/>
        </w:rPr>
        <w:t>（身份证号：</w:t>
      </w:r>
      <w:r>
        <w:rPr>
          <w:rFonts w:hint="eastAsia" w:ascii="Calibri Light" w:hAnsi="Calibri Light" w:eastAsia="华文仿宋" w:cs="华文仿宋"/>
          <w:color w:val="auto"/>
          <w:sz w:val="28"/>
          <w:szCs w:val="28"/>
          <w:highlight w:val="none"/>
          <w:u w:val="single"/>
        </w:rPr>
        <w:t xml:space="preserve">     </w:t>
      </w:r>
      <w:r>
        <w:rPr>
          <w:rFonts w:hint="eastAsia" w:ascii="Calibri Light" w:hAnsi="Calibri Light" w:eastAsia="华文仿宋" w:cs="华文仿宋"/>
          <w:color w:val="auto"/>
          <w:sz w:val="28"/>
          <w:szCs w:val="28"/>
          <w:highlight w:val="none"/>
          <w:u w:val="single"/>
          <w:lang w:val="en-US" w:eastAsia="zh-CN"/>
        </w:rPr>
        <w:t xml:space="preserve">   </w:t>
      </w:r>
      <w:r>
        <w:rPr>
          <w:rFonts w:hint="eastAsia" w:ascii="Calibri Light" w:hAnsi="Calibri Light" w:eastAsia="华文仿宋" w:cs="华文仿宋"/>
          <w:color w:val="auto"/>
          <w:sz w:val="28"/>
          <w:szCs w:val="28"/>
          <w:highlight w:val="none"/>
          <w:u w:val="none"/>
        </w:rPr>
        <w:t>）为本公司的被授权代表，参加贵中心组织的</w:t>
      </w:r>
      <w:r>
        <w:rPr>
          <w:rFonts w:hint="eastAsia" w:ascii="Calibri Light" w:hAnsi="Calibri Light" w:eastAsia="华文仿宋" w:cs="华文仿宋"/>
          <w:color w:val="auto"/>
          <w:sz w:val="28"/>
          <w:szCs w:val="28"/>
          <w:highlight w:val="none"/>
          <w:u w:val="single"/>
        </w:rPr>
        <w:t>《</w:t>
      </w:r>
      <w:r>
        <w:rPr>
          <w:rFonts w:hint="eastAsia" w:ascii="华文仿宋" w:hAnsi="华文仿宋" w:eastAsia="华文仿宋" w:cs="华文仿宋"/>
          <w:color w:val="auto"/>
          <w:sz w:val="28"/>
          <w:szCs w:val="28"/>
          <w:highlight w:val="none"/>
          <w:u w:val="single"/>
        </w:rPr>
        <w:t>项目名称</w:t>
      </w:r>
      <w:r>
        <w:rPr>
          <w:rFonts w:hint="eastAsia" w:ascii="Calibri Light" w:hAnsi="Calibri Light" w:eastAsia="华文仿宋" w:cs="华文仿宋"/>
          <w:color w:val="auto"/>
          <w:sz w:val="28"/>
          <w:szCs w:val="28"/>
          <w:highlight w:val="none"/>
          <w:u w:val="single"/>
        </w:rPr>
        <w:t>》</w:t>
      </w:r>
      <w:r>
        <w:rPr>
          <w:rFonts w:hint="eastAsia" w:ascii="华文仿宋" w:hAnsi="华文仿宋" w:eastAsia="华文仿宋" w:cs="华文仿宋"/>
          <w:color w:val="auto"/>
          <w:sz w:val="28"/>
          <w:szCs w:val="28"/>
          <w:highlight w:val="none"/>
          <w:u w:val="none"/>
        </w:rPr>
        <w:t>（项目编号：</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u w:val="none"/>
        </w:rPr>
        <w:t>）</w:t>
      </w:r>
      <w:r>
        <w:rPr>
          <w:rFonts w:hint="eastAsia" w:ascii="Calibri Light" w:hAnsi="Calibri Light" w:eastAsia="华文仿宋" w:cs="华文仿宋"/>
          <w:color w:val="auto"/>
          <w:sz w:val="28"/>
          <w:szCs w:val="28"/>
          <w:highlight w:val="none"/>
          <w:u w:val="none"/>
          <w:lang w:eastAsia="zh-CN"/>
        </w:rPr>
        <w:t>框架协议征集</w:t>
      </w:r>
      <w:r>
        <w:rPr>
          <w:rFonts w:hint="eastAsia" w:ascii="Calibri Light" w:hAnsi="Calibri Light" w:eastAsia="华文仿宋" w:cs="华文仿宋"/>
          <w:color w:val="auto"/>
          <w:sz w:val="28"/>
          <w:szCs w:val="28"/>
          <w:highlight w:val="none"/>
          <w:u w:val="none"/>
        </w:rPr>
        <w:t>活动，就该项目的</w:t>
      </w:r>
      <w:r>
        <w:rPr>
          <w:rFonts w:hint="eastAsia" w:ascii="Calibri Light" w:hAnsi="Calibri Light" w:eastAsia="华文仿宋" w:cs="华文仿宋"/>
          <w:color w:val="auto"/>
          <w:sz w:val="28"/>
          <w:szCs w:val="28"/>
          <w:highlight w:val="none"/>
          <w:u w:val="none"/>
          <w:lang w:eastAsia="zh-CN"/>
        </w:rPr>
        <w:t>响应、框架协议签订、</w:t>
      </w:r>
      <w:r>
        <w:rPr>
          <w:rFonts w:hint="eastAsia" w:ascii="Calibri Light" w:hAnsi="Calibri Light" w:eastAsia="华文仿宋" w:cs="华文仿宋"/>
          <w:color w:val="auto"/>
          <w:sz w:val="28"/>
          <w:szCs w:val="28"/>
          <w:highlight w:val="none"/>
          <w:u w:val="none"/>
        </w:rPr>
        <w:t>合同的执行和完成，以本公司的名义处理一切与之有关的事宜。本授权自开</w:t>
      </w:r>
      <w:r>
        <w:rPr>
          <w:rFonts w:hint="eastAsia" w:ascii="Calibri Light" w:hAnsi="Calibri Light" w:eastAsia="华文仿宋" w:cs="华文仿宋"/>
          <w:color w:val="auto"/>
          <w:sz w:val="28"/>
          <w:szCs w:val="28"/>
          <w:highlight w:val="none"/>
          <w:u w:val="none"/>
          <w:lang w:eastAsia="zh-CN"/>
        </w:rPr>
        <w:t>启</w:t>
      </w:r>
      <w:r>
        <w:rPr>
          <w:rFonts w:hint="eastAsia" w:ascii="Calibri Light" w:hAnsi="Calibri Light" w:eastAsia="华文仿宋" w:cs="华文仿宋"/>
          <w:color w:val="auto"/>
          <w:sz w:val="28"/>
          <w:szCs w:val="28"/>
          <w:highlight w:val="none"/>
          <w:u w:val="none"/>
        </w:rPr>
        <w:t>之日起生效，有效期与</w:t>
      </w:r>
      <w:r>
        <w:rPr>
          <w:rFonts w:hint="eastAsia" w:ascii="Calibri Light" w:hAnsi="Calibri Light" w:eastAsia="华文仿宋" w:cs="华文仿宋"/>
          <w:color w:val="auto"/>
          <w:sz w:val="28"/>
          <w:szCs w:val="28"/>
          <w:highlight w:val="none"/>
          <w:u w:val="none"/>
          <w:lang w:eastAsia="zh-CN"/>
        </w:rPr>
        <w:t>响应</w:t>
      </w:r>
      <w:r>
        <w:rPr>
          <w:rFonts w:hint="eastAsia" w:ascii="Calibri Light" w:hAnsi="Calibri Light" w:eastAsia="华文仿宋" w:cs="华文仿宋"/>
          <w:color w:val="auto"/>
          <w:sz w:val="28"/>
          <w:szCs w:val="28"/>
          <w:highlight w:val="none"/>
          <w:u w:val="none"/>
        </w:rPr>
        <w:t>文件有效期一致。</w:t>
      </w:r>
    </w:p>
    <w:p w14:paraId="31EC2B93">
      <w:pPr>
        <w:pageBreakBefore w:val="0"/>
        <w:widowControl/>
        <w:tabs>
          <w:tab w:val="left" w:pos="5245"/>
        </w:tabs>
        <w:kinsoku/>
        <w:wordWrap/>
        <w:overflowPunct/>
        <w:topLinePunct w:val="0"/>
        <w:autoSpaceDE/>
        <w:autoSpaceDN/>
        <w:bidi w:val="0"/>
        <w:adjustRightInd/>
        <w:snapToGrid w:val="0"/>
        <w:spacing w:line="240" w:lineRule="auto"/>
        <w:ind w:firstLine="560" w:firstLineChars="200"/>
        <w:textAlignment w:val="auto"/>
        <w:rPr>
          <w:rFonts w:ascii="华文仿宋" w:hAnsi="Calibri Light" w:eastAsia="华文仿宋" w:cs="Times New Roman"/>
          <w:color w:val="auto"/>
          <w:sz w:val="28"/>
          <w:szCs w:val="28"/>
          <w:highlight w:val="none"/>
          <w:u w:val="none"/>
        </w:rPr>
      </w:pPr>
      <w:r>
        <w:rPr>
          <w:rFonts w:hint="eastAsia" w:ascii="华文仿宋" w:hAnsi="华文仿宋" w:eastAsia="华文仿宋" w:cs="华文仿宋"/>
          <w:color w:val="auto"/>
          <w:sz w:val="28"/>
          <w:szCs w:val="28"/>
          <w:highlight w:val="none"/>
          <w:u w:val="none"/>
        </w:rPr>
        <w:t>被授权代表职务：</w:t>
      </w:r>
      <w:r>
        <w:rPr>
          <w:rFonts w:ascii="华文仿宋" w:hAnsi="华文仿宋" w:eastAsia="华文仿宋" w:cs="华文仿宋"/>
          <w:color w:val="auto"/>
          <w:sz w:val="28"/>
          <w:szCs w:val="28"/>
          <w:highlight w:val="none"/>
          <w:u w:val="none"/>
        </w:rPr>
        <w:t xml:space="preserve">________________   </w:t>
      </w:r>
      <w:r>
        <w:rPr>
          <w:rFonts w:hint="eastAsia" w:ascii="华文仿宋" w:hAnsi="华文仿宋" w:eastAsia="华文仿宋" w:cs="华文仿宋"/>
          <w:color w:val="auto"/>
          <w:sz w:val="28"/>
          <w:szCs w:val="28"/>
          <w:highlight w:val="none"/>
          <w:u w:val="none"/>
        </w:rPr>
        <w:t>性别：</w:t>
      </w:r>
      <w:r>
        <w:rPr>
          <w:rFonts w:ascii="华文仿宋" w:hAnsi="华文仿宋" w:eastAsia="华文仿宋" w:cs="华文仿宋"/>
          <w:color w:val="auto"/>
          <w:sz w:val="28"/>
          <w:szCs w:val="28"/>
          <w:highlight w:val="none"/>
          <w:u w:val="none"/>
        </w:rPr>
        <w:t>______</w:t>
      </w:r>
    </w:p>
    <w:p w14:paraId="6476120F">
      <w:pPr>
        <w:pageBreakBefore w:val="0"/>
        <w:widowControl/>
        <w:tabs>
          <w:tab w:val="left" w:pos="5245"/>
        </w:tabs>
        <w:kinsoku/>
        <w:wordWrap/>
        <w:overflowPunct/>
        <w:topLinePunct w:val="0"/>
        <w:autoSpaceDE/>
        <w:autoSpaceDN/>
        <w:bidi w:val="0"/>
        <w:adjustRightInd/>
        <w:snapToGrid w:val="0"/>
        <w:spacing w:line="240" w:lineRule="auto"/>
        <w:ind w:firstLine="560" w:firstLineChars="200"/>
        <w:textAlignment w:val="auto"/>
        <w:rPr>
          <w:rFonts w:ascii="华文仿宋" w:hAnsi="Calibri Light" w:eastAsia="华文仿宋" w:cs="Times New Roman"/>
          <w:strike/>
          <w:color w:val="auto"/>
          <w:sz w:val="28"/>
          <w:szCs w:val="28"/>
          <w:highlight w:val="none"/>
          <w:u w:val="none"/>
        </w:rPr>
      </w:pPr>
      <w:r>
        <w:rPr>
          <w:rFonts w:hint="eastAsia" w:ascii="华文仿宋" w:hAnsi="华文仿宋" w:eastAsia="华文仿宋" w:cs="华文仿宋"/>
          <w:color w:val="auto"/>
          <w:sz w:val="28"/>
          <w:szCs w:val="28"/>
          <w:highlight w:val="none"/>
          <w:u w:val="none"/>
        </w:rPr>
        <w:t>电话：</w:t>
      </w:r>
      <w:r>
        <w:rPr>
          <w:rFonts w:ascii="华文仿宋" w:hAnsi="华文仿宋" w:eastAsia="华文仿宋" w:cs="华文仿宋"/>
          <w:color w:val="auto"/>
          <w:sz w:val="28"/>
          <w:szCs w:val="28"/>
          <w:highlight w:val="none"/>
          <w:u w:val="none"/>
        </w:rPr>
        <w:t>________________</w:t>
      </w:r>
      <w:r>
        <w:rPr>
          <w:rFonts w:hint="eastAsia" w:ascii="华文仿宋" w:hAnsi="华文仿宋" w:eastAsia="华文仿宋" w:cs="华文仿宋"/>
          <w:color w:val="auto"/>
          <w:sz w:val="28"/>
          <w:szCs w:val="28"/>
          <w:highlight w:val="none"/>
          <w:u w:val="none"/>
        </w:rPr>
        <w:t xml:space="preserve">             通讯地址：</w:t>
      </w:r>
      <w:r>
        <w:rPr>
          <w:rFonts w:ascii="华文仿宋" w:hAnsi="华文仿宋" w:eastAsia="华文仿宋" w:cs="华文仿宋"/>
          <w:color w:val="auto"/>
          <w:sz w:val="28"/>
          <w:szCs w:val="28"/>
          <w:highlight w:val="none"/>
          <w:u w:val="none"/>
        </w:rPr>
        <w:t>__________</w:t>
      </w:r>
    </w:p>
    <w:tbl>
      <w:tblPr>
        <w:tblStyle w:val="1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4FB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072" w:type="dxa"/>
            <w:vAlign w:val="center"/>
          </w:tcPr>
          <w:p w14:paraId="27AA70B0">
            <w:pPr>
              <w:pageBreakBefore w:val="0"/>
              <w:widowControl/>
              <w:kinsoku/>
              <w:wordWrap/>
              <w:overflowPunct/>
              <w:topLinePunct w:val="0"/>
              <w:autoSpaceDE/>
              <w:autoSpaceDN/>
              <w:bidi w:val="0"/>
              <w:adjustRightInd/>
              <w:spacing w:line="240" w:lineRule="auto"/>
              <w:ind w:firstLine="8" w:firstLineChars="3"/>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法定代表人身份证复印件</w:t>
            </w:r>
          </w:p>
          <w:p w14:paraId="5B44BB36">
            <w:pPr>
              <w:pageBreakBefore w:val="0"/>
              <w:widowControl/>
              <w:kinsoku/>
              <w:wordWrap/>
              <w:overflowPunct/>
              <w:topLinePunct w:val="0"/>
              <w:autoSpaceDE/>
              <w:autoSpaceDN/>
              <w:bidi w:val="0"/>
              <w:adjustRightInd/>
              <w:spacing w:line="240" w:lineRule="auto"/>
              <w:ind w:firstLine="8" w:firstLineChars="3"/>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（有人像面）</w:t>
            </w:r>
          </w:p>
        </w:tc>
        <w:tc>
          <w:tcPr>
            <w:tcW w:w="4098" w:type="dxa"/>
            <w:vAlign w:val="center"/>
          </w:tcPr>
          <w:p w14:paraId="3240A62E">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被授权代表</w:t>
            </w:r>
          </w:p>
          <w:p w14:paraId="1237CF28">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身份证复印件</w:t>
            </w:r>
          </w:p>
          <w:p w14:paraId="41F4BC26">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（有人像面）</w:t>
            </w:r>
          </w:p>
        </w:tc>
      </w:tr>
      <w:tr w14:paraId="0925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072" w:type="dxa"/>
            <w:vAlign w:val="center"/>
          </w:tcPr>
          <w:p w14:paraId="20C369B0">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法定代表人身份证复印件</w:t>
            </w:r>
          </w:p>
          <w:p w14:paraId="001A28E6">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（有国徽面）</w:t>
            </w:r>
          </w:p>
        </w:tc>
        <w:tc>
          <w:tcPr>
            <w:tcW w:w="4098" w:type="dxa"/>
            <w:vAlign w:val="center"/>
          </w:tcPr>
          <w:p w14:paraId="1A9EF955">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被授权代表</w:t>
            </w:r>
          </w:p>
          <w:p w14:paraId="090D2596">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身份证复印件</w:t>
            </w:r>
          </w:p>
          <w:p w14:paraId="5E526C70">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（有国徽面）</w:t>
            </w:r>
          </w:p>
        </w:tc>
      </w:tr>
    </w:tbl>
    <w:p w14:paraId="123540B4">
      <w:pPr>
        <w:pageBreakBefore w:val="0"/>
        <w:widowControl/>
        <w:tabs>
          <w:tab w:val="right" w:pos="8931"/>
        </w:tabs>
        <w:kinsoku/>
        <w:wordWrap/>
        <w:overflowPunct/>
        <w:topLinePunct w:val="0"/>
        <w:autoSpaceDE/>
        <w:autoSpaceDN/>
        <w:bidi w:val="0"/>
        <w:adjustRightInd/>
        <w:spacing w:line="240" w:lineRule="auto"/>
        <w:ind w:firstLine="560" w:firstLineChars="200"/>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lang w:eastAsia="zh-CN"/>
        </w:rPr>
        <w:t>供应商</w:t>
      </w:r>
      <w:r>
        <w:rPr>
          <w:rFonts w:hint="eastAsia" w:ascii="Calibri Light" w:hAnsi="Calibri Light" w:eastAsia="华文仿宋" w:cs="华文仿宋"/>
          <w:color w:val="auto"/>
          <w:sz w:val="28"/>
          <w:szCs w:val="28"/>
          <w:highlight w:val="none"/>
          <w:u w:val="none"/>
        </w:rPr>
        <w:t>：</w:t>
      </w:r>
      <w:r>
        <w:rPr>
          <w:rFonts w:hint="eastAsia" w:ascii="Calibri Light" w:hAnsi="Calibri Light" w:eastAsia="华文仿宋" w:cs="华文仿宋"/>
          <w:color w:val="auto"/>
          <w:sz w:val="28"/>
          <w:szCs w:val="28"/>
          <w:highlight w:val="none"/>
          <w:u w:val="single"/>
        </w:rPr>
        <w:t>名称</w:t>
      </w:r>
      <w:r>
        <w:rPr>
          <w:rFonts w:hint="eastAsia" w:ascii="Calibri Light" w:hAnsi="Calibri Light" w:eastAsia="华文仿宋" w:cs="华文仿宋"/>
          <w:color w:val="auto"/>
          <w:sz w:val="28"/>
          <w:szCs w:val="28"/>
          <w:highlight w:val="none"/>
          <w:u w:val="none"/>
        </w:rPr>
        <w:t>（加盖公章）</w:t>
      </w:r>
      <w:r>
        <w:rPr>
          <w:rFonts w:hint="eastAsia" w:ascii="Calibri Light" w:hAnsi="Calibri Light" w:eastAsia="华文仿宋" w:cs="华文仿宋"/>
          <w:color w:val="auto"/>
          <w:sz w:val="28"/>
          <w:szCs w:val="28"/>
          <w:highlight w:val="none"/>
          <w:u w:val="none"/>
          <w:lang w:val="en-US" w:eastAsia="zh-CN"/>
        </w:rPr>
        <w:t xml:space="preserve">       </w:t>
      </w:r>
      <w:r>
        <w:rPr>
          <w:rFonts w:hint="eastAsia" w:ascii="Calibri Light" w:hAnsi="Calibri Light" w:eastAsia="华文仿宋" w:cs="华文仿宋"/>
          <w:color w:val="auto"/>
          <w:sz w:val="28"/>
          <w:szCs w:val="28"/>
          <w:highlight w:val="none"/>
          <w:u w:val="none"/>
        </w:rPr>
        <w:t>法定代表人：（</w:t>
      </w:r>
      <w:r>
        <w:rPr>
          <w:rFonts w:hint="eastAsia" w:ascii="仿宋" w:hAnsi="仿宋" w:eastAsia="仿宋" w:cs="仿宋"/>
          <w:color w:val="auto"/>
          <w:sz w:val="28"/>
          <w:szCs w:val="28"/>
          <w:highlight w:val="none"/>
          <w:u w:val="none"/>
        </w:rPr>
        <w:t>签字或</w:t>
      </w:r>
      <w:r>
        <w:rPr>
          <w:rFonts w:hint="eastAsia" w:ascii="Calibri Light" w:hAnsi="Calibri Light" w:eastAsia="华文仿宋" w:cs="华文仿宋"/>
          <w:color w:val="auto"/>
          <w:sz w:val="28"/>
          <w:szCs w:val="28"/>
          <w:highlight w:val="none"/>
          <w:u w:val="none"/>
        </w:rPr>
        <w:t>盖章）</w:t>
      </w:r>
    </w:p>
    <w:p w14:paraId="7ABE23B2">
      <w:pPr>
        <w:pageBreakBefore w:val="0"/>
        <w:widowControl/>
        <w:kinsoku/>
        <w:wordWrap/>
        <w:overflowPunct/>
        <w:topLinePunct w:val="0"/>
        <w:autoSpaceDE/>
        <w:autoSpaceDN/>
        <w:bidi w:val="0"/>
        <w:adjustRightInd/>
        <w:spacing w:line="240" w:lineRule="auto"/>
        <w:ind w:firstLine="5728" w:firstLineChars="2046"/>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日期：　年　月　日</w:t>
      </w:r>
    </w:p>
    <w:p w14:paraId="5C87894D">
      <w:pPr>
        <w:keepNext w:val="0"/>
        <w:keepLines w:val="0"/>
        <w:pageBreakBefore w:val="0"/>
        <w:widowControl/>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auto"/>
          <w:sz w:val="21"/>
          <w:szCs w:val="21"/>
          <w:highlight w:val="none"/>
          <w:u w:val="none"/>
        </w:rPr>
      </w:pPr>
    </w:p>
    <w:p w14:paraId="3A69A555">
      <w:pPr>
        <w:pStyle w:val="8"/>
        <w:keepNext w:val="0"/>
        <w:keepLines w:val="0"/>
        <w:pageBreakBefore w:val="0"/>
        <w:widowControl/>
        <w:kinsoku/>
        <w:wordWrap/>
        <w:overflowPunct/>
        <w:topLinePunct w:val="0"/>
        <w:autoSpaceDE/>
        <w:autoSpaceDN/>
        <w:bidi w:val="0"/>
        <w:adjustRightInd/>
        <w:snapToGrid/>
        <w:spacing w:after="0" w:afterLines="0" w:line="240" w:lineRule="auto"/>
        <w:ind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备注：</w:t>
      </w:r>
    </w:p>
    <w:p w14:paraId="397A24DD">
      <w:pPr>
        <w:pStyle w:val="8"/>
        <w:keepNext w:val="0"/>
        <w:keepLines w:val="0"/>
        <w:pageBreakBefore w:val="0"/>
        <w:widowControl/>
        <w:kinsoku/>
        <w:wordWrap/>
        <w:overflowPunct/>
        <w:topLinePunct w:val="0"/>
        <w:autoSpaceDE/>
        <w:autoSpaceDN/>
        <w:bidi w:val="0"/>
        <w:adjustRightInd/>
        <w:snapToGrid/>
        <w:spacing w:after="0" w:afterLines="0" w:line="240" w:lineRule="auto"/>
        <w:ind w:firstLine="482" w:firstLineChars="200"/>
        <w:textAlignment w:val="auto"/>
        <w:rPr>
          <w:rFonts w:hint="eastAsia" w:ascii="仿宋" w:hAnsi="仿宋" w:eastAsia="仿宋" w:cs="Times New Roman"/>
          <w:b/>
          <w:bCs/>
          <w:color w:val="auto"/>
          <w:kern w:val="28"/>
          <w:sz w:val="24"/>
          <w:szCs w:val="24"/>
          <w:highlight w:val="none"/>
          <w:u w:val="none"/>
        </w:rPr>
      </w:pPr>
      <w:r>
        <w:rPr>
          <w:rFonts w:hint="eastAsia" w:ascii="宋体" w:hAnsi="宋体" w:eastAsia="宋体" w:cs="宋体"/>
          <w:b/>
          <w:bCs/>
          <w:color w:val="auto"/>
          <w:sz w:val="24"/>
          <w:szCs w:val="24"/>
          <w:highlight w:val="none"/>
          <w:u w:val="none"/>
        </w:rPr>
        <w:t>法人的分支机构参与投标时，除提供《法定代表人授权委托书》外，还须同时提供</w:t>
      </w:r>
      <w:r>
        <w:rPr>
          <w:rFonts w:hint="eastAsia" w:ascii="宋体" w:hAnsi="宋体" w:eastAsia="宋体" w:cs="宋体"/>
          <w:b/>
          <w:bCs/>
          <w:color w:val="auto"/>
          <w:sz w:val="24"/>
          <w:szCs w:val="24"/>
          <w:highlight w:val="none"/>
          <w:u w:val="none"/>
          <w:lang w:eastAsia="zh-CN"/>
        </w:rPr>
        <w:t>法人</w:t>
      </w:r>
      <w:r>
        <w:rPr>
          <w:rFonts w:hint="eastAsia" w:ascii="宋体" w:hAnsi="宋体" w:eastAsia="宋体" w:cs="宋体"/>
          <w:b/>
          <w:bCs/>
          <w:color w:val="auto"/>
          <w:sz w:val="24"/>
          <w:szCs w:val="24"/>
          <w:highlight w:val="none"/>
          <w:u w:val="none"/>
        </w:rPr>
        <w:t>给分支机构出具的授权书。授权书附此处。</w:t>
      </w:r>
    </w:p>
    <w:p w14:paraId="7B4E86BB">
      <w:pPr>
        <w:pStyle w:val="13"/>
        <w:rPr>
          <w:rFonts w:hint="eastAsia" w:ascii="华文仿宋" w:hAnsi="华文仿宋" w:eastAsia="华文仿宋" w:cs="华文仿宋"/>
          <w:b/>
          <w:bCs/>
          <w:color w:val="auto"/>
          <w:sz w:val="30"/>
          <w:szCs w:val="30"/>
          <w:highlight w:val="none"/>
          <w:u w:val="none"/>
          <w:lang w:val="en-US" w:eastAsia="zh-CN"/>
        </w:rPr>
      </w:pPr>
      <w:r>
        <w:rPr>
          <w:rFonts w:hint="eastAsia"/>
          <w:lang w:val="en-US" w:eastAsia="zh-CN"/>
        </w:rPr>
        <w:t xml:space="preserve"> </w:t>
      </w:r>
      <w:r>
        <w:rPr>
          <w:rFonts w:hint="eastAsia" w:ascii="华文仿宋" w:hAnsi="华文仿宋" w:eastAsia="华文仿宋" w:cs="华文仿宋"/>
          <w:b/>
          <w:bCs/>
          <w:color w:val="auto"/>
          <w:sz w:val="30"/>
          <w:szCs w:val="30"/>
          <w:highlight w:val="none"/>
          <w:u w:val="none"/>
          <w:lang w:val="en-US" w:eastAsia="zh-CN"/>
        </w:rPr>
        <w:t>附件：1-7</w:t>
      </w:r>
    </w:p>
    <w:p w14:paraId="68249DBC">
      <w:pPr>
        <w:widowControl/>
        <w:spacing w:line="500" w:lineRule="exact"/>
        <w:jc w:val="center"/>
        <w:outlineLvl w:val="2"/>
        <w:rPr>
          <w:rFonts w:hint="eastAsia" w:ascii="方正小标宋简体" w:hAnsi="方正小标宋简体" w:eastAsia="方正小标宋简体" w:cs="方正小标宋简体"/>
          <w:b w:val="0"/>
          <w:bCs w:val="0"/>
          <w:color w:val="auto"/>
          <w:sz w:val="40"/>
          <w:szCs w:val="40"/>
          <w:highlight w:val="none"/>
          <w:u w:val="none"/>
        </w:rPr>
      </w:pPr>
    </w:p>
    <w:p w14:paraId="1F1AB674">
      <w:pPr>
        <w:widowControl/>
        <w:spacing w:line="500" w:lineRule="exact"/>
        <w:jc w:val="center"/>
        <w:outlineLvl w:val="2"/>
        <w:rPr>
          <w:rFonts w:hint="eastAsia" w:ascii="华文仿宋" w:hAnsi="华文仿宋" w:eastAsia="华文仿宋" w:cs="华文仿宋"/>
          <w:b w:val="0"/>
          <w:bCs w:val="0"/>
          <w:color w:val="auto"/>
          <w:sz w:val="40"/>
          <w:szCs w:val="40"/>
          <w:highlight w:val="none"/>
          <w:u w:val="none"/>
        </w:rPr>
      </w:pPr>
      <w:r>
        <w:rPr>
          <w:rFonts w:hint="eastAsia" w:ascii="方正小标宋简体" w:hAnsi="方正小标宋简体" w:eastAsia="方正小标宋简体" w:cs="方正小标宋简体"/>
          <w:b w:val="0"/>
          <w:bCs w:val="0"/>
          <w:color w:val="auto"/>
          <w:sz w:val="40"/>
          <w:szCs w:val="40"/>
          <w:highlight w:val="none"/>
          <w:u w:val="none"/>
        </w:rPr>
        <w:t>营业执照等主体资格证明文件</w:t>
      </w:r>
    </w:p>
    <w:p w14:paraId="78C5B0D0">
      <w:pPr>
        <w:rPr>
          <w:rFonts w:hint="eastAsia"/>
        </w:rPr>
      </w:pPr>
    </w:p>
    <w:p w14:paraId="7CE60033">
      <w:pPr>
        <w:rPr>
          <w:rFonts w:hint="eastAsia"/>
        </w:rPr>
      </w:pPr>
    </w:p>
    <w:p w14:paraId="52630D30">
      <w:pPr>
        <w:rPr>
          <w:rFonts w:hint="eastAsia"/>
        </w:rPr>
      </w:pPr>
    </w:p>
    <w:p w14:paraId="686443D4">
      <w:pPr>
        <w:rPr>
          <w:rFonts w:hint="eastAsia"/>
        </w:rPr>
      </w:pPr>
    </w:p>
    <w:p w14:paraId="3C778BCD">
      <w:pPr>
        <w:rPr>
          <w:rFonts w:hint="eastAsia"/>
        </w:rPr>
      </w:pPr>
    </w:p>
    <w:p w14:paraId="7A9578EE">
      <w:pPr>
        <w:rPr>
          <w:rFonts w:hint="eastAsia"/>
        </w:rPr>
      </w:pPr>
    </w:p>
    <w:p w14:paraId="37C35911">
      <w:pPr>
        <w:rPr>
          <w:rFonts w:hint="eastAsia"/>
        </w:rPr>
      </w:pPr>
    </w:p>
    <w:p w14:paraId="54AAABDE">
      <w:pPr>
        <w:rPr>
          <w:rFonts w:hint="eastAsia"/>
        </w:rPr>
      </w:pPr>
    </w:p>
    <w:p w14:paraId="2DBBAB1D">
      <w:pPr>
        <w:rPr>
          <w:rFonts w:hint="eastAsia"/>
        </w:rPr>
      </w:pPr>
    </w:p>
    <w:p w14:paraId="692A6D25">
      <w:pPr>
        <w:rPr>
          <w:rFonts w:hint="eastAsia"/>
        </w:rPr>
      </w:pPr>
    </w:p>
    <w:p w14:paraId="125F06D1">
      <w:pPr>
        <w:rPr>
          <w:rFonts w:hint="eastAsia"/>
        </w:rPr>
      </w:pPr>
    </w:p>
    <w:p w14:paraId="0E4CDC25">
      <w:pPr>
        <w:rPr>
          <w:rFonts w:hint="eastAsia"/>
        </w:rPr>
      </w:pPr>
    </w:p>
    <w:p w14:paraId="05A1466D">
      <w:pPr>
        <w:rPr>
          <w:rFonts w:hint="eastAsia"/>
        </w:rPr>
      </w:pPr>
    </w:p>
    <w:p w14:paraId="318C9D5C">
      <w:pPr>
        <w:rPr>
          <w:rFonts w:hint="eastAsia"/>
        </w:rPr>
      </w:pPr>
    </w:p>
    <w:p w14:paraId="49CB99E6">
      <w:pPr>
        <w:rPr>
          <w:rFonts w:hint="eastAsia"/>
        </w:rPr>
      </w:pPr>
    </w:p>
    <w:p w14:paraId="0579995F">
      <w:pPr>
        <w:rPr>
          <w:rFonts w:hint="eastAsia"/>
        </w:rPr>
      </w:pPr>
    </w:p>
    <w:p w14:paraId="18DB875E">
      <w:pPr>
        <w:rPr>
          <w:rFonts w:hint="eastAsia"/>
        </w:rPr>
      </w:pPr>
    </w:p>
    <w:p w14:paraId="04CF50AD">
      <w:pPr>
        <w:rPr>
          <w:rFonts w:hint="eastAsia"/>
        </w:rPr>
      </w:pPr>
    </w:p>
    <w:p w14:paraId="4D0F0609">
      <w:pPr>
        <w:rPr>
          <w:rFonts w:hint="eastAsia"/>
        </w:rPr>
      </w:pPr>
    </w:p>
    <w:p w14:paraId="1E2C4C12">
      <w:pPr>
        <w:rPr>
          <w:rFonts w:hint="eastAsia"/>
        </w:rPr>
      </w:pPr>
    </w:p>
    <w:p w14:paraId="7BD76FB0">
      <w:pPr>
        <w:rPr>
          <w:rFonts w:hint="eastAsia"/>
        </w:rPr>
      </w:pPr>
    </w:p>
    <w:p w14:paraId="1A16A009">
      <w:pPr>
        <w:rPr>
          <w:rFonts w:hint="eastAsia"/>
        </w:rPr>
      </w:pPr>
    </w:p>
    <w:p w14:paraId="3CC1393A">
      <w:pPr>
        <w:rPr>
          <w:rFonts w:hint="eastAsia"/>
        </w:rPr>
      </w:pPr>
    </w:p>
    <w:p w14:paraId="109B9567">
      <w:pPr>
        <w:rPr>
          <w:rFonts w:hint="eastAsia"/>
        </w:rPr>
      </w:pPr>
    </w:p>
    <w:p w14:paraId="4B7A9210">
      <w:pPr>
        <w:rPr>
          <w:rFonts w:hint="eastAsia"/>
        </w:rPr>
      </w:pPr>
    </w:p>
    <w:p w14:paraId="636CE84F">
      <w:pPr>
        <w:rPr>
          <w:rFonts w:hint="eastAsia"/>
        </w:rPr>
      </w:pPr>
    </w:p>
    <w:p w14:paraId="5BD3CDAB">
      <w:pPr>
        <w:rPr>
          <w:rFonts w:hint="eastAsia"/>
        </w:rPr>
      </w:pPr>
    </w:p>
    <w:p w14:paraId="5F88CCAA">
      <w:pPr>
        <w:rPr>
          <w:rFonts w:hint="eastAsia"/>
        </w:rPr>
      </w:pPr>
    </w:p>
    <w:p w14:paraId="56A578C9">
      <w:pPr>
        <w:rPr>
          <w:rFonts w:hint="eastAsia"/>
        </w:rPr>
      </w:pPr>
    </w:p>
    <w:p w14:paraId="67345904">
      <w:pPr>
        <w:rPr>
          <w:rFonts w:hint="eastAsia"/>
        </w:rPr>
      </w:pPr>
    </w:p>
    <w:p w14:paraId="66134EF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B19F9D8">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CFE08D2">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549C46E0">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附件：1-8</w:t>
      </w:r>
    </w:p>
    <w:p w14:paraId="6DDAA481">
      <w:pPr>
        <w:jc w:val="center"/>
        <w:rPr>
          <w:rFonts w:hint="eastAsia"/>
        </w:rPr>
      </w:pPr>
      <w:r>
        <w:rPr>
          <w:rFonts w:hint="eastAsia" w:ascii="方正小标宋简体" w:hAnsi="方正小标宋简体" w:eastAsia="方正小标宋简体" w:cs="方正小标宋简体"/>
          <w:sz w:val="44"/>
          <w:szCs w:val="44"/>
        </w:rPr>
        <w:t>报价表</w:t>
      </w:r>
      <w:r>
        <w:rPr>
          <w:rFonts w:hint="eastAsia"/>
        </w:rPr>
        <w:t>​</w:t>
      </w:r>
    </w:p>
    <w:p w14:paraId="4B2C6F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755320F0">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lang w:val="en-US" w:eastAsia="zh-CN"/>
        </w:rPr>
        <w:t xml:space="preserve"> </w:t>
      </w:r>
    </w:p>
    <w:p w14:paraId="6A2711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6124975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040171BE">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定点接待服务报价</w:t>
      </w:r>
    </w:p>
    <w:tbl>
      <w:tblPr>
        <w:tblStyle w:val="11"/>
        <w:tblW w:w="8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505"/>
        <w:gridCol w:w="1950"/>
        <w:gridCol w:w="1905"/>
      </w:tblGrid>
      <w:tr w14:paraId="3D6C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5B4877E">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服务项目</w:t>
            </w:r>
          </w:p>
        </w:tc>
        <w:tc>
          <w:tcPr>
            <w:tcW w:w="2505" w:type="dxa"/>
          </w:tcPr>
          <w:p w14:paraId="69C7427B">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类型</w:t>
            </w:r>
          </w:p>
        </w:tc>
        <w:tc>
          <w:tcPr>
            <w:tcW w:w="1950" w:type="dxa"/>
          </w:tcPr>
          <w:p w14:paraId="3AD41330">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905" w:type="dxa"/>
          </w:tcPr>
          <w:p w14:paraId="33F4BF3E">
            <w:pPr>
              <w:numPr>
                <w:ilvl w:val="0"/>
                <w:numId w:val="0"/>
              </w:numPr>
              <w:rPr>
                <w:rFonts w:hint="eastAsia" w:ascii="仿宋_GB2312" w:hAnsi="仿宋_GB2312" w:eastAsia="仿宋_GB2312" w:cs="仿宋_GB2312"/>
                <w:sz w:val="32"/>
                <w:szCs w:val="32"/>
                <w:vertAlign w:val="baseline"/>
                <w:lang w:val="en-US" w:eastAsia="zh-CN"/>
              </w:rPr>
            </w:pPr>
            <w:bookmarkStart w:id="16" w:name="OLE_LINK3"/>
            <w:r>
              <w:rPr>
                <w:rFonts w:hint="eastAsia" w:ascii="仿宋_GB2312" w:hAnsi="仿宋_GB2312" w:eastAsia="仿宋_GB2312" w:cs="仿宋_GB2312"/>
                <w:sz w:val="32"/>
                <w:szCs w:val="32"/>
                <w:vertAlign w:val="baseline"/>
                <w:lang w:val="en-US" w:eastAsia="zh-CN"/>
              </w:rPr>
              <w:t>单价</w:t>
            </w:r>
            <w:bookmarkEnd w:id="16"/>
          </w:p>
        </w:tc>
      </w:tr>
      <w:tr w14:paraId="3B8D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6044DB04">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客房服务</w:t>
            </w:r>
          </w:p>
        </w:tc>
        <w:tc>
          <w:tcPr>
            <w:tcW w:w="2505" w:type="dxa"/>
          </w:tcPr>
          <w:p w14:paraId="55EDD7D4">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标准单人间</w:t>
            </w:r>
          </w:p>
        </w:tc>
        <w:tc>
          <w:tcPr>
            <w:tcW w:w="1950" w:type="dxa"/>
          </w:tcPr>
          <w:p w14:paraId="4F303979">
            <w:pPr>
              <w:numPr>
                <w:ilvl w:val="0"/>
                <w:numId w:val="0"/>
              </w:numPr>
              <w:rPr>
                <w:rFonts w:hint="eastAsia" w:ascii="仿宋_GB2312" w:hAnsi="仿宋_GB2312" w:eastAsia="仿宋_GB2312" w:cs="仿宋_GB2312"/>
                <w:sz w:val="32"/>
                <w:szCs w:val="32"/>
                <w:vertAlign w:val="baseline"/>
              </w:rPr>
            </w:pPr>
            <w:bookmarkStart w:id="17" w:name="OLE_LINK2"/>
            <w:r>
              <w:rPr>
                <w:rFonts w:hint="eastAsia" w:ascii="仿宋_GB2312" w:hAnsi="仿宋_GB2312" w:eastAsia="仿宋_GB2312" w:cs="仿宋_GB2312"/>
                <w:sz w:val="32"/>
                <w:szCs w:val="32"/>
                <w:vertAlign w:val="baseline"/>
              </w:rPr>
              <w:t>间/夜</w:t>
            </w:r>
            <w:bookmarkEnd w:id="17"/>
          </w:p>
        </w:tc>
        <w:tc>
          <w:tcPr>
            <w:tcW w:w="1905" w:type="dxa"/>
          </w:tcPr>
          <w:p w14:paraId="6214E1D9">
            <w:pPr>
              <w:numPr>
                <w:ilvl w:val="0"/>
                <w:numId w:val="0"/>
              </w:numPr>
              <w:rPr>
                <w:rFonts w:hint="eastAsia" w:ascii="仿宋_GB2312" w:hAnsi="仿宋_GB2312" w:eastAsia="仿宋_GB2312" w:cs="仿宋_GB2312"/>
                <w:sz w:val="32"/>
                <w:szCs w:val="32"/>
                <w:vertAlign w:val="baseline"/>
              </w:rPr>
            </w:pPr>
          </w:p>
        </w:tc>
      </w:tr>
      <w:tr w14:paraId="45E0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3F4F3346">
            <w:pPr>
              <w:numPr>
                <w:ilvl w:val="0"/>
                <w:numId w:val="0"/>
              </w:numPr>
              <w:rPr>
                <w:rFonts w:hint="eastAsia" w:ascii="仿宋_GB2312" w:hAnsi="仿宋_GB2312" w:eastAsia="仿宋_GB2312" w:cs="仿宋_GB2312"/>
                <w:sz w:val="32"/>
                <w:szCs w:val="32"/>
                <w:vertAlign w:val="baseline"/>
              </w:rPr>
            </w:pPr>
          </w:p>
        </w:tc>
        <w:tc>
          <w:tcPr>
            <w:tcW w:w="2505" w:type="dxa"/>
          </w:tcPr>
          <w:p w14:paraId="15FBABCF">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标准双人间</w:t>
            </w:r>
          </w:p>
        </w:tc>
        <w:tc>
          <w:tcPr>
            <w:tcW w:w="1950" w:type="dxa"/>
          </w:tcPr>
          <w:p w14:paraId="58B91502">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间/夜</w:t>
            </w:r>
          </w:p>
        </w:tc>
        <w:tc>
          <w:tcPr>
            <w:tcW w:w="1905" w:type="dxa"/>
          </w:tcPr>
          <w:p w14:paraId="61C402A0">
            <w:pPr>
              <w:numPr>
                <w:ilvl w:val="0"/>
                <w:numId w:val="0"/>
              </w:numPr>
              <w:rPr>
                <w:rFonts w:hint="eastAsia" w:ascii="仿宋_GB2312" w:hAnsi="仿宋_GB2312" w:eastAsia="仿宋_GB2312" w:cs="仿宋_GB2312"/>
                <w:sz w:val="32"/>
                <w:szCs w:val="32"/>
                <w:vertAlign w:val="baseline"/>
              </w:rPr>
            </w:pPr>
          </w:p>
        </w:tc>
      </w:tr>
      <w:tr w14:paraId="0F84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2B5C8926">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餐饮服务</w:t>
            </w:r>
          </w:p>
        </w:tc>
        <w:tc>
          <w:tcPr>
            <w:tcW w:w="2505" w:type="dxa"/>
          </w:tcPr>
          <w:p w14:paraId="160AC782">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自助餐（早餐）</w:t>
            </w:r>
          </w:p>
        </w:tc>
        <w:tc>
          <w:tcPr>
            <w:tcW w:w="1950" w:type="dxa"/>
          </w:tcPr>
          <w:p w14:paraId="7825BE4E">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位</w:t>
            </w:r>
          </w:p>
        </w:tc>
        <w:tc>
          <w:tcPr>
            <w:tcW w:w="1905" w:type="dxa"/>
          </w:tcPr>
          <w:p w14:paraId="4E5EC356">
            <w:pPr>
              <w:numPr>
                <w:ilvl w:val="0"/>
                <w:numId w:val="0"/>
              </w:numPr>
              <w:rPr>
                <w:rFonts w:hint="eastAsia" w:ascii="仿宋_GB2312" w:hAnsi="仿宋_GB2312" w:eastAsia="仿宋_GB2312" w:cs="仿宋_GB2312"/>
                <w:sz w:val="32"/>
                <w:szCs w:val="32"/>
                <w:vertAlign w:val="baseline"/>
              </w:rPr>
            </w:pPr>
          </w:p>
        </w:tc>
      </w:tr>
      <w:tr w14:paraId="26B4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3B9DD085">
            <w:pPr>
              <w:numPr>
                <w:ilvl w:val="0"/>
                <w:numId w:val="0"/>
              </w:numPr>
              <w:rPr>
                <w:rFonts w:hint="eastAsia" w:ascii="仿宋_GB2312" w:hAnsi="仿宋_GB2312" w:eastAsia="仿宋_GB2312" w:cs="仿宋_GB2312"/>
                <w:sz w:val="32"/>
                <w:szCs w:val="32"/>
                <w:vertAlign w:val="baseline"/>
              </w:rPr>
            </w:pPr>
          </w:p>
        </w:tc>
        <w:tc>
          <w:tcPr>
            <w:tcW w:w="2505" w:type="dxa"/>
          </w:tcPr>
          <w:p w14:paraId="693FE7DF">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自助餐（午餐 / 晚餐）</w:t>
            </w:r>
          </w:p>
        </w:tc>
        <w:tc>
          <w:tcPr>
            <w:tcW w:w="1950" w:type="dxa"/>
          </w:tcPr>
          <w:p w14:paraId="23D72BB5">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位</w:t>
            </w:r>
          </w:p>
        </w:tc>
        <w:tc>
          <w:tcPr>
            <w:tcW w:w="1905" w:type="dxa"/>
          </w:tcPr>
          <w:p w14:paraId="1DB910D7">
            <w:pPr>
              <w:numPr>
                <w:ilvl w:val="0"/>
                <w:numId w:val="0"/>
              </w:numPr>
              <w:rPr>
                <w:rFonts w:hint="eastAsia" w:ascii="仿宋_GB2312" w:hAnsi="仿宋_GB2312" w:eastAsia="仿宋_GB2312" w:cs="仿宋_GB2312"/>
                <w:sz w:val="32"/>
                <w:szCs w:val="32"/>
                <w:vertAlign w:val="baseline"/>
              </w:rPr>
            </w:pPr>
          </w:p>
        </w:tc>
      </w:tr>
      <w:tr w14:paraId="1C5C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05B784C">
            <w:pPr>
              <w:numPr>
                <w:ilvl w:val="0"/>
                <w:numId w:val="0"/>
              </w:numPr>
              <w:rPr>
                <w:rFonts w:hint="eastAsia" w:ascii="仿宋_GB2312" w:hAnsi="仿宋_GB2312" w:eastAsia="仿宋_GB2312" w:cs="仿宋_GB2312"/>
                <w:sz w:val="32"/>
                <w:szCs w:val="32"/>
                <w:vertAlign w:val="baseline"/>
              </w:rPr>
            </w:pPr>
          </w:p>
        </w:tc>
        <w:tc>
          <w:tcPr>
            <w:tcW w:w="2505" w:type="dxa"/>
          </w:tcPr>
          <w:p w14:paraId="047A1175">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桌餐（10人））</w:t>
            </w:r>
          </w:p>
        </w:tc>
        <w:tc>
          <w:tcPr>
            <w:tcW w:w="1950" w:type="dxa"/>
          </w:tcPr>
          <w:p w14:paraId="16C8F662">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桌</w:t>
            </w:r>
          </w:p>
        </w:tc>
        <w:tc>
          <w:tcPr>
            <w:tcW w:w="1905" w:type="dxa"/>
          </w:tcPr>
          <w:p w14:paraId="49E1663E">
            <w:pPr>
              <w:numPr>
                <w:ilvl w:val="0"/>
                <w:numId w:val="0"/>
              </w:numPr>
              <w:rPr>
                <w:rFonts w:hint="eastAsia" w:ascii="仿宋_GB2312" w:hAnsi="仿宋_GB2312" w:eastAsia="仿宋_GB2312" w:cs="仿宋_GB2312"/>
                <w:sz w:val="32"/>
                <w:szCs w:val="32"/>
                <w:vertAlign w:val="baseline"/>
              </w:rPr>
            </w:pPr>
          </w:p>
        </w:tc>
      </w:tr>
    </w:tbl>
    <w:p w14:paraId="0E29F64D">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定点会议服务报价</w:t>
      </w:r>
    </w:p>
    <w:tbl>
      <w:tblPr>
        <w:tblStyle w:val="11"/>
        <w:tblW w:w="8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1688"/>
      </w:tblGrid>
      <w:tr w14:paraId="1787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E828C5">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服务项目</w:t>
            </w:r>
          </w:p>
        </w:tc>
        <w:tc>
          <w:tcPr>
            <w:tcW w:w="2130" w:type="dxa"/>
          </w:tcPr>
          <w:p w14:paraId="301D4541">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类型</w:t>
            </w:r>
          </w:p>
        </w:tc>
        <w:tc>
          <w:tcPr>
            <w:tcW w:w="2131" w:type="dxa"/>
          </w:tcPr>
          <w:p w14:paraId="2271641C">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单位</w:t>
            </w:r>
          </w:p>
        </w:tc>
        <w:tc>
          <w:tcPr>
            <w:tcW w:w="1688" w:type="dxa"/>
          </w:tcPr>
          <w:p w14:paraId="760708CF">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单价</w:t>
            </w:r>
          </w:p>
        </w:tc>
      </w:tr>
      <w:tr w14:paraId="0F5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2FDC74BB">
            <w:pPr>
              <w:numPr>
                <w:ilvl w:val="0"/>
                <w:numId w:val="0"/>
              </w:numPr>
              <w:rPr>
                <w:rFonts w:hint="eastAsia" w:ascii="仿宋_GB2312" w:hAnsi="仿宋_GB2312" w:eastAsia="仿宋_GB2312" w:cs="仿宋_GB2312"/>
                <w:sz w:val="32"/>
                <w:szCs w:val="32"/>
                <w:vertAlign w:val="baseline"/>
              </w:rPr>
            </w:pPr>
          </w:p>
          <w:p w14:paraId="1239E1B6">
            <w:pPr>
              <w:rPr>
                <w:rFonts w:hint="eastAsia" w:asciiTheme="minorHAnsi" w:hAnsiTheme="minorHAnsi" w:eastAsiaTheme="minorEastAsia" w:cstheme="minorBidi"/>
                <w:kern w:val="2"/>
                <w:sz w:val="21"/>
                <w:szCs w:val="24"/>
                <w:lang w:val="en-US" w:eastAsia="zh-CN" w:bidi="ar-SA"/>
              </w:rPr>
            </w:pPr>
          </w:p>
          <w:p w14:paraId="2AB23149">
            <w:pPr>
              <w:jc w:val="center"/>
              <w:rPr>
                <w:rFonts w:hint="eastAsia"/>
                <w:lang w:val="en-US" w:eastAsia="zh-CN"/>
              </w:rPr>
            </w:pPr>
            <w:r>
              <w:rPr>
                <w:rFonts w:hint="eastAsia"/>
                <w:lang w:val="en-US" w:eastAsia="zh-CN"/>
              </w:rPr>
              <w:t>会议室租赁</w:t>
            </w:r>
          </w:p>
        </w:tc>
        <w:tc>
          <w:tcPr>
            <w:tcW w:w="2130" w:type="dxa"/>
          </w:tcPr>
          <w:p w14:paraId="24200EEB">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小型会议室</w:t>
            </w:r>
          </w:p>
        </w:tc>
        <w:tc>
          <w:tcPr>
            <w:tcW w:w="2131" w:type="dxa"/>
          </w:tcPr>
          <w:p w14:paraId="5963FD1F">
            <w:pPr>
              <w:numPr>
                <w:ilvl w:val="0"/>
                <w:numId w:val="0"/>
              </w:numPr>
              <w:rPr>
                <w:rFonts w:hint="eastAsia" w:ascii="仿宋_GB2312" w:hAnsi="仿宋_GB2312" w:eastAsia="仿宋_GB2312" w:cs="仿宋_GB2312"/>
                <w:sz w:val="32"/>
                <w:szCs w:val="32"/>
                <w:vertAlign w:val="baseline"/>
                <w:lang w:val="en-US" w:eastAsia="zh-CN"/>
              </w:rPr>
            </w:pPr>
            <w:bookmarkStart w:id="18" w:name="OLE_LINK4"/>
            <w:r>
              <w:rPr>
                <w:rFonts w:hint="eastAsia" w:ascii="仿宋_GB2312" w:hAnsi="仿宋_GB2312" w:eastAsia="仿宋_GB2312" w:cs="仿宋_GB2312"/>
                <w:sz w:val="32"/>
                <w:szCs w:val="32"/>
                <w:vertAlign w:val="baseline"/>
              </w:rPr>
              <w:t>间/</w:t>
            </w:r>
            <w:r>
              <w:rPr>
                <w:rFonts w:hint="eastAsia" w:ascii="仿宋_GB2312" w:hAnsi="仿宋_GB2312" w:eastAsia="仿宋_GB2312" w:cs="仿宋_GB2312"/>
                <w:sz w:val="32"/>
                <w:szCs w:val="32"/>
                <w:vertAlign w:val="baseline"/>
                <w:lang w:val="en-US" w:eastAsia="zh-CN"/>
              </w:rPr>
              <w:t>天</w:t>
            </w:r>
            <w:bookmarkEnd w:id="18"/>
          </w:p>
        </w:tc>
        <w:tc>
          <w:tcPr>
            <w:tcW w:w="1688" w:type="dxa"/>
          </w:tcPr>
          <w:p w14:paraId="116CDDBD">
            <w:pPr>
              <w:numPr>
                <w:ilvl w:val="0"/>
                <w:numId w:val="0"/>
              </w:numPr>
              <w:rPr>
                <w:rFonts w:hint="eastAsia" w:ascii="仿宋_GB2312" w:hAnsi="仿宋_GB2312" w:eastAsia="仿宋_GB2312" w:cs="仿宋_GB2312"/>
                <w:sz w:val="32"/>
                <w:szCs w:val="32"/>
                <w:vertAlign w:val="baseline"/>
              </w:rPr>
            </w:pPr>
          </w:p>
        </w:tc>
      </w:tr>
      <w:tr w14:paraId="5E04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3A271797">
            <w:pPr>
              <w:numPr>
                <w:ilvl w:val="0"/>
                <w:numId w:val="0"/>
              </w:numPr>
              <w:rPr>
                <w:rFonts w:hint="eastAsia" w:ascii="仿宋_GB2312" w:hAnsi="仿宋_GB2312" w:eastAsia="仿宋_GB2312" w:cs="仿宋_GB2312"/>
                <w:sz w:val="32"/>
                <w:szCs w:val="32"/>
                <w:vertAlign w:val="baseline"/>
              </w:rPr>
            </w:pPr>
          </w:p>
        </w:tc>
        <w:tc>
          <w:tcPr>
            <w:tcW w:w="2130" w:type="dxa"/>
          </w:tcPr>
          <w:p w14:paraId="2A09FE7F">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中型会议室</w:t>
            </w:r>
          </w:p>
        </w:tc>
        <w:tc>
          <w:tcPr>
            <w:tcW w:w="2131" w:type="dxa"/>
          </w:tcPr>
          <w:p w14:paraId="173FBFC2">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间/</w:t>
            </w:r>
            <w:r>
              <w:rPr>
                <w:rFonts w:hint="eastAsia" w:ascii="仿宋_GB2312" w:hAnsi="仿宋_GB2312" w:eastAsia="仿宋_GB2312" w:cs="仿宋_GB2312"/>
                <w:sz w:val="32"/>
                <w:szCs w:val="32"/>
                <w:vertAlign w:val="baseline"/>
                <w:lang w:val="en-US" w:eastAsia="zh-CN"/>
              </w:rPr>
              <w:t>天</w:t>
            </w:r>
          </w:p>
        </w:tc>
        <w:tc>
          <w:tcPr>
            <w:tcW w:w="1688" w:type="dxa"/>
          </w:tcPr>
          <w:p w14:paraId="58E072B0">
            <w:pPr>
              <w:numPr>
                <w:ilvl w:val="0"/>
                <w:numId w:val="0"/>
              </w:numPr>
              <w:rPr>
                <w:rFonts w:hint="eastAsia" w:ascii="仿宋_GB2312" w:hAnsi="仿宋_GB2312" w:eastAsia="仿宋_GB2312" w:cs="仿宋_GB2312"/>
                <w:sz w:val="32"/>
                <w:szCs w:val="32"/>
                <w:vertAlign w:val="baseline"/>
              </w:rPr>
            </w:pPr>
          </w:p>
        </w:tc>
      </w:tr>
      <w:tr w14:paraId="33FA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46909CA3">
            <w:pPr>
              <w:numPr>
                <w:ilvl w:val="0"/>
                <w:numId w:val="0"/>
              </w:numPr>
              <w:rPr>
                <w:rFonts w:hint="eastAsia" w:ascii="仿宋_GB2312" w:hAnsi="仿宋_GB2312" w:eastAsia="仿宋_GB2312" w:cs="仿宋_GB2312"/>
                <w:sz w:val="32"/>
                <w:szCs w:val="32"/>
                <w:vertAlign w:val="baseline"/>
              </w:rPr>
            </w:pPr>
          </w:p>
        </w:tc>
        <w:tc>
          <w:tcPr>
            <w:tcW w:w="2130" w:type="dxa"/>
          </w:tcPr>
          <w:p w14:paraId="4E0857A3">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大型会议室</w:t>
            </w:r>
          </w:p>
        </w:tc>
        <w:tc>
          <w:tcPr>
            <w:tcW w:w="2131" w:type="dxa"/>
          </w:tcPr>
          <w:p w14:paraId="058820C1">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间/</w:t>
            </w:r>
            <w:r>
              <w:rPr>
                <w:rFonts w:hint="eastAsia" w:ascii="仿宋_GB2312" w:hAnsi="仿宋_GB2312" w:eastAsia="仿宋_GB2312" w:cs="仿宋_GB2312"/>
                <w:sz w:val="32"/>
                <w:szCs w:val="32"/>
                <w:vertAlign w:val="baseline"/>
                <w:lang w:val="en-US" w:eastAsia="zh-CN"/>
              </w:rPr>
              <w:t>天</w:t>
            </w:r>
          </w:p>
        </w:tc>
        <w:tc>
          <w:tcPr>
            <w:tcW w:w="1688" w:type="dxa"/>
          </w:tcPr>
          <w:p w14:paraId="61E18D77">
            <w:pPr>
              <w:numPr>
                <w:ilvl w:val="0"/>
                <w:numId w:val="0"/>
              </w:numPr>
              <w:rPr>
                <w:rFonts w:hint="eastAsia" w:ascii="仿宋_GB2312" w:hAnsi="仿宋_GB2312" w:eastAsia="仿宋_GB2312" w:cs="仿宋_GB2312"/>
                <w:sz w:val="32"/>
                <w:szCs w:val="32"/>
                <w:vertAlign w:val="baseline"/>
              </w:rPr>
            </w:pPr>
          </w:p>
        </w:tc>
      </w:tr>
    </w:tbl>
    <w:p w14:paraId="348CE3EC">
      <w:pPr>
        <w:numPr>
          <w:ilvl w:val="0"/>
          <w:numId w:val="0"/>
        </w:numPr>
        <w:ind w:lef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三、价格说明</w:t>
      </w:r>
      <w:r>
        <w:rPr>
          <w:rFonts w:hint="eastAsia" w:ascii="仿宋_GB2312" w:hAnsi="仿宋_GB2312" w:eastAsia="仿宋_GB2312" w:cs="仿宋_GB2312"/>
          <w:sz w:val="32"/>
          <w:szCs w:val="32"/>
        </w:rPr>
        <w:t>​</w:t>
      </w:r>
    </w:p>
    <w:p w14:paraId="7032EABA">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报价有效期：本报价自提交响应文件截止之日起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天内有效。​</w:t>
      </w:r>
    </w:p>
    <w:p w14:paraId="56C955E0">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价格调整：框架协议有效期内，如遇 [具体情形，如物价波动超过 X%]，经双方协商一致可调整价格；​</w:t>
      </w:r>
    </w:p>
    <w:p w14:paraId="062940EB">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单次订单服务价格以本报价表为基础，不高于承诺单价。​</w:t>
      </w:r>
    </w:p>
    <w:p w14:paraId="3A937F51">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优惠政策：累计消费满______元，给予______% 折扣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53735475">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长期合作客户可享受______折优惠（需说明适用条件​</w:t>
      </w:r>
    </w:p>
    <w:p w14:paraId="7700E290">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费用结算：​</w:t>
      </w:r>
    </w:p>
    <w:p w14:paraId="3AD50745">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付款方式：□按月结算 □按订单结算 □其他：_________；​</w:t>
      </w:r>
    </w:p>
    <w:p w14:paraId="44DAD2A5">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发票开具：提供增值税 [专用 / 普通] 发票，开票内容为实际服务项目。​</w:t>
      </w:r>
    </w:p>
    <w:p w14:paraId="7D31D1D7">
      <w:pPr>
        <w:numPr>
          <w:ilvl w:val="0"/>
          <w:numId w:val="0"/>
        </w:numPr>
        <w:ind w:leftChars="0"/>
        <w:rPr>
          <w:rFonts w:hint="eastAsia" w:ascii="仿宋_GB2312" w:hAnsi="仿宋_GB2312" w:eastAsia="仿宋_GB2312" w:cs="仿宋_GB2312"/>
          <w:sz w:val="32"/>
          <w:szCs w:val="32"/>
        </w:rPr>
      </w:pPr>
    </w:p>
    <w:p w14:paraId="1CCDA46C">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供应商（盖章）：</w:t>
      </w:r>
      <w:r>
        <w:rPr>
          <w:rFonts w:hint="eastAsia" w:ascii="仿宋_GB2312" w:hAnsi="仿宋_GB2312" w:eastAsia="仿宋_GB2312" w:cs="仿宋_GB2312"/>
          <w:sz w:val="32"/>
          <w:szCs w:val="32"/>
          <w:lang w:val="en-US" w:eastAsia="zh-CN"/>
        </w:rPr>
        <w:t xml:space="preserve"> </w:t>
      </w:r>
    </w:p>
    <w:p w14:paraId="3AC62F0C">
      <w:pPr>
        <w:numPr>
          <w:ilvl w:val="0"/>
          <w:numId w:val="0"/>
        </w:numPr>
        <w:ind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lang w:val="en-US" w:eastAsia="zh-CN"/>
        </w:rPr>
        <w:t xml:space="preserve"> </w:t>
      </w:r>
    </w:p>
    <w:p w14:paraId="40354C3B">
      <w:pPr>
        <w:numPr>
          <w:ilvl w:val="0"/>
          <w:numId w:val="0"/>
        </w:numPr>
        <w:ind w:leftChars="0"/>
        <w:rPr>
          <w:rFonts w:hint="eastAsia" w:ascii="仿宋_GB2312" w:hAnsi="仿宋_GB2312" w:eastAsia="仿宋_GB2312" w:cs="仿宋_GB2312"/>
          <w:sz w:val="32"/>
          <w:szCs w:val="32"/>
        </w:rPr>
      </w:pPr>
    </w:p>
    <w:p w14:paraId="2793893C">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C2F6590">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34C2A69">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55E34D8A">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38ADC660">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794BD0B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附件：1-9</w:t>
      </w:r>
    </w:p>
    <w:p w14:paraId="7237D11D">
      <w:pPr>
        <w:widowControl/>
        <w:spacing w:line="500" w:lineRule="exact"/>
        <w:jc w:val="center"/>
        <w:rPr>
          <w:rFonts w:hint="eastAsia" w:ascii="方正小标宋简体" w:hAnsi="方正小标宋简体" w:eastAsia="方正小标宋简体" w:cs="方正小标宋简体"/>
          <w:b/>
          <w:bCs/>
          <w:color w:val="auto"/>
          <w:sz w:val="44"/>
          <w:szCs w:val="44"/>
          <w:highlight w:val="none"/>
          <w:u w:val="none"/>
          <w:lang w:val="en-US" w:eastAsia="zh-CN"/>
        </w:rPr>
      </w:pPr>
      <w:r>
        <w:rPr>
          <w:rFonts w:hint="eastAsia" w:ascii="方正小标宋简体" w:hAnsi="方正小标宋简体" w:eastAsia="方正小标宋简体" w:cs="方正小标宋简体"/>
          <w:b/>
          <w:bCs/>
          <w:color w:val="auto"/>
          <w:sz w:val="44"/>
          <w:szCs w:val="44"/>
          <w:highlight w:val="none"/>
          <w:u w:val="none"/>
          <w:lang w:val="en-US" w:eastAsia="zh-CN"/>
        </w:rPr>
        <w:t>磋商服务方案</w:t>
      </w:r>
    </w:p>
    <w:p w14:paraId="5A9250C6">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DBBB78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30B4F62C">
      <w:pPr>
        <w:widowControl/>
        <w:spacing w:line="500" w:lineRule="exact"/>
        <w:ind w:firstLine="600" w:firstLineChars="2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注:响应供应商根据《技术部分评分表》内容自行编制和扩充，格式自拟。</w:t>
      </w:r>
    </w:p>
    <w:p w14:paraId="210D457D">
      <w:pPr>
        <w:widowControl/>
        <w:spacing w:line="500" w:lineRule="exact"/>
        <w:jc w:val="both"/>
        <w:rPr>
          <w:rFonts w:hint="eastAsia" w:ascii="仿宋_GB2312" w:hAnsi="仿宋_GB2312" w:eastAsia="仿宋_GB2312" w:cs="仿宋_GB2312"/>
          <w:b w:val="0"/>
          <w:bCs w:val="0"/>
          <w:color w:val="auto"/>
          <w:sz w:val="30"/>
          <w:szCs w:val="30"/>
          <w:highlight w:val="none"/>
          <w:u w:val="none"/>
          <w:lang w:val="en-US" w:eastAsia="zh-CN"/>
        </w:rPr>
      </w:pPr>
    </w:p>
    <w:p w14:paraId="2975BA2E">
      <w:pPr>
        <w:widowControl/>
        <w:spacing w:line="500" w:lineRule="exact"/>
        <w:jc w:val="both"/>
        <w:rPr>
          <w:rFonts w:hint="eastAsia" w:ascii="仿宋_GB2312" w:hAnsi="仿宋_GB2312" w:eastAsia="仿宋_GB2312" w:cs="仿宋_GB2312"/>
          <w:b w:val="0"/>
          <w:bCs w:val="0"/>
          <w:color w:val="auto"/>
          <w:sz w:val="30"/>
          <w:szCs w:val="30"/>
          <w:highlight w:val="none"/>
          <w:u w:val="none"/>
          <w:lang w:val="en-US" w:eastAsia="zh-CN"/>
        </w:rPr>
      </w:pPr>
    </w:p>
    <w:p w14:paraId="473E0BEE">
      <w:pPr>
        <w:widowControl/>
        <w:spacing w:line="500" w:lineRule="exact"/>
        <w:ind w:firstLine="2400" w:firstLineChars="8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响应供应商名称(盖公章):</w:t>
      </w:r>
    </w:p>
    <w:p w14:paraId="2B4E3700">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法定代表人或响应供应商投权代表(签名或盖章)</w:t>
      </w:r>
    </w:p>
    <w:p w14:paraId="53CE875E">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6FD6728B">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25DAA976">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6199C0FD">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2EC7089F">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23D1F885">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1DBFB24D">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5389156A">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0D0B47CF">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2FA0B721">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1838BFDC">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6CEBC90B">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21186AA1">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5FA8167D">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4A241DCF">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7376D617">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附件：1-10</w:t>
      </w:r>
    </w:p>
    <w:p w14:paraId="40C271D7">
      <w:pPr>
        <w:widowControl/>
        <w:spacing w:line="500" w:lineRule="exact"/>
        <w:jc w:val="center"/>
        <w:rPr>
          <w:rFonts w:hint="eastAsia" w:ascii="方正小标宋简体" w:hAnsi="方正小标宋简体" w:eastAsia="方正小标宋简体" w:cs="方正小标宋简体"/>
          <w:b w:val="0"/>
          <w:bCs w:val="0"/>
          <w:color w:val="auto"/>
          <w:sz w:val="44"/>
          <w:szCs w:val="44"/>
          <w:highlight w:val="none"/>
          <w:u w:val="none"/>
          <w:lang w:val="en-US" w:eastAsia="zh-CN"/>
        </w:rPr>
      </w:pPr>
    </w:p>
    <w:p w14:paraId="7C7EB134">
      <w:pPr>
        <w:widowControl/>
        <w:spacing w:line="500" w:lineRule="exact"/>
        <w:jc w:val="center"/>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响应供应商基本情况表</w:t>
      </w:r>
    </w:p>
    <w:p w14:paraId="2D424014">
      <w:pPr>
        <w:widowControl/>
        <w:spacing w:line="500" w:lineRule="exact"/>
        <w:jc w:val="both"/>
        <w:rPr>
          <w:rFonts w:hint="eastAsia" w:ascii="方正小标宋简体" w:hAnsi="方正小标宋简体" w:eastAsia="方正小标宋简体" w:cs="方正小标宋简体"/>
          <w:b w:val="0"/>
          <w:bCs w:val="0"/>
          <w:color w:val="auto"/>
          <w:sz w:val="44"/>
          <w:szCs w:val="44"/>
          <w:highlight w:val="none"/>
          <w:u w:val="none"/>
          <w:lang w:val="en-US" w:eastAsia="zh-CN"/>
        </w:rPr>
      </w:pPr>
    </w:p>
    <w:p w14:paraId="706707FA">
      <w:pPr>
        <w:widowControl/>
        <w:numPr>
          <w:ilvl w:val="0"/>
          <w:numId w:val="0"/>
        </w:numPr>
        <w:spacing w:line="500" w:lineRule="exact"/>
        <w:ind w:firstLine="640" w:firstLineChars="20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一、公司基本情况</w:t>
      </w:r>
    </w:p>
    <w:p w14:paraId="21F7F18F">
      <w:pPr>
        <w:widowControl/>
        <w:numPr>
          <w:ilvl w:val="0"/>
          <w:numId w:val="0"/>
        </w:numPr>
        <w:spacing w:line="500" w:lineRule="exact"/>
        <w:ind w:firstLine="640" w:firstLineChars="200"/>
        <w:jc w:val="both"/>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1.公司名称</w:t>
      </w:r>
      <w:bookmarkStart w:id="19" w:name="OLE_LINK5"/>
      <w:r>
        <w:rPr>
          <w:rFonts w:hint="eastAsia" w:ascii="仿宋_GB2312" w:hAnsi="仿宋_GB2312" w:eastAsia="仿宋_GB2312" w:cs="仿宋_GB2312"/>
          <w:b w:val="0"/>
          <w:bCs w:val="0"/>
          <w:color w:val="auto"/>
          <w:sz w:val="32"/>
          <w:szCs w:val="32"/>
          <w:highlight w:val="none"/>
          <w:u w:val="single"/>
          <w:lang w:val="en-US" w:eastAsia="zh-CN"/>
        </w:rPr>
        <w:t xml:space="preserve">                 </w:t>
      </w:r>
      <w:bookmarkEnd w:id="19"/>
      <w:r>
        <w:rPr>
          <w:rFonts w:hint="eastAsia" w:ascii="仿宋_GB2312" w:hAnsi="仿宋_GB2312" w:eastAsia="仿宋_GB2312" w:cs="仿宋_GB2312"/>
          <w:b w:val="0"/>
          <w:bCs w:val="0"/>
          <w:color w:val="auto"/>
          <w:sz w:val="32"/>
          <w:szCs w:val="32"/>
          <w:highlight w:val="none"/>
          <w:u w:val="none"/>
          <w:lang w:val="en-US" w:eastAsia="zh-CN"/>
        </w:rPr>
        <w:t xml:space="preserve">    电话号码</w:t>
      </w:r>
      <w:r>
        <w:rPr>
          <w:rFonts w:hint="eastAsia" w:ascii="仿宋_GB2312" w:hAnsi="仿宋_GB2312" w:eastAsia="仿宋_GB2312" w:cs="仿宋_GB2312"/>
          <w:b w:val="0"/>
          <w:bCs w:val="0"/>
          <w:color w:val="auto"/>
          <w:sz w:val="32"/>
          <w:szCs w:val="32"/>
          <w:highlight w:val="none"/>
          <w:u w:val="single"/>
          <w:lang w:val="en-US" w:eastAsia="zh-CN"/>
        </w:rPr>
        <w:t xml:space="preserve">              </w:t>
      </w:r>
    </w:p>
    <w:p w14:paraId="1B534073">
      <w:pPr>
        <w:widowControl/>
        <w:numPr>
          <w:ilvl w:val="0"/>
          <w:numId w:val="0"/>
        </w:numPr>
        <w:spacing w:line="500" w:lineRule="exact"/>
        <w:ind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2.地    址</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    传    真</w:t>
      </w:r>
      <w:r>
        <w:rPr>
          <w:rFonts w:hint="eastAsia" w:ascii="仿宋_GB2312" w:hAnsi="仿宋_GB2312" w:eastAsia="仿宋_GB2312" w:cs="仿宋_GB2312"/>
          <w:b w:val="0"/>
          <w:bCs w:val="0"/>
          <w:color w:val="auto"/>
          <w:sz w:val="32"/>
          <w:szCs w:val="32"/>
          <w:highlight w:val="none"/>
          <w:u w:val="single"/>
          <w:lang w:val="en-US" w:eastAsia="zh-CN"/>
        </w:rPr>
        <w:t xml:space="preserve">             </w:t>
      </w:r>
    </w:p>
    <w:p w14:paraId="5B9EA596">
      <w:pPr>
        <w:widowControl/>
        <w:numPr>
          <w:ilvl w:val="0"/>
          <w:numId w:val="0"/>
        </w:numPr>
        <w:spacing w:line="500" w:lineRule="exact"/>
        <w:ind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3.注册资金</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    经济性质</w:t>
      </w:r>
      <w:r>
        <w:rPr>
          <w:rFonts w:hint="eastAsia" w:ascii="仿宋_GB2312" w:hAnsi="仿宋_GB2312" w:eastAsia="仿宋_GB2312" w:cs="仿宋_GB2312"/>
          <w:b w:val="0"/>
          <w:bCs w:val="0"/>
          <w:color w:val="auto"/>
          <w:sz w:val="32"/>
          <w:szCs w:val="32"/>
          <w:highlight w:val="none"/>
          <w:u w:val="single"/>
          <w:lang w:val="en-US" w:eastAsia="zh-CN"/>
        </w:rPr>
        <w:t xml:space="preserve">              </w:t>
      </w:r>
    </w:p>
    <w:p w14:paraId="29E76FC6">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4.公司开户名称及账户：</w:t>
      </w:r>
    </w:p>
    <w:p w14:paraId="6E15DE2E">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5.营业注册执照号：</w:t>
      </w:r>
    </w:p>
    <w:p w14:paraId="3D8B047E">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6.公司简介（文字描述:经营规模及服务理念、技术力量、财务状况、管理水平等方面进行阐述）</w:t>
      </w:r>
    </w:p>
    <w:p w14:paraId="7D5D897E">
      <w:pPr>
        <w:widowControl/>
        <w:numPr>
          <w:ilvl w:val="0"/>
          <w:numId w:val="0"/>
        </w:numPr>
        <w:spacing w:line="500" w:lineRule="exact"/>
        <w:ind w:leftChars="0" w:firstLine="640" w:firstLineChars="20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二、响应供应商获得国家有关部门颁发的资质。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3C47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976A97D">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证书名称</w:t>
            </w:r>
          </w:p>
        </w:tc>
        <w:tc>
          <w:tcPr>
            <w:tcW w:w="2130" w:type="dxa"/>
          </w:tcPr>
          <w:p w14:paraId="0D3C3D11">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发证单位</w:t>
            </w:r>
          </w:p>
        </w:tc>
        <w:tc>
          <w:tcPr>
            <w:tcW w:w="2131" w:type="dxa"/>
          </w:tcPr>
          <w:p w14:paraId="6CFCA641">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证书等级</w:t>
            </w:r>
          </w:p>
        </w:tc>
        <w:tc>
          <w:tcPr>
            <w:tcW w:w="2131" w:type="dxa"/>
          </w:tcPr>
          <w:p w14:paraId="1A65E608">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证书有效期</w:t>
            </w:r>
          </w:p>
        </w:tc>
      </w:tr>
      <w:tr w14:paraId="2A98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C2A308E">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0" w:type="dxa"/>
          </w:tcPr>
          <w:p w14:paraId="7880065A">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5CBB728F">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41E1A5CF">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r>
      <w:tr w14:paraId="2D06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73AF6DD">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0" w:type="dxa"/>
          </w:tcPr>
          <w:p w14:paraId="1896A0CE">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1682126F">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032954F9">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r>
    </w:tbl>
    <w:p w14:paraId="484C6594">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我/我们声明以上所述是正确无误的，您有权进行您认为必要的所有调査。</w:t>
      </w:r>
    </w:p>
    <w:p w14:paraId="0D6B978F">
      <w:pPr>
        <w:widowControl/>
        <w:numPr>
          <w:ilvl w:val="0"/>
          <w:numId w:val="0"/>
        </w:numPr>
        <w:spacing w:line="500" w:lineRule="exact"/>
        <w:ind w:leftChars="0"/>
        <w:jc w:val="both"/>
        <w:rPr>
          <w:rFonts w:hint="eastAsia" w:ascii="仿宋_GB2312" w:hAnsi="仿宋_GB2312" w:eastAsia="仿宋_GB2312" w:cs="仿宋_GB2312"/>
          <w:b w:val="0"/>
          <w:bCs w:val="0"/>
          <w:color w:val="auto"/>
          <w:sz w:val="32"/>
          <w:szCs w:val="32"/>
          <w:highlight w:val="none"/>
          <w:u w:val="none"/>
          <w:lang w:val="en-US" w:eastAsia="zh-CN"/>
        </w:rPr>
      </w:pPr>
    </w:p>
    <w:p w14:paraId="68F314B6">
      <w:pPr>
        <w:widowControl/>
        <w:numPr>
          <w:ilvl w:val="0"/>
          <w:numId w:val="0"/>
        </w:numPr>
        <w:spacing w:line="500" w:lineRule="exact"/>
        <w:ind w:leftChars="0"/>
        <w:jc w:val="both"/>
        <w:rPr>
          <w:rFonts w:hint="eastAsia" w:ascii="仿宋_GB2312" w:hAnsi="仿宋_GB2312" w:eastAsia="仿宋_GB2312" w:cs="仿宋_GB2312"/>
          <w:b w:val="0"/>
          <w:bCs w:val="0"/>
          <w:color w:val="auto"/>
          <w:sz w:val="32"/>
          <w:szCs w:val="32"/>
          <w:highlight w:val="none"/>
          <w:u w:val="none"/>
          <w:lang w:val="en-US" w:eastAsia="zh-CN"/>
        </w:rPr>
      </w:pPr>
    </w:p>
    <w:p w14:paraId="72179364">
      <w:pPr>
        <w:widowControl/>
        <w:numPr>
          <w:ilvl w:val="0"/>
          <w:numId w:val="0"/>
        </w:numPr>
        <w:spacing w:line="500" w:lineRule="exact"/>
        <w:ind w:leftChars="0" w:firstLine="2560" w:firstLineChars="8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响应供应商名称（盖公章）：</w:t>
      </w:r>
    </w:p>
    <w:p w14:paraId="6E81F170">
      <w:pPr>
        <w:widowControl/>
        <w:numPr>
          <w:ilvl w:val="0"/>
          <w:numId w:val="0"/>
        </w:numPr>
        <w:spacing w:line="500" w:lineRule="exact"/>
        <w:ind w:leftChars="0" w:firstLine="1500" w:firstLineChars="5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法定代表人或响应供应商投权代表(签名或盖章)</w:t>
      </w:r>
    </w:p>
    <w:p w14:paraId="3A789A3D">
      <w:pPr>
        <w:widowControl/>
        <w:numPr>
          <w:ilvl w:val="0"/>
          <w:numId w:val="0"/>
        </w:numPr>
        <w:spacing w:line="500" w:lineRule="exact"/>
        <w:ind w:leftChars="0" w:firstLine="1500" w:firstLineChars="500"/>
        <w:jc w:val="both"/>
        <w:rPr>
          <w:rFonts w:hint="eastAsia" w:ascii="仿宋_GB2312" w:hAnsi="仿宋_GB2312" w:eastAsia="仿宋_GB2312" w:cs="仿宋_GB2312"/>
          <w:b w:val="0"/>
          <w:bCs w:val="0"/>
          <w:color w:val="auto"/>
          <w:sz w:val="30"/>
          <w:szCs w:val="30"/>
          <w:highlight w:val="none"/>
          <w:u w:val="none"/>
          <w:lang w:val="en-US" w:eastAsia="zh-CN"/>
        </w:rPr>
      </w:pPr>
    </w:p>
    <w:p w14:paraId="23EB3233">
      <w:pPr>
        <w:widowControl/>
        <w:numPr>
          <w:ilvl w:val="0"/>
          <w:numId w:val="0"/>
        </w:numPr>
        <w:spacing w:line="500" w:lineRule="exact"/>
        <w:ind w:leftChars="0" w:firstLine="1500" w:firstLineChars="500"/>
        <w:jc w:val="both"/>
        <w:rPr>
          <w:rFonts w:hint="eastAsia" w:ascii="仿宋_GB2312" w:hAnsi="仿宋_GB2312" w:eastAsia="仿宋_GB2312" w:cs="仿宋_GB2312"/>
          <w:b w:val="0"/>
          <w:bCs w:val="0"/>
          <w:color w:val="auto"/>
          <w:sz w:val="30"/>
          <w:szCs w:val="30"/>
          <w:highlight w:val="none"/>
          <w:u w:val="none"/>
          <w:lang w:val="en-US" w:eastAsia="zh-CN"/>
        </w:rPr>
      </w:pPr>
    </w:p>
    <w:p w14:paraId="2B28EE20">
      <w:pPr>
        <w:widowControl/>
        <w:numPr>
          <w:ilvl w:val="0"/>
          <w:numId w:val="0"/>
        </w:numPr>
        <w:spacing w:line="500" w:lineRule="exact"/>
        <w:ind w:leftChars="0" w:firstLine="1500" w:firstLineChars="500"/>
        <w:jc w:val="both"/>
        <w:rPr>
          <w:rFonts w:hint="eastAsia" w:ascii="仿宋_GB2312" w:hAnsi="仿宋_GB2312" w:eastAsia="仿宋_GB2312" w:cs="仿宋_GB2312"/>
          <w:b w:val="0"/>
          <w:bCs w:val="0"/>
          <w:color w:val="auto"/>
          <w:sz w:val="30"/>
          <w:szCs w:val="30"/>
          <w:highlight w:val="none"/>
          <w:u w:val="none"/>
          <w:lang w:val="en-US" w:eastAsia="zh-CN"/>
        </w:rPr>
      </w:pPr>
    </w:p>
    <w:p w14:paraId="35E4556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附件：1-11</w:t>
      </w:r>
    </w:p>
    <w:p w14:paraId="1D7A9CD6">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C3ED9F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112"/>
        <w:jc w:val="both"/>
        <w:textAlignment w:val="baseline"/>
        <w:outlineLvl w:val="0"/>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rPr>
        <w:t>汉中市政府采购供应商资格承诺函</w:t>
      </w:r>
    </w:p>
    <w:p w14:paraId="194D0019">
      <w:pPr>
        <w:rPr>
          <w:rFonts w:hint="eastAsia"/>
        </w:rPr>
      </w:pPr>
    </w:p>
    <w:p w14:paraId="7F5888A9">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6"/>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致:  (采购人、采购代理机构名称)</w:t>
      </w:r>
    </w:p>
    <w:p w14:paraId="1ABD7348">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83"/>
        <w:jc w:val="both"/>
        <w:textAlignment w:val="baseline"/>
        <w:rPr>
          <w:rFonts w:hint="eastAsia" w:ascii="仿宋_GB2312" w:hAnsi="仿宋_GB2312" w:eastAsia="仿宋_GB2312" w:cs="仿宋_GB2312"/>
          <w:b/>
          <w:bCs/>
          <w:spacing w:val="0"/>
          <w:position w:val="0"/>
          <w:sz w:val="32"/>
          <w:szCs w:val="32"/>
        </w:rPr>
      </w:pPr>
      <w:r>
        <w:rPr>
          <w:rFonts w:hint="eastAsia" w:ascii="仿宋_GB2312" w:hAnsi="仿宋_GB2312" w:eastAsia="仿宋_GB2312" w:cs="仿宋_GB2312"/>
          <w:b/>
          <w:bCs/>
          <w:spacing w:val="0"/>
          <w:position w:val="0"/>
          <w:sz w:val="32"/>
          <w:szCs w:val="32"/>
        </w:rPr>
        <w:t>(投标人名称 ) 郑重承诺:</w:t>
      </w:r>
    </w:p>
    <w:p w14:paraId="05515E8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4" w:firstLine="661"/>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1.我方具有良好的商业信誉和健全的财务会计制度, 具有履行合同所必需的设备和专业技术能力, 具有依法缴纳税收和社会保障金的良好记录, 参加本项目采购活动前三年内无重大违法活动记录。</w:t>
      </w:r>
    </w:p>
    <w:p w14:paraId="74ABCDD2">
      <w:pPr>
        <w:pStyle w:val="5"/>
        <w:keepNext w:val="0"/>
        <w:keepLines w:val="0"/>
        <w:pageBreakBefore w:val="0"/>
        <w:widowControl/>
        <w:tabs>
          <w:tab w:val="left" w:pos="150"/>
        </w:tabs>
        <w:kinsoku w:val="0"/>
        <w:wordWrap/>
        <w:overflowPunct/>
        <w:topLinePunct w:val="0"/>
        <w:autoSpaceDE w:val="0"/>
        <w:autoSpaceDN w:val="0"/>
        <w:bidi w:val="0"/>
        <w:adjustRightInd w:val="0"/>
        <w:snapToGrid w:val="0"/>
        <w:spacing w:line="560" w:lineRule="exact"/>
        <w:ind w:left="6" w:right="46" w:firstLine="647"/>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2.我方未列入在信用中国网站“失信被执行人”</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“重大税收违法案件当事人名单”中(</w:t>
      </w:r>
      <w:r>
        <w:rPr>
          <w:rFonts w:hint="eastAsia" w:ascii="仿宋_GB2312" w:hAnsi="仿宋_GB2312" w:eastAsia="仿宋_GB2312" w:cs="仿宋_GB2312"/>
          <w:spacing w:val="0"/>
          <w:position w:val="0"/>
          <w:sz w:val="32"/>
          <w:szCs w:val="32"/>
        </w:rPr>
        <w:fldChar w:fldCharType="begin"/>
      </w:r>
      <w:r>
        <w:rPr>
          <w:rFonts w:hint="eastAsia" w:ascii="仿宋_GB2312" w:hAnsi="仿宋_GB2312" w:eastAsia="仿宋_GB2312" w:cs="仿宋_GB2312"/>
          <w:spacing w:val="0"/>
          <w:position w:val="0"/>
          <w:sz w:val="32"/>
          <w:szCs w:val="32"/>
        </w:rPr>
        <w:instrText xml:space="preserve"> HYPERLINK "https://www.creditchina.gov.cn" </w:instrText>
      </w:r>
      <w:r>
        <w:rPr>
          <w:rFonts w:hint="eastAsia" w:ascii="仿宋_GB2312" w:hAnsi="仿宋_GB2312" w:eastAsia="仿宋_GB2312" w:cs="仿宋_GB2312"/>
          <w:spacing w:val="0"/>
          <w:position w:val="0"/>
          <w:sz w:val="32"/>
          <w:szCs w:val="32"/>
        </w:rPr>
        <w:fldChar w:fldCharType="separate"/>
      </w:r>
      <w:r>
        <w:rPr>
          <w:rFonts w:hint="eastAsia" w:ascii="仿宋_GB2312" w:hAnsi="仿宋_GB2312" w:eastAsia="仿宋_GB2312" w:cs="仿宋_GB2312"/>
          <w:color w:val="0000FF"/>
          <w:spacing w:val="0"/>
          <w:position w:val="0"/>
          <w:sz w:val="32"/>
          <w:szCs w:val="32"/>
          <w:u w:val="single" w:color="auto"/>
        </w:rPr>
        <w:t>www.creditchina.gov.cn</w:t>
      </w:r>
      <w:r>
        <w:rPr>
          <w:rFonts w:hint="eastAsia" w:ascii="仿宋_GB2312" w:hAnsi="仿宋_GB2312" w:eastAsia="仿宋_GB2312" w:cs="仿宋_GB2312"/>
          <w:color w:val="0000FF"/>
          <w:spacing w:val="0"/>
          <w:position w:val="0"/>
          <w:sz w:val="32"/>
          <w:szCs w:val="32"/>
          <w:u w:val="single" w:color="auto"/>
        </w:rPr>
        <w:fldChar w:fldCharType="end"/>
      </w:r>
      <w:r>
        <w:rPr>
          <w:rFonts w:hint="eastAsia" w:ascii="仿宋_GB2312" w:hAnsi="仿宋_GB2312" w:eastAsia="仿宋_GB2312" w:cs="仿宋_GB2312"/>
          <w:spacing w:val="0"/>
          <w:position w:val="0"/>
          <w:sz w:val="32"/>
          <w:szCs w:val="32"/>
        </w:rPr>
        <w:t>),也未列入中国政府采购网“政府采购严重违法失信行为记录名单”中(</w:t>
      </w:r>
      <w:r>
        <w:rPr>
          <w:rFonts w:hint="eastAsia" w:ascii="仿宋_GB2312" w:hAnsi="仿宋_GB2312" w:eastAsia="仿宋_GB2312" w:cs="仿宋_GB2312"/>
          <w:spacing w:val="0"/>
          <w:position w:val="0"/>
          <w:sz w:val="32"/>
          <w:szCs w:val="32"/>
        </w:rPr>
        <w:fldChar w:fldCharType="begin"/>
      </w:r>
      <w:r>
        <w:rPr>
          <w:rFonts w:hint="eastAsia" w:ascii="仿宋_GB2312" w:hAnsi="仿宋_GB2312" w:eastAsia="仿宋_GB2312" w:cs="仿宋_GB2312"/>
          <w:spacing w:val="0"/>
          <w:position w:val="0"/>
          <w:sz w:val="32"/>
          <w:szCs w:val="32"/>
        </w:rPr>
        <w:instrText xml:space="preserve"> HYPERLINK "https://www.ccgp.gov.cn" </w:instrText>
      </w:r>
      <w:r>
        <w:rPr>
          <w:rFonts w:hint="eastAsia" w:ascii="仿宋_GB2312" w:hAnsi="仿宋_GB2312" w:eastAsia="仿宋_GB2312" w:cs="仿宋_GB2312"/>
          <w:spacing w:val="0"/>
          <w:position w:val="0"/>
          <w:sz w:val="32"/>
          <w:szCs w:val="32"/>
        </w:rPr>
        <w:fldChar w:fldCharType="separate"/>
      </w:r>
      <w:r>
        <w:rPr>
          <w:rFonts w:hint="eastAsia" w:ascii="仿宋_GB2312" w:hAnsi="仿宋_GB2312" w:eastAsia="仿宋_GB2312" w:cs="仿宋_GB2312"/>
          <w:color w:val="0000FF"/>
          <w:spacing w:val="0"/>
          <w:position w:val="0"/>
          <w:sz w:val="32"/>
          <w:szCs w:val="32"/>
          <w:u w:val="single" w:color="auto"/>
        </w:rPr>
        <w:t>www.ccgp.gov.cn</w:t>
      </w:r>
      <w:r>
        <w:rPr>
          <w:rFonts w:hint="eastAsia" w:ascii="仿宋_GB2312" w:hAnsi="仿宋_GB2312" w:eastAsia="仿宋_GB2312" w:cs="仿宋_GB2312"/>
          <w:color w:val="0000FF"/>
          <w:spacing w:val="0"/>
          <w:position w:val="0"/>
          <w:sz w:val="32"/>
          <w:szCs w:val="32"/>
          <w:u w:val="single" w:color="auto"/>
        </w:rPr>
        <w:fldChar w:fldCharType="end"/>
      </w:r>
      <w:r>
        <w:rPr>
          <w:rFonts w:hint="eastAsia" w:ascii="仿宋_GB2312" w:hAnsi="仿宋_GB2312" w:eastAsia="仿宋_GB2312" w:cs="仿宋_GB2312"/>
          <w:color w:val="0000FF"/>
          <w:spacing w:val="0"/>
          <w:position w:val="0"/>
          <w:sz w:val="32"/>
          <w:szCs w:val="32"/>
        </w:rPr>
        <w:t xml:space="preserve"> </w:t>
      </w:r>
      <w:r>
        <w:rPr>
          <w:rFonts w:hint="eastAsia" w:ascii="仿宋_GB2312" w:hAnsi="仿宋_GB2312" w:eastAsia="仿宋_GB2312" w:cs="仿宋_GB2312"/>
          <w:spacing w:val="0"/>
          <w:position w:val="0"/>
          <w:sz w:val="32"/>
          <w:szCs w:val="32"/>
        </w:rPr>
        <w:t>)。</w:t>
      </w:r>
    </w:p>
    <w:p w14:paraId="48E4331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 w:firstLine="659"/>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3.我方在采购项目评审(评标)环节结束后,随时接受采购 人、采购代理机构的检查验证,配合提供相关证明材料,证明符 合《中华人民共和国政府采购法》规定的投标人基本资格条件。</w:t>
      </w:r>
    </w:p>
    <w:p w14:paraId="24422712">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54"/>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我方对以上承诺负全部法律责任。</w:t>
      </w:r>
    </w:p>
    <w:p w14:paraId="2286CBEF">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5"/>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特此承诺。</w:t>
      </w:r>
    </w:p>
    <w:p w14:paraId="5DF57870">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5563"/>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(投标人公章)</w:t>
      </w:r>
    </w:p>
    <w:p w14:paraId="6E0C9DA7">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4480" w:firstLineChars="1400"/>
        <w:jc w:val="both"/>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spacing w:val="0"/>
          <w:position w:val="0"/>
          <w:sz w:val="32"/>
          <w:szCs w:val="32"/>
        </w:rPr>
        <w:t>日期</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 xml:space="preserve">    年   月    日</w:t>
      </w:r>
    </w:p>
    <w:sectPr>
      <w:footerReference r:id="rId3" w:type="default"/>
      <w:pgSz w:w="11906" w:h="16838"/>
      <w:pgMar w:top="2098" w:right="1474" w:bottom="1984" w:left="1588"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BDDD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00DD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900DD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8F887"/>
    <w:multiLevelType w:val="singleLevel"/>
    <w:tmpl w:val="8078F887"/>
    <w:lvl w:ilvl="0" w:tentative="0">
      <w:start w:val="1"/>
      <w:numFmt w:val="decimal"/>
      <w:suff w:val="space"/>
      <w:lvlText w:val="%1."/>
      <w:lvlJc w:val="left"/>
    </w:lvl>
  </w:abstractNum>
  <w:abstractNum w:abstractNumId="1">
    <w:nsid w:val="9F1B0D35"/>
    <w:multiLevelType w:val="singleLevel"/>
    <w:tmpl w:val="9F1B0D35"/>
    <w:lvl w:ilvl="0" w:tentative="0">
      <w:start w:val="11"/>
      <w:numFmt w:val="decimal"/>
      <w:suff w:val="space"/>
      <w:lvlText w:val="%1."/>
      <w:lvlJc w:val="left"/>
    </w:lvl>
  </w:abstractNum>
  <w:abstractNum w:abstractNumId="2">
    <w:nsid w:val="B8FADA9F"/>
    <w:multiLevelType w:val="singleLevel"/>
    <w:tmpl w:val="B8FADA9F"/>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4C418D"/>
    <w:rsid w:val="007B2416"/>
    <w:rsid w:val="011B11FF"/>
    <w:rsid w:val="012278A4"/>
    <w:rsid w:val="01816786"/>
    <w:rsid w:val="01832C52"/>
    <w:rsid w:val="01ED0486"/>
    <w:rsid w:val="025F6B84"/>
    <w:rsid w:val="028423A4"/>
    <w:rsid w:val="02DD3576"/>
    <w:rsid w:val="030D6722"/>
    <w:rsid w:val="03337419"/>
    <w:rsid w:val="04FF03F2"/>
    <w:rsid w:val="05696C71"/>
    <w:rsid w:val="05703276"/>
    <w:rsid w:val="05843A4F"/>
    <w:rsid w:val="05BC3104"/>
    <w:rsid w:val="07734040"/>
    <w:rsid w:val="0789038C"/>
    <w:rsid w:val="085C71CB"/>
    <w:rsid w:val="086F5341"/>
    <w:rsid w:val="08EA1B33"/>
    <w:rsid w:val="09941999"/>
    <w:rsid w:val="09B45E51"/>
    <w:rsid w:val="09D172BB"/>
    <w:rsid w:val="0A5B498A"/>
    <w:rsid w:val="0A76070F"/>
    <w:rsid w:val="0AA87509"/>
    <w:rsid w:val="0B3F190A"/>
    <w:rsid w:val="0B52125A"/>
    <w:rsid w:val="0B7568C1"/>
    <w:rsid w:val="0BC458D3"/>
    <w:rsid w:val="0BC47B74"/>
    <w:rsid w:val="0BF2176C"/>
    <w:rsid w:val="0C296688"/>
    <w:rsid w:val="0D361270"/>
    <w:rsid w:val="0D594052"/>
    <w:rsid w:val="0D917CFC"/>
    <w:rsid w:val="0E5149C7"/>
    <w:rsid w:val="0E7C2357"/>
    <w:rsid w:val="0F273F18"/>
    <w:rsid w:val="0F3242AC"/>
    <w:rsid w:val="0F3E5B46"/>
    <w:rsid w:val="105D06F1"/>
    <w:rsid w:val="10DC46A7"/>
    <w:rsid w:val="10E24AF3"/>
    <w:rsid w:val="11673533"/>
    <w:rsid w:val="11A42E00"/>
    <w:rsid w:val="11E21E94"/>
    <w:rsid w:val="11FF4559"/>
    <w:rsid w:val="12EB4ABB"/>
    <w:rsid w:val="132279A4"/>
    <w:rsid w:val="1327581F"/>
    <w:rsid w:val="13386F35"/>
    <w:rsid w:val="139E4A76"/>
    <w:rsid w:val="14585BB9"/>
    <w:rsid w:val="14831856"/>
    <w:rsid w:val="15237285"/>
    <w:rsid w:val="153E271C"/>
    <w:rsid w:val="15DE3D6B"/>
    <w:rsid w:val="16113A75"/>
    <w:rsid w:val="174A61CC"/>
    <w:rsid w:val="176119EB"/>
    <w:rsid w:val="17764A6B"/>
    <w:rsid w:val="177F50ED"/>
    <w:rsid w:val="17C50FB3"/>
    <w:rsid w:val="17FA50B9"/>
    <w:rsid w:val="18171A21"/>
    <w:rsid w:val="181C3CBD"/>
    <w:rsid w:val="183B3272"/>
    <w:rsid w:val="1895668A"/>
    <w:rsid w:val="18FE5682"/>
    <w:rsid w:val="19710CC0"/>
    <w:rsid w:val="19E2235D"/>
    <w:rsid w:val="19EC3EBB"/>
    <w:rsid w:val="19F73223"/>
    <w:rsid w:val="1A01075A"/>
    <w:rsid w:val="1A3D49F2"/>
    <w:rsid w:val="1A680E42"/>
    <w:rsid w:val="1A7F6B78"/>
    <w:rsid w:val="1ADF047E"/>
    <w:rsid w:val="1BE1472F"/>
    <w:rsid w:val="1BFB31F6"/>
    <w:rsid w:val="1C1E2944"/>
    <w:rsid w:val="1C4B6970"/>
    <w:rsid w:val="1CF73C22"/>
    <w:rsid w:val="1D7458C2"/>
    <w:rsid w:val="1E0E7B02"/>
    <w:rsid w:val="1F2128B9"/>
    <w:rsid w:val="1F303610"/>
    <w:rsid w:val="1F6A7BFA"/>
    <w:rsid w:val="20786F52"/>
    <w:rsid w:val="2097468F"/>
    <w:rsid w:val="20D555A7"/>
    <w:rsid w:val="218720C9"/>
    <w:rsid w:val="21945444"/>
    <w:rsid w:val="226A62EC"/>
    <w:rsid w:val="22CC7234"/>
    <w:rsid w:val="22CF5A0E"/>
    <w:rsid w:val="23382841"/>
    <w:rsid w:val="239B2762"/>
    <w:rsid w:val="247E26CC"/>
    <w:rsid w:val="258E6717"/>
    <w:rsid w:val="263006DF"/>
    <w:rsid w:val="269D66F9"/>
    <w:rsid w:val="26A32754"/>
    <w:rsid w:val="26E721D6"/>
    <w:rsid w:val="27911810"/>
    <w:rsid w:val="27A902D3"/>
    <w:rsid w:val="291D22EB"/>
    <w:rsid w:val="29562D28"/>
    <w:rsid w:val="2A3121F0"/>
    <w:rsid w:val="2A333041"/>
    <w:rsid w:val="2A614777"/>
    <w:rsid w:val="2A793AD7"/>
    <w:rsid w:val="2AA003B5"/>
    <w:rsid w:val="2B407A07"/>
    <w:rsid w:val="2C012E9C"/>
    <w:rsid w:val="2C7F19F6"/>
    <w:rsid w:val="2C8779C3"/>
    <w:rsid w:val="2CB92F3C"/>
    <w:rsid w:val="2D114BCD"/>
    <w:rsid w:val="2D517973"/>
    <w:rsid w:val="2D8A1EED"/>
    <w:rsid w:val="2D96378B"/>
    <w:rsid w:val="2DCA1287"/>
    <w:rsid w:val="2DD07437"/>
    <w:rsid w:val="2E4715B0"/>
    <w:rsid w:val="2FCA471B"/>
    <w:rsid w:val="2FFA572A"/>
    <w:rsid w:val="326A4967"/>
    <w:rsid w:val="33066AF1"/>
    <w:rsid w:val="330B7778"/>
    <w:rsid w:val="338226E6"/>
    <w:rsid w:val="339900A8"/>
    <w:rsid w:val="33F73F0E"/>
    <w:rsid w:val="34037EF9"/>
    <w:rsid w:val="34762810"/>
    <w:rsid w:val="34D15B13"/>
    <w:rsid w:val="34EC77F0"/>
    <w:rsid w:val="35660E67"/>
    <w:rsid w:val="35E4115E"/>
    <w:rsid w:val="364708A7"/>
    <w:rsid w:val="36530D28"/>
    <w:rsid w:val="368656B1"/>
    <w:rsid w:val="368834A8"/>
    <w:rsid w:val="377172B9"/>
    <w:rsid w:val="377E4E96"/>
    <w:rsid w:val="37D42E21"/>
    <w:rsid w:val="38327259"/>
    <w:rsid w:val="385224F0"/>
    <w:rsid w:val="388E7B98"/>
    <w:rsid w:val="38975D0B"/>
    <w:rsid w:val="391A569B"/>
    <w:rsid w:val="391E7F7A"/>
    <w:rsid w:val="39963FB2"/>
    <w:rsid w:val="39D35187"/>
    <w:rsid w:val="3A547D71"/>
    <w:rsid w:val="3AF212F3"/>
    <w:rsid w:val="3AF62171"/>
    <w:rsid w:val="3B776962"/>
    <w:rsid w:val="3C395E32"/>
    <w:rsid w:val="3C41786B"/>
    <w:rsid w:val="3C5149F9"/>
    <w:rsid w:val="3C7316F8"/>
    <w:rsid w:val="3CDE4B63"/>
    <w:rsid w:val="3D0B5116"/>
    <w:rsid w:val="3D1A771D"/>
    <w:rsid w:val="3DFB6FD7"/>
    <w:rsid w:val="3E9875BF"/>
    <w:rsid w:val="3F4846FB"/>
    <w:rsid w:val="40050FEC"/>
    <w:rsid w:val="400A49CD"/>
    <w:rsid w:val="4065182A"/>
    <w:rsid w:val="407D6127"/>
    <w:rsid w:val="40F92C2B"/>
    <w:rsid w:val="41667BE1"/>
    <w:rsid w:val="41947F0E"/>
    <w:rsid w:val="41A16C47"/>
    <w:rsid w:val="41B976F9"/>
    <w:rsid w:val="426F58BD"/>
    <w:rsid w:val="4280134B"/>
    <w:rsid w:val="434C729B"/>
    <w:rsid w:val="43B659F3"/>
    <w:rsid w:val="441F1A2E"/>
    <w:rsid w:val="441F6F9E"/>
    <w:rsid w:val="444804E0"/>
    <w:rsid w:val="44BA4646"/>
    <w:rsid w:val="455C00DF"/>
    <w:rsid w:val="45B76A0B"/>
    <w:rsid w:val="45FA16FE"/>
    <w:rsid w:val="46273B7C"/>
    <w:rsid w:val="46AE1B3B"/>
    <w:rsid w:val="47244BCF"/>
    <w:rsid w:val="478907B1"/>
    <w:rsid w:val="489672B4"/>
    <w:rsid w:val="49054E5D"/>
    <w:rsid w:val="49400FF9"/>
    <w:rsid w:val="496C3A12"/>
    <w:rsid w:val="497777EC"/>
    <w:rsid w:val="4A5E4A21"/>
    <w:rsid w:val="4A7A3493"/>
    <w:rsid w:val="4B217CD3"/>
    <w:rsid w:val="4C147544"/>
    <w:rsid w:val="4C3B5CF6"/>
    <w:rsid w:val="4C4B0108"/>
    <w:rsid w:val="4CFB2DB1"/>
    <w:rsid w:val="4DB04A51"/>
    <w:rsid w:val="4DD630C8"/>
    <w:rsid w:val="4E1B6F32"/>
    <w:rsid w:val="4EF6131C"/>
    <w:rsid w:val="4F4C53FD"/>
    <w:rsid w:val="4F826575"/>
    <w:rsid w:val="4FE042AB"/>
    <w:rsid w:val="50092059"/>
    <w:rsid w:val="50281970"/>
    <w:rsid w:val="50751949"/>
    <w:rsid w:val="508A6701"/>
    <w:rsid w:val="50993C84"/>
    <w:rsid w:val="50EB07D0"/>
    <w:rsid w:val="51602B29"/>
    <w:rsid w:val="5183083A"/>
    <w:rsid w:val="51AA69FF"/>
    <w:rsid w:val="51FD6A92"/>
    <w:rsid w:val="520C2C94"/>
    <w:rsid w:val="5212757B"/>
    <w:rsid w:val="528E6367"/>
    <w:rsid w:val="52C35B14"/>
    <w:rsid w:val="53B52B8D"/>
    <w:rsid w:val="54382CE1"/>
    <w:rsid w:val="5440411C"/>
    <w:rsid w:val="555B29E4"/>
    <w:rsid w:val="56594A22"/>
    <w:rsid w:val="56596DE8"/>
    <w:rsid w:val="565C42B5"/>
    <w:rsid w:val="56B3435C"/>
    <w:rsid w:val="56F2351A"/>
    <w:rsid w:val="57540721"/>
    <w:rsid w:val="57794E6B"/>
    <w:rsid w:val="57AF03BA"/>
    <w:rsid w:val="581912DD"/>
    <w:rsid w:val="583D1AED"/>
    <w:rsid w:val="58466B3D"/>
    <w:rsid w:val="58731B77"/>
    <w:rsid w:val="58AD2046"/>
    <w:rsid w:val="58CF23D7"/>
    <w:rsid w:val="590A271C"/>
    <w:rsid w:val="59126EAD"/>
    <w:rsid w:val="59246CBA"/>
    <w:rsid w:val="596209FD"/>
    <w:rsid w:val="59852D3E"/>
    <w:rsid w:val="598F3DD0"/>
    <w:rsid w:val="5A5079A8"/>
    <w:rsid w:val="5A92474A"/>
    <w:rsid w:val="5AA27665"/>
    <w:rsid w:val="5AF32F6A"/>
    <w:rsid w:val="5AFD5A07"/>
    <w:rsid w:val="5B7659DC"/>
    <w:rsid w:val="5B9307C3"/>
    <w:rsid w:val="5BD01EF1"/>
    <w:rsid w:val="5C026487"/>
    <w:rsid w:val="5C0B2D45"/>
    <w:rsid w:val="5C2F12D7"/>
    <w:rsid w:val="5CA135D9"/>
    <w:rsid w:val="5D0479EE"/>
    <w:rsid w:val="5D0C2E6C"/>
    <w:rsid w:val="5D347BAF"/>
    <w:rsid w:val="5D7A7237"/>
    <w:rsid w:val="5DCF5207"/>
    <w:rsid w:val="5E3E5459"/>
    <w:rsid w:val="5EAE40E8"/>
    <w:rsid w:val="5ED84F4C"/>
    <w:rsid w:val="5F2E36BF"/>
    <w:rsid w:val="5FBF6FDC"/>
    <w:rsid w:val="5FD0674F"/>
    <w:rsid w:val="5FD46542"/>
    <w:rsid w:val="60083A58"/>
    <w:rsid w:val="601144A3"/>
    <w:rsid w:val="608F110F"/>
    <w:rsid w:val="60A14502"/>
    <w:rsid w:val="61AD0642"/>
    <w:rsid w:val="626A0CEE"/>
    <w:rsid w:val="626E4D54"/>
    <w:rsid w:val="62C64F2D"/>
    <w:rsid w:val="62FB272B"/>
    <w:rsid w:val="63193D48"/>
    <w:rsid w:val="639E33A1"/>
    <w:rsid w:val="6428217F"/>
    <w:rsid w:val="647C7E56"/>
    <w:rsid w:val="647F6E20"/>
    <w:rsid w:val="6497377B"/>
    <w:rsid w:val="64A707E1"/>
    <w:rsid w:val="64EF14B1"/>
    <w:rsid w:val="65012251"/>
    <w:rsid w:val="651F50F0"/>
    <w:rsid w:val="6545292D"/>
    <w:rsid w:val="65717458"/>
    <w:rsid w:val="65C47BEB"/>
    <w:rsid w:val="66022711"/>
    <w:rsid w:val="660E49E9"/>
    <w:rsid w:val="66105919"/>
    <w:rsid w:val="66DE2FD1"/>
    <w:rsid w:val="67FB0FFE"/>
    <w:rsid w:val="681D5858"/>
    <w:rsid w:val="683C7506"/>
    <w:rsid w:val="6849681C"/>
    <w:rsid w:val="685C0D56"/>
    <w:rsid w:val="68973240"/>
    <w:rsid w:val="68C77467"/>
    <w:rsid w:val="68D85E1A"/>
    <w:rsid w:val="68F07393"/>
    <w:rsid w:val="69586B5E"/>
    <w:rsid w:val="69D94079"/>
    <w:rsid w:val="6A0F1E3D"/>
    <w:rsid w:val="6A9E5ED4"/>
    <w:rsid w:val="6AAA742A"/>
    <w:rsid w:val="6ADA7004"/>
    <w:rsid w:val="6B184E67"/>
    <w:rsid w:val="6B367514"/>
    <w:rsid w:val="6B477842"/>
    <w:rsid w:val="6B4A2178"/>
    <w:rsid w:val="6BCF2152"/>
    <w:rsid w:val="6C566A69"/>
    <w:rsid w:val="6C675266"/>
    <w:rsid w:val="6CA06DB0"/>
    <w:rsid w:val="6EB124E5"/>
    <w:rsid w:val="6F1B613F"/>
    <w:rsid w:val="6F7A2CD0"/>
    <w:rsid w:val="70017FFA"/>
    <w:rsid w:val="70F0371E"/>
    <w:rsid w:val="70F21BB9"/>
    <w:rsid w:val="711C6A5A"/>
    <w:rsid w:val="714E068D"/>
    <w:rsid w:val="7155000F"/>
    <w:rsid w:val="71B57302"/>
    <w:rsid w:val="71ED5BBA"/>
    <w:rsid w:val="72C27C6B"/>
    <w:rsid w:val="731B1130"/>
    <w:rsid w:val="739461BC"/>
    <w:rsid w:val="7404071B"/>
    <w:rsid w:val="742F4B69"/>
    <w:rsid w:val="74336BA3"/>
    <w:rsid w:val="750D6CE4"/>
    <w:rsid w:val="754A7733"/>
    <w:rsid w:val="76481E87"/>
    <w:rsid w:val="7650799D"/>
    <w:rsid w:val="76EF27A5"/>
    <w:rsid w:val="770C4E98"/>
    <w:rsid w:val="770E0D4B"/>
    <w:rsid w:val="77366ECB"/>
    <w:rsid w:val="774F3F69"/>
    <w:rsid w:val="775860FE"/>
    <w:rsid w:val="777870BF"/>
    <w:rsid w:val="77F79321"/>
    <w:rsid w:val="78370619"/>
    <w:rsid w:val="78D0023C"/>
    <w:rsid w:val="79997987"/>
    <w:rsid w:val="79BC346F"/>
    <w:rsid w:val="79C86136"/>
    <w:rsid w:val="7A0D5A2D"/>
    <w:rsid w:val="7ADA2D09"/>
    <w:rsid w:val="7BA02CDE"/>
    <w:rsid w:val="7BA91D25"/>
    <w:rsid w:val="7BCF4E50"/>
    <w:rsid w:val="7C724517"/>
    <w:rsid w:val="7CAD414A"/>
    <w:rsid w:val="7CD1203F"/>
    <w:rsid w:val="7D5D4AC3"/>
    <w:rsid w:val="7E35157F"/>
    <w:rsid w:val="7E61254E"/>
    <w:rsid w:val="7F142DA8"/>
    <w:rsid w:val="7F1E46C4"/>
    <w:rsid w:val="7F397030"/>
    <w:rsid w:val="7F4C3B18"/>
    <w:rsid w:val="7F722762"/>
    <w:rsid w:val="7F7268C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99"/>
    <w:pPr>
      <w:spacing w:line="400" w:lineRule="exact"/>
      <w:ind w:firstLine="420"/>
      <w:jc w:val="both"/>
    </w:pPr>
    <w:rPr>
      <w:rFonts w:ascii="Calibri Light" w:hAnsi="Calibri Light" w:eastAsia="华文仿宋" w:cs="Calibri Light"/>
      <w:kern w:val="2"/>
      <w:sz w:val="28"/>
      <w:szCs w:val="28"/>
      <w:lang w:val="en-US" w:eastAsia="zh-CN" w:bidi="ar-SA"/>
    </w:rPr>
  </w:style>
  <w:style w:type="paragraph" w:styleId="3">
    <w:name w:val="toc 4"/>
    <w:next w:val="1"/>
    <w:qFormat/>
    <w:uiPriority w:val="39"/>
    <w:pPr>
      <w:spacing w:line="240" w:lineRule="auto"/>
      <w:ind w:left="1260" w:leftChars="600"/>
      <w:jc w:val="both"/>
    </w:pPr>
    <w:rPr>
      <w:rFonts w:ascii="Calibri Light" w:hAnsi="Calibri Light" w:eastAsia="华文仿宋" w:cs="Calibri Light"/>
      <w:kern w:val="2"/>
      <w:sz w:val="28"/>
      <w:szCs w:val="28"/>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0"/>
    <w:pPr>
      <w:widowControl w:val="0"/>
      <w:spacing w:after="120"/>
      <w:jc w:val="both"/>
    </w:pPr>
    <w:rPr>
      <w:rFonts w:ascii="Calibri" w:hAnsi="Calibri" w:cs="Times New Roman"/>
      <w:kern w:val="2"/>
      <w:sz w:val="21"/>
      <w:szCs w:val="2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next w:val="9"/>
    <w:qFormat/>
    <w:uiPriority w:val="99"/>
    <w:pPr>
      <w:spacing w:after="120" w:afterLines="0" w:afterAutospacing="0" w:line="240" w:lineRule="auto"/>
      <w:ind w:firstLine="420" w:firstLineChars="100"/>
      <w:jc w:val="both"/>
    </w:pPr>
    <w:rPr>
      <w:rFonts w:ascii="Times New Roman" w:hAnsi="Times New Roman" w:eastAsia="华文仿宋" w:cs="Times New Roman"/>
      <w:color w:val="auto"/>
      <w:kern w:val="2"/>
      <w:sz w:val="18"/>
      <w:szCs w:val="18"/>
      <w:lang w:val="en-US" w:eastAsia="zh-CN" w:bidi="ar-SA"/>
    </w:rPr>
  </w:style>
  <w:style w:type="paragraph" w:styleId="9">
    <w:name w:val="Body Text First Indent 2"/>
    <w:next w:val="1"/>
    <w:qFormat/>
    <w:uiPriority w:val="0"/>
    <w:pPr>
      <w:tabs>
        <w:tab w:val="left" w:pos="0"/>
      </w:tabs>
      <w:spacing w:after="120" w:line="240" w:lineRule="auto"/>
      <w:ind w:left="420" w:leftChars="200" w:firstLine="420" w:firstLineChars="200"/>
      <w:jc w:val="both"/>
    </w:pPr>
    <w:rPr>
      <w:rFonts w:ascii="Calibri Light" w:hAnsi="Calibri Light" w:eastAsia="楷体_GB2312" w:cs="Calibri Light"/>
      <w:b/>
      <w:kern w:val="2"/>
      <w:sz w:val="28"/>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标题 2（投标文件）"/>
    <w:qFormat/>
    <w:uiPriority w:val="99"/>
    <w:pPr>
      <w:keepNext/>
      <w:keepLines/>
      <w:spacing w:line="500" w:lineRule="exact"/>
      <w:ind w:firstLine="566" w:firstLineChars="200"/>
      <w:jc w:val="center"/>
      <w:outlineLvl w:val="1"/>
    </w:pPr>
    <w:rPr>
      <w:rFonts w:ascii="Calibri" w:hAnsi="Calibri" w:eastAsia="华文仿宋" w:cs="Calibri"/>
      <w:b/>
      <w:bCs/>
      <w:kern w:val="2"/>
      <w:sz w:val="30"/>
      <w:szCs w:val="32"/>
      <w:lang w:val="en-US" w:eastAsia="zh-CN" w:bidi="ar-SA"/>
    </w:rPr>
  </w:style>
  <w:style w:type="paragraph" w:customStyle="1" w:styleId="15">
    <w:name w:val="标题 3（投标文件）"/>
    <w:qFormat/>
    <w:uiPriority w:val="99"/>
    <w:pPr>
      <w:keepNext/>
      <w:keepLines/>
      <w:pBdr>
        <w:top w:val="none" w:color="auto" w:sz="0" w:space="1"/>
        <w:left w:val="none" w:color="auto" w:sz="0" w:space="4"/>
        <w:bottom w:val="none" w:color="auto" w:sz="0" w:space="1"/>
        <w:right w:val="none" w:color="auto" w:sz="0" w:space="4"/>
      </w:pBdr>
      <w:spacing w:line="500" w:lineRule="exact"/>
      <w:ind w:firstLine="566" w:firstLineChars="200"/>
      <w:jc w:val="left"/>
      <w:outlineLvl w:val="2"/>
    </w:pPr>
    <w:rPr>
      <w:rFonts w:ascii="Calibri Light" w:hAnsi="Calibri Light" w:eastAsia="华文仿宋" w:cs="Calibri Light"/>
      <w:b/>
      <w:bCs/>
      <w:kern w:val="2"/>
      <w:sz w:val="30"/>
      <w:szCs w:val="32"/>
      <w:u w:val="non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17451</Words>
  <Characters>18058</Characters>
  <Lines>0</Lines>
  <Paragraphs>0</Paragraphs>
  <TotalTime>2</TotalTime>
  <ScaleCrop>false</ScaleCrop>
  <LinksUpToDate>false</LinksUpToDate>
  <CharactersWithSpaces>18589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inbhm</cp:lastModifiedBy>
  <cp:lastPrinted>2025-07-07T02:07:00Z</cp:lastPrinted>
  <dcterms:modified xsi:type="dcterms:W3CDTF">2025-07-22T09:31:15Z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eyJoZGlkIjoiOGIyMTZjMmNiYjYwYzNlNTIzMGE3NjhjZTA5NDVjNDUiLCJ1c2VySWQiOiIyOTc1NDY5MTkifQ==</vt:lpwstr>
  </property>
  <property fmtid="{D5CDD505-2E9C-101B-9397-08002B2CF9AE}" pid="4" name="ICV">
    <vt:lpwstr>7470B9C1F43740CEA75E84677C9C3570_13</vt:lpwstr>
  </property>
</Properties>
</file>