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7C04">
      <w:pPr>
        <w:spacing w:line="240" w:lineRule="auto"/>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bookmarkStart w:id="92" w:name="_GoBack"/>
      <w:bookmarkEnd w:id="92"/>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1ADC1C5A">
      <w:pPr>
        <w:spacing w:line="480" w:lineRule="exact"/>
        <w:ind w:firstLine="723" w:firstLineChars="200"/>
        <w:rPr>
          <w:rFonts w:hint="eastAsia" w:ascii="仿宋" w:hAnsi="仿宋" w:eastAsia="仿宋" w:cs="仿宋"/>
          <w:b/>
          <w:color w:val="000000" w:themeColor="text1"/>
          <w:sz w:val="36"/>
          <w:szCs w:val="36"/>
          <w:highlight w:val="none"/>
          <w14:textFill>
            <w14:solidFill>
              <w14:schemeClr w14:val="tx1"/>
            </w14:solidFill>
          </w14:textFill>
        </w:rPr>
      </w:pPr>
    </w:p>
    <w:p w14:paraId="7E57645D">
      <w:pPr>
        <w:rPr>
          <w:rFonts w:hint="eastAsia" w:ascii="仿宋" w:hAnsi="仿宋" w:eastAsia="仿宋" w:cs="仿宋"/>
          <w:color w:val="000000" w:themeColor="text1"/>
          <w:highlight w:val="none"/>
          <w14:textFill>
            <w14:solidFill>
              <w14:schemeClr w14:val="tx1"/>
            </w14:solidFill>
          </w14:textFill>
        </w:rPr>
      </w:pPr>
    </w:p>
    <w:p w14:paraId="25E41CCA">
      <w:pPr>
        <w:spacing w:line="480" w:lineRule="exac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w:t>
      </w:r>
      <w:r>
        <w:rPr>
          <w:rFonts w:hint="eastAsia" w:ascii="仿宋" w:hAnsi="仿宋" w:eastAsia="仿宋" w:cs="仿宋"/>
          <w:b/>
          <w:color w:val="000000" w:themeColor="text1"/>
          <w:sz w:val="36"/>
          <w:szCs w:val="36"/>
          <w:highlight w:val="none"/>
          <w:lang w:eastAsia="zh-CN"/>
          <w14:textFill>
            <w14:solidFill>
              <w14:schemeClr w14:val="tx1"/>
            </w14:solidFill>
          </w14:textFill>
        </w:rPr>
        <w:t>HZGH-2025-011</w:t>
      </w:r>
    </w:p>
    <w:p w14:paraId="1B1A3CB8">
      <w:pPr>
        <w:pStyle w:val="11"/>
        <w:rPr>
          <w:rFonts w:hint="eastAsia"/>
          <w:highlight w:val="none"/>
        </w:rPr>
      </w:pPr>
    </w:p>
    <w:p w14:paraId="290D15FA">
      <w:pPr>
        <w:jc w:val="both"/>
        <w:rPr>
          <w:rFonts w:hint="eastAsia" w:ascii="仿宋" w:hAnsi="仿宋" w:eastAsia="仿宋" w:cs="仿宋"/>
          <w:b/>
          <w:color w:val="000000" w:themeColor="text1"/>
          <w:sz w:val="48"/>
          <w:szCs w:val="48"/>
          <w:highlight w:val="none"/>
          <w:u w:val="wavyHeavy" w:color="FF0000"/>
          <w14:textFill>
            <w14:solidFill>
              <w14:schemeClr w14:val="tx1"/>
            </w14:solidFill>
          </w14:textFill>
        </w:rPr>
      </w:pPr>
    </w:p>
    <w:p w14:paraId="64C384F1">
      <w:pPr>
        <w:jc w:val="center"/>
        <w:rPr>
          <w:rFonts w:hint="eastAsia"/>
          <w:highlight w:val="none"/>
          <w:lang w:val="en-US" w:eastAsia="zh-CN"/>
        </w:rPr>
      </w:pPr>
      <w:r>
        <w:rPr>
          <w:rFonts w:hint="eastAsia" w:ascii="仿宋" w:hAnsi="仿宋" w:eastAsia="仿宋" w:cs="仿宋"/>
          <w:b/>
          <w:bCs/>
          <w:color w:val="000000" w:themeColor="text1"/>
          <w:spacing w:val="20"/>
          <w:kern w:val="0"/>
          <w:sz w:val="52"/>
          <w:szCs w:val="52"/>
          <w:highlight w:val="none"/>
          <w:lang w:val="en-US" w:eastAsia="zh-CN" w:bidi="ar-SA"/>
          <w14:textFill>
            <w14:solidFill>
              <w14:schemeClr w14:val="tx1"/>
            </w14:solidFill>
          </w14:textFill>
        </w:rPr>
        <w:t>农村饮用水水质监测项目</w:t>
      </w:r>
    </w:p>
    <w:p w14:paraId="692C1487">
      <w:pPr>
        <w:rPr>
          <w:rFonts w:hint="eastAsia"/>
          <w:highlight w:val="none"/>
        </w:rPr>
      </w:pPr>
    </w:p>
    <w:p w14:paraId="5EA6F389">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4B95514E">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r>
        <w:rPr>
          <w:rFonts w:hint="eastAsia" w:ascii="仿宋" w:hAnsi="仿宋" w:eastAsia="仿宋" w:cs="仿宋"/>
          <w:b/>
          <w:bCs/>
          <w:color w:val="000000" w:themeColor="text1"/>
          <w:spacing w:val="20"/>
          <w:kern w:val="0"/>
          <w:sz w:val="72"/>
          <w:szCs w:val="72"/>
          <w:highlight w:val="none"/>
          <w14:textFill>
            <w14:solidFill>
              <w14:schemeClr w14:val="tx1"/>
            </w14:solidFill>
          </w14:textFill>
        </w:rPr>
        <w:t>竞争性磋商文件</w:t>
      </w:r>
    </w:p>
    <w:p w14:paraId="757461D6">
      <w:pPr>
        <w:pStyle w:val="11"/>
        <w:jc w:val="center"/>
        <w:rPr>
          <w:rFonts w:hint="eastAsia" w:ascii="仿宋" w:hAnsi="仿宋" w:eastAsia="仿宋" w:cs="仿宋"/>
          <w:b/>
          <w:bCs/>
          <w:color w:val="000000" w:themeColor="text1"/>
          <w:spacing w:val="20"/>
          <w:kern w:val="0"/>
          <w:sz w:val="40"/>
          <w:szCs w:val="40"/>
          <w:highlight w:val="none"/>
          <w:lang w:eastAsia="zh-CN"/>
          <w14:textFill>
            <w14:solidFill>
              <w14:schemeClr w14:val="tx1"/>
            </w14:solidFill>
          </w14:textFill>
        </w:rPr>
      </w:pPr>
      <w:r>
        <w:rPr>
          <w:rFonts w:hint="eastAsia" w:ascii="仿宋" w:hAnsi="仿宋" w:eastAsia="仿宋" w:cs="仿宋"/>
          <w:b/>
          <w:bCs/>
          <w:color w:val="000000" w:themeColor="text1"/>
          <w:spacing w:val="20"/>
          <w:kern w:val="0"/>
          <w:sz w:val="40"/>
          <w:szCs w:val="40"/>
          <w:highlight w:val="none"/>
          <w:lang w:val="en-US" w:eastAsia="zh-CN"/>
          <w14:textFill>
            <w14:solidFill>
              <w14:schemeClr w14:val="tx1"/>
            </w14:solidFill>
          </w14:textFill>
        </w:rPr>
        <w:t>专门面向中小企业项目</w:t>
      </w:r>
    </w:p>
    <w:p w14:paraId="2CEB231E">
      <w:pPr>
        <w:rPr>
          <w:rFonts w:hint="eastAsia"/>
          <w:highlight w:val="none"/>
        </w:rPr>
      </w:pPr>
    </w:p>
    <w:p w14:paraId="5A8CF541">
      <w:pPr>
        <w:ind w:firstLine="643" w:firstLineChars="200"/>
        <w:jc w:val="center"/>
        <w:outlineLvl w:val="0"/>
        <w:rPr>
          <w:rFonts w:hint="eastAsia" w:ascii="仿宋" w:hAnsi="仿宋" w:eastAsia="仿宋" w:cs="仿宋"/>
          <w:b/>
          <w:bCs/>
          <w:color w:val="000000" w:themeColor="text1"/>
          <w:kern w:val="0"/>
          <w:sz w:val="84"/>
          <w:szCs w:val="84"/>
          <w:highlight w:val="none"/>
          <w14:textFill>
            <w14:solidFill>
              <w14:schemeClr w14:val="tx1"/>
            </w14:solidFill>
          </w14:textFill>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7456" behindDoc="1" locked="0" layoutInCell="1" allowOverlap="1">
            <wp:simplePos x="0" y="0"/>
            <wp:positionH relativeFrom="column">
              <wp:posOffset>2153285</wp:posOffset>
            </wp:positionH>
            <wp:positionV relativeFrom="paragraph">
              <wp:posOffset>264795</wp:posOffset>
            </wp:positionV>
            <wp:extent cx="1466215" cy="1390650"/>
            <wp:effectExtent l="0" t="0" r="635" b="0"/>
            <wp:wrapTight wrapText="bothSides">
              <wp:wrapPolygon>
                <wp:start x="0" y="0"/>
                <wp:lineTo x="0" y="21304"/>
                <wp:lineTo x="21329" y="21304"/>
                <wp:lineTo x="21329" y="0"/>
                <wp:lineTo x="0" y="0"/>
              </wp:wrapPolygon>
            </wp:wrapTight>
            <wp:docPr id="3" name="图片 3"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3eb5700307075d23daf00df32f9f8"/>
                    <pic:cNvPicPr>
                      <a:picLocks noChangeAspect="1"/>
                    </pic:cNvPicPr>
                  </pic:nvPicPr>
                  <pic:blipFill>
                    <a:blip r:embed="rId24"/>
                    <a:stretch>
                      <a:fillRect/>
                    </a:stretch>
                  </pic:blipFill>
                  <pic:spPr>
                    <a:xfrm>
                      <a:off x="0" y="0"/>
                      <a:ext cx="1466215" cy="1390650"/>
                    </a:xfrm>
                    <a:prstGeom prst="rect">
                      <a:avLst/>
                    </a:prstGeom>
                  </pic:spPr>
                </pic:pic>
              </a:graphicData>
            </a:graphic>
          </wp:anchor>
        </w:drawing>
      </w:r>
    </w:p>
    <w:p w14:paraId="48319B6E">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374F2C2">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C208E18">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2196112">
      <w:pPr>
        <w:pStyle w:val="37"/>
        <w:rPr>
          <w:rFonts w:hint="eastAsia" w:ascii="仿宋" w:hAnsi="仿宋" w:eastAsia="仿宋" w:cs="仿宋"/>
          <w:b/>
          <w:color w:val="000000" w:themeColor="text1"/>
          <w:sz w:val="32"/>
          <w:szCs w:val="32"/>
          <w:highlight w:val="none"/>
          <w14:textFill>
            <w14:solidFill>
              <w14:schemeClr w14:val="tx1"/>
            </w14:solidFill>
          </w14:textFill>
        </w:rPr>
      </w:pPr>
    </w:p>
    <w:p w14:paraId="58923605">
      <w:pPr>
        <w:spacing w:line="360" w:lineRule="auto"/>
        <w:ind w:firstLine="1606" w:firstLineChars="5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Fonts w:hint="eastAsia" w:ascii="仿宋" w:hAnsi="仿宋" w:eastAsia="仿宋" w:cs="仿宋"/>
          <w:b/>
          <w:color w:val="000000" w:themeColor="text1"/>
          <w:sz w:val="32"/>
          <w:szCs w:val="32"/>
          <w:highlight w:val="none"/>
          <w14:textFill>
            <w14:solidFill>
              <w14:schemeClr w14:val="tx1"/>
            </w14:solidFill>
          </w14:textFill>
        </w:rPr>
        <w:t>人：</w:t>
      </w:r>
      <w:r>
        <w:rPr>
          <w:rFonts w:hint="eastAsia" w:ascii="仿宋" w:hAnsi="仿宋" w:eastAsia="仿宋" w:cs="仿宋"/>
          <w:b/>
          <w:color w:val="000000" w:themeColor="text1"/>
          <w:sz w:val="32"/>
          <w:szCs w:val="32"/>
          <w:highlight w:val="none"/>
          <w:lang w:eastAsia="zh-CN"/>
          <w14:textFill>
            <w14:solidFill>
              <w14:schemeClr w14:val="tx1"/>
            </w14:solidFill>
          </w14:textFill>
        </w:rPr>
        <w:t>韩城市疾病预防控制中心</w:t>
      </w:r>
    </w:p>
    <w:p w14:paraId="4EC357FE">
      <w:pPr>
        <w:spacing w:line="360" w:lineRule="auto"/>
        <w:ind w:firstLine="1606" w:firstLineChars="500"/>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w:t>
      </w:r>
      <w:r>
        <w:rPr>
          <w:rFonts w:hint="eastAsia" w:ascii="仿宋" w:hAnsi="仿宋" w:eastAsia="仿宋" w:cs="仿宋"/>
          <w:b/>
          <w:color w:val="000000" w:themeColor="text1"/>
          <w:sz w:val="32"/>
          <w:szCs w:val="32"/>
          <w:highlight w:val="none"/>
          <w:lang w:eastAsia="zh-CN"/>
          <w14:textFill>
            <w14:solidFill>
              <w14:schemeClr w14:val="tx1"/>
            </w14:solidFill>
          </w14:textFill>
        </w:rPr>
        <w:t>华招广和项目管理有限公司</w:t>
      </w:r>
    </w:p>
    <w:p w14:paraId="751C8F22">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BBF0AB7">
      <w:pPr>
        <w:spacing w:line="560" w:lineRule="exact"/>
        <w:jc w:val="center"/>
        <w:rPr>
          <w:rFonts w:hint="eastAsia" w:ascii="仿宋" w:hAnsi="仿宋" w:eastAsia="仿宋" w:cs="仿宋"/>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 w:hAnsi="仿宋" w:eastAsia="仿宋" w:cs="仿宋"/>
          <w:b/>
          <w:bCs/>
          <w:color w:val="000000" w:themeColor="text1"/>
          <w:sz w:val="32"/>
          <w:szCs w:val="32"/>
          <w:highlight w:val="none"/>
          <w14:textFill>
            <w14:solidFill>
              <w14:schemeClr w14:val="tx1"/>
            </w14:solidFill>
          </w14:textFill>
        </w:rPr>
        <w:t>二零二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七月</w:t>
      </w:r>
    </w:p>
    <w:p w14:paraId="219C8A91">
      <w:pPr>
        <w:spacing w:line="560" w:lineRule="exact"/>
        <w:jc w:val="center"/>
        <w:rPr>
          <w:rFonts w:hint="eastAsia" w:ascii="仿宋" w:hAnsi="仿宋" w:eastAsia="仿宋" w:cs="仿宋"/>
          <w:b/>
          <w:color w:val="000000"/>
          <w:sz w:val="52"/>
          <w:szCs w:val="52"/>
          <w:highlight w:val="none"/>
          <w:u w:val="double"/>
        </w:rPr>
      </w:pPr>
      <w:r>
        <w:rPr>
          <w:rFonts w:hint="eastAsia" w:ascii="仿宋" w:hAnsi="仿宋" w:eastAsia="仿宋" w:cs="仿宋"/>
          <w:b/>
          <w:color w:val="000000"/>
          <w:sz w:val="48"/>
          <w:szCs w:val="48"/>
          <w:highlight w:val="none"/>
          <w:u w:val="double"/>
        </w:rPr>
        <w:t>特 别 提 示</w:t>
      </w:r>
    </w:p>
    <w:p w14:paraId="2975745B">
      <w:pPr>
        <w:spacing w:line="640" w:lineRule="exact"/>
        <w:rPr>
          <w:rFonts w:hint="eastAsia" w:ascii="仿宋" w:hAnsi="仿宋" w:eastAsia="仿宋" w:cs="仿宋"/>
          <w:b/>
          <w:bCs/>
          <w:color w:val="000000"/>
          <w:sz w:val="24"/>
          <w:highlight w:val="none"/>
        </w:rPr>
      </w:pPr>
    </w:p>
    <w:p w14:paraId="342411BB">
      <w:pPr>
        <w:spacing w:line="640" w:lineRule="exact"/>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各供应商</w:t>
      </w:r>
      <w:r>
        <w:rPr>
          <w:rFonts w:hint="eastAsia" w:ascii="仿宋" w:hAnsi="仿宋" w:eastAsia="仿宋" w:cs="仿宋"/>
          <w:color w:val="000000"/>
          <w:sz w:val="24"/>
          <w:highlight w:val="none"/>
        </w:rPr>
        <w:t>：在此我们特别善意地提醒您注意！</w:t>
      </w:r>
    </w:p>
    <w:p w14:paraId="7CF51EC2">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1、请您仔细地阅读竞争性磋商文件并正确理解竞争性磋商文件中各项具体要求。</w:t>
      </w:r>
    </w:p>
    <w:p w14:paraId="7C009916">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2、请您严格按照竞争性磋商文件载明的竞争性磋商响应文件格式要求编制竞争性磋商响应文件。</w:t>
      </w:r>
    </w:p>
    <w:p w14:paraId="37FA4395">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3、请您按照竞争性磋商文件要求密封竞争性磋商响应文件。</w:t>
      </w:r>
    </w:p>
    <w:p w14:paraId="71F7CF2A">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4、请您明确标记竞争性磋商响应文件的正本、副本。</w:t>
      </w:r>
    </w:p>
    <w:p w14:paraId="629021F8">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5</w:t>
      </w:r>
      <w:r>
        <w:rPr>
          <w:rFonts w:hint="eastAsia" w:ascii="仿宋" w:hAnsi="仿宋" w:eastAsia="仿宋" w:cs="仿宋"/>
          <w:b/>
          <w:bCs/>
          <w:color w:val="000000"/>
          <w:sz w:val="24"/>
          <w:highlight w:val="none"/>
        </w:rPr>
        <w:t>、如在竞争性磋商响应文件递交截止时间前放弃本次投标，请以书面形式发出弃标函。</w:t>
      </w:r>
    </w:p>
    <w:p w14:paraId="15A70361">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rPr>
        <w:t>请您于</w:t>
      </w:r>
      <w:r>
        <w:rPr>
          <w:rFonts w:hint="eastAsia" w:ascii="仿宋" w:hAnsi="仿宋" w:eastAsia="仿宋" w:cs="仿宋"/>
          <w:b/>
          <w:bCs/>
          <w:color w:val="auto"/>
          <w:sz w:val="24"/>
          <w:highlight w:val="none"/>
          <w:lang w:eastAsia="zh-CN"/>
        </w:rPr>
        <w:t xml:space="preserve"> 2025年7月2</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lang w:eastAsia="zh-CN"/>
        </w:rPr>
        <w:t>日</w:t>
      </w:r>
      <w:r>
        <w:rPr>
          <w:rFonts w:hint="eastAsia" w:ascii="仿宋" w:hAnsi="仿宋" w:eastAsia="仿宋" w:cs="仿宋"/>
          <w:b/>
          <w:bCs/>
          <w:color w:val="auto"/>
          <w:sz w:val="24"/>
          <w:highlight w:val="none"/>
          <w:lang w:val="en-US" w:eastAsia="zh-CN"/>
        </w:rPr>
        <w:t>14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0:00</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准时到西安市曲江旺座C座2304室递交竞争性磋商响应文件并参加竞争性磋商会议，避免迟误。</w:t>
      </w:r>
    </w:p>
    <w:p w14:paraId="333255EE">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、请您到达竞争性磋商会议地点后及时到签到处签字登记。</w:t>
      </w:r>
    </w:p>
    <w:p w14:paraId="175AD42B">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sz w:val="24"/>
          <w:highlight w:val="none"/>
        </w:rPr>
        <w:t>、请您按照《陕西省财政厅关于政府采购供应商注册登记有关事项的通知》中的要求，通过陕西省政府采购网（http://www.ccgp-shaanxi.gov.cn/）注册登记加入陕西省政府采购供应商库，并接受财政部门的监督管理。</w:t>
      </w:r>
    </w:p>
    <w:p w14:paraId="7E50C258">
      <w:pPr>
        <w:spacing w:line="640" w:lineRule="exact"/>
        <w:ind w:firstLine="480" w:firstLineChars="200"/>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谨记上述提示，将有助您顺利地参加投标。若有什么需要帮助，请您与我们的工作人员联系，我们将竭诚为您服务。</w:t>
      </w:r>
    </w:p>
    <w:p w14:paraId="0F9919EC">
      <w:pPr>
        <w:spacing w:line="640" w:lineRule="exact"/>
        <w:rPr>
          <w:rFonts w:hint="eastAsia" w:ascii="仿宋" w:hAnsi="仿宋" w:eastAsia="仿宋" w:cs="仿宋"/>
          <w:b/>
          <w:color w:val="000000" w:themeColor="text1"/>
          <w:sz w:val="52"/>
          <w:szCs w:val="52"/>
          <w:highlight w:val="none"/>
          <w14:textFill>
            <w14:solidFill>
              <w14:schemeClr w14:val="tx1"/>
            </w14:solidFill>
          </w14:textFill>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0728400B">
      <w:pPr>
        <w:spacing w:line="480" w:lineRule="exact"/>
        <w:jc w:val="center"/>
        <w:rPr>
          <w:rFonts w:hint="eastAsia" w:ascii="仿宋" w:hAnsi="仿宋" w:eastAsia="仿宋" w:cs="仿宋"/>
          <w:color w:val="000000" w:themeColor="text1"/>
          <w:sz w:val="48"/>
          <w:szCs w:val="48"/>
          <w:highlight w:val="none"/>
          <w:lang w:val="zh-CN"/>
          <w14:textFill>
            <w14:solidFill>
              <w14:schemeClr w14:val="tx1"/>
            </w14:solidFill>
          </w14:textFill>
        </w:rPr>
      </w:pPr>
      <w:r>
        <w:rPr>
          <w:rFonts w:hint="eastAsia" w:ascii="仿宋" w:hAnsi="仿宋" w:eastAsia="仿宋" w:cs="仿宋"/>
          <w:color w:val="000000" w:themeColor="text1"/>
          <w:sz w:val="48"/>
          <w:szCs w:val="48"/>
          <w:highlight w:val="none"/>
          <w:lang w:val="zh-CN"/>
          <w14:textFill>
            <w14:solidFill>
              <w14:schemeClr w14:val="tx1"/>
            </w14:solidFill>
          </w14:textFill>
        </w:rPr>
        <w:t>目  录</w:t>
      </w:r>
    </w:p>
    <w:p w14:paraId="06E9DA80">
      <w:pPr>
        <w:rPr>
          <w:rFonts w:hint="eastAsia" w:ascii="仿宋" w:hAnsi="仿宋" w:eastAsia="仿宋" w:cs="仿宋"/>
          <w:color w:val="000000" w:themeColor="text1"/>
          <w:highlight w:val="none"/>
          <w:lang w:val="zh-CN"/>
          <w14:textFill>
            <w14:solidFill>
              <w14:schemeClr w14:val="tx1"/>
            </w14:solidFill>
          </w14:textFill>
        </w:rPr>
      </w:pPr>
    </w:p>
    <w:p w14:paraId="404FDC07">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_Toc20848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52"/>
          <w:highlight w:val="none"/>
        </w:rPr>
        <w:t>第一章 竞争性磋商邀请书</w:t>
      </w:r>
      <w:r>
        <w:rPr>
          <w:sz w:val="22"/>
          <w:szCs w:val="28"/>
          <w:highlight w:val="none"/>
        </w:rPr>
        <w:tab/>
      </w:r>
      <w:r>
        <w:rPr>
          <w:sz w:val="22"/>
          <w:szCs w:val="28"/>
          <w:highlight w:val="none"/>
        </w:rPr>
        <w:fldChar w:fldCharType="begin"/>
      </w:r>
      <w:r>
        <w:rPr>
          <w:sz w:val="22"/>
          <w:szCs w:val="28"/>
          <w:highlight w:val="none"/>
        </w:rPr>
        <w:instrText xml:space="preserve"> PAGEREF _Toc20848 \h </w:instrText>
      </w:r>
      <w:r>
        <w:rPr>
          <w:sz w:val="22"/>
          <w:szCs w:val="28"/>
          <w:highlight w:val="none"/>
        </w:rPr>
        <w:fldChar w:fldCharType="separate"/>
      </w:r>
      <w:r>
        <w:rPr>
          <w:sz w:val="22"/>
          <w:szCs w:val="28"/>
          <w:highlight w:val="none"/>
        </w:rPr>
        <w:t>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78B77D3">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第二章 供应商须知</w:t>
      </w:r>
      <w:r>
        <w:rPr>
          <w:sz w:val="22"/>
          <w:szCs w:val="28"/>
          <w:highlight w:val="none"/>
        </w:rPr>
        <w:tab/>
      </w:r>
      <w:r>
        <w:rPr>
          <w:sz w:val="22"/>
          <w:szCs w:val="28"/>
          <w:highlight w:val="none"/>
        </w:rPr>
        <w:fldChar w:fldCharType="begin"/>
      </w:r>
      <w:r>
        <w:rPr>
          <w:sz w:val="22"/>
          <w:szCs w:val="28"/>
          <w:highlight w:val="none"/>
        </w:rPr>
        <w:instrText xml:space="preserve"> PAGEREF _Toc19749 \h </w:instrText>
      </w:r>
      <w:r>
        <w:rPr>
          <w:sz w:val="22"/>
          <w:szCs w:val="28"/>
          <w:highlight w:val="none"/>
        </w:rPr>
        <w:fldChar w:fldCharType="separate"/>
      </w:r>
      <w:r>
        <w:rPr>
          <w:sz w:val="22"/>
          <w:szCs w:val="28"/>
          <w:highlight w:val="none"/>
        </w:rPr>
        <w:t>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5616D9B">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_Toc1739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一、供应商须知前附表</w:t>
      </w:r>
      <w:r>
        <w:rPr>
          <w:sz w:val="22"/>
          <w:szCs w:val="28"/>
          <w:highlight w:val="none"/>
        </w:rPr>
        <w:tab/>
      </w:r>
      <w:r>
        <w:rPr>
          <w:sz w:val="22"/>
          <w:szCs w:val="28"/>
          <w:highlight w:val="none"/>
        </w:rPr>
        <w:fldChar w:fldCharType="begin"/>
      </w:r>
      <w:r>
        <w:rPr>
          <w:sz w:val="22"/>
          <w:szCs w:val="28"/>
          <w:highlight w:val="none"/>
        </w:rPr>
        <w:instrText xml:space="preserve"> PAGEREF _Toc1739 \h </w:instrText>
      </w:r>
      <w:r>
        <w:rPr>
          <w:sz w:val="22"/>
          <w:szCs w:val="28"/>
          <w:highlight w:val="none"/>
        </w:rPr>
        <w:fldChar w:fldCharType="separate"/>
      </w:r>
      <w:r>
        <w:rPr>
          <w:sz w:val="22"/>
          <w:szCs w:val="28"/>
          <w:highlight w:val="none"/>
        </w:rPr>
        <w:t>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D602094">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_Toc12152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二、项目说明</w:t>
      </w:r>
      <w:r>
        <w:rPr>
          <w:sz w:val="22"/>
          <w:szCs w:val="28"/>
          <w:highlight w:val="none"/>
        </w:rPr>
        <w:tab/>
      </w:r>
      <w:r>
        <w:rPr>
          <w:sz w:val="22"/>
          <w:szCs w:val="28"/>
          <w:highlight w:val="none"/>
        </w:rPr>
        <w:fldChar w:fldCharType="begin"/>
      </w:r>
      <w:r>
        <w:rPr>
          <w:sz w:val="22"/>
          <w:szCs w:val="28"/>
          <w:highlight w:val="none"/>
        </w:rPr>
        <w:instrText xml:space="preserve"> PAGEREF _Toc12152 \h </w:instrText>
      </w:r>
      <w:r>
        <w:rPr>
          <w:sz w:val="22"/>
          <w:szCs w:val="28"/>
          <w:highlight w:val="none"/>
        </w:rPr>
        <w:fldChar w:fldCharType="separate"/>
      </w:r>
      <w:r>
        <w:rPr>
          <w:sz w:val="22"/>
          <w:szCs w:val="28"/>
          <w:highlight w:val="none"/>
        </w:rPr>
        <w:t>10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87E79AE">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_Toc24776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三、竞争性磋商文件</w:t>
      </w:r>
      <w:r>
        <w:rPr>
          <w:sz w:val="22"/>
          <w:szCs w:val="28"/>
          <w:highlight w:val="none"/>
        </w:rPr>
        <w:tab/>
      </w:r>
      <w:r>
        <w:rPr>
          <w:sz w:val="22"/>
          <w:szCs w:val="28"/>
          <w:highlight w:val="none"/>
        </w:rPr>
        <w:fldChar w:fldCharType="begin"/>
      </w:r>
      <w:r>
        <w:rPr>
          <w:sz w:val="22"/>
          <w:szCs w:val="28"/>
          <w:highlight w:val="none"/>
        </w:rPr>
        <w:instrText xml:space="preserve"> PAGEREF _Toc24776 \h </w:instrText>
      </w:r>
      <w:r>
        <w:rPr>
          <w:sz w:val="22"/>
          <w:szCs w:val="28"/>
          <w:highlight w:val="none"/>
        </w:rPr>
        <w:fldChar w:fldCharType="separate"/>
      </w:r>
      <w:r>
        <w:rPr>
          <w:sz w:val="22"/>
          <w:szCs w:val="28"/>
          <w:highlight w:val="none"/>
        </w:rPr>
        <w:t>10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3E54A94">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_Toc1600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四、竞争性磋商响应文件</w:t>
      </w:r>
      <w:r>
        <w:rPr>
          <w:sz w:val="22"/>
          <w:szCs w:val="28"/>
          <w:highlight w:val="none"/>
        </w:rPr>
        <w:tab/>
      </w:r>
      <w:r>
        <w:rPr>
          <w:sz w:val="22"/>
          <w:szCs w:val="28"/>
          <w:highlight w:val="none"/>
        </w:rPr>
        <w:fldChar w:fldCharType="begin"/>
      </w:r>
      <w:r>
        <w:rPr>
          <w:sz w:val="22"/>
          <w:szCs w:val="28"/>
          <w:highlight w:val="none"/>
        </w:rPr>
        <w:instrText xml:space="preserve"> PAGEREF _Toc1600 \h </w:instrText>
      </w:r>
      <w:r>
        <w:rPr>
          <w:sz w:val="22"/>
          <w:szCs w:val="28"/>
          <w:highlight w:val="none"/>
        </w:rPr>
        <w:fldChar w:fldCharType="separate"/>
      </w:r>
      <w:r>
        <w:rPr>
          <w:sz w:val="22"/>
          <w:szCs w:val="28"/>
          <w:highlight w:val="none"/>
        </w:rPr>
        <w:t>11</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1F9C758">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color w:val="000000" w:themeColor="text1"/>
          <w:sz w:val="22"/>
          <w:szCs w:val="28"/>
          <w:highlight w:val="none"/>
          <w14:textFill>
            <w14:solidFill>
              <w14:schemeClr w14:val="tx1"/>
            </w14:solidFill>
          </w14:textFill>
        </w:rPr>
        <w:instrText xml:space="preserve"> HYPERLINK \l _Toc27461 </w:instrText>
      </w:r>
      <w:r>
        <w:rPr>
          <w:rFonts w:hint="eastAsia" w:ascii="仿宋" w:hAnsi="仿宋" w:eastAsia="仿宋" w:cs="仿宋"/>
          <w:color w:val="000000" w:themeColor="text1"/>
          <w:sz w:val="22"/>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t>五、磋商担保</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E3789F0">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_Toc5793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lang w:val="en-US" w:eastAsia="zh-CN"/>
        </w:rPr>
        <w:t>六</w:t>
      </w:r>
      <w:r>
        <w:rPr>
          <w:rFonts w:hint="eastAsia" w:ascii="仿宋" w:hAnsi="仿宋" w:eastAsia="仿宋" w:cs="仿宋"/>
          <w:kern w:val="0"/>
          <w:sz w:val="22"/>
          <w:szCs w:val="32"/>
          <w:highlight w:val="none"/>
        </w:rPr>
        <w:t>、磋商响应</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0D9039E">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_Toc23636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32"/>
          <w:highlight w:val="none"/>
          <w:lang w:val="en-US" w:eastAsia="zh-CN"/>
        </w:rPr>
        <w:t>七</w:t>
      </w:r>
      <w:r>
        <w:rPr>
          <w:rFonts w:hint="eastAsia" w:ascii="仿宋" w:hAnsi="仿宋" w:eastAsia="仿宋" w:cs="仿宋"/>
          <w:bCs/>
          <w:sz w:val="22"/>
          <w:szCs w:val="32"/>
          <w:highlight w:val="none"/>
        </w:rPr>
        <w:t>、磋商、</w:t>
      </w:r>
      <w:r>
        <w:rPr>
          <w:rFonts w:hint="eastAsia" w:ascii="仿宋" w:hAnsi="仿宋" w:eastAsia="仿宋" w:cs="仿宋"/>
          <w:bCs/>
          <w:sz w:val="22"/>
          <w:szCs w:val="32"/>
          <w:highlight w:val="none"/>
          <w:lang w:val="en-US" w:eastAsia="zh-CN"/>
        </w:rPr>
        <w:t>资格审查、磋商</w:t>
      </w:r>
      <w:r>
        <w:rPr>
          <w:rFonts w:hint="eastAsia" w:ascii="仿宋" w:hAnsi="仿宋" w:eastAsia="仿宋" w:cs="仿宋"/>
          <w:bCs/>
          <w:sz w:val="22"/>
          <w:szCs w:val="32"/>
          <w:highlight w:val="none"/>
        </w:rPr>
        <w:t>评审及定标</w:t>
      </w:r>
      <w:r>
        <w:rPr>
          <w:sz w:val="22"/>
          <w:szCs w:val="28"/>
          <w:highlight w:val="none"/>
        </w:rPr>
        <w:tab/>
      </w:r>
      <w:r>
        <w:rPr>
          <w:sz w:val="22"/>
          <w:szCs w:val="28"/>
          <w:highlight w:val="none"/>
        </w:rPr>
        <w:fldChar w:fldCharType="begin"/>
      </w:r>
      <w:r>
        <w:rPr>
          <w:sz w:val="22"/>
          <w:szCs w:val="28"/>
          <w:highlight w:val="none"/>
        </w:rPr>
        <w:instrText xml:space="preserve"> PAGEREF _Toc23636 \h </w:instrText>
      </w:r>
      <w:r>
        <w:rPr>
          <w:sz w:val="22"/>
          <w:szCs w:val="28"/>
          <w:highlight w:val="none"/>
        </w:rPr>
        <w:fldChar w:fldCharType="separate"/>
      </w:r>
      <w:r>
        <w:rPr>
          <w:sz w:val="22"/>
          <w:szCs w:val="28"/>
          <w:highlight w:val="none"/>
        </w:rPr>
        <w:t>16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138FEFE">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_Toc28361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八</w:t>
      </w:r>
      <w:r>
        <w:rPr>
          <w:rFonts w:hint="eastAsia" w:ascii="仿宋" w:hAnsi="仿宋" w:eastAsia="仿宋" w:cs="仿宋"/>
          <w:sz w:val="22"/>
          <w:szCs w:val="32"/>
          <w:highlight w:val="none"/>
        </w:rPr>
        <w:t>、合同</w:t>
      </w:r>
      <w:r>
        <w:rPr>
          <w:sz w:val="22"/>
          <w:szCs w:val="28"/>
          <w:highlight w:val="none"/>
        </w:rPr>
        <w:tab/>
      </w:r>
      <w:r>
        <w:rPr>
          <w:sz w:val="22"/>
          <w:szCs w:val="28"/>
          <w:highlight w:val="none"/>
        </w:rPr>
        <w:fldChar w:fldCharType="begin"/>
      </w:r>
      <w:r>
        <w:rPr>
          <w:sz w:val="22"/>
          <w:szCs w:val="28"/>
          <w:highlight w:val="none"/>
        </w:rPr>
        <w:instrText xml:space="preserve"> PAGEREF _Toc28361 \h </w:instrText>
      </w:r>
      <w:r>
        <w:rPr>
          <w:sz w:val="22"/>
          <w:szCs w:val="28"/>
          <w:highlight w:val="none"/>
        </w:rPr>
        <w:fldChar w:fldCharType="separate"/>
      </w:r>
      <w:r>
        <w:rPr>
          <w:sz w:val="22"/>
          <w:szCs w:val="28"/>
          <w:highlight w:val="none"/>
        </w:rPr>
        <w:t>29</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36DF8DC">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_Toc24945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九</w:t>
      </w:r>
      <w:r>
        <w:rPr>
          <w:rFonts w:hint="eastAsia" w:ascii="仿宋" w:hAnsi="仿宋" w:eastAsia="仿宋" w:cs="仿宋"/>
          <w:sz w:val="22"/>
          <w:szCs w:val="32"/>
          <w:highlight w:val="none"/>
        </w:rPr>
        <w:t>、合同的履约验收</w:t>
      </w:r>
      <w:r>
        <w:rPr>
          <w:sz w:val="22"/>
          <w:szCs w:val="28"/>
          <w:highlight w:val="none"/>
        </w:rPr>
        <w:tab/>
      </w:r>
      <w:r>
        <w:rPr>
          <w:sz w:val="22"/>
          <w:szCs w:val="28"/>
          <w:highlight w:val="none"/>
        </w:rPr>
        <w:fldChar w:fldCharType="begin"/>
      </w:r>
      <w:r>
        <w:rPr>
          <w:sz w:val="22"/>
          <w:szCs w:val="28"/>
          <w:highlight w:val="none"/>
        </w:rPr>
        <w:instrText xml:space="preserve"> PAGEREF _Toc24945 \h </w:instrText>
      </w:r>
      <w:r>
        <w:rPr>
          <w:sz w:val="22"/>
          <w:szCs w:val="28"/>
          <w:highlight w:val="none"/>
        </w:rPr>
        <w:fldChar w:fldCharType="separate"/>
      </w:r>
      <w:r>
        <w:rPr>
          <w:sz w:val="22"/>
          <w:szCs w:val="28"/>
          <w:highlight w:val="none"/>
        </w:rPr>
        <w:t>30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95A650F">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_Toc19792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十</w:t>
      </w:r>
      <w:r>
        <w:rPr>
          <w:rFonts w:hint="eastAsia" w:ascii="仿宋" w:hAnsi="仿宋" w:eastAsia="仿宋" w:cs="仿宋"/>
          <w:sz w:val="22"/>
          <w:szCs w:val="32"/>
          <w:highlight w:val="none"/>
        </w:rPr>
        <w:t>、招标服务费</w:t>
      </w:r>
      <w:r>
        <w:rPr>
          <w:sz w:val="22"/>
          <w:szCs w:val="28"/>
          <w:highlight w:val="none"/>
        </w:rPr>
        <w:tab/>
      </w:r>
      <w:r>
        <w:rPr>
          <w:sz w:val="22"/>
          <w:szCs w:val="28"/>
          <w:highlight w:val="none"/>
        </w:rPr>
        <w:fldChar w:fldCharType="begin"/>
      </w:r>
      <w:r>
        <w:rPr>
          <w:sz w:val="22"/>
          <w:szCs w:val="28"/>
          <w:highlight w:val="none"/>
        </w:rPr>
        <w:instrText xml:space="preserve"> PAGEREF _Toc19792 \h </w:instrText>
      </w:r>
      <w:r>
        <w:rPr>
          <w:sz w:val="22"/>
          <w:szCs w:val="28"/>
          <w:highlight w:val="none"/>
        </w:rPr>
        <w:fldChar w:fldCharType="separate"/>
      </w:r>
      <w:r>
        <w:rPr>
          <w:sz w:val="22"/>
          <w:szCs w:val="28"/>
          <w:highlight w:val="none"/>
        </w:rPr>
        <w:t>30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42BF93C">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rFonts w:hint="eastAsia" w:ascii="仿宋" w:hAnsi="仿宋" w:eastAsia="仿宋" w:cs="仿宋"/>
          <w:color w:val="000000" w:themeColor="text1"/>
          <w:sz w:val="22"/>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_Toc14425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一</w:t>
      </w:r>
      <w:r>
        <w:rPr>
          <w:rFonts w:hint="eastAsia" w:ascii="仿宋" w:hAnsi="仿宋" w:eastAsia="仿宋" w:cs="仿宋"/>
          <w:sz w:val="22"/>
          <w:szCs w:val="32"/>
          <w:highlight w:val="none"/>
        </w:rPr>
        <w:t>、重新组织采购活动</w:t>
      </w:r>
      <w:r>
        <w:rPr>
          <w:sz w:val="22"/>
          <w:szCs w:val="28"/>
          <w:highlight w:val="none"/>
        </w:rPr>
        <w:tab/>
      </w:r>
      <w:r>
        <w:rPr>
          <w:sz w:val="22"/>
          <w:szCs w:val="28"/>
          <w:highlight w:val="none"/>
        </w:rPr>
        <w:fldChar w:fldCharType="begin"/>
      </w:r>
      <w:r>
        <w:rPr>
          <w:sz w:val="22"/>
          <w:szCs w:val="28"/>
          <w:highlight w:val="none"/>
        </w:rPr>
        <w:instrText xml:space="preserve"> PAGEREF _Toc14425 \h </w:instrText>
      </w:r>
      <w:r>
        <w:rPr>
          <w:sz w:val="22"/>
          <w:szCs w:val="28"/>
          <w:highlight w:val="none"/>
        </w:rPr>
        <w:fldChar w:fldCharType="separate"/>
      </w:r>
      <w:r>
        <w:rPr>
          <w:sz w:val="22"/>
          <w:szCs w:val="28"/>
          <w:highlight w:val="none"/>
        </w:rPr>
        <w:t>30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4A1070F">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_Toc15549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二</w:t>
      </w:r>
      <w:r>
        <w:rPr>
          <w:rFonts w:hint="eastAsia" w:ascii="仿宋" w:hAnsi="仿宋" w:eastAsia="仿宋" w:cs="仿宋"/>
          <w:sz w:val="22"/>
          <w:szCs w:val="32"/>
          <w:highlight w:val="none"/>
        </w:rPr>
        <w:t>、询问、质疑与投诉</w:t>
      </w:r>
      <w:r>
        <w:rPr>
          <w:sz w:val="22"/>
          <w:szCs w:val="28"/>
          <w:highlight w:val="none"/>
        </w:rPr>
        <w:tab/>
      </w:r>
      <w:r>
        <w:rPr>
          <w:sz w:val="22"/>
          <w:szCs w:val="28"/>
          <w:highlight w:val="none"/>
        </w:rPr>
        <w:fldChar w:fldCharType="begin"/>
      </w:r>
      <w:r>
        <w:rPr>
          <w:sz w:val="22"/>
          <w:szCs w:val="28"/>
          <w:highlight w:val="none"/>
        </w:rPr>
        <w:instrText xml:space="preserve"> PAGEREF _Toc15549 \h </w:instrText>
      </w:r>
      <w:r>
        <w:rPr>
          <w:sz w:val="22"/>
          <w:szCs w:val="28"/>
          <w:highlight w:val="none"/>
        </w:rPr>
        <w:fldChar w:fldCharType="separate"/>
      </w:r>
      <w:r>
        <w:rPr>
          <w:sz w:val="22"/>
          <w:szCs w:val="28"/>
          <w:highlight w:val="none"/>
        </w:rPr>
        <w:t>31</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96907D2">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_Toc19464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三</w:t>
      </w:r>
      <w:r>
        <w:rPr>
          <w:rFonts w:hint="eastAsia" w:ascii="仿宋" w:hAnsi="仿宋" w:eastAsia="仿宋" w:cs="仿宋"/>
          <w:sz w:val="22"/>
          <w:szCs w:val="32"/>
          <w:highlight w:val="none"/>
        </w:rPr>
        <w:t>、拒绝商业贿赂</w:t>
      </w:r>
      <w:r>
        <w:rPr>
          <w:sz w:val="22"/>
          <w:szCs w:val="28"/>
          <w:highlight w:val="none"/>
        </w:rPr>
        <w:tab/>
      </w:r>
      <w:r>
        <w:rPr>
          <w:sz w:val="22"/>
          <w:szCs w:val="28"/>
          <w:highlight w:val="none"/>
        </w:rPr>
        <w:fldChar w:fldCharType="begin"/>
      </w:r>
      <w:r>
        <w:rPr>
          <w:sz w:val="22"/>
          <w:szCs w:val="28"/>
          <w:highlight w:val="none"/>
        </w:rPr>
        <w:instrText xml:space="preserve"> PAGEREF _Toc19464 \h </w:instrText>
      </w:r>
      <w:r>
        <w:rPr>
          <w:sz w:val="22"/>
          <w:szCs w:val="28"/>
          <w:highlight w:val="none"/>
        </w:rPr>
        <w:fldChar w:fldCharType="separate"/>
      </w:r>
      <w:r>
        <w:rPr>
          <w:sz w:val="22"/>
          <w:szCs w:val="28"/>
          <w:highlight w:val="none"/>
        </w:rPr>
        <w:t>32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8E6618A">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_Toc20324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第三章  服务内容及要求</w:t>
      </w:r>
      <w:r>
        <w:rPr>
          <w:sz w:val="22"/>
          <w:szCs w:val="28"/>
          <w:highlight w:val="none"/>
        </w:rPr>
        <w:tab/>
      </w:r>
      <w:r>
        <w:rPr>
          <w:sz w:val="22"/>
          <w:szCs w:val="28"/>
          <w:highlight w:val="none"/>
        </w:rPr>
        <w:fldChar w:fldCharType="begin"/>
      </w:r>
      <w:r>
        <w:rPr>
          <w:sz w:val="22"/>
          <w:szCs w:val="28"/>
          <w:highlight w:val="none"/>
        </w:rPr>
        <w:instrText xml:space="preserve"> PAGEREF _Toc20324 \h </w:instrText>
      </w:r>
      <w:r>
        <w:rPr>
          <w:sz w:val="22"/>
          <w:szCs w:val="28"/>
          <w:highlight w:val="none"/>
        </w:rPr>
        <w:fldChar w:fldCharType="separate"/>
      </w:r>
      <w:r>
        <w:rPr>
          <w:sz w:val="22"/>
          <w:szCs w:val="28"/>
          <w:highlight w:val="none"/>
        </w:rPr>
        <w:t>33</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3C8BE85">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_Toc21581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第四章  商务要求</w:t>
      </w:r>
      <w:r>
        <w:rPr>
          <w:sz w:val="22"/>
          <w:szCs w:val="28"/>
          <w:highlight w:val="none"/>
        </w:rPr>
        <w:tab/>
      </w:r>
      <w:r>
        <w:rPr>
          <w:sz w:val="22"/>
          <w:szCs w:val="28"/>
          <w:highlight w:val="none"/>
        </w:rPr>
        <w:fldChar w:fldCharType="begin"/>
      </w:r>
      <w:r>
        <w:rPr>
          <w:sz w:val="22"/>
          <w:szCs w:val="28"/>
          <w:highlight w:val="none"/>
        </w:rPr>
        <w:instrText xml:space="preserve"> PAGEREF _Toc21581 \h </w:instrText>
      </w:r>
      <w:r>
        <w:rPr>
          <w:sz w:val="22"/>
          <w:szCs w:val="28"/>
          <w:highlight w:val="none"/>
        </w:rPr>
        <w:fldChar w:fldCharType="separate"/>
      </w:r>
      <w:r>
        <w:rPr>
          <w:sz w:val="22"/>
          <w:szCs w:val="28"/>
          <w:highlight w:val="none"/>
        </w:rPr>
        <w:t>34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B6CEEF0">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_Toc2890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第五章  合同条款</w:t>
      </w:r>
      <w:r>
        <w:rPr>
          <w:sz w:val="22"/>
          <w:szCs w:val="28"/>
          <w:highlight w:val="none"/>
        </w:rPr>
        <w:tab/>
      </w:r>
      <w:r>
        <w:rPr>
          <w:sz w:val="22"/>
          <w:szCs w:val="28"/>
          <w:highlight w:val="none"/>
        </w:rPr>
        <w:fldChar w:fldCharType="begin"/>
      </w:r>
      <w:r>
        <w:rPr>
          <w:sz w:val="22"/>
          <w:szCs w:val="28"/>
          <w:highlight w:val="none"/>
        </w:rPr>
        <w:instrText xml:space="preserve"> PAGEREF _Toc2890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183A649">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_Toc32022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第六章  竞争性磋商响应文件格式</w:t>
      </w:r>
      <w:r>
        <w:rPr>
          <w:sz w:val="22"/>
          <w:szCs w:val="28"/>
          <w:highlight w:val="none"/>
        </w:rPr>
        <w:tab/>
      </w:r>
      <w:r>
        <w:rPr>
          <w:sz w:val="22"/>
          <w:szCs w:val="28"/>
          <w:highlight w:val="none"/>
        </w:rPr>
        <w:fldChar w:fldCharType="begin"/>
      </w:r>
      <w:r>
        <w:rPr>
          <w:sz w:val="22"/>
          <w:szCs w:val="28"/>
          <w:highlight w:val="none"/>
        </w:rPr>
        <w:instrText xml:space="preserve"> PAGEREF _Toc32022 \h </w:instrText>
      </w:r>
      <w:r>
        <w:rPr>
          <w:sz w:val="22"/>
          <w:szCs w:val="28"/>
          <w:highlight w:val="none"/>
        </w:rPr>
        <w:fldChar w:fldCharType="separate"/>
      </w:r>
      <w:r>
        <w:rPr>
          <w:sz w:val="22"/>
          <w:szCs w:val="28"/>
          <w:highlight w:val="none"/>
        </w:rPr>
        <w:t>40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8987772">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sectPr>
          <w:footerReference r:id="rId10" w:type="default"/>
          <w:pgSz w:w="11906" w:h="16838"/>
          <w:pgMar w:top="1418" w:right="1418" w:bottom="1418" w:left="1418" w:header="720" w:footer="7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2471FAC">
      <w:pPr>
        <w:spacing w:line="480" w:lineRule="exact"/>
        <w:jc w:val="center"/>
        <w:outlineLvl w:val="0"/>
        <w:rPr>
          <w:rFonts w:hint="eastAsia" w:ascii="仿宋" w:hAnsi="仿宋" w:eastAsia="仿宋" w:cs="仿宋"/>
          <w:b/>
          <w:bCs/>
          <w:color w:val="000000" w:themeColor="text1"/>
          <w:sz w:val="48"/>
          <w:szCs w:val="48"/>
          <w:highlight w:val="none"/>
          <w14:textFill>
            <w14:solidFill>
              <w14:schemeClr w14:val="tx1"/>
            </w14:solidFill>
          </w14:textFill>
        </w:rPr>
      </w:pPr>
      <w:bookmarkStart w:id="0" w:name="_Toc20848"/>
      <w:r>
        <w:rPr>
          <w:rFonts w:hint="eastAsia" w:ascii="仿宋" w:hAnsi="仿宋" w:eastAsia="仿宋" w:cs="仿宋"/>
          <w:b/>
          <w:bCs/>
          <w:color w:val="000000" w:themeColor="text1"/>
          <w:sz w:val="48"/>
          <w:szCs w:val="48"/>
          <w:highlight w:val="none"/>
          <w14:textFill>
            <w14:solidFill>
              <w14:schemeClr w14:val="tx1"/>
            </w14:solidFill>
          </w14:textFill>
        </w:rPr>
        <w:t>第一章 竞争性磋商邀请书</w:t>
      </w:r>
      <w:bookmarkEnd w:id="0"/>
    </w:p>
    <w:p w14:paraId="46B3E109">
      <w:pPr>
        <w:keepNext w:val="0"/>
        <w:keepLines w:val="0"/>
        <w:pageBreakBefore w:val="0"/>
        <w:widowControl/>
        <w:kinsoku/>
        <w:overflowPunct/>
        <w:autoSpaceDE/>
        <w:autoSpaceDN/>
        <w:bidi w:val="0"/>
        <w:spacing w:line="360" w:lineRule="auto"/>
        <w:ind w:right="-197" w:rightChars="-94" w:firstLine="482"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14:textFill>
            <w14:solidFill>
              <w14:schemeClr w14:val="tx1"/>
            </w14:solidFill>
          </w14:textFill>
        </w:rPr>
        <w:t xml:space="preserve"> </w:t>
      </w:r>
    </w:p>
    <w:p w14:paraId="0D2DA66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农村饮用水水质监测项目</w:t>
      </w:r>
      <w:r>
        <w:rPr>
          <w:rFonts w:hint="eastAsia" w:ascii="仿宋" w:hAnsi="仿宋" w:eastAsia="仿宋" w:cs="仿宋"/>
          <w:color w:val="000000" w:themeColor="text1"/>
          <w:sz w:val="24"/>
          <w:highlight w:val="none"/>
          <w14:textFill>
            <w14:solidFill>
              <w14:schemeClr w14:val="tx1"/>
            </w14:solidFill>
          </w14:textFill>
        </w:rPr>
        <w:t>的潜在供应商应在西安市曲江旺座C座2304室获取采购文件，并于</w:t>
      </w:r>
      <w:r>
        <w:rPr>
          <w:rFonts w:hint="eastAsia" w:ascii="仿宋" w:hAnsi="仿宋" w:eastAsia="仿宋" w:cs="仿宋"/>
          <w:color w:val="000000" w:themeColor="text1"/>
          <w:sz w:val="24"/>
          <w:highlight w:val="none"/>
          <w:lang w:eastAsia="zh-CN"/>
          <w14:textFill>
            <w14:solidFill>
              <w14:schemeClr w14:val="tx1"/>
            </w14:solidFill>
          </w14:textFill>
        </w:rPr>
        <w:t>2025年7月28日</w:t>
      </w:r>
      <w:r>
        <w:rPr>
          <w:rFonts w:hint="eastAsia" w:ascii="仿宋" w:hAnsi="仿宋" w:eastAsia="仿宋" w:cs="仿宋"/>
          <w:color w:val="000000" w:themeColor="text1"/>
          <w:sz w:val="24"/>
          <w:highlight w:val="none"/>
          <w14:textFill>
            <w14:solidFill>
              <w14:schemeClr w14:val="tx1"/>
            </w14:solidFill>
          </w14:textFill>
        </w:rPr>
        <w:t xml:space="preserve">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0分（北京时间）前提交响应文件。 </w:t>
      </w:r>
    </w:p>
    <w:p w14:paraId="4511FA2C">
      <w:pPr>
        <w:keepNext w:val="0"/>
        <w:keepLines w:val="0"/>
        <w:pageBreakBefore w:val="0"/>
        <w:widowControl/>
        <w:kinsoku/>
        <w:overflowPunct/>
        <w:autoSpaceDE/>
        <w:autoSpaceDN/>
        <w:bidi w:val="0"/>
        <w:spacing w:line="360" w:lineRule="auto"/>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一、项目基本情况</w:t>
      </w:r>
    </w:p>
    <w:p w14:paraId="19D40C86">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HZGH-2025-011</w:t>
      </w:r>
    </w:p>
    <w:p w14:paraId="4517D67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农村饮用水水质监测项目</w:t>
      </w:r>
    </w:p>
    <w:p w14:paraId="71C547D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采购方式：竞争性磋商</w:t>
      </w:r>
    </w:p>
    <w:p w14:paraId="6733CD64">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00000.00</w:t>
      </w:r>
      <w:r>
        <w:rPr>
          <w:rFonts w:hint="eastAsia" w:ascii="仿宋" w:hAnsi="仿宋" w:eastAsia="仿宋" w:cs="仿宋"/>
          <w:color w:val="000000" w:themeColor="text1"/>
          <w:sz w:val="24"/>
          <w:highlight w:val="none"/>
          <w14:textFill>
            <w14:solidFill>
              <w14:schemeClr w14:val="tx1"/>
            </w14:solidFill>
          </w14:textFill>
        </w:rPr>
        <w:t>元</w:t>
      </w:r>
    </w:p>
    <w:p w14:paraId="5EB00B12">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p>
    <w:p w14:paraId="59F28A5A">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农村饮用水水质监测项目</w:t>
      </w:r>
      <w:r>
        <w:rPr>
          <w:rFonts w:hint="eastAsia" w:ascii="仿宋" w:hAnsi="仿宋" w:eastAsia="仿宋" w:cs="仿宋"/>
          <w:color w:val="000000" w:themeColor="text1"/>
          <w:sz w:val="24"/>
          <w:highlight w:val="none"/>
          <w14:textFill>
            <w14:solidFill>
              <w14:schemeClr w14:val="tx1"/>
            </w14:solidFill>
          </w14:textFill>
        </w:rPr>
        <w:t>):</w:t>
      </w:r>
    </w:p>
    <w:p w14:paraId="6594CF6C">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合同包预算金额：</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00000.00</w:t>
      </w:r>
      <w:r>
        <w:rPr>
          <w:rFonts w:hint="eastAsia" w:ascii="仿宋" w:hAnsi="仿宋" w:eastAsia="仿宋" w:cs="仿宋"/>
          <w:color w:val="000000" w:themeColor="text1"/>
          <w:sz w:val="24"/>
          <w:highlight w:val="none"/>
          <w14:textFill>
            <w14:solidFill>
              <w14:schemeClr w14:val="tx1"/>
            </w14:solidFill>
          </w14:textFill>
        </w:rPr>
        <w:t>元</w:t>
      </w:r>
    </w:p>
    <w:tbl>
      <w:tblPr>
        <w:tblStyle w:val="24"/>
        <w:tblW w:w="521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4"/>
        <w:gridCol w:w="1405"/>
        <w:gridCol w:w="1589"/>
        <w:gridCol w:w="888"/>
        <w:gridCol w:w="1990"/>
        <w:gridCol w:w="1485"/>
        <w:gridCol w:w="1497"/>
      </w:tblGrid>
      <w:tr w14:paraId="04E76C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3" w:hRule="atLeast"/>
          <w:tblHeader/>
          <w:jc w:val="center"/>
        </w:trPr>
        <w:tc>
          <w:tcPr>
            <w:tcW w:w="472" w:type="pct"/>
            <w:shd w:val="clear" w:color="auto" w:fill="auto"/>
            <w:tcMar>
              <w:top w:w="0" w:type="dxa"/>
              <w:left w:w="0" w:type="dxa"/>
              <w:bottom w:w="0" w:type="dxa"/>
              <w:right w:w="0" w:type="dxa"/>
            </w:tcMar>
            <w:vAlign w:val="center"/>
          </w:tcPr>
          <w:p w14:paraId="1E04695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品目号</w:t>
            </w:r>
          </w:p>
        </w:tc>
        <w:tc>
          <w:tcPr>
            <w:tcW w:w="718" w:type="pct"/>
            <w:shd w:val="clear" w:color="auto" w:fill="auto"/>
            <w:tcMar>
              <w:top w:w="0" w:type="dxa"/>
              <w:left w:w="0" w:type="dxa"/>
              <w:bottom w:w="0" w:type="dxa"/>
              <w:right w:w="0" w:type="dxa"/>
            </w:tcMar>
            <w:vAlign w:val="center"/>
          </w:tcPr>
          <w:p w14:paraId="6E8CD34F">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品目名称</w:t>
            </w:r>
          </w:p>
        </w:tc>
        <w:tc>
          <w:tcPr>
            <w:tcW w:w="812" w:type="pct"/>
            <w:shd w:val="clear" w:color="auto" w:fill="auto"/>
            <w:tcMar>
              <w:top w:w="0" w:type="dxa"/>
              <w:left w:w="0" w:type="dxa"/>
              <w:bottom w:w="0" w:type="dxa"/>
              <w:right w:w="0" w:type="dxa"/>
            </w:tcMar>
            <w:vAlign w:val="center"/>
          </w:tcPr>
          <w:p w14:paraId="175A6831">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采购标的</w:t>
            </w:r>
          </w:p>
        </w:tc>
        <w:tc>
          <w:tcPr>
            <w:tcW w:w="454" w:type="pct"/>
            <w:shd w:val="clear" w:color="auto" w:fill="auto"/>
            <w:tcMar>
              <w:top w:w="0" w:type="dxa"/>
              <w:left w:w="0" w:type="dxa"/>
              <w:bottom w:w="0" w:type="dxa"/>
              <w:right w:w="0" w:type="dxa"/>
            </w:tcMar>
            <w:vAlign w:val="center"/>
          </w:tcPr>
          <w:p w14:paraId="147B71B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数量</w:t>
            </w:r>
          </w:p>
          <w:p w14:paraId="78B5F9AC">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p>
        </w:tc>
        <w:tc>
          <w:tcPr>
            <w:tcW w:w="1017" w:type="pct"/>
            <w:shd w:val="clear" w:color="auto" w:fill="auto"/>
            <w:tcMar>
              <w:top w:w="0" w:type="dxa"/>
              <w:left w:w="0" w:type="dxa"/>
              <w:bottom w:w="0" w:type="dxa"/>
              <w:right w:w="0" w:type="dxa"/>
            </w:tcMar>
            <w:vAlign w:val="center"/>
          </w:tcPr>
          <w:p w14:paraId="4AD3537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技术规格、参数</w:t>
            </w:r>
          </w:p>
          <w:p w14:paraId="77039B4F">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及要求</w:t>
            </w:r>
          </w:p>
        </w:tc>
        <w:tc>
          <w:tcPr>
            <w:tcW w:w="759" w:type="pct"/>
            <w:shd w:val="clear" w:color="auto" w:fill="auto"/>
            <w:tcMar>
              <w:top w:w="0" w:type="dxa"/>
              <w:left w:w="0" w:type="dxa"/>
              <w:bottom w:w="0" w:type="dxa"/>
              <w:right w:w="0" w:type="dxa"/>
            </w:tcMar>
            <w:vAlign w:val="center"/>
          </w:tcPr>
          <w:p w14:paraId="07EC6085">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品目预算</w:t>
            </w:r>
          </w:p>
          <w:p w14:paraId="78AC1643">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(元)</w:t>
            </w:r>
          </w:p>
        </w:tc>
        <w:tc>
          <w:tcPr>
            <w:tcW w:w="765" w:type="pct"/>
            <w:shd w:val="clear" w:color="auto" w:fill="auto"/>
            <w:tcMar>
              <w:top w:w="0" w:type="dxa"/>
              <w:left w:w="0" w:type="dxa"/>
              <w:bottom w:w="0" w:type="dxa"/>
              <w:right w:w="0" w:type="dxa"/>
            </w:tcMar>
            <w:vAlign w:val="center"/>
          </w:tcPr>
          <w:p w14:paraId="5EF3083E">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最高限价(元)</w:t>
            </w:r>
          </w:p>
        </w:tc>
      </w:tr>
      <w:tr w14:paraId="2D14A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1" w:hRule="atLeast"/>
          <w:jc w:val="center"/>
        </w:trPr>
        <w:tc>
          <w:tcPr>
            <w:tcW w:w="472" w:type="pct"/>
            <w:shd w:val="clear" w:color="auto" w:fill="auto"/>
            <w:tcMar>
              <w:top w:w="0" w:type="dxa"/>
              <w:left w:w="0" w:type="dxa"/>
              <w:bottom w:w="0" w:type="dxa"/>
              <w:right w:w="0" w:type="dxa"/>
            </w:tcMar>
            <w:vAlign w:val="center"/>
          </w:tcPr>
          <w:p w14:paraId="5429BF9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718" w:type="pct"/>
            <w:shd w:val="clear" w:color="auto" w:fill="auto"/>
            <w:tcMar>
              <w:top w:w="0" w:type="dxa"/>
              <w:left w:w="0" w:type="dxa"/>
              <w:bottom w:w="0" w:type="dxa"/>
              <w:right w:w="0" w:type="dxa"/>
            </w:tcMar>
            <w:vAlign w:val="center"/>
          </w:tcPr>
          <w:p w14:paraId="69E48395">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其他专业技</w:t>
            </w:r>
          </w:p>
          <w:p w14:paraId="77C20761">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术服务</w:t>
            </w:r>
          </w:p>
        </w:tc>
        <w:tc>
          <w:tcPr>
            <w:tcW w:w="812" w:type="pct"/>
            <w:shd w:val="clear" w:color="auto" w:fill="auto"/>
            <w:tcMar>
              <w:top w:w="0" w:type="dxa"/>
              <w:left w:w="0" w:type="dxa"/>
              <w:bottom w:w="0" w:type="dxa"/>
              <w:right w:w="0" w:type="dxa"/>
            </w:tcMar>
            <w:vAlign w:val="center"/>
          </w:tcPr>
          <w:p w14:paraId="7DF9DD17">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农村饮用水</w:t>
            </w:r>
          </w:p>
          <w:p w14:paraId="31892F38">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水质监测项目</w:t>
            </w:r>
          </w:p>
        </w:tc>
        <w:tc>
          <w:tcPr>
            <w:tcW w:w="454" w:type="pct"/>
            <w:shd w:val="clear" w:color="auto" w:fill="auto"/>
            <w:tcMar>
              <w:top w:w="0" w:type="dxa"/>
              <w:left w:w="0" w:type="dxa"/>
              <w:bottom w:w="0" w:type="dxa"/>
              <w:right w:w="0" w:type="dxa"/>
            </w:tcMar>
            <w:vAlign w:val="center"/>
          </w:tcPr>
          <w:p w14:paraId="3BD83B2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1(项)</w:t>
            </w:r>
          </w:p>
        </w:tc>
        <w:tc>
          <w:tcPr>
            <w:tcW w:w="1017" w:type="pct"/>
            <w:shd w:val="clear" w:color="auto" w:fill="auto"/>
            <w:tcMar>
              <w:top w:w="0" w:type="dxa"/>
              <w:left w:w="0" w:type="dxa"/>
              <w:bottom w:w="0" w:type="dxa"/>
              <w:right w:w="0" w:type="dxa"/>
            </w:tcMar>
            <w:vAlign w:val="center"/>
          </w:tcPr>
          <w:p w14:paraId="068C22B8">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详见采购文件</w:t>
            </w:r>
          </w:p>
        </w:tc>
        <w:tc>
          <w:tcPr>
            <w:tcW w:w="759" w:type="pct"/>
            <w:shd w:val="clear" w:color="auto" w:fill="auto"/>
            <w:tcMar>
              <w:top w:w="0" w:type="dxa"/>
              <w:left w:w="0" w:type="dxa"/>
              <w:bottom w:w="0" w:type="dxa"/>
              <w:right w:w="0" w:type="dxa"/>
            </w:tcMar>
            <w:vAlign w:val="center"/>
          </w:tcPr>
          <w:p w14:paraId="1625BF5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800000.00</w:t>
            </w:r>
          </w:p>
        </w:tc>
        <w:tc>
          <w:tcPr>
            <w:tcW w:w="765" w:type="pct"/>
            <w:shd w:val="clear" w:color="auto" w:fill="auto"/>
            <w:tcMar>
              <w:top w:w="0" w:type="dxa"/>
              <w:left w:w="0" w:type="dxa"/>
              <w:bottom w:w="0" w:type="dxa"/>
              <w:right w:w="0" w:type="dxa"/>
            </w:tcMar>
            <w:vAlign w:val="center"/>
          </w:tcPr>
          <w:p w14:paraId="46909598">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00000.00</w:t>
            </w:r>
          </w:p>
        </w:tc>
      </w:tr>
    </w:tbl>
    <w:p w14:paraId="7FC99DA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本合同包不接受联合体投标 </w:t>
      </w:r>
    </w:p>
    <w:p w14:paraId="3D21F5A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lang w:val="en-US" w:eastAsia="zh-CN"/>
          <w14:textFill>
            <w14:solidFill>
              <w14:schemeClr w14:val="tx1"/>
            </w14:solidFill>
          </w14:textFill>
        </w:rPr>
        <w:t>2025年9月30日之前服务完毕。</w:t>
      </w:r>
      <w:r>
        <w:rPr>
          <w:rFonts w:hint="eastAsia" w:ascii="仿宋" w:hAnsi="仿宋" w:eastAsia="仿宋" w:cs="仿宋"/>
          <w:color w:val="000000" w:themeColor="text1"/>
          <w:sz w:val="24"/>
          <w:highlight w:val="none"/>
          <w14:textFill>
            <w14:solidFill>
              <w14:schemeClr w14:val="tx1"/>
            </w14:solidFill>
          </w14:textFill>
        </w:rPr>
        <w:t xml:space="preserve"> </w:t>
      </w:r>
    </w:p>
    <w:p w14:paraId="72795ED5">
      <w:pPr>
        <w:keepNext w:val="0"/>
        <w:keepLines w:val="0"/>
        <w:pageBreakBefore w:val="0"/>
        <w:widowControl/>
        <w:kinsoku/>
        <w:overflowPunct/>
        <w:autoSpaceDE/>
        <w:autoSpaceDN/>
        <w:bidi w:val="0"/>
        <w:spacing w:line="360" w:lineRule="auto"/>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二、申请人的资格要求：</w:t>
      </w:r>
    </w:p>
    <w:p w14:paraId="395E0CE7">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1.满足《中华人民共和国政府釆购法》第二十二条规定;</w:t>
      </w:r>
    </w:p>
    <w:p w14:paraId="408D50D1">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2.落实政府采购政策需满足的资格要求： </w:t>
      </w:r>
    </w:p>
    <w:p w14:paraId="0D63E31E">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w:t>
      </w:r>
    </w:p>
    <w:p w14:paraId="417D0FCC">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p>
    <w:p w14:paraId="788AC056">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农村饮用水水质监测项目</w:t>
      </w:r>
      <w:r>
        <w:rPr>
          <w:rFonts w:hint="eastAsia" w:ascii="仿宋" w:hAnsi="仿宋" w:eastAsia="仿宋" w:cs="仿宋"/>
          <w:color w:val="000000" w:themeColor="text1"/>
          <w:sz w:val="24"/>
          <w:highlight w:val="none"/>
          <w14:textFill>
            <w14:solidFill>
              <w14:schemeClr w14:val="tx1"/>
            </w14:solidFill>
          </w14:textFill>
        </w:rPr>
        <w:t>)特定资格要求如下:</w:t>
      </w:r>
    </w:p>
    <w:p w14:paraId="7A9B4B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lang w:val="en-US" w:eastAsia="zh-CN"/>
        </w:rPr>
        <w:t>1</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法定代表人或负责人参与磋商时需提供法定代表人或负责人资格证明书（附法定代表人或负责人身份证复印件）；（法定代表人或负责人须提供身份证原件，身份证原件可由本人持有） </w:t>
      </w:r>
    </w:p>
    <w:p w14:paraId="587DB27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lang w:val="en-US" w:eastAsia="zh-CN"/>
        </w:rPr>
        <w:t>2</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被授权人参与磋商时需提供法定代表人或负责人授权委托书（附法定代表人或负责人及被授权人身份证复印件）；（被授权人须提供身份证原件，身份证原件可由本人持有） </w:t>
      </w:r>
    </w:p>
    <w:p w14:paraId="64C8FF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（3）供应商</w:t>
      </w:r>
      <w:r>
        <w:rPr>
          <w:rFonts w:hint="eastAsia" w:ascii="仿宋" w:hAnsi="仿宋" w:eastAsia="仿宋" w:cs="仿宋"/>
          <w:i w:val="0"/>
          <w:iCs w:val="0"/>
          <w:caps w:val="0"/>
          <w:color w:val="000000"/>
          <w:spacing w:val="0"/>
          <w:sz w:val="24"/>
          <w:szCs w:val="24"/>
          <w:highlight w:val="none"/>
          <w:shd w:val="clear" w:color="auto" w:fill="FFFFFF"/>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246601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（4）</w:t>
      </w:r>
      <w:r>
        <w:rPr>
          <w:rFonts w:hint="eastAsia" w:ascii="仿宋" w:hAnsi="仿宋" w:eastAsia="仿宋" w:cs="仿宋"/>
          <w:i w:val="0"/>
          <w:iCs w:val="0"/>
          <w:caps w:val="0"/>
          <w:color w:val="000000"/>
          <w:spacing w:val="0"/>
          <w:sz w:val="24"/>
          <w:szCs w:val="24"/>
          <w:highlight w:val="none"/>
          <w:shd w:val="clear" w:color="auto" w:fill="FFFFFF"/>
        </w:rPr>
        <w:t>单位负责人为同一人或者存在直接控股、管理关系的不同供应商，不得参加同一合同项下的政府采购活动；（提供书面承诺函，格式自拟加盖供应商公章）</w:t>
      </w:r>
    </w:p>
    <w:p w14:paraId="50766A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（5）供应商须具备CMA检验检测机构资质认定证书；</w:t>
      </w:r>
    </w:p>
    <w:p w14:paraId="0EA3B4D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（6）</w:t>
      </w:r>
      <w:r>
        <w:rPr>
          <w:rFonts w:hint="eastAsia" w:ascii="仿宋" w:hAnsi="仿宋" w:eastAsia="仿宋" w:cs="仿宋"/>
          <w:b w:val="0"/>
          <w:bCs/>
          <w:i w:val="0"/>
          <w:iCs w:val="0"/>
          <w:caps w:val="0"/>
          <w:color w:val="000000"/>
          <w:spacing w:val="0"/>
          <w:sz w:val="24"/>
          <w:szCs w:val="24"/>
          <w:highlight w:val="none"/>
          <w:shd w:val="clear" w:color="auto" w:fill="FFFFFF"/>
        </w:rPr>
        <w:t>本项目不接受联合体磋商。</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提供非联合体声明，格式自拟加盖供应商公章</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p>
    <w:p w14:paraId="13B715B9">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三、</w:t>
      </w:r>
      <w:r>
        <w:rPr>
          <w:rFonts w:hint="eastAsia" w:ascii="仿宋" w:hAnsi="仿宋" w:eastAsia="仿宋" w:cs="仿宋"/>
          <w:color w:val="333333"/>
          <w:highlight w:val="none"/>
          <w:lang w:val="en-US" w:eastAsia="zh-CN"/>
        </w:rPr>
        <w:t>获取竞争性磋商文件</w:t>
      </w:r>
      <w:r>
        <w:rPr>
          <w:rFonts w:hint="eastAsia" w:ascii="仿宋" w:hAnsi="仿宋" w:eastAsia="仿宋" w:cs="仿宋"/>
          <w:color w:val="333333"/>
          <w:highlight w:val="none"/>
        </w:rPr>
        <w:t xml:space="preserve"> </w:t>
      </w:r>
    </w:p>
    <w:p w14:paraId="16E29F11">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时间</w:t>
      </w:r>
      <w:r>
        <w:rPr>
          <w:rFonts w:hint="eastAsia" w:ascii="仿宋" w:hAnsi="仿宋" w:eastAsia="仿宋" w:cs="仿宋"/>
          <w:sz w:val="24"/>
          <w:highlight w:val="none"/>
          <w:lang w:eastAsia="zh-CN"/>
        </w:rPr>
        <w:t>：</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，每天上午09:00:00 至 12:00:00 ，下午 14:00:00 至 17:00:00 （北京时间,法定节假日除外）</w:t>
      </w:r>
    </w:p>
    <w:p w14:paraId="6F010996">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途径</w:t>
      </w:r>
      <w:r>
        <w:rPr>
          <w:rFonts w:hint="eastAsia" w:ascii="仿宋" w:hAnsi="仿宋" w:eastAsia="仿宋" w:cs="仿宋"/>
          <w:sz w:val="24"/>
          <w:highlight w:val="none"/>
        </w:rPr>
        <w:t>：</w:t>
      </w:r>
      <w:r>
        <w:rPr>
          <w:rFonts w:hint="eastAsia" w:ascii="仿宋" w:hAnsi="仿宋" w:eastAsia="仿宋" w:cs="仿宋"/>
          <w:i w:val="0"/>
          <w:iCs w:val="0"/>
          <w:caps w:val="0"/>
          <w:color w:val="auto"/>
          <w:spacing w:val="0"/>
          <w:sz w:val="24"/>
          <w:szCs w:val="24"/>
          <w:highlight w:val="none"/>
          <w:shd w:val="clear" w:fill="FFFFFF"/>
        </w:rPr>
        <w:t>西安市曲江旺座C座2304室</w:t>
      </w:r>
    </w:p>
    <w:p w14:paraId="519BBDA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方式：现场</w:t>
      </w:r>
      <w:r>
        <w:rPr>
          <w:rFonts w:hint="eastAsia" w:ascii="仿宋" w:hAnsi="仿宋" w:eastAsia="仿宋" w:cs="仿宋"/>
          <w:sz w:val="24"/>
          <w:highlight w:val="none"/>
          <w:lang w:val="en-US" w:eastAsia="zh-CN"/>
        </w:rPr>
        <w:t>获取</w:t>
      </w:r>
    </w:p>
    <w:p w14:paraId="00F443DB">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售价：</w:t>
      </w:r>
      <w:r>
        <w:rPr>
          <w:rFonts w:hint="eastAsia" w:ascii="仿宋" w:hAnsi="仿宋" w:eastAsia="仿宋" w:cs="仿宋"/>
          <w:color w:val="auto"/>
          <w:sz w:val="24"/>
          <w:highlight w:val="none"/>
          <w:u w:val="none" w:color="auto"/>
        </w:rPr>
        <w:t>0元</w:t>
      </w:r>
    </w:p>
    <w:p w14:paraId="30E00D9F">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rPr>
        <w:t>四、提交</w:t>
      </w:r>
      <w:r>
        <w:rPr>
          <w:rFonts w:hint="eastAsia" w:ascii="仿宋" w:hAnsi="仿宋" w:eastAsia="仿宋" w:cs="仿宋"/>
          <w:color w:val="333333"/>
          <w:highlight w:val="none"/>
          <w:lang w:val="en-US" w:eastAsia="zh-CN"/>
        </w:rPr>
        <w:t>竞争性磋商响应</w:t>
      </w:r>
      <w:r>
        <w:rPr>
          <w:rFonts w:hint="eastAsia" w:ascii="仿宋" w:hAnsi="仿宋" w:eastAsia="仿宋" w:cs="仿宋"/>
          <w:color w:val="333333"/>
          <w:highlight w:val="none"/>
        </w:rPr>
        <w:t xml:space="preserve">文件截止时间、开标时间和地点 </w:t>
      </w:r>
    </w:p>
    <w:p w14:paraId="778D874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sz w:val="24"/>
          <w:highlight w:val="none"/>
          <w:lang w:val="en-US" w:eastAsia="zh-CN"/>
        </w:rPr>
        <w:t>时间：</w:t>
      </w:r>
      <w:r>
        <w:rPr>
          <w:rFonts w:hint="eastAsia" w:ascii="仿宋" w:hAnsi="仿宋" w:eastAsia="仿宋" w:cs="仿宋"/>
          <w:b w:val="0"/>
          <w:bCs w:val="0"/>
          <w:color w:val="auto"/>
          <w:sz w:val="24"/>
          <w:highlight w:val="none"/>
          <w:u w:val="none" w:color="auto"/>
          <w:lang w:eastAsia="zh-CN"/>
        </w:rPr>
        <w:t>2025年7月28日</w:t>
      </w:r>
      <w:r>
        <w:rPr>
          <w:rFonts w:hint="eastAsia" w:ascii="仿宋" w:hAnsi="仿宋" w:eastAsia="仿宋" w:cs="仿宋"/>
          <w:b w:val="0"/>
          <w:bCs w:val="0"/>
          <w:color w:val="auto"/>
          <w:sz w:val="24"/>
          <w:highlight w:val="none"/>
          <w:u w:val="none" w:color="auto"/>
          <w:lang w:val="en-US" w:eastAsia="zh-CN"/>
        </w:rPr>
        <w:t>14点3</w:t>
      </w:r>
      <w:r>
        <w:rPr>
          <w:rFonts w:hint="eastAsia" w:ascii="仿宋" w:hAnsi="仿宋" w:eastAsia="仿宋" w:cs="仿宋"/>
          <w:b w:val="0"/>
          <w:bCs w:val="0"/>
          <w:color w:val="auto"/>
          <w:sz w:val="24"/>
          <w:highlight w:val="none"/>
          <w:u w:val="none" w:color="auto"/>
        </w:rPr>
        <w:t>0</w:t>
      </w:r>
      <w:r>
        <w:rPr>
          <w:rFonts w:hint="eastAsia" w:ascii="仿宋" w:hAnsi="仿宋" w:eastAsia="仿宋" w:cs="仿宋"/>
          <w:b w:val="0"/>
          <w:bCs w:val="0"/>
          <w:color w:val="auto"/>
          <w:sz w:val="24"/>
          <w:highlight w:val="none"/>
          <w:u w:val="none" w:color="auto"/>
          <w:lang w:val="en-US" w:eastAsia="zh-CN"/>
        </w:rPr>
        <w:t>分（北京时间）</w:t>
      </w:r>
    </w:p>
    <w:p w14:paraId="15DEA3F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kern w:val="0"/>
          <w:sz w:val="18"/>
          <w:szCs w:val="18"/>
          <w:highlight w:val="none"/>
          <w:u w:val="none" w:color="auto"/>
          <w:lang w:val="en-US" w:eastAsia="zh-CN" w:bidi="ar-SA"/>
        </w:rPr>
      </w:pPr>
      <w:r>
        <w:rPr>
          <w:rFonts w:hint="eastAsia" w:ascii="仿宋" w:hAnsi="仿宋" w:eastAsia="仿宋" w:cs="仿宋"/>
          <w:b w:val="0"/>
          <w:bCs w:val="0"/>
          <w:color w:val="auto"/>
          <w:sz w:val="24"/>
          <w:highlight w:val="none"/>
          <w:u w:val="none" w:color="auto"/>
        </w:rPr>
        <w:t>地点：</w:t>
      </w:r>
      <w:r>
        <w:rPr>
          <w:rFonts w:hint="eastAsia" w:ascii="仿宋" w:hAnsi="仿宋" w:eastAsia="仿宋" w:cs="仿宋"/>
          <w:i w:val="0"/>
          <w:iCs w:val="0"/>
          <w:caps w:val="0"/>
          <w:color w:val="auto"/>
          <w:spacing w:val="0"/>
          <w:sz w:val="24"/>
          <w:szCs w:val="24"/>
          <w:highlight w:val="none"/>
          <w:shd w:val="clear" w:fill="FFFFFF"/>
        </w:rPr>
        <w:t>西安市曲江旺座C座2304室</w:t>
      </w:r>
      <w:r>
        <w:rPr>
          <w:rFonts w:hint="eastAsia" w:ascii="仿宋" w:hAnsi="仿宋" w:eastAsia="仿宋" w:cs="仿宋"/>
          <w:b w:val="0"/>
          <w:bCs w:val="0"/>
          <w:color w:val="auto"/>
          <w:sz w:val="24"/>
          <w:highlight w:val="none"/>
          <w:u w:val="none" w:color="auto"/>
        </w:rPr>
        <w:t xml:space="preserve">  </w:t>
      </w:r>
    </w:p>
    <w:p w14:paraId="6F73D8E2">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五、公告期限</w:t>
      </w:r>
    </w:p>
    <w:p w14:paraId="7DBF90AF">
      <w:pPr>
        <w:pStyle w:val="42"/>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自本公告发布之日起3个工作日</w:t>
      </w:r>
    </w:p>
    <w:p w14:paraId="4A8FE7FC">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lang w:eastAsia="zh-CN"/>
        </w:rPr>
        <w:t>六、</w:t>
      </w:r>
      <w:r>
        <w:rPr>
          <w:rFonts w:hint="eastAsia" w:ascii="仿宋" w:hAnsi="仿宋" w:eastAsia="仿宋" w:cs="仿宋"/>
          <w:color w:val="333333"/>
          <w:highlight w:val="none"/>
        </w:rPr>
        <w:t>其他补充事宜</w:t>
      </w:r>
    </w:p>
    <w:p w14:paraId="0DEFEFED">
      <w:pPr>
        <w:pStyle w:val="42"/>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1、落实的政府采购政策：</w:t>
      </w:r>
    </w:p>
    <w:p w14:paraId="11E3A923">
      <w:pPr>
        <w:pStyle w:val="42"/>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（1）《政府采购促进中小企业发展管理办法》的通知--财库〔2020〕46号</w:t>
      </w:r>
    </w:p>
    <w:p w14:paraId="5A8F5AF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（2）陕西省财政厅关于印发《陕西省中小企业政府采购信用融资办法》--(陕财办采〔2018〕23号)、《关于进一步加大政府采购支持中小企业力度的通知》（财库〔2022〕19号）</w:t>
      </w:r>
    </w:p>
    <w:p w14:paraId="55E611A0">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（3）《陕西省财政厅关于进一步加大政府采购支持中小企业力度的通知》（陕财办采〔2022〕5号）、《陕西省财政厅关于落实政府采购支持中小企业政策有关事项的通知》（陕财办采函〔2022〕10号）</w:t>
      </w:r>
    </w:p>
    <w:p w14:paraId="4AD66B1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（4）《陕西省财政厅关于加快推进我省中小企业政府采购信用融资工作的通知》（陕财办采〔2020〕15号）</w:t>
      </w:r>
    </w:p>
    <w:p w14:paraId="77FC04C3">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（5）财政部司法部关于政府采购支持监狱企业发展有关问题的通知--财库〔2014〕68号 </w:t>
      </w:r>
    </w:p>
    <w:p w14:paraId="46972CF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（6）《国务院办公厅关于建立政府强制采购节能产品制度的通知》--国办发〔2007〕51号 </w:t>
      </w:r>
    </w:p>
    <w:p w14:paraId="4A5B1A03">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（7）《财政部发展改革委生态环境部市场监督总局关于调整优化节能产品、环境标志产品政府采购执行机制的通知》--（财库[2019]9号） </w:t>
      </w:r>
    </w:p>
    <w:p w14:paraId="6FCB69A4">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（8）《市场监督总局关于发布参与实施政府采购节能产品、环境标志产品认证机构名录的公告》--2019年第16号</w:t>
      </w:r>
    </w:p>
    <w:p w14:paraId="41526701">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（9）《财政部民政部中国残疾人联合会关于促进残疾人就业政府采购政策的通知》--（财库〔2017〕141号）</w:t>
      </w:r>
    </w:p>
    <w:p w14:paraId="46CCA9C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(10）《财政部国务院扶贫办关于运用政府采购政策支持脱贫攻坚的通知》（财库〔2019〕27号）</w:t>
      </w:r>
    </w:p>
    <w:p w14:paraId="36A285F8">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（11）《关于进一步加强政府绿色采购有关问题的通知》（陕财办采〔2021〕29号）</w:t>
      </w:r>
    </w:p>
    <w:p w14:paraId="1482B43A">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（12）如有最新颁布的政府采购政策，按最新的文件执行。</w:t>
      </w:r>
    </w:p>
    <w:p w14:paraId="5D99287C">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2、获取竞争性磋商文件时（9：00—12：00，14：00--17：00（节假日除外））请携带有效的单位介绍信及被介绍人身份证复印件，加盖供应商公章（鲜章）,可自带 U 盘拷贝电子文件（本项目仅支持现场报名获取，谢绝邮寄）。</w:t>
      </w:r>
    </w:p>
    <w:p w14:paraId="28139E45">
      <w:pPr>
        <w:keepNext w:val="0"/>
        <w:keepLines w:val="0"/>
        <w:pageBreakBefore w:val="0"/>
        <w:widowControl/>
        <w:kinsoku/>
        <w:overflowPunct/>
        <w:autoSpaceDE/>
        <w:autoSpaceDN/>
        <w:bidi w:val="0"/>
        <w:spacing w:line="360" w:lineRule="auto"/>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八、凡对本次采购提出询问，请按以下方式联系。</w:t>
      </w:r>
    </w:p>
    <w:p w14:paraId="29292FA8">
      <w:pPr>
        <w:keepNext w:val="0"/>
        <w:keepLines w:val="0"/>
        <w:pageBreakBefore w:val="0"/>
        <w:widowControl/>
        <w:kinsoku/>
        <w:overflowPunct/>
        <w:autoSpaceDE/>
        <w:autoSpaceDN/>
        <w:bidi w:val="0"/>
        <w:spacing w:line="360" w:lineRule="auto"/>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1.釆购人信息</w:t>
      </w:r>
    </w:p>
    <w:p w14:paraId="54AE36B8">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韩城市疾病预防控制中心</w:t>
      </w:r>
    </w:p>
    <w:p w14:paraId="1C067542">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韩城市新城区普照路东段</w:t>
      </w:r>
    </w:p>
    <w:p w14:paraId="2C0E9942">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val="en-US" w:eastAsia="zh-CN"/>
          <w14:textFill>
            <w14:solidFill>
              <w14:schemeClr w14:val="tx1"/>
            </w14:solidFill>
          </w14:textFill>
        </w:rPr>
        <w:t>0913-5210060</w:t>
      </w:r>
    </w:p>
    <w:p w14:paraId="7911EC35">
      <w:pPr>
        <w:keepNext w:val="0"/>
        <w:keepLines w:val="0"/>
        <w:pageBreakBefore w:val="0"/>
        <w:widowControl/>
        <w:kinsoku/>
        <w:overflowPunct/>
        <w:autoSpaceDE/>
        <w:autoSpaceDN/>
        <w:bidi w:val="0"/>
        <w:spacing w:line="360" w:lineRule="auto"/>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2.釆购代理机构信息</w:t>
      </w:r>
    </w:p>
    <w:p w14:paraId="0F20008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p w14:paraId="211D55BC">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地址：西安市朱雀大街南段1号汇成天玺C座18层</w:t>
      </w:r>
    </w:p>
    <w:p w14:paraId="0E598414">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029-87592321</w:t>
      </w:r>
    </w:p>
    <w:p w14:paraId="61780742">
      <w:pPr>
        <w:keepNext w:val="0"/>
        <w:keepLines w:val="0"/>
        <w:pageBreakBefore w:val="0"/>
        <w:widowControl/>
        <w:kinsoku/>
        <w:overflowPunct/>
        <w:autoSpaceDE/>
        <w:autoSpaceDN/>
        <w:bidi w:val="0"/>
        <w:spacing w:line="360" w:lineRule="auto"/>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3.项目联系方式 </w:t>
      </w:r>
    </w:p>
    <w:p w14:paraId="3D0A9B45">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eastAsia="zh-CN"/>
          <w14:textFill>
            <w14:solidFill>
              <w14:schemeClr w14:val="tx1"/>
            </w14:solidFill>
          </w14:textFill>
        </w:rPr>
        <w:t>秦工</w:t>
      </w:r>
    </w:p>
    <w:p w14:paraId="358F3FE1">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029-87592321</w:t>
      </w:r>
    </w:p>
    <w:p w14:paraId="18FC5607">
      <w:pPr>
        <w:widowControl/>
        <w:spacing w:line="460" w:lineRule="exact"/>
        <w:ind w:right="-197" w:rightChars="-94"/>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D9FCA7">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5.25pt;margin-top:6.6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ctY/tgAAAAJAQAA&#10;DwAAAAAAAAABACAAAAAiAAAAZHJzL2Rvd25yZXYueG1sUEsBAhQAFAAAAAgAh07iQNmWpKQZAgAA&#10;XAQAAA4AAAAAAAAAAQAgAAAAJwEAAGRycy9lMm9Eb2MueG1sUEsFBgAAAAAGAAYAWQEAALIFAAAA&#10;AA==&#10;">
                <v:fill on="t" focussize="0,0"/>
                <v:stroke color="#000000" joinstyle="miter"/>
                <v:imagedata o:title=""/>
                <o:lock v:ext="edit" aspectratio="f"/>
                <v:textbox style="mso-fit-shape-to-text:t;">
                  <w:txbxContent>
                    <w:p w14:paraId="64D9FCA7">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49C439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61B23487">
      <w:pPr>
        <w:pStyle w:val="2"/>
        <w:spacing w:before="0" w:after="0" w:line="240" w:lineRule="auto"/>
        <w:jc w:val="center"/>
        <w:rPr>
          <w:rFonts w:hint="eastAsia" w:ascii="仿宋" w:hAnsi="仿宋" w:eastAsia="仿宋" w:cs="仿宋"/>
          <w:color w:val="000000" w:themeColor="text1"/>
          <w:highlight w:val="none"/>
          <w14:textFill>
            <w14:solidFill>
              <w14:schemeClr w14:val="tx1"/>
            </w14:solidFill>
          </w14:textFill>
        </w:rPr>
      </w:pPr>
      <w:bookmarkStart w:id="1" w:name="_Toc19749"/>
      <w:r>
        <w:rPr>
          <w:rFonts w:hint="eastAsia" w:ascii="仿宋" w:hAnsi="仿宋" w:eastAsia="仿宋" w:cs="仿宋"/>
          <w:color w:val="000000" w:themeColor="text1"/>
          <w:highlight w:val="none"/>
          <w14:textFill>
            <w14:solidFill>
              <w14:schemeClr w14:val="tx1"/>
            </w14:solidFill>
          </w14:textFill>
        </w:rPr>
        <w:t>第二章 供应商须知</w:t>
      </w:r>
      <w:bookmarkEnd w:id="1"/>
    </w:p>
    <w:p w14:paraId="74CC4300">
      <w:pPr>
        <w:pStyle w:val="3"/>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bookmarkStart w:id="2" w:name="_Toc1739"/>
      <w:r>
        <w:rPr>
          <w:rFonts w:hint="eastAsia" w:ascii="仿宋" w:hAnsi="仿宋" w:eastAsia="仿宋" w:cs="仿宋"/>
          <w:color w:val="000000" w:themeColor="text1"/>
          <w:sz w:val="28"/>
          <w:szCs w:val="28"/>
          <w:highlight w:val="none"/>
          <w14:textFill>
            <w14:solidFill>
              <w14:schemeClr w14:val="tx1"/>
            </w14:solidFill>
          </w14:textFill>
        </w:rPr>
        <w:t>一、供应商须知前附表</w:t>
      </w:r>
      <w:bookmarkEnd w:id="2"/>
    </w:p>
    <w:tbl>
      <w:tblPr>
        <w:tblStyle w:val="24"/>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14:paraId="6A49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14:paraId="7B683E90">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92" w:type="dxa"/>
            <w:vAlign w:val="center"/>
          </w:tcPr>
          <w:p w14:paraId="435835B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764" w:type="dxa"/>
            <w:vAlign w:val="center"/>
          </w:tcPr>
          <w:p w14:paraId="113F966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644A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65E9E8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2" w:type="dxa"/>
            <w:vAlign w:val="center"/>
          </w:tcPr>
          <w:p w14:paraId="7DDD31B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764" w:type="dxa"/>
          </w:tcPr>
          <w:p w14:paraId="1E844DF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韩城市疾病预防控制中心</w:t>
            </w:r>
          </w:p>
          <w:p w14:paraId="426F54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联系地址：韩城市新城区普照路东段</w:t>
            </w:r>
          </w:p>
          <w:p w14:paraId="3D209F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联系电话：0913-5210060</w:t>
            </w:r>
          </w:p>
        </w:tc>
      </w:tr>
      <w:tr w14:paraId="3F9B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E827F9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92" w:type="dxa"/>
            <w:vAlign w:val="center"/>
          </w:tcPr>
          <w:p w14:paraId="2CDE813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采购代理机构</w:t>
            </w:r>
          </w:p>
        </w:tc>
        <w:tc>
          <w:tcPr>
            <w:tcW w:w="6764" w:type="dxa"/>
          </w:tcPr>
          <w:p w14:paraId="44F9FCC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华招广和项目管理有限公司</w:t>
            </w:r>
          </w:p>
          <w:p w14:paraId="49519F4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地址：西安市朱雀大街南段1号汇成天玺C座18层</w:t>
            </w:r>
          </w:p>
          <w:p w14:paraId="55D46CE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秦工</w:t>
            </w:r>
          </w:p>
          <w:p w14:paraId="7627B973">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029-87592321</w:t>
            </w:r>
          </w:p>
        </w:tc>
      </w:tr>
      <w:tr w14:paraId="7352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F156E9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492" w:type="dxa"/>
            <w:vAlign w:val="center"/>
          </w:tcPr>
          <w:p w14:paraId="57DA1B0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监督管理机构</w:t>
            </w:r>
          </w:p>
        </w:tc>
        <w:tc>
          <w:tcPr>
            <w:tcW w:w="6764" w:type="dxa"/>
          </w:tcPr>
          <w:p w14:paraId="7300A0DF">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韩城市财政局</w:t>
            </w:r>
          </w:p>
        </w:tc>
      </w:tr>
      <w:tr w14:paraId="7245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14:paraId="54C6112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492" w:type="dxa"/>
            <w:vAlign w:val="center"/>
          </w:tcPr>
          <w:p w14:paraId="41FA38D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p>
        </w:tc>
        <w:tc>
          <w:tcPr>
            <w:tcW w:w="6764" w:type="dxa"/>
          </w:tcPr>
          <w:p w14:paraId="23C5B6F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5CB0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FFA1B1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492" w:type="dxa"/>
            <w:vAlign w:val="center"/>
          </w:tcPr>
          <w:p w14:paraId="5643565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服务期限、地点</w:t>
            </w:r>
          </w:p>
        </w:tc>
        <w:tc>
          <w:tcPr>
            <w:tcW w:w="6764" w:type="dxa"/>
          </w:tcPr>
          <w:p w14:paraId="2C928C2D">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1、服务期限：</w:t>
            </w:r>
            <w:r>
              <w:rPr>
                <w:rFonts w:hint="eastAsia" w:ascii="仿宋" w:hAnsi="仿宋" w:eastAsia="仿宋" w:cs="仿宋"/>
                <w:color w:val="000000" w:themeColor="text1"/>
                <w:sz w:val="24"/>
                <w:highlight w:val="none"/>
                <w:lang w:val="en-US" w:eastAsia="zh-CN"/>
                <w14:textFill>
                  <w14:solidFill>
                    <w14:schemeClr w14:val="tx1"/>
                  </w14:solidFill>
                </w14:textFill>
              </w:rPr>
              <w:t>2025年9月30日之前服务完毕</w:t>
            </w:r>
            <w:r>
              <w:rPr>
                <w:rFonts w:hint="eastAsia" w:ascii="仿宋" w:hAnsi="仿宋" w:eastAsia="仿宋" w:cs="仿宋"/>
                <w:color w:val="auto"/>
                <w:kern w:val="2"/>
                <w:sz w:val="24"/>
                <w:szCs w:val="24"/>
                <w:highlight w:val="none"/>
                <w:lang w:val="en-US" w:eastAsia="zh-CN" w:bidi="ar-SA"/>
              </w:rPr>
              <w:t>。</w:t>
            </w:r>
          </w:p>
          <w:p w14:paraId="1C5ECCD7">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2、服务地点：甲方指定地点。</w:t>
            </w:r>
          </w:p>
        </w:tc>
      </w:tr>
      <w:tr w14:paraId="020E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1A01DF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492" w:type="dxa"/>
            <w:vAlign w:val="center"/>
          </w:tcPr>
          <w:p w14:paraId="36DFA8D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联合体磋商</w:t>
            </w:r>
          </w:p>
        </w:tc>
        <w:tc>
          <w:tcPr>
            <w:tcW w:w="6764" w:type="dxa"/>
          </w:tcPr>
          <w:p w14:paraId="54B031D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14:paraId="444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2B5755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492" w:type="dxa"/>
            <w:vAlign w:val="center"/>
          </w:tcPr>
          <w:p w14:paraId="3270325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现场勘查、标前答疑会</w:t>
            </w:r>
          </w:p>
        </w:tc>
        <w:tc>
          <w:tcPr>
            <w:tcW w:w="6764" w:type="dxa"/>
            <w:vAlign w:val="center"/>
          </w:tcPr>
          <w:p w14:paraId="77AC8A0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不统一组织。供应商认为有必要可自行勘查，并承担所有费用及风险。</w:t>
            </w:r>
          </w:p>
        </w:tc>
      </w:tr>
      <w:tr w14:paraId="3CF8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19C88F8">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2492" w:type="dxa"/>
            <w:vAlign w:val="center"/>
          </w:tcPr>
          <w:p w14:paraId="49E0F84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构成竞争性磋商文件的其他文件</w:t>
            </w:r>
          </w:p>
        </w:tc>
        <w:tc>
          <w:tcPr>
            <w:tcW w:w="6764" w:type="dxa"/>
          </w:tcPr>
          <w:p w14:paraId="4C4DF09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竞争性磋商文件的澄清、修改书及有关补充通知为竞争性磋商文件的有效组成部分。</w:t>
            </w:r>
          </w:p>
        </w:tc>
      </w:tr>
      <w:tr w14:paraId="5020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40683D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2492" w:type="dxa"/>
            <w:vAlign w:val="center"/>
          </w:tcPr>
          <w:p w14:paraId="04A324D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764" w:type="dxa"/>
          </w:tcPr>
          <w:p w14:paraId="621E6F75">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自提交磋商响应文件截止之日起90个日历日。</w:t>
            </w:r>
          </w:p>
        </w:tc>
      </w:tr>
      <w:tr w14:paraId="654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8AD0F8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2492" w:type="dxa"/>
            <w:vAlign w:val="center"/>
          </w:tcPr>
          <w:p w14:paraId="0418620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764" w:type="dxa"/>
          </w:tcPr>
          <w:p w14:paraId="5FA6FDA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无</w:t>
            </w:r>
          </w:p>
        </w:tc>
      </w:tr>
      <w:tr w14:paraId="2CB2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14:paraId="506CECA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p>
          <w:p w14:paraId="50C88F8A">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2492" w:type="dxa"/>
            <w:vAlign w:val="center"/>
          </w:tcPr>
          <w:p w14:paraId="696F4B8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汇款账户</w:t>
            </w:r>
          </w:p>
        </w:tc>
        <w:tc>
          <w:tcPr>
            <w:tcW w:w="6764" w:type="dxa"/>
          </w:tcPr>
          <w:p w14:paraId="6BB22F3B">
            <w:pPr>
              <w:pStyle w:val="41"/>
              <w:spacing w:line="560" w:lineRule="exact"/>
              <w:ind w:firstLine="0" w:firstLineChars="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rPr>
              <w:t>招标服务费（交纳账户）</w:t>
            </w:r>
          </w:p>
          <w:p w14:paraId="039259B2">
            <w:pPr>
              <w:pStyle w:val="41"/>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名称：华招广和项目管理有限公司</w:t>
            </w:r>
          </w:p>
          <w:p w14:paraId="27F5FA2D">
            <w:pPr>
              <w:pStyle w:val="41"/>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开户行：中国建设银行股份有限公司西安金泰假日花城支行</w:t>
            </w:r>
          </w:p>
          <w:p w14:paraId="4B4F0B21">
            <w:pPr>
              <w:pStyle w:val="41"/>
              <w:spacing w:line="560" w:lineRule="exact"/>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帐号：6105 0186 5800 0000 0059</w:t>
            </w:r>
          </w:p>
          <w:p w14:paraId="3B36CE5E">
            <w:pPr>
              <w:pStyle w:val="41"/>
              <w:keepNext w:val="0"/>
              <w:keepLines w:val="0"/>
              <w:pageBreakBefore w:val="0"/>
              <w:kinsoku/>
              <w:wordWrap/>
              <w:overflowPunct/>
              <w:topLinePunct w:val="0"/>
              <w:autoSpaceDE/>
              <w:autoSpaceDN/>
              <w:bidi w:val="0"/>
              <w:adjustRightInd/>
              <w:spacing w:line="64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2"/>
                <w:sz w:val="24"/>
                <w:szCs w:val="24"/>
                <w:highlight w:val="none"/>
              </w:rPr>
              <w:t>注:招标服务费采用转账形式交纳。</w:t>
            </w:r>
          </w:p>
        </w:tc>
      </w:tr>
      <w:tr w14:paraId="3907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B0646A8">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2492" w:type="dxa"/>
            <w:vAlign w:val="center"/>
          </w:tcPr>
          <w:p w14:paraId="18A2D39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7D9324E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764" w:type="dxa"/>
            <w:vAlign w:val="center"/>
          </w:tcPr>
          <w:p w14:paraId="6824E0C7">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不接受备选磋商方案和多个报价。</w:t>
            </w:r>
          </w:p>
        </w:tc>
      </w:tr>
      <w:tr w14:paraId="6496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8513909">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2492" w:type="dxa"/>
            <w:vAlign w:val="center"/>
          </w:tcPr>
          <w:p w14:paraId="080B415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764" w:type="dxa"/>
            <w:vAlign w:val="center"/>
          </w:tcPr>
          <w:p w14:paraId="4CBDC4A1">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068F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28956280">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492" w:type="dxa"/>
            <w:vAlign w:val="center"/>
          </w:tcPr>
          <w:p w14:paraId="2FD6315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764" w:type="dxa"/>
            <w:vAlign w:val="center"/>
          </w:tcPr>
          <w:p w14:paraId="4BC750C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10D93A6E">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auto"/>
                <w:sz w:val="24"/>
                <w:highlight w:val="none"/>
                <w:lang w:eastAsia="zh-CN"/>
              </w:rPr>
              <w:t>用</w:t>
            </w:r>
            <w:r>
              <w:rPr>
                <w:rFonts w:hint="eastAsia" w:ascii="仿宋" w:hAnsi="仿宋" w:eastAsia="仿宋" w:cs="仿宋"/>
                <w:color w:val="auto"/>
                <w:sz w:val="24"/>
                <w:highlight w:val="none"/>
              </w:rPr>
              <w:t>U盘或移动硬盘</w:t>
            </w:r>
            <w:r>
              <w:rPr>
                <w:rFonts w:hint="eastAsia" w:ascii="仿宋" w:hAnsi="仿宋" w:eastAsia="仿宋" w:cs="仿宋"/>
                <w:color w:val="auto"/>
                <w:sz w:val="24"/>
                <w:highlight w:val="none"/>
                <w:lang w:eastAsia="zh-CN"/>
              </w:rPr>
              <w:t>拷贝</w:t>
            </w:r>
            <w:r>
              <w:rPr>
                <w:rFonts w:hint="eastAsia" w:ascii="仿宋" w:hAnsi="仿宋" w:eastAsia="仿宋" w:cs="仿宋"/>
                <w:color w:val="auto"/>
                <w:sz w:val="24"/>
                <w:highlight w:val="none"/>
              </w:rPr>
              <w:t>），电子版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文件正本的word版本及PDF版本（PDF文件为完整签字、盖章的正本扫描件）。纸质磋商响应文件均须A4纸打印（提倡双面打印），分别各自装订成册并编制目录和页码。电子版放置磋商响应文件正本标袋内。</w:t>
            </w:r>
          </w:p>
        </w:tc>
      </w:tr>
      <w:tr w14:paraId="6E0E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14:paraId="64DD629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492" w:type="dxa"/>
            <w:vAlign w:val="center"/>
          </w:tcPr>
          <w:p w14:paraId="07460EB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764" w:type="dxa"/>
            <w:vAlign w:val="center"/>
          </w:tcPr>
          <w:p w14:paraId="1E0B136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磋商报价=服务费+保险费+人员费+</w:t>
            </w:r>
            <w:r>
              <w:rPr>
                <w:rFonts w:hint="eastAsia" w:ascii="仿宋" w:hAnsi="仿宋" w:eastAsia="仿宋" w:cs="仿宋"/>
                <w:color w:val="auto"/>
                <w:sz w:val="24"/>
                <w:szCs w:val="24"/>
                <w:highlight w:val="none"/>
                <w:lang w:val="en-US" w:eastAsia="zh-CN"/>
              </w:rPr>
              <w:t>设备费+</w:t>
            </w:r>
            <w:r>
              <w:rPr>
                <w:rFonts w:hint="eastAsia" w:ascii="仿宋" w:hAnsi="仿宋" w:eastAsia="仿宋" w:cs="仿宋"/>
                <w:color w:val="auto"/>
                <w:sz w:val="24"/>
                <w:szCs w:val="24"/>
                <w:highlight w:val="none"/>
              </w:rPr>
              <w:t>其他相关伴随费用。</w:t>
            </w:r>
          </w:p>
        </w:tc>
      </w:tr>
      <w:tr w14:paraId="242E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018BE33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2492" w:type="dxa"/>
            <w:vAlign w:val="center"/>
          </w:tcPr>
          <w:p w14:paraId="467FFF7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764" w:type="dxa"/>
            <w:vAlign w:val="center"/>
          </w:tcPr>
          <w:p w14:paraId="35D4E7F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详见竞争性磋商文件第二章。</w:t>
            </w:r>
          </w:p>
        </w:tc>
      </w:tr>
      <w:tr w14:paraId="4858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33B88062">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2492" w:type="dxa"/>
            <w:vAlign w:val="center"/>
          </w:tcPr>
          <w:p w14:paraId="126B2E93">
            <w:pPr>
              <w:spacing w:line="560" w:lineRule="exact"/>
              <w:jc w:val="center"/>
              <w:rPr>
                <w:rFonts w:hint="eastAsia" w:ascii="仿宋" w:hAnsi="仿宋" w:eastAsia="仿宋" w:cs="仿宋"/>
                <w:color w:val="auto"/>
                <w:sz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信用信息</w:t>
            </w:r>
            <w:r>
              <w:rPr>
                <w:rFonts w:hint="eastAsia" w:ascii="仿宋" w:hAnsi="仿宋" w:eastAsia="仿宋" w:cs="仿宋"/>
                <w:sz w:val="24"/>
                <w:szCs w:val="24"/>
                <w:highlight w:val="none"/>
                <w:lang w:eastAsia="zh-CN"/>
              </w:rPr>
              <w:t>查询及特别说明</w:t>
            </w:r>
          </w:p>
        </w:tc>
        <w:tc>
          <w:tcPr>
            <w:tcW w:w="6764" w:type="dxa"/>
            <w:vAlign w:val="center"/>
          </w:tcPr>
          <w:p w14:paraId="56D79A43">
            <w:pPr>
              <w:pStyle w:val="43"/>
              <w:numPr>
                <w:ilvl w:val="0"/>
                <w:numId w:val="0"/>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229ABEEB">
            <w:pPr>
              <w:pStyle w:val="43"/>
              <w:numPr>
                <w:ilvl w:val="0"/>
                <w:numId w:val="0"/>
              </w:numPr>
              <w:spacing w:line="5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如在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通知书发出前出现违法失信行为，采购人仍有权利提请</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取消其</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p>
        </w:tc>
      </w:tr>
      <w:tr w14:paraId="1098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59C6D115">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2492" w:type="dxa"/>
            <w:vAlign w:val="center"/>
          </w:tcPr>
          <w:p w14:paraId="1FB6FF17">
            <w:pPr>
              <w:pageBreakBefore w:val="0"/>
              <w:kinsoku/>
              <w:wordWrap/>
              <w:overflowPunct/>
              <w:topLinePunct w:val="0"/>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trike w:val="0"/>
                <w:dstrike w:val="0"/>
                <w:color w:val="auto"/>
                <w:sz w:val="24"/>
                <w:szCs w:val="24"/>
                <w:highlight w:val="none"/>
                <w:u w:val="none"/>
                <w:lang w:eastAsia="zh-CN"/>
              </w:rPr>
              <w:t>落</w:t>
            </w:r>
            <w:r>
              <w:rPr>
                <w:rFonts w:hint="eastAsia" w:ascii="仿宋" w:hAnsi="仿宋" w:eastAsia="仿宋" w:cs="仿宋"/>
                <w:strike w:val="0"/>
                <w:dstrike w:val="0"/>
                <w:color w:val="auto"/>
                <w:sz w:val="24"/>
                <w:szCs w:val="24"/>
                <w:highlight w:val="none"/>
                <w:u w:val="none"/>
              </w:rPr>
              <w:t>实节能、环保、无线局域网认证产品政策</w:t>
            </w:r>
          </w:p>
        </w:tc>
        <w:tc>
          <w:tcPr>
            <w:tcW w:w="6764" w:type="dxa"/>
            <w:vAlign w:val="center"/>
          </w:tcPr>
          <w:p w14:paraId="660EE8ED">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29A09AB1">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2.本项目采购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 w:val="24"/>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 w:val="24"/>
                <w:szCs w:val="24"/>
                <w:highlight w:val="none"/>
                <w:u w:val="none"/>
              </w:rPr>
              <w:t>，否则作无效响应处理。</w:t>
            </w:r>
          </w:p>
          <w:p w14:paraId="4684B670">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 w:val="24"/>
                <w:szCs w:val="24"/>
                <w:highlight w:val="none"/>
                <w:u w:val="none"/>
                <w:lang w:eastAsia="zh-CN"/>
              </w:rPr>
            </w:pPr>
            <w:r>
              <w:rPr>
                <w:rFonts w:hint="eastAsia" w:ascii="仿宋" w:hAnsi="仿宋" w:eastAsia="仿宋" w:cs="仿宋"/>
                <w:strike w:val="0"/>
                <w:dstrike w:val="0"/>
                <w:color w:val="auto"/>
                <w:sz w:val="24"/>
                <w:szCs w:val="24"/>
                <w:highlight w:val="none"/>
                <w:u w:val="none"/>
              </w:rPr>
              <w:t xml:space="preserve"> 3.本项目采购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产品属于环境标志产品政府采购品目清单中应优先采购的产品范围，</w:t>
            </w:r>
            <w:r>
              <w:rPr>
                <w:rFonts w:hint="eastAsia" w:ascii="仿宋" w:hAnsi="仿宋" w:eastAsia="仿宋" w:cs="仿宋"/>
                <w:strike w:val="0"/>
                <w:dstrike w:val="0"/>
                <w:color w:val="auto"/>
                <w:sz w:val="24"/>
                <w:szCs w:val="24"/>
                <w:highlight w:val="none"/>
                <w:u w:val="none"/>
                <w:lang w:eastAsia="zh-CN"/>
              </w:rPr>
              <w:t>评审得分相同的，按供应商提供的优先采购产品认证证书数量由多到少顺序排列。</w:t>
            </w:r>
          </w:p>
          <w:p w14:paraId="62DDFC91">
            <w:pPr>
              <w:pStyle w:val="43"/>
              <w:pageBreakBefore w:val="0"/>
              <w:numPr>
                <w:ilvl w:val="0"/>
                <w:numId w:val="0"/>
              </w:numPr>
              <w:kinsoku/>
              <w:wordWrap/>
              <w:overflowPunct/>
              <w:topLinePunct w:val="0"/>
              <w:autoSpaceDE/>
              <w:autoSpaceDN/>
              <w:bidi w:val="0"/>
              <w:spacing w:line="640" w:lineRule="exact"/>
              <w:ind w:left="0" w:leftChars="0" w:firstLine="0" w:firstLineChars="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5703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693098F6">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492" w:type="dxa"/>
            <w:vAlign w:val="center"/>
          </w:tcPr>
          <w:p w14:paraId="48DB03A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其它事项</w:t>
            </w:r>
          </w:p>
        </w:tc>
        <w:tc>
          <w:tcPr>
            <w:tcW w:w="6764" w:type="dxa"/>
            <w:vAlign w:val="center"/>
          </w:tcPr>
          <w:p w14:paraId="7630C5F3">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招标活动。</w:t>
            </w:r>
          </w:p>
        </w:tc>
      </w:tr>
      <w:tr w14:paraId="2FBD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25D22B0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20</w:t>
            </w:r>
          </w:p>
        </w:tc>
        <w:tc>
          <w:tcPr>
            <w:tcW w:w="2492" w:type="dxa"/>
            <w:vAlign w:val="center"/>
          </w:tcPr>
          <w:p w14:paraId="642C41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eastAsia="zh-CN"/>
              </w:rPr>
              <w:t>本项目是否专门面向中小企业</w:t>
            </w:r>
          </w:p>
        </w:tc>
        <w:tc>
          <w:tcPr>
            <w:tcW w:w="6764" w:type="dxa"/>
            <w:vAlign w:val="center"/>
          </w:tcPr>
          <w:p w14:paraId="64AF7F45">
            <w:pPr>
              <w:pStyle w:val="43"/>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000000"/>
                <w:kern w:val="2"/>
                <w:sz w:val="24"/>
                <w:szCs w:val="24"/>
                <w:highlight w:val="none"/>
                <w:lang w:eastAsia="zh-CN"/>
              </w:rPr>
              <w:t>☑是</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lang w:eastAsia="zh-CN"/>
              </w:rPr>
              <w:t>□否</w:t>
            </w:r>
          </w:p>
        </w:tc>
      </w:tr>
      <w:tr w14:paraId="387C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79A91C6D">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2492" w:type="dxa"/>
            <w:vAlign w:val="center"/>
          </w:tcPr>
          <w:p w14:paraId="24287BA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本项目所属行业</w:t>
            </w:r>
          </w:p>
        </w:tc>
        <w:tc>
          <w:tcPr>
            <w:tcW w:w="6764" w:type="dxa"/>
            <w:vAlign w:val="center"/>
          </w:tcPr>
          <w:p w14:paraId="25ACE376">
            <w:pPr>
              <w:pStyle w:val="43"/>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rPr>
            </w:pPr>
            <w:r>
              <w:rPr>
                <w:rFonts w:hint="default" w:ascii="仿宋" w:hAnsi="仿宋" w:eastAsia="仿宋" w:cs="仿宋"/>
                <w:color w:val="auto"/>
                <w:kern w:val="2"/>
                <w:sz w:val="24"/>
                <w:szCs w:val="24"/>
                <w:highlight w:val="none"/>
                <w:lang w:val="en-US" w:eastAsia="zh-CN"/>
              </w:rPr>
              <w:t>其他未列明行业</w:t>
            </w:r>
          </w:p>
        </w:tc>
      </w:tr>
    </w:tbl>
    <w:p w14:paraId="1363F985">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bookmarkStart w:id="3" w:name="_Toc12152"/>
      <w:r>
        <w:rPr>
          <w:rFonts w:hint="eastAsia" w:ascii="仿宋" w:hAnsi="仿宋" w:eastAsia="仿宋" w:cs="仿宋"/>
          <w:color w:val="000000" w:themeColor="text1"/>
          <w:kern w:val="0"/>
          <w:sz w:val="28"/>
          <w:szCs w:val="28"/>
          <w:highlight w:val="none"/>
          <w14:textFill>
            <w14:solidFill>
              <w14:schemeClr w14:val="tx1"/>
            </w14:solidFill>
          </w14:textFill>
        </w:rPr>
        <w:t>二、项目说明</w:t>
      </w:r>
      <w:bookmarkEnd w:id="3"/>
    </w:p>
    <w:p w14:paraId="2CA93301">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1、本项目说明详见供应商须知前附表。</w:t>
      </w:r>
    </w:p>
    <w:p w14:paraId="4578CA47">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14:paraId="51AC407C">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4" w:name="_Toc458848734"/>
      <w:bookmarkStart w:id="5" w:name="_Toc458848819"/>
      <w:bookmarkStart w:id="6" w:name="_Toc458848967"/>
      <w:bookmarkStart w:id="7" w:name="_Toc24776"/>
      <w:r>
        <w:rPr>
          <w:rFonts w:hint="eastAsia" w:ascii="仿宋" w:hAnsi="仿宋" w:eastAsia="仿宋" w:cs="仿宋"/>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14:paraId="7D38F2C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1、竞争性磋商文件购买：供应商须经过正常渠道购买竞争性磋商文件，且供应商名称与登记领取竞争性磋商文件的单位名称一致，否则将作为无效响应处理。</w:t>
      </w:r>
    </w:p>
    <w:p w14:paraId="3ECA554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2、竞争性磋商文件由竞争性磋商文件目录前五章组成。</w:t>
      </w:r>
    </w:p>
    <w:p w14:paraId="6B1DD4F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3、供应商应详细阅读和充分理解竞争性磋商文件所有的事项、格式、条款和规范要求等，在竞争性磋商响应文件中对竞争性磋商文件的各方面都做出实质性的响应，按照竞争性磋商文件的要求提交全部资料。</w:t>
      </w:r>
    </w:p>
    <w:p w14:paraId="72F66E5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4、竞争性磋商文件的澄清或修改：</w:t>
      </w:r>
    </w:p>
    <w:p w14:paraId="519026B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62526D9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06FC16D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5、供应商若对磋商文件有任何疑问，可以以书面形式向采购代理机构提出询问。</w:t>
      </w:r>
    </w:p>
    <w:p w14:paraId="435384D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6、供应商认为竞争性磋商文件使自己的权益受到损害的，在收到竞争性磋商文件之日起七个工作日内，以书面形式向采购代理机构提出质疑，逾期提出的无效，因此带来的一切不利后果由供应商自负。</w:t>
      </w:r>
    </w:p>
    <w:p w14:paraId="7B29A7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73BD22A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8、供应商必须从采购代理机构购买竞争性磋商文件，供应商自行转让或复制竞争性磋商文件视为无效。竞争性磋商文件售后不退，仅作为本次采购使用。</w:t>
      </w:r>
    </w:p>
    <w:p w14:paraId="4A3482A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9、如发现竞争性磋商文件内容与现行法律法规不相符的情况，以现行法律法规为准。</w:t>
      </w:r>
    </w:p>
    <w:p w14:paraId="7512D8C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10、现场勘查、标前答疑会：见须知前附表。</w:t>
      </w:r>
    </w:p>
    <w:p w14:paraId="66269FAA">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8" w:name="_Toc458848820"/>
      <w:bookmarkStart w:id="9" w:name="_Toc458848735"/>
      <w:bookmarkStart w:id="10" w:name="_Toc1600"/>
      <w:bookmarkStart w:id="11" w:name="_Toc458848968"/>
      <w:r>
        <w:rPr>
          <w:rFonts w:hint="eastAsia" w:ascii="仿宋" w:hAnsi="仿宋" w:eastAsia="仿宋" w:cs="仿宋"/>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14:paraId="2A2017BD">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、竞争性磋商响应文件的组成</w:t>
      </w:r>
    </w:p>
    <w:p w14:paraId="0F1A998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-1、竞争性磋商函（格式）</w:t>
      </w:r>
    </w:p>
    <w:p w14:paraId="4FD648F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-2、磋商报价一览表（格式）</w:t>
      </w:r>
    </w:p>
    <w:p w14:paraId="194D812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w:t>
      </w:r>
    </w:p>
    <w:p w14:paraId="23C3DD1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646AB83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2DD8AA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44096FE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5C2F595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lang w:eastAsia="zh-CN"/>
          <w14:textFill>
            <w14:solidFill>
              <w14:schemeClr w14:val="tx1"/>
            </w14:solidFill>
          </w14:textFill>
        </w:rPr>
        <w:t>、服务方案</w:t>
      </w:r>
    </w:p>
    <w:p w14:paraId="62AAC21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1-9、人员及服务能力</w:t>
      </w:r>
    </w:p>
    <w:p w14:paraId="7EDE5CA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1-10、质量保证承诺</w:t>
      </w:r>
    </w:p>
    <w:p w14:paraId="284B57A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1-11、合理化建议</w:t>
      </w:r>
    </w:p>
    <w:p w14:paraId="1D3077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1-12、履约承诺</w:t>
      </w:r>
    </w:p>
    <w:p w14:paraId="7AD775A0">
      <w:pPr>
        <w:pageBreakBefore w:val="0"/>
        <w:kinsoku/>
        <w:wordWrap/>
        <w:topLinePunct w:val="0"/>
        <w:autoSpaceDE/>
        <w:autoSpaceDN/>
        <w:bidi w:val="0"/>
        <w:spacing w:line="64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1-13、服务承诺</w:t>
      </w:r>
    </w:p>
    <w:p w14:paraId="4D64561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磋商文件要求的其他资料及供应商认为需要提供的文件和资料。</w:t>
      </w:r>
    </w:p>
    <w:p w14:paraId="793E3E2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、竞争性磋商响应文件编写说明</w:t>
      </w:r>
    </w:p>
    <w:p w14:paraId="700AA8E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-1、竞争性磋商响应文件格式：竞争性磋商响应文件应当按照竞争性磋商文件给定的格式和要求编制，格式之外的可自行编写。</w:t>
      </w:r>
    </w:p>
    <w:p w14:paraId="1EE5910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副本可以是正本的复印件。如果正本与副本不一致，以正本为准。</w:t>
      </w:r>
    </w:p>
    <w:p w14:paraId="1400872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-3、除供应商对错误处需修改外，全套竞争性磋商响应文件应无涂改或行间插字或增删。如有修改，修改处应加盖供应商公章及法定代表人或被授权人签字（或盖章）确认。</w:t>
      </w:r>
    </w:p>
    <w:p w14:paraId="314B700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-4、竞争性磋商响应文件的正本和副本均需打印或用不褪色、不变质的墨水书写。因字迹潦草或表达不清所引起的后果由供应商自行负责。</w:t>
      </w:r>
    </w:p>
    <w:p w14:paraId="6848B93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-5、竞争性磋商响应文件电子版内容须与竞争性磋商响应文件纸质版正本中的内容一致。</w:t>
      </w:r>
    </w:p>
    <w:p w14:paraId="4F3262B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、磋商文件的装订及密封</w:t>
      </w:r>
    </w:p>
    <w:p w14:paraId="442F203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54071FC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000000" w:themeColor="text1"/>
          <w:sz w:val="24"/>
          <w:highlight w:val="none"/>
          <w:lang w:eastAsia="zh-CN"/>
          <w14:textFill>
            <w14:solidFill>
              <w14:schemeClr w14:val="tx1"/>
            </w14:solidFill>
          </w14:textFill>
        </w:rPr>
        <w:t>用</w:t>
      </w:r>
      <w:r>
        <w:rPr>
          <w:rFonts w:hint="eastAsia" w:ascii="仿宋" w:hAnsi="仿宋" w:eastAsia="仿宋" w:cs="仿宋"/>
          <w:color w:val="000000" w:themeColor="text1"/>
          <w:sz w:val="24"/>
          <w:highlight w:val="none"/>
          <w14:textFill>
            <w14:solidFill>
              <w14:schemeClr w14:val="tx1"/>
            </w14:solidFill>
          </w14:textFill>
        </w:rPr>
        <w:t>U盘或移动硬盘</w:t>
      </w:r>
      <w:r>
        <w:rPr>
          <w:rFonts w:hint="eastAsia" w:ascii="仿宋" w:hAnsi="仿宋" w:eastAsia="仿宋" w:cs="仿宋"/>
          <w:color w:val="000000" w:themeColor="text1"/>
          <w:sz w:val="24"/>
          <w:highlight w:val="none"/>
          <w:lang w:eastAsia="zh-CN"/>
          <w14:textFill>
            <w14:solidFill>
              <w14:schemeClr w14:val="tx1"/>
            </w14:solidFill>
          </w14:textFill>
        </w:rPr>
        <w:t>拷贝</w:t>
      </w:r>
      <w:r>
        <w:rPr>
          <w:rFonts w:hint="eastAsia" w:ascii="仿宋" w:hAnsi="仿宋" w:eastAsia="仿宋" w:cs="仿宋"/>
          <w:color w:val="000000" w:themeColor="text1"/>
          <w:sz w:val="24"/>
          <w:highlight w:val="none"/>
          <w14:textFill>
            <w14:solidFill>
              <w14:schemeClr w14:val="tx1"/>
            </w14:solidFill>
          </w14:textFill>
        </w:rPr>
        <w:t>），电子版</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文件提供</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文件正本的word版本及PDF版本（PDF文件为完整签字、盖章的正本扫描件）。纸质磋商响应文件均须A4纸打印（提倡双面打印），分别各自装订成册并编制目录和页码。电子版放置磋商响应文件正本标袋内。</w:t>
      </w:r>
    </w:p>
    <w:p w14:paraId="6E26689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、竞争性磋商响应文件的计量单位</w:t>
      </w:r>
    </w:p>
    <w:p w14:paraId="332B0D5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竞争性磋商响应文件中所使用的计量单位，除有特殊要求外，均采用国家法定计量单位。</w:t>
      </w:r>
    </w:p>
    <w:p w14:paraId="20BAC1C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、磋商报价</w:t>
      </w:r>
    </w:p>
    <w:p w14:paraId="5F8E0BF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本项目为交钥匙项目。</w:t>
      </w:r>
      <w:r>
        <w:rPr>
          <w:rFonts w:hint="eastAsia" w:ascii="仿宋" w:hAnsi="仿宋" w:eastAsia="仿宋" w:cs="仿宋"/>
          <w:color w:val="000000" w:themeColor="text1"/>
          <w:sz w:val="24"/>
          <w:highlight w:val="none"/>
          <w14:textFill>
            <w14:solidFill>
              <w14:schemeClr w14:val="tx1"/>
            </w14:solidFill>
          </w14:textFill>
        </w:rPr>
        <w:t>磋商报价=服务费+保险费+人员费+</w:t>
      </w:r>
      <w:r>
        <w:rPr>
          <w:rFonts w:hint="eastAsia" w:ascii="仿宋" w:hAnsi="仿宋" w:eastAsia="仿宋" w:cs="仿宋"/>
          <w:color w:val="000000" w:themeColor="text1"/>
          <w:sz w:val="24"/>
          <w:highlight w:val="none"/>
          <w:lang w:val="en-US" w:eastAsia="zh-CN"/>
          <w14:textFill>
            <w14:solidFill>
              <w14:schemeClr w14:val="tx1"/>
            </w14:solidFill>
          </w14:textFill>
        </w:rPr>
        <w:t>设备费+</w:t>
      </w:r>
      <w:r>
        <w:rPr>
          <w:rFonts w:hint="eastAsia" w:ascii="仿宋" w:hAnsi="仿宋" w:eastAsia="仿宋" w:cs="仿宋"/>
          <w:color w:val="000000" w:themeColor="text1"/>
          <w:sz w:val="24"/>
          <w:highlight w:val="none"/>
          <w14:textFill>
            <w14:solidFill>
              <w14:schemeClr w14:val="tx1"/>
            </w14:solidFill>
          </w14:textFill>
        </w:rPr>
        <w:t>其他相关伴随费用</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1A8AC0E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-2、供应商所报的磋商价在合同执行过程中是固定不变的，不得以任何理由予以变更。任何包含价格调整要求的磋商，将被认为是非响应性磋商而予以拒绝。</w:t>
      </w:r>
    </w:p>
    <w:p w14:paraId="66D2493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5-3、</w:t>
      </w:r>
      <w:r>
        <w:rPr>
          <w:rFonts w:hint="eastAsia" w:ascii="仿宋" w:hAnsi="仿宋" w:eastAsia="仿宋" w:cs="仿宋"/>
          <w:color w:val="000000" w:themeColor="text1"/>
          <w:sz w:val="24"/>
          <w:highlight w:val="none"/>
          <w14:textFill>
            <w14:solidFill>
              <w14:schemeClr w14:val="tx1"/>
            </w14:solidFill>
          </w14:textFill>
        </w:rPr>
        <w:t>不接受超过</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中规定的预算金额或者最高限价的报价、可变动性报价、赠送及“零”报价，否则视为无效投标。</w:t>
      </w:r>
    </w:p>
    <w:p w14:paraId="08FF1A8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、各供应商的其他要求：</w:t>
      </w:r>
    </w:p>
    <w:p w14:paraId="7930110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-1、供应商不得以他人名义磋商和串通磋商。</w:t>
      </w:r>
    </w:p>
    <w:p w14:paraId="6D449C6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-2、必须根据竞争性磋商文件要求进行服务；</w:t>
      </w:r>
    </w:p>
    <w:p w14:paraId="79343DAB">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-3、非经采购人同意，不得将本项目内容进行分包实施，一经发现，立即取消其成交资格，并承担由此引起的一切经济损失；经采购人同意，成交人可以依法采取分包方式履行合同。</w:t>
      </w:r>
    </w:p>
    <w:p w14:paraId="2B8B0111">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-4、接受采购人委托的相关单位对服务内容、质量、进度、实施方案、价款支付与结算等的监督和管理。</w:t>
      </w:r>
    </w:p>
    <w:p w14:paraId="1151D5AE">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-5、供应商应保证在本项目使用的任何服务的任何一部分，不会产生因第三方提出的侵犯其专利权、商标权、著作权或其它知识产权而引起的法律和经济纠纷，由此引起的纠纷，由供应商承担所有相关责任；</w:t>
      </w:r>
    </w:p>
    <w:p w14:paraId="76319F0F">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41E2CE1F">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-7、供应商不能以“赠送”、“赠予”等任何名义提供货物和服务规避竞争性磋商文件的约束。否则，将作为无效响应文件处理。供应商的行为将作为以不正当手段排挤其他供应商认定。</w:t>
      </w:r>
    </w:p>
    <w:p w14:paraId="40811F90">
      <w:pPr>
        <w:pStyle w:val="3"/>
        <w:pageBreakBefore w:val="0"/>
        <w:kinsoku/>
        <w:overflowPunct/>
        <w:autoSpaceDE/>
        <w:autoSpaceDN/>
        <w:bidi w:val="0"/>
        <w:adjustRightInd/>
        <w:snapToGrid/>
        <w:spacing w:before="0" w:after="0" w:line="560" w:lineRule="exact"/>
        <w:textAlignment w:val="auto"/>
        <w:rPr>
          <w:rFonts w:hint="eastAsia" w:ascii="仿宋" w:hAnsi="仿宋" w:eastAsia="仿宋" w:cs="仿宋"/>
          <w:color w:val="auto"/>
          <w:kern w:val="0"/>
          <w:sz w:val="28"/>
          <w:szCs w:val="28"/>
          <w:highlight w:val="none"/>
        </w:rPr>
      </w:pPr>
      <w:bookmarkStart w:id="12" w:name="_Toc458848736"/>
      <w:bookmarkStart w:id="13" w:name="_Toc458848969"/>
      <w:bookmarkStart w:id="14" w:name="_Toc3854"/>
      <w:bookmarkStart w:id="15" w:name="_Toc458848821"/>
      <w:bookmarkStart w:id="16" w:name="_Toc14492"/>
      <w:bookmarkStart w:id="17" w:name="_Toc5793"/>
      <w:bookmarkStart w:id="18" w:name="_Toc458848970"/>
      <w:bookmarkStart w:id="19" w:name="_Toc458848737"/>
      <w:bookmarkStart w:id="20" w:name="_Toc458848822"/>
      <w:r>
        <w:rPr>
          <w:rFonts w:hint="eastAsia" w:ascii="仿宋" w:hAnsi="仿宋" w:eastAsia="仿宋" w:cs="仿宋"/>
          <w:color w:val="auto"/>
          <w:kern w:val="0"/>
          <w:sz w:val="28"/>
          <w:szCs w:val="28"/>
          <w:highlight w:val="none"/>
        </w:rPr>
        <w:t>五、磋商担保</w:t>
      </w:r>
      <w:bookmarkEnd w:id="12"/>
      <w:bookmarkEnd w:id="13"/>
      <w:bookmarkEnd w:id="14"/>
      <w:bookmarkEnd w:id="15"/>
    </w:p>
    <w:bookmarkEnd w:id="16"/>
    <w:p w14:paraId="53339DDB">
      <w:pPr>
        <w:pageBreakBefore w:val="0"/>
        <w:kinsoku/>
        <w:overflowPunct/>
        <w:autoSpaceDE/>
        <w:autoSpaceDN/>
        <w:bidi w:val="0"/>
        <w:adjustRightInd/>
        <w:snapToGrid/>
        <w:spacing w:line="560" w:lineRule="exact"/>
        <w:ind w:firstLine="560" w:firstLineChars="200"/>
        <w:textAlignment w:val="auto"/>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无</w:t>
      </w:r>
    </w:p>
    <w:p w14:paraId="6C919901">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kern w:val="0"/>
          <w:sz w:val="28"/>
          <w:szCs w:val="28"/>
          <w:highlight w:val="none"/>
          <w14:textFill>
            <w14:solidFill>
              <w14:schemeClr w14:val="tx1"/>
            </w14:solidFill>
          </w14:textFill>
        </w:rPr>
        <w:t>、磋商响应</w:t>
      </w:r>
      <w:bookmarkEnd w:id="17"/>
      <w:bookmarkEnd w:id="18"/>
      <w:bookmarkEnd w:id="19"/>
      <w:bookmarkEnd w:id="20"/>
    </w:p>
    <w:p w14:paraId="5619CE0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文件的递交：</w:t>
      </w:r>
    </w:p>
    <w:p w14:paraId="58FDDFE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供应商应按规定的时间、地点，于磋商截止时间前递交竞争性磋商响应文件；</w:t>
      </w:r>
    </w:p>
    <w:p w14:paraId="439C11E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1-2、逾</w:t>
      </w:r>
      <w:r>
        <w:rPr>
          <w:rFonts w:hint="eastAsia" w:ascii="仿宋" w:hAnsi="仿宋" w:eastAsia="仿宋" w:cs="仿宋"/>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仿宋" w:hAnsi="仿宋" w:eastAsia="仿宋" w:cs="仿宋"/>
          <w:color w:val="000000" w:themeColor="text1"/>
          <w:sz w:val="24"/>
          <w:highlight w:val="none"/>
          <w:lang w:eastAsia="zh-CN"/>
          <w14:textFill>
            <w14:solidFill>
              <w14:schemeClr w14:val="tx1"/>
            </w14:solidFill>
          </w14:textFill>
        </w:rPr>
        <w:t>；</w:t>
      </w:r>
    </w:p>
    <w:p w14:paraId="32BC370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、本次磋商不接受邮寄的磋商响应文件。</w:t>
      </w:r>
    </w:p>
    <w:p w14:paraId="354EEE2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响应文件的补充、修改与撤回：</w:t>
      </w:r>
    </w:p>
    <w:p w14:paraId="50DCDF8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284F9BB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14:paraId="3E11557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14:paraId="7AB3B65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2-4、磋商截止时间之后，供应商不得补充、修改竞争性磋商响应文件；</w:t>
      </w:r>
    </w:p>
    <w:p w14:paraId="1C65024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2-5、在磋商截止时间至磋商响应有效期满之前，供应商不得撤回其竞争性磋商响应文件。</w:t>
      </w:r>
    </w:p>
    <w:p w14:paraId="2B3F99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、竞争性磋商响应有效期：</w:t>
      </w:r>
    </w:p>
    <w:p w14:paraId="6251142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14:paraId="5DAE6FB1">
      <w:pPr>
        <w:pStyle w:val="41"/>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3-2、在原有有效期结束前，采购代理机构可要求供应商延长竞争性磋商响应有效期。拒绝延长有效期的供应商不得参与该项目后续采购活动。同意延长有效期的供应商不得修改竞争性磋商响应文件的实质性内容。</w:t>
      </w:r>
    </w:p>
    <w:p w14:paraId="68C60EB0">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w:t>
      </w:r>
      <w:r>
        <w:rPr>
          <w:rFonts w:hint="eastAsia" w:ascii="仿宋" w:hAnsi="仿宋" w:eastAsia="仿宋" w:cs="仿宋"/>
          <w:color w:val="000000" w:themeColor="text1"/>
          <w:kern w:val="2"/>
          <w:sz w:val="24"/>
          <w:szCs w:val="24"/>
          <w:highlight w:val="none"/>
          <w14:textFill>
            <w14:solidFill>
              <w14:schemeClr w14:val="tx1"/>
            </w14:solidFill>
          </w14:textFill>
        </w:rPr>
        <w:t>有下列情形之一的，属于恶意串通，对其依照《中华人民共和国政府采购法》</w:t>
      </w:r>
    </w:p>
    <w:p w14:paraId="7D4B2440">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第七十七条第一款的规定追究法律责任，响应无效：</w:t>
      </w:r>
    </w:p>
    <w:p w14:paraId="099C0AE5">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14:paraId="098EB13E">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4-2、供应商按照采购人或采购代理机构的授意撤换、修改磋商响应文件；</w:t>
      </w:r>
    </w:p>
    <w:p w14:paraId="1ABF3590">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4-3、供应商之间协商报价、技术方案等磋商响应文件的实质性内容；</w:t>
      </w:r>
    </w:p>
    <w:p w14:paraId="1740FA03">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14:paraId="20203B4C">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4-5、供应商之间事先约定由某一特定供应商成交；</w:t>
      </w:r>
    </w:p>
    <w:p w14:paraId="29F82ABB">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4-6、供应商之间商定部分供应商放弃参加政府采购活动或放弃成交；</w:t>
      </w:r>
    </w:p>
    <w:p w14:paraId="5865D0DC">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14:paraId="51BE6D65">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5、有下列情形之一的，视为供应商串通磋商，其响应无效：</w:t>
      </w:r>
    </w:p>
    <w:p w14:paraId="779AFF96">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5-1、不同供应商的磋商响应文件由同一单位或者个人编制；</w:t>
      </w:r>
    </w:p>
    <w:p w14:paraId="1EB14272">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5-2、不同供应商委托同一单位或者个人办理磋商事宜；</w:t>
      </w:r>
    </w:p>
    <w:p w14:paraId="4C83F935">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5-3、不同供应商的磋商响应文件载明的项目管理成员或者联系人为同一人；</w:t>
      </w:r>
    </w:p>
    <w:p w14:paraId="4BB25A81">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5-4、不同供应商的磋商响应文件异常一致或者磋商报价呈现规律性差异；</w:t>
      </w:r>
    </w:p>
    <w:p w14:paraId="3CF22B67">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5-5、不同供应商的磋商响应文件相互混装；</w:t>
      </w:r>
    </w:p>
    <w:p w14:paraId="32B99660">
      <w:pPr>
        <w:pStyle w:val="41"/>
        <w:pageBreakBefore w:val="0"/>
        <w:kinsoku/>
        <w:wordWrap/>
        <w:topLinePunct w:val="0"/>
        <w:autoSpaceDE/>
        <w:autoSpaceDN/>
        <w:bidi w:val="0"/>
        <w:spacing w:line="640" w:lineRule="exact"/>
        <w:ind w:firstLine="0" w:firstLineChars="0"/>
        <w:textAlignment w:val="auto"/>
        <w:outlineLvl w:val="1"/>
        <w:rPr>
          <w:rFonts w:hint="eastAsia" w:ascii="仿宋" w:hAnsi="仿宋" w:eastAsia="仿宋" w:cs="仿宋"/>
          <w:b/>
          <w:bCs/>
          <w:color w:val="000000" w:themeColor="text1"/>
          <w:szCs w:val="28"/>
          <w:highlight w:val="none"/>
          <w14:textFill>
            <w14:solidFill>
              <w14:schemeClr w14:val="tx1"/>
            </w14:solidFill>
          </w14:textFill>
        </w:rPr>
      </w:pPr>
      <w:bookmarkStart w:id="21" w:name="_Toc458848738"/>
      <w:bookmarkStart w:id="22" w:name="_Toc458848823"/>
      <w:bookmarkStart w:id="23" w:name="_Toc23636"/>
      <w:bookmarkStart w:id="24" w:name="_Toc10685"/>
      <w:r>
        <w:rPr>
          <w:rFonts w:hint="eastAsia" w:ascii="仿宋" w:hAnsi="仿宋" w:eastAsia="仿宋" w:cs="仿宋"/>
          <w:b/>
          <w:bCs/>
          <w:color w:val="000000" w:themeColor="text1"/>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Cs w:val="28"/>
          <w:highlight w:val="none"/>
          <w14:textFill>
            <w14:solidFill>
              <w14:schemeClr w14:val="tx1"/>
            </w14:solidFill>
          </w14:textFill>
        </w:rPr>
        <w:t>、</w:t>
      </w:r>
      <w:bookmarkEnd w:id="21"/>
      <w:bookmarkEnd w:id="22"/>
      <w:bookmarkEnd w:id="23"/>
      <w:bookmarkEnd w:id="24"/>
      <w:r>
        <w:rPr>
          <w:rFonts w:hint="eastAsia" w:ascii="仿宋" w:hAnsi="仿宋" w:eastAsia="仿宋" w:cs="仿宋"/>
          <w:b/>
          <w:bCs/>
          <w:color w:val="000000" w:themeColor="text1"/>
          <w:szCs w:val="28"/>
          <w:highlight w:val="none"/>
          <w:lang w:eastAsia="zh-CN"/>
          <w14:textFill>
            <w14:solidFill>
              <w14:schemeClr w14:val="tx1"/>
            </w14:solidFill>
          </w14:textFill>
        </w:rPr>
        <w:t>开标</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资格审查、磋商</w:t>
      </w:r>
      <w:r>
        <w:rPr>
          <w:rFonts w:hint="eastAsia" w:ascii="仿宋" w:hAnsi="仿宋" w:eastAsia="仿宋" w:cs="仿宋"/>
          <w:b/>
          <w:bCs/>
          <w:color w:val="000000" w:themeColor="text1"/>
          <w:szCs w:val="28"/>
          <w:highlight w:val="none"/>
          <w14:textFill>
            <w14:solidFill>
              <w14:schemeClr w14:val="tx1"/>
            </w14:solidFill>
          </w14:textFill>
        </w:rPr>
        <w:t>评审及定标</w:t>
      </w:r>
    </w:p>
    <w:p w14:paraId="6B00E14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开标</w:t>
      </w:r>
    </w:p>
    <w:p w14:paraId="08EAE66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1-1、采购代理机构按竞争性磋商文件规定的时间、地点组织磋商。</w:t>
      </w:r>
    </w:p>
    <w:p w14:paraId="0E6685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1-2、所有参会人员应签名报到，以证明其出席。供应商未参加磋商的，视同认可磋商结果。</w:t>
      </w:r>
    </w:p>
    <w:p w14:paraId="56D977A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14:paraId="4D28876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仿宋" w:hAnsi="仿宋" w:eastAsia="仿宋" w:cs="仿宋"/>
          <w:color w:val="000000" w:themeColor="text1"/>
          <w:sz w:val="24"/>
          <w:highlight w:val="none"/>
          <w:lang w:eastAsia="zh-CN"/>
          <w14:textFill>
            <w14:solidFill>
              <w14:schemeClr w14:val="tx1"/>
            </w14:solidFill>
          </w14:textFill>
        </w:rPr>
        <w:t>。</w:t>
      </w:r>
    </w:p>
    <w:p w14:paraId="7ECAB9F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、主持人宣布磋商会议结束，所有供应商离场。</w:t>
      </w:r>
    </w:p>
    <w:p w14:paraId="6A1FC77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、采购代理机构对磋商过程进行摄像、文字记录，并存档备查。</w:t>
      </w:r>
    </w:p>
    <w:p w14:paraId="39B78ED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14:paraId="3D92AA8C">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2、资格性审查</w:t>
      </w:r>
    </w:p>
    <w:p w14:paraId="6FF481E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磋商会议结束后，</w:t>
      </w:r>
      <w:r>
        <w:rPr>
          <w:rFonts w:hint="eastAsia" w:ascii="仿宋" w:hAnsi="仿宋" w:eastAsia="仿宋" w:cs="仿宋"/>
          <w:b/>
          <w:bCs w:val="0"/>
          <w:color w:val="000000" w:themeColor="text1"/>
          <w:sz w:val="24"/>
          <w:highlight w:val="none"/>
          <w:lang w:eastAsia="zh-CN"/>
          <w14:textFill>
            <w14:solidFill>
              <w14:schemeClr w14:val="tx1"/>
            </w14:solidFill>
          </w14:textFill>
        </w:rPr>
        <w:t>由采购人</w:t>
      </w:r>
      <w:r>
        <w:rPr>
          <w:rFonts w:hint="eastAsia" w:ascii="仿宋" w:hAnsi="仿宋" w:eastAsia="仿宋" w:cs="仿宋"/>
          <w:b/>
          <w:bCs w:val="0"/>
          <w:color w:val="000000" w:themeColor="text1"/>
          <w:sz w:val="24"/>
          <w:highlight w:val="none"/>
          <w14:textFill>
            <w14:solidFill>
              <w14:schemeClr w14:val="tx1"/>
            </w14:solidFill>
          </w14:textFill>
        </w:rPr>
        <w:t>依法对供应商的资格进行审查，缺项或一项不符合要求即</w:t>
      </w:r>
      <w:r>
        <w:rPr>
          <w:rFonts w:hint="eastAsia" w:ascii="仿宋" w:hAnsi="仿宋" w:eastAsia="仿宋" w:cs="仿宋"/>
          <w:b/>
          <w:bCs w:val="0"/>
          <w:color w:val="000000" w:themeColor="text1"/>
          <w:sz w:val="24"/>
          <w:highlight w:val="none"/>
          <w:lang w:eastAsia="zh-CN"/>
          <w14:textFill>
            <w14:solidFill>
              <w14:schemeClr w14:val="tx1"/>
            </w14:solidFill>
          </w14:textFill>
        </w:rPr>
        <w:t>不合格，不合格的供应商其响应无效。资格证明文件须装订在每份</w:t>
      </w:r>
      <w:r>
        <w:rPr>
          <w:rFonts w:hint="eastAsia" w:ascii="仿宋" w:hAnsi="仿宋" w:eastAsia="仿宋" w:cs="仿宋"/>
          <w:b/>
          <w:bCs w:val="0"/>
          <w:color w:val="000000" w:themeColor="text1"/>
          <w:sz w:val="24"/>
          <w:highlight w:val="none"/>
          <w:lang w:val="en-US" w:eastAsia="zh-CN"/>
          <w14:textFill>
            <w14:solidFill>
              <w14:schemeClr w14:val="tx1"/>
            </w14:solidFill>
          </w14:textFill>
        </w:rPr>
        <w:t>响应</w:t>
      </w:r>
      <w:r>
        <w:rPr>
          <w:rFonts w:hint="eastAsia" w:ascii="仿宋" w:hAnsi="仿宋" w:eastAsia="仿宋" w:cs="仿宋"/>
          <w:b/>
          <w:bCs w:val="0"/>
          <w:color w:val="000000" w:themeColor="text1"/>
          <w:sz w:val="24"/>
          <w:highlight w:val="none"/>
          <w:lang w:eastAsia="zh-CN"/>
          <w14:textFill>
            <w14:solidFill>
              <w14:schemeClr w14:val="tx1"/>
            </w14:solidFill>
          </w14:textFill>
        </w:rPr>
        <w:t>文件中。资格审查以</w:t>
      </w:r>
      <w:r>
        <w:rPr>
          <w:rFonts w:hint="eastAsia" w:ascii="仿宋" w:hAnsi="仿宋" w:eastAsia="仿宋" w:cs="仿宋"/>
          <w:b/>
          <w:bCs w:val="0"/>
          <w:color w:val="000000" w:themeColor="text1"/>
          <w:sz w:val="24"/>
          <w:highlight w:val="none"/>
          <w:lang w:val="en-US" w:eastAsia="zh-CN"/>
          <w14:textFill>
            <w14:solidFill>
              <w14:schemeClr w14:val="tx1"/>
            </w14:solidFill>
          </w14:textFill>
        </w:rPr>
        <w:t>响应</w:t>
      </w:r>
      <w:r>
        <w:rPr>
          <w:rFonts w:hint="eastAsia" w:ascii="仿宋" w:hAnsi="仿宋" w:eastAsia="仿宋" w:cs="仿宋"/>
          <w:b/>
          <w:bCs w:val="0"/>
          <w:color w:val="000000" w:themeColor="text1"/>
          <w:sz w:val="24"/>
          <w:highlight w:val="none"/>
          <w:lang w:eastAsia="zh-CN"/>
          <w14:textFill>
            <w14:solidFill>
              <w14:schemeClr w14:val="tx1"/>
            </w14:solidFill>
          </w14:textFill>
        </w:rPr>
        <w:t>文件“正本”为准</w:t>
      </w:r>
      <w:r>
        <w:rPr>
          <w:rFonts w:hint="eastAsia" w:ascii="仿宋" w:hAnsi="仿宋" w:eastAsia="仿宋" w:cs="仿宋"/>
          <w:b/>
          <w:bCs w:val="0"/>
          <w:color w:val="000000" w:themeColor="text1"/>
          <w:sz w:val="24"/>
          <w:highlight w:val="none"/>
          <w14:textFill>
            <w14:solidFill>
              <w14:schemeClr w14:val="tx1"/>
            </w14:solidFill>
          </w14:textFill>
        </w:rPr>
        <w:t>：</w:t>
      </w:r>
    </w:p>
    <w:p w14:paraId="5AFF12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（1）、基本资格条件：符合《中华人民共和国政府采购法》第二十二条的规定； </w:t>
      </w:r>
    </w:p>
    <w:p w14:paraId="0DAC508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4AB6F3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w:t>
      </w:r>
      <w:r>
        <w:rPr>
          <w:rFonts w:hint="eastAsia" w:ascii="仿宋" w:hAnsi="仿宋" w:eastAsia="仿宋" w:cs="仿宋"/>
          <w:b w:val="0"/>
          <w:bCs/>
          <w:color w:val="000000" w:themeColor="text1"/>
          <w:sz w:val="24"/>
          <w:highlight w:val="none"/>
          <w:lang w:eastAsia="zh-CN"/>
          <w14:textFill>
            <w14:solidFill>
              <w14:schemeClr w14:val="tx1"/>
            </w14:solidFill>
          </w14:textFill>
        </w:rPr>
        <w:t>、财务状况报告：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7162DED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w:t>
      </w:r>
      <w:r>
        <w:rPr>
          <w:rFonts w:hint="eastAsia" w:ascii="仿宋" w:hAnsi="仿宋" w:eastAsia="仿宋" w:cs="仿宋"/>
          <w:b w:val="0"/>
          <w:bCs/>
          <w:color w:val="000000" w:themeColor="text1"/>
          <w:sz w:val="24"/>
          <w:highlight w:val="none"/>
          <w:lang w:eastAsia="zh-CN"/>
          <w14:textFill>
            <w14:solidFill>
              <w14:schemeClr w14:val="tx1"/>
            </w14:solidFill>
          </w14:textFill>
        </w:rPr>
        <w:t>税收缴纳证明：提供2024年1月1日至今任意一个月已缴纳的纳税证明或完税证明（包含增值税、企业所得税、营业税至少一种）；（依法免税的投标人应提供相关文件证明）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2AD6CA8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社会保障资金缴纳证明：提供2024年1月1日至今任意一个月的社保缴费凭据或社保机构开具的社会保险参保缴费情况证明；（依法不需要缴纳社会保障资金的投标人应提供相关证明）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1914CD7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5、提供具有履行本合同所必需的设备和专业技术能力的说明及承诺；（格式自拟，加盖供应商公章） </w:t>
      </w:r>
    </w:p>
    <w:p w14:paraId="63637C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6、提供参加政府采购活动前三年内在经营活动中没有重大违法记录的书面声明。（格式自拟，加盖供应商公章） </w:t>
      </w:r>
    </w:p>
    <w:p w14:paraId="4B61F6F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（2）、落实政府采购政策满足的资格要求：</w:t>
      </w:r>
    </w:p>
    <w:p w14:paraId="7D56563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本项目专门面向中小企业采购；须符合《政府采购促进中小企业发展管理办法》（财库〔2020〕46号）规定的中小企业参加；(提供《中小企业声明函》，式样见竞争性磋商响应文件格式)</w:t>
      </w:r>
    </w:p>
    <w:p w14:paraId="5AAA74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14:textFill>
            <w14:solidFill>
              <w14:schemeClr w14:val="tx1"/>
            </w14:solidFill>
          </w14:textFill>
        </w:rPr>
        <w:t xml:space="preserve">）、特定资格条件： </w:t>
      </w:r>
    </w:p>
    <w:p w14:paraId="7D92219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p>
    <w:p w14:paraId="379D4AD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2、被授权人参与磋商时需提供法定代表人或负责人授权委托书（附法定代表人或负责人及被授权人身份证复印件）；（被授权人须提供身份证原件，身份证原件可由本人持有） </w:t>
      </w:r>
    </w:p>
    <w:p w14:paraId="581FA39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3、供应商</w:t>
      </w:r>
      <w:r>
        <w:rPr>
          <w:rFonts w:hint="eastAsia" w:ascii="仿宋" w:hAnsi="仿宋" w:eastAsia="仿宋" w:cs="仿宋"/>
          <w:b w:val="0"/>
          <w:bCs/>
          <w:color w:val="000000" w:themeColor="text1"/>
          <w:sz w:val="24"/>
          <w:highlight w:val="none"/>
          <w14:textFill>
            <w14:solidFill>
              <w14:schemeClr w14:val="tx1"/>
            </w14:solidFill>
          </w14:textFill>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48CF1E7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14:textFill>
            <w14:solidFill>
              <w14:schemeClr w14:val="tx1"/>
            </w14:solidFill>
          </w14:textFill>
        </w:rPr>
        <w:t xml:space="preserve">、单位负责人为同一人或者存在直接控股、管理关系的不同供应商，不得参加同一合同项下的政府采购活动；（提供书面承诺函，格式自拟加盖供应商公章） </w:t>
      </w:r>
    </w:p>
    <w:p w14:paraId="35CEA1A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5、供应商须具备CMA检验检测机构资质认定证书；</w:t>
      </w:r>
    </w:p>
    <w:p w14:paraId="05024C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6、本项目不接受联合体磋商（提供非联合体声明，格式自拟加盖供应商公章）。</w:t>
      </w:r>
    </w:p>
    <w:p w14:paraId="7C76DEA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磋商</w:t>
      </w:r>
      <w:r>
        <w:rPr>
          <w:rFonts w:hint="eastAsia" w:ascii="仿宋" w:hAnsi="仿宋" w:eastAsia="仿宋" w:cs="仿宋"/>
          <w:b/>
          <w:color w:val="000000" w:themeColor="text1"/>
          <w:sz w:val="24"/>
          <w:highlight w:val="none"/>
          <w14:textFill>
            <w14:solidFill>
              <w14:schemeClr w14:val="tx1"/>
            </w14:solidFill>
          </w14:textFill>
        </w:rPr>
        <w:t>评审</w:t>
      </w:r>
    </w:p>
    <w:p w14:paraId="76833F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-1、磋商小组</w:t>
      </w:r>
    </w:p>
    <w:p w14:paraId="0561EA1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Start w:id="25" w:name="OLE_LINK4"/>
      <w:bookmarkStart w:id="26" w:name="OLE_LINK14"/>
      <w:r>
        <w:rPr>
          <w:rFonts w:hint="eastAsia" w:ascii="仿宋" w:hAnsi="仿宋" w:eastAsia="仿宋" w:cs="仿宋"/>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14:paraId="3B8C799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（2）采购人可派代表进入磋商小组，并向采购代理机构出具授权函。</w:t>
      </w:r>
      <w:bookmarkEnd w:id="25"/>
    </w:p>
    <w:p w14:paraId="4925A14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6"/>
    <w:p w14:paraId="1B7083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（4）磋商小组成员应当遵守并履行下列职责义务：</w:t>
      </w:r>
    </w:p>
    <w:p w14:paraId="3ED48EB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14:paraId="6898AB8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b、符合性审查、评价磋商响应文件是否符合磋商文件的商务、技术等实质性要求；</w:t>
      </w:r>
    </w:p>
    <w:p w14:paraId="5CA3915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c、要求供应商对磋商响应文件有关事项作出澄清或者说明；</w:t>
      </w:r>
    </w:p>
    <w:p w14:paraId="1F376DF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d、对磋商响应文件进行比较和评价；</w:t>
      </w:r>
    </w:p>
    <w:p w14:paraId="1273BC9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e、推荐成交候选单位名单，对磋商意见承担个人责任；</w:t>
      </w:r>
    </w:p>
    <w:p w14:paraId="14A5560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f、拟定磋商结果；</w:t>
      </w:r>
    </w:p>
    <w:p w14:paraId="233782B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g、对磋商过程及各供应商的商业机密予以保密；</w:t>
      </w:r>
    </w:p>
    <w:p w14:paraId="4D6A594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h、向财政部门报告在评审过程中发现的供应商的违法违规行为；</w:t>
      </w:r>
    </w:p>
    <w:p w14:paraId="3B0A6DC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i、配合采购人、采购代理机构答复各供应商提出的质疑；</w:t>
      </w:r>
    </w:p>
    <w:p w14:paraId="701F2B3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j、配合各部门的投诉处理和监督检查工作。</w:t>
      </w:r>
    </w:p>
    <w:p w14:paraId="2B43D1A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-2、在政府采购活动中，采购人员及相关人员（包括评审委员会）与供应商有下列利害关系之一的，应当回避：</w:t>
      </w:r>
    </w:p>
    <w:p w14:paraId="56B0A93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（1）参加采购活动前3年内与供应商存在劳动关系；</w:t>
      </w:r>
    </w:p>
    <w:p w14:paraId="54D7F3C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（2）参加采购活动前3年内担任供应商的董事、监事；</w:t>
      </w:r>
    </w:p>
    <w:p w14:paraId="57A982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（3）参加采购活动前3年内是供应商的控股股东或者实际控制人；</w:t>
      </w:r>
    </w:p>
    <w:p w14:paraId="48C2913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（4）与供应商的法定代表人或者负责人有夫妻、直系血亲、三代以内旁系血亲或者近姻亲关系；</w:t>
      </w:r>
    </w:p>
    <w:p w14:paraId="1A837EC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（5）与供应商有其他可能影响政府采购活动公平、公正进行的关系。</w:t>
      </w:r>
    </w:p>
    <w:p w14:paraId="6C35FE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、磋商原则：坚持公平、公正、科学、择优原则，禁止不正当竞争。</w:t>
      </w:r>
    </w:p>
    <w:p w14:paraId="53AD9FB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、评审办法：本次磋商采用综合评分法（详见本节评分标准）。</w:t>
      </w:r>
    </w:p>
    <w:p w14:paraId="551953F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、磋商工作程序</w:t>
      </w:r>
      <w:r>
        <w:rPr>
          <w:rFonts w:hint="eastAsia" w:ascii="仿宋" w:hAnsi="仿宋" w:eastAsia="仿宋" w:cs="仿宋"/>
          <w:color w:val="000000" w:themeColor="text1"/>
          <w:sz w:val="24"/>
          <w:highlight w:val="none"/>
          <w14:textFill>
            <w14:solidFill>
              <w14:schemeClr w14:val="tx1"/>
            </w14:solidFill>
          </w14:textFill>
        </w:rPr>
        <w:t>:符合性审查、澄清、评价、推荐成交候选人的工作程序进行评审。</w:t>
      </w:r>
    </w:p>
    <w:p w14:paraId="33E8147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、磋商响应文件符合性审查</w:t>
      </w:r>
    </w:p>
    <w:p w14:paraId="4DF885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44EC20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（1）供应商名称与登记领取磋商文件的单位名称不一致；</w:t>
      </w:r>
    </w:p>
    <w:p w14:paraId="106D3D8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）磋商响应文件未按照磋商文件的要求盖章签字；</w:t>
      </w:r>
    </w:p>
    <w:p w14:paraId="204AF8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）磋商响应文件不符合磋商文件要求的数量；</w:t>
      </w:r>
    </w:p>
    <w:p w14:paraId="20D5FF7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）针对同一项目提交两份或多份内容不同的磋商响应文件，未书面声明哪一份是有效的或出现选择性报价的；</w:t>
      </w:r>
    </w:p>
    <w:p w14:paraId="347EE45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）磋商报价（每轮）超过采购预算； </w:t>
      </w:r>
    </w:p>
    <w:p w14:paraId="16443E7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）磋商有效期不符合磋商文件的要求；</w:t>
      </w:r>
    </w:p>
    <w:p w14:paraId="767ADC2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）对磋商文件商务要求未作出明确且实质性响应；</w:t>
      </w:r>
    </w:p>
    <w:p w14:paraId="01A0B6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未对</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highlight w:val="none"/>
          <w14:textFill>
            <w14:solidFill>
              <w14:schemeClr w14:val="tx1"/>
            </w14:solidFill>
          </w14:textFill>
        </w:rPr>
        <w:t>作出明确响应，对不得偏离的要求未作出实质性响应</w:t>
      </w:r>
      <w:r>
        <w:rPr>
          <w:rFonts w:hint="eastAsia" w:ascii="仿宋" w:hAnsi="仿宋" w:eastAsia="仿宋" w:cs="仿宋"/>
          <w:color w:val="000000" w:themeColor="text1"/>
          <w:sz w:val="24"/>
          <w:highlight w:val="none"/>
          <w:lang w:eastAsia="zh-CN"/>
          <w14:textFill>
            <w14:solidFill>
              <w14:schemeClr w14:val="tx1"/>
            </w14:solidFill>
          </w14:textFill>
        </w:rPr>
        <w:t>；</w:t>
      </w:r>
    </w:p>
    <w:p w14:paraId="596FF31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法律、法规和</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文供规定的其他无效投标情形</w:t>
      </w:r>
      <w:r>
        <w:rPr>
          <w:rFonts w:hint="eastAsia" w:ascii="仿宋" w:hAnsi="仿宋" w:eastAsia="仿宋" w:cs="仿宋"/>
          <w:color w:val="000000" w:themeColor="text1"/>
          <w:sz w:val="24"/>
          <w:highlight w:val="none"/>
          <w:lang w:eastAsia="zh-CN"/>
          <w14:textFill>
            <w14:solidFill>
              <w14:schemeClr w14:val="tx1"/>
            </w14:solidFill>
          </w14:textFill>
        </w:rPr>
        <w:t>。</w:t>
      </w:r>
    </w:p>
    <w:p w14:paraId="0D0AAAE8">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、竞争性磋商响应文件的澄清：</w:t>
      </w:r>
    </w:p>
    <w:p w14:paraId="04C954FA">
      <w:pPr>
        <w:pageBreakBefore w:val="0"/>
        <w:kinsoku/>
        <w:wordWrap/>
        <w:overflowPunct w:val="0"/>
        <w:topLinePunct w:val="0"/>
        <w:autoSpaceDE/>
        <w:autoSpaceDN/>
        <w:bidi w:val="0"/>
        <w:adjustRightInd w:val="0"/>
        <w:snapToGrid w:val="0"/>
        <w:spacing w:line="640" w:lineRule="exact"/>
        <w:ind w:firstLine="360" w:firstLineChars="1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81D0F6">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1AB87268">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（2）书写错误的评审标准：</w:t>
      </w:r>
    </w:p>
    <w:p w14:paraId="404E6D18">
      <w:pPr>
        <w:pageBreakBefore w:val="0"/>
        <w:kinsoku/>
        <w:wordWrap/>
        <w:overflowPunct w:val="0"/>
        <w:topLinePunct w:val="0"/>
        <w:autoSpaceDE/>
        <w:autoSpaceDN/>
        <w:bidi w:val="0"/>
        <w:adjustRightInd w:val="0"/>
        <w:snapToGrid w:val="0"/>
        <w:spacing w:line="640" w:lineRule="exact"/>
        <w:ind w:firstLine="720" w:firstLineChars="3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磋商小组在评审过程中，发现竞争性磋商响应文件出现下列情况之一者，按以下原则修正：</w:t>
      </w:r>
    </w:p>
    <w:p w14:paraId="62419D7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a、磋商响应文件有关内容与“磋商报价一览表”不一致的，以“磋商报价一览表”为准；</w:t>
      </w:r>
    </w:p>
    <w:p w14:paraId="2079215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b、大写金额与小写金额不一致的，以大写金额为准；</w:t>
      </w:r>
    </w:p>
    <w:p w14:paraId="299668C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c、单价金额小数点或者百分比有明显错位的，以“磋商报价一览表”的总价为准，并修改单价；</w:t>
      </w:r>
    </w:p>
    <w:p w14:paraId="0B0F86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d、总价金额与按单价汇总金额不一致的，以单价乘以数量的计算结果为准；</w:t>
      </w:r>
    </w:p>
    <w:p w14:paraId="79C1492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e、磋商响应文件图表与文字不符时，以文字为准；</w:t>
      </w:r>
    </w:p>
    <w:p w14:paraId="029E262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f、磋商响应文件正本与副本不符时，以正本为准；</w:t>
      </w:r>
    </w:p>
    <w:p w14:paraId="5CAB7B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g、对不同文字文本磋商响应文件的解释发生异议的，以中文文本为准；</w:t>
      </w:r>
    </w:p>
    <w:p w14:paraId="0FF1C34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h、多处内容交叉不符时，以磋商小组评审结果为准。</w:t>
      </w:r>
    </w:p>
    <w:p w14:paraId="0FABEE51">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14:paraId="0DBE937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14:paraId="2576E75D">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、评议：</w:t>
      </w:r>
    </w:p>
    <w:p w14:paraId="281B2180">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14:paraId="19607A8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14:paraId="435A34C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5E550A7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（4）磋商结束后，磋商小组应当要求所有实质性响应的供应商在规定时间内提交最后报价</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报价（每轮）</w:t>
      </w:r>
      <w:r>
        <w:rPr>
          <w:rFonts w:hint="eastAsia" w:ascii="仿宋" w:hAnsi="仿宋" w:eastAsia="仿宋" w:cs="仿宋"/>
          <w:color w:val="000000" w:themeColor="text1"/>
          <w:sz w:val="24"/>
          <w:highlight w:val="none"/>
          <w:lang w:eastAsia="zh-CN"/>
          <w14:textFill>
            <w14:solidFill>
              <w14:schemeClr w14:val="tx1"/>
            </w14:solidFill>
          </w14:textFill>
        </w:rPr>
        <w:t>不得</w:t>
      </w:r>
      <w:r>
        <w:rPr>
          <w:rFonts w:hint="eastAsia" w:ascii="仿宋" w:hAnsi="仿宋" w:eastAsia="仿宋" w:cs="仿宋"/>
          <w:color w:val="000000" w:themeColor="text1"/>
          <w:sz w:val="24"/>
          <w:highlight w:val="none"/>
          <w14:textFill>
            <w14:solidFill>
              <w14:schemeClr w14:val="tx1"/>
            </w14:solidFill>
          </w14:textFill>
        </w:rPr>
        <w:t>超过采购预算</w:t>
      </w:r>
      <w:r>
        <w:rPr>
          <w:rFonts w:hint="eastAsia" w:ascii="仿宋" w:hAnsi="仿宋" w:eastAsia="仿宋" w:cs="仿宋"/>
          <w:color w:val="000000" w:themeColor="text1"/>
          <w:sz w:val="24"/>
          <w:highlight w:val="none"/>
          <w:lang w:eastAsia="zh-CN"/>
          <w14:textFill>
            <w14:solidFill>
              <w14:schemeClr w14:val="tx1"/>
            </w14:solidFill>
          </w14:textFill>
        </w:rPr>
        <w:t>，否则按无效响应处理</w:t>
      </w:r>
      <w:r>
        <w:rPr>
          <w:rFonts w:hint="eastAsia" w:ascii="仿宋" w:hAnsi="仿宋" w:eastAsia="仿宋" w:cs="仿宋"/>
          <w:color w:val="000000" w:themeColor="text1"/>
          <w:sz w:val="24"/>
          <w:highlight w:val="none"/>
          <w14:textFill>
            <w14:solidFill>
              <w14:schemeClr w14:val="tx1"/>
            </w14:solidFill>
          </w14:textFill>
        </w:rPr>
        <w:t>。</w:t>
      </w:r>
    </w:p>
    <w:p w14:paraId="11605692">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14:paraId="7311823D">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（6）其他需说明的情况：</w:t>
      </w:r>
    </w:p>
    <w:p w14:paraId="043911C9">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14:paraId="0CA29FC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b、最低报价不是成交的唯一条件；</w:t>
      </w:r>
    </w:p>
    <w:p w14:paraId="25512A7A">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14:paraId="6896983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d、无论磋商的结果如何，磋商期间一切费用自理。</w:t>
      </w:r>
    </w:p>
    <w:p w14:paraId="16A8A86E">
      <w:pPr>
        <w:spacing w:line="480" w:lineRule="exact"/>
        <w:ind w:firstLine="600" w:firstLineChars="24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 xml:space="preserve">、评分标准 </w:t>
      </w:r>
    </w:p>
    <w:tbl>
      <w:tblPr>
        <w:tblStyle w:val="2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74"/>
        <w:gridCol w:w="7186"/>
      </w:tblGrid>
      <w:tr w14:paraId="37A9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23F469A6">
            <w:pPr>
              <w:spacing w:line="560" w:lineRule="exact"/>
              <w:ind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774" w:type="dxa"/>
            <w:noWrap w:val="0"/>
            <w:vAlign w:val="center"/>
          </w:tcPr>
          <w:p w14:paraId="49D5C30C">
            <w:pPr>
              <w:spacing w:line="560" w:lineRule="exact"/>
              <w:ind w:left="-118" w:leftChars="-56"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86" w:type="dxa"/>
            <w:noWrap w:val="0"/>
            <w:vAlign w:val="center"/>
          </w:tcPr>
          <w:p w14:paraId="3EF46189">
            <w:pPr>
              <w:widowControl/>
              <w:spacing w:line="5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14:paraId="49513373">
            <w:pPr>
              <w:widowControl/>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14:paraId="4ED0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66B457E1">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服务方案</w:t>
            </w:r>
          </w:p>
        </w:tc>
        <w:tc>
          <w:tcPr>
            <w:tcW w:w="774" w:type="dxa"/>
            <w:noWrap w:val="0"/>
            <w:vAlign w:val="center"/>
          </w:tcPr>
          <w:p w14:paraId="0D971C87">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40分</w:t>
            </w:r>
          </w:p>
        </w:tc>
        <w:tc>
          <w:tcPr>
            <w:tcW w:w="7186" w:type="dxa"/>
            <w:noWrap w:val="0"/>
            <w:vAlign w:val="top"/>
          </w:tcPr>
          <w:p w14:paraId="1201C575">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服务方案科学合理、层次清楚，措施得当，根据响应程度。</w:t>
            </w:r>
          </w:p>
          <w:p w14:paraId="150B4914">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内容详细、全面的计10分；</w:t>
            </w:r>
          </w:p>
          <w:p w14:paraId="773E67BE">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内容较为详细的计7分；</w:t>
            </w:r>
          </w:p>
          <w:p w14:paraId="4B2CFB74">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内容简单一般的计5分；</w:t>
            </w:r>
          </w:p>
          <w:p w14:paraId="3E5323FB">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内容不全、有缺项的计2分；</w:t>
            </w:r>
          </w:p>
          <w:p w14:paraId="62C7321D">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p w14:paraId="1D0E8915">
            <w:pPr>
              <w:widowControl/>
              <w:numPr>
                <w:ilvl w:val="0"/>
                <w:numId w:val="0"/>
              </w:numPr>
              <w:spacing w:line="560" w:lineRule="exact"/>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对本项目实施的重点、难点给出相应的解决方案，据响应程度。内容详细、全面的计10分；</w:t>
            </w:r>
          </w:p>
          <w:p w14:paraId="512900B5">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内容较为详细的计7分；</w:t>
            </w:r>
          </w:p>
          <w:p w14:paraId="3DCD5724">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内容简单一般的计5分；</w:t>
            </w:r>
          </w:p>
          <w:p w14:paraId="0DE844DC">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内容不全、有缺项的计2分；</w:t>
            </w:r>
          </w:p>
          <w:p w14:paraId="604B8EB4">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p w14:paraId="3E529ED0">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水质检测、采样程序、水样送达实验室情况，根据响应程度。</w:t>
            </w:r>
          </w:p>
          <w:p w14:paraId="57D4E3E7">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内容详细、全面的计10分；</w:t>
            </w:r>
          </w:p>
          <w:p w14:paraId="12772119">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内容较为详细的计7分；</w:t>
            </w:r>
          </w:p>
          <w:p w14:paraId="4B3AD539">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内容简单一般的计5分；</w:t>
            </w:r>
          </w:p>
          <w:p w14:paraId="2C546197">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内容不全、有缺项的计2分；</w:t>
            </w:r>
          </w:p>
          <w:p w14:paraId="3C11F104">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p w14:paraId="716B5936">
            <w:pPr>
              <w:widowControl/>
              <w:numPr>
                <w:ilvl w:val="0"/>
                <w:numId w:val="0"/>
              </w:numPr>
              <w:spacing w:line="560" w:lineRule="exact"/>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服务检测结果保证措施、服务检测进度保证措施及进度计划。</w:t>
            </w:r>
          </w:p>
          <w:p w14:paraId="22020D2E">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内容详细、全面的计10分；</w:t>
            </w:r>
          </w:p>
          <w:p w14:paraId="29CA909D">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内容较为详细的计7分；</w:t>
            </w:r>
          </w:p>
          <w:p w14:paraId="413E675E">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内容简单一般的计5分；</w:t>
            </w:r>
          </w:p>
          <w:p w14:paraId="706CEE37">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内容不全、有缺项的计2分；</w:t>
            </w:r>
          </w:p>
          <w:p w14:paraId="6DF3C6D9">
            <w:pPr>
              <w:widowControl/>
              <w:numPr>
                <w:ilvl w:val="0"/>
                <w:numId w:val="0"/>
              </w:numPr>
              <w:spacing w:line="560" w:lineRule="exac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tc>
      </w:tr>
      <w:tr w14:paraId="423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583BCF20">
            <w:pPr>
              <w:spacing w:line="5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人员及服务能力</w:t>
            </w:r>
          </w:p>
        </w:tc>
        <w:tc>
          <w:tcPr>
            <w:tcW w:w="774" w:type="dxa"/>
            <w:noWrap w:val="0"/>
            <w:vAlign w:val="center"/>
          </w:tcPr>
          <w:p w14:paraId="12CC3CCC">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14分</w:t>
            </w:r>
          </w:p>
        </w:tc>
        <w:tc>
          <w:tcPr>
            <w:tcW w:w="7186" w:type="dxa"/>
            <w:noWrap w:val="0"/>
            <w:vAlign w:val="top"/>
          </w:tcPr>
          <w:p w14:paraId="70E8C9DD">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人员设置及人员分工安排合理、职责划分明确，具备能承担检验检测任务的专业人员，结合韩城市疾病预防控制中心此次检测服务项目做合理分配，根据人员设置及分工、分配的响应程度。</w:t>
            </w:r>
          </w:p>
          <w:p w14:paraId="43D6B9AE">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拟派人员能够充分满足本项目需求的得7分；</w:t>
            </w:r>
          </w:p>
          <w:p w14:paraId="45C4ED76">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团队组建较完整，管理较合理，具备职责分工，有一定的服务经验，能够基本符合本项目需求的得4分；</w:t>
            </w:r>
          </w:p>
          <w:p w14:paraId="62DF407B">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团队组建一般，管理及分工仅进行相关描述，仅具有经验，但不足以证明能够胜任本项目的得2分；</w:t>
            </w:r>
          </w:p>
          <w:p w14:paraId="2CC0B902">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团队组建不够合理，管理欠缺，未进行明确分工，无相关经验得1分；</w:t>
            </w:r>
          </w:p>
          <w:p w14:paraId="4BE6F0F2">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p w14:paraId="38F55C3D">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提供相应的水质检测设备及检测场地，根据检测配置、场地是否齐全、合理，能满足项目进度和服务质量要求进行赋分（提供相关设备、场地的实际使用证明材料）。</w:t>
            </w:r>
          </w:p>
          <w:p w14:paraId="4386C78B">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水质检测设备全面多样，场地宽敞、便利的计7分；</w:t>
            </w:r>
          </w:p>
          <w:p w14:paraId="02E866C4">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水质检测设备较为全面，场地较为宽敞的计4分；</w:t>
            </w:r>
          </w:p>
          <w:p w14:paraId="5715E92E">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水质检测设备配备单一，场地狭小的计1分；</w:t>
            </w:r>
          </w:p>
          <w:p w14:paraId="69519B2F">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tc>
      </w:tr>
      <w:tr w14:paraId="2804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2822B7C7">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业绩</w:t>
            </w:r>
          </w:p>
        </w:tc>
        <w:tc>
          <w:tcPr>
            <w:tcW w:w="774" w:type="dxa"/>
            <w:noWrap w:val="0"/>
            <w:vAlign w:val="center"/>
          </w:tcPr>
          <w:p w14:paraId="5E95F32D">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5分</w:t>
            </w:r>
          </w:p>
        </w:tc>
        <w:tc>
          <w:tcPr>
            <w:tcW w:w="7186" w:type="dxa"/>
            <w:noWrap w:val="0"/>
            <w:vAlign w:val="top"/>
          </w:tcPr>
          <w:p w14:paraId="1D52CB1A">
            <w:pPr>
              <w:widowControl/>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形式提供</w:t>
            </w:r>
            <w:r>
              <w:rPr>
                <w:rFonts w:hint="eastAsia" w:ascii="仿宋" w:hAnsi="仿宋" w:eastAsia="仿宋" w:cs="仿宋"/>
                <w:color w:val="auto"/>
                <w:sz w:val="24"/>
                <w:szCs w:val="24"/>
                <w:highlight w:val="none"/>
                <w:lang w:val="en-US" w:eastAsia="zh-CN"/>
              </w:rPr>
              <w:t>2022年1月1日至今同类项目业绩</w:t>
            </w:r>
            <w:r>
              <w:rPr>
                <w:rFonts w:hint="eastAsia" w:ascii="仿宋" w:hAnsi="仿宋" w:eastAsia="仿宋" w:cs="仿宋"/>
                <w:color w:val="auto"/>
                <w:sz w:val="24"/>
                <w:szCs w:val="24"/>
                <w:highlight w:val="none"/>
              </w:rPr>
              <w:t>，每份计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分，计满</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分为止；</w:t>
            </w:r>
          </w:p>
          <w:p w14:paraId="773654CF">
            <w:pPr>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需提供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合同（含首页、签字盖章页）复印件，否则业绩不予认可。</w:t>
            </w:r>
          </w:p>
        </w:tc>
      </w:tr>
      <w:tr w14:paraId="6C1A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4077434B">
            <w:pPr>
              <w:spacing w:line="4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eastAsia="zh-CN"/>
              </w:rPr>
              <w:t>质量保证承诺</w:t>
            </w:r>
          </w:p>
        </w:tc>
        <w:tc>
          <w:tcPr>
            <w:tcW w:w="774" w:type="dxa"/>
            <w:noWrap w:val="0"/>
            <w:vAlign w:val="center"/>
          </w:tcPr>
          <w:p w14:paraId="1881794B">
            <w:pPr>
              <w:spacing w:line="4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8分</w:t>
            </w:r>
          </w:p>
        </w:tc>
        <w:tc>
          <w:tcPr>
            <w:tcW w:w="7186" w:type="dxa"/>
            <w:noWrap w:val="0"/>
            <w:vAlign w:val="top"/>
          </w:tcPr>
          <w:p w14:paraId="19AEE0DB">
            <w:pPr>
              <w:numPr>
                <w:ilvl w:val="0"/>
                <w:numId w:val="0"/>
              </w:numPr>
              <w:spacing w:line="480" w:lineRule="exact"/>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lang w:eastAsia="zh-CN"/>
              </w:rPr>
              <w:t>保证承诺</w:t>
            </w:r>
            <w:r>
              <w:rPr>
                <w:rFonts w:hint="eastAsia" w:ascii="仿宋" w:hAnsi="仿宋" w:eastAsia="仿宋" w:cs="仿宋"/>
                <w:sz w:val="24"/>
                <w:szCs w:val="24"/>
                <w:highlight w:val="none"/>
              </w:rPr>
              <w:t>内容全面完整、科学合理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质量保障</w:t>
            </w:r>
            <w:r>
              <w:rPr>
                <w:rFonts w:hint="eastAsia" w:ascii="仿宋" w:hAnsi="仿宋" w:eastAsia="仿宋" w:cs="仿宋"/>
                <w:sz w:val="24"/>
                <w:szCs w:val="24"/>
                <w:highlight w:val="none"/>
                <w:lang w:eastAsia="zh-CN"/>
              </w:rPr>
              <w:t>全面、合理、有可实施性</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计</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57CF5244">
            <w:pPr>
              <w:numPr>
                <w:ilvl w:val="0"/>
                <w:numId w:val="0"/>
              </w:numPr>
              <w:spacing w:line="480" w:lineRule="exact"/>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lang w:eastAsia="zh-CN"/>
              </w:rPr>
              <w:t>保证承诺</w:t>
            </w:r>
            <w:r>
              <w:rPr>
                <w:rFonts w:hint="eastAsia" w:ascii="仿宋" w:hAnsi="仿宋" w:eastAsia="仿宋" w:cs="仿宋"/>
                <w:sz w:val="24"/>
                <w:szCs w:val="24"/>
                <w:highlight w:val="none"/>
              </w:rPr>
              <w:t>内容</w:t>
            </w:r>
            <w:r>
              <w:rPr>
                <w:rFonts w:hint="eastAsia" w:ascii="仿宋" w:hAnsi="仿宋" w:eastAsia="仿宋" w:cs="仿宋"/>
                <w:sz w:val="24"/>
                <w:szCs w:val="24"/>
                <w:highlight w:val="none"/>
                <w:lang w:val="en-US" w:eastAsia="zh-CN"/>
              </w:rPr>
              <w:t>较为</w:t>
            </w:r>
            <w:r>
              <w:rPr>
                <w:rFonts w:hint="eastAsia" w:ascii="仿宋" w:hAnsi="仿宋" w:eastAsia="仿宋" w:cs="仿宋"/>
                <w:sz w:val="24"/>
                <w:szCs w:val="24"/>
                <w:highlight w:val="none"/>
              </w:rPr>
              <w:t>全面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质量保障</w:t>
            </w:r>
            <w:r>
              <w:rPr>
                <w:rFonts w:hint="eastAsia" w:ascii="仿宋" w:hAnsi="仿宋" w:eastAsia="仿宋" w:cs="仿宋"/>
                <w:sz w:val="24"/>
                <w:szCs w:val="24"/>
                <w:highlight w:val="none"/>
                <w:lang w:val="en-US" w:eastAsia="zh-CN"/>
              </w:rPr>
              <w:t>较为</w:t>
            </w:r>
            <w:r>
              <w:rPr>
                <w:rFonts w:hint="eastAsia" w:ascii="仿宋" w:hAnsi="仿宋" w:eastAsia="仿宋" w:cs="仿宋"/>
                <w:sz w:val="24"/>
                <w:szCs w:val="24"/>
                <w:highlight w:val="none"/>
                <w:lang w:eastAsia="zh-CN"/>
              </w:rPr>
              <w:t>全面、合理</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计</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p w14:paraId="1BBE524A">
            <w:pPr>
              <w:numPr>
                <w:ilvl w:val="0"/>
                <w:numId w:val="0"/>
              </w:numPr>
              <w:spacing w:line="480" w:lineRule="exact"/>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lang w:eastAsia="zh-CN"/>
              </w:rPr>
              <w:t>保证承诺</w:t>
            </w:r>
            <w:r>
              <w:rPr>
                <w:rFonts w:hint="eastAsia" w:ascii="仿宋" w:hAnsi="仿宋" w:eastAsia="仿宋" w:cs="仿宋"/>
                <w:sz w:val="24"/>
                <w:szCs w:val="24"/>
                <w:highlight w:val="none"/>
              </w:rPr>
              <w:t>内容</w:t>
            </w:r>
            <w:r>
              <w:rPr>
                <w:rFonts w:hint="eastAsia" w:ascii="仿宋" w:hAnsi="仿宋" w:eastAsia="仿宋" w:cs="仿宋"/>
                <w:sz w:val="24"/>
                <w:szCs w:val="24"/>
                <w:highlight w:val="none"/>
                <w:lang w:val="en-US" w:eastAsia="zh-CN"/>
              </w:rPr>
              <w:t>一般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质量保障</w:t>
            </w:r>
            <w:r>
              <w:rPr>
                <w:rFonts w:hint="eastAsia" w:ascii="仿宋" w:hAnsi="仿宋" w:eastAsia="仿宋" w:cs="仿宋"/>
                <w:sz w:val="24"/>
                <w:szCs w:val="24"/>
                <w:highlight w:val="none"/>
                <w:lang w:val="en-US" w:eastAsia="zh-CN"/>
              </w:rPr>
              <w:t>一般的</w:t>
            </w:r>
            <w:r>
              <w:rPr>
                <w:rFonts w:hint="eastAsia" w:ascii="仿宋" w:hAnsi="仿宋" w:eastAsia="仿宋" w:cs="仿宋"/>
                <w:sz w:val="24"/>
                <w:szCs w:val="24"/>
                <w:highlight w:val="none"/>
              </w:rPr>
              <w:t>计</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0E5062A8">
            <w:pPr>
              <w:numPr>
                <w:ilvl w:val="0"/>
                <w:numId w:val="0"/>
              </w:numPr>
              <w:spacing w:line="48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未提供不计分</w:t>
            </w:r>
            <w:r>
              <w:rPr>
                <w:rFonts w:hint="eastAsia" w:ascii="仿宋" w:hAnsi="仿宋" w:eastAsia="仿宋" w:cs="仿宋"/>
                <w:sz w:val="24"/>
                <w:szCs w:val="24"/>
                <w:highlight w:val="none"/>
                <w:lang w:eastAsia="zh-CN"/>
              </w:rPr>
              <w:t>。</w:t>
            </w:r>
          </w:p>
        </w:tc>
      </w:tr>
      <w:tr w14:paraId="4F01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58BA58A1">
            <w:pPr>
              <w:spacing w:line="4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eastAsia="zh-CN"/>
              </w:rPr>
              <w:t>合理化建议</w:t>
            </w:r>
          </w:p>
        </w:tc>
        <w:tc>
          <w:tcPr>
            <w:tcW w:w="774" w:type="dxa"/>
            <w:noWrap w:val="0"/>
            <w:vAlign w:val="center"/>
          </w:tcPr>
          <w:p w14:paraId="4C57ED44">
            <w:pPr>
              <w:spacing w:line="46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7186" w:type="dxa"/>
            <w:noWrap w:val="0"/>
            <w:vAlign w:val="center"/>
          </w:tcPr>
          <w:p w14:paraId="2CED9BFF">
            <w:pPr>
              <w:numPr>
                <w:ilvl w:val="0"/>
                <w:numId w:val="0"/>
              </w:numPr>
              <w:spacing w:line="480" w:lineRule="exact"/>
              <w:ind w:left="0" w:leftChars="0" w:firstLine="0" w:firstLineChars="0"/>
              <w:jc w:val="both"/>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eastAsia="zh-CN"/>
              </w:rPr>
              <w:t>针对本次水质检测做出合理化建议，</w:t>
            </w:r>
            <w:r>
              <w:rPr>
                <w:rFonts w:hint="eastAsia" w:ascii="仿宋" w:hAnsi="仿宋" w:eastAsia="仿宋" w:cs="仿宋"/>
                <w:sz w:val="24"/>
                <w:highlight w:val="none"/>
              </w:rPr>
              <w:t>根据建议内容</w:t>
            </w:r>
            <w:r>
              <w:rPr>
                <w:rFonts w:hint="eastAsia" w:ascii="仿宋" w:hAnsi="仿宋" w:eastAsia="仿宋" w:cs="仿宋"/>
                <w:sz w:val="24"/>
                <w:highlight w:val="none"/>
                <w:lang w:val="en-US" w:eastAsia="zh-CN"/>
              </w:rPr>
              <w:t>的详细程度。</w:t>
            </w:r>
          </w:p>
          <w:p w14:paraId="5AB762AF">
            <w:pPr>
              <w:numPr>
                <w:ilvl w:val="0"/>
                <w:numId w:val="0"/>
              </w:numPr>
              <w:spacing w:line="480" w:lineRule="exact"/>
              <w:ind w:left="0" w:leftChars="0" w:firstLine="0" w:firstLineChars="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内容详细、全面的计6分；</w:t>
            </w:r>
          </w:p>
          <w:p w14:paraId="3666EF70">
            <w:pPr>
              <w:numPr>
                <w:ilvl w:val="0"/>
                <w:numId w:val="0"/>
              </w:numPr>
              <w:spacing w:line="480" w:lineRule="exact"/>
              <w:ind w:left="0" w:leftChars="0" w:firstLine="0" w:firstLineChars="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内容较为详细的计4分；</w:t>
            </w:r>
          </w:p>
          <w:p w14:paraId="2086C34F">
            <w:pPr>
              <w:numPr>
                <w:ilvl w:val="0"/>
                <w:numId w:val="0"/>
              </w:numPr>
              <w:spacing w:line="480" w:lineRule="exact"/>
              <w:ind w:left="0" w:leftChars="0" w:firstLine="0" w:firstLineChars="0"/>
              <w:jc w:val="both"/>
              <w:rPr>
                <w:rFonts w:hint="eastAsia" w:ascii="仿宋" w:hAnsi="仿宋" w:eastAsia="仿宋" w:cs="仿宋"/>
                <w:sz w:val="24"/>
                <w:highlight w:val="none"/>
                <w:lang w:eastAsia="zh-CN"/>
              </w:rPr>
            </w:pPr>
            <w:r>
              <w:rPr>
                <w:rFonts w:hint="eastAsia" w:ascii="仿宋" w:hAnsi="仿宋" w:eastAsia="仿宋" w:cs="仿宋"/>
                <w:kern w:val="0"/>
                <w:sz w:val="24"/>
                <w:szCs w:val="24"/>
                <w:highlight w:val="none"/>
                <w:lang w:val="en-US" w:eastAsia="zh-CN"/>
              </w:rPr>
              <w:t>内容不具体、有欠缺的计2分</w:t>
            </w:r>
            <w:r>
              <w:rPr>
                <w:rFonts w:hint="eastAsia" w:ascii="仿宋" w:hAnsi="仿宋" w:eastAsia="仿宋" w:cs="仿宋"/>
                <w:sz w:val="24"/>
                <w:highlight w:val="none"/>
                <w:lang w:eastAsia="zh-CN"/>
              </w:rPr>
              <w:t>；</w:t>
            </w:r>
          </w:p>
          <w:p w14:paraId="27764EA3">
            <w:pPr>
              <w:numPr>
                <w:ilvl w:val="0"/>
                <w:numId w:val="0"/>
              </w:numPr>
              <w:spacing w:line="48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未提供不计分。</w:t>
            </w:r>
          </w:p>
        </w:tc>
      </w:tr>
      <w:tr w14:paraId="200E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371B4A1F">
            <w:pPr>
              <w:numPr>
                <w:ilvl w:val="0"/>
                <w:numId w:val="0"/>
              </w:num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履约</w:t>
            </w:r>
          </w:p>
          <w:p w14:paraId="6917A697">
            <w:pPr>
              <w:numPr>
                <w:ilvl w:val="0"/>
                <w:numId w:val="0"/>
              </w:numPr>
              <w:spacing w:line="48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rPr>
              <w:t>能力</w:t>
            </w:r>
          </w:p>
        </w:tc>
        <w:tc>
          <w:tcPr>
            <w:tcW w:w="774" w:type="dxa"/>
            <w:noWrap w:val="0"/>
            <w:vAlign w:val="center"/>
          </w:tcPr>
          <w:p w14:paraId="220D829A">
            <w:pPr>
              <w:numPr>
                <w:ilvl w:val="0"/>
                <w:numId w:val="0"/>
              </w:numPr>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7186" w:type="dxa"/>
            <w:noWrap w:val="0"/>
            <w:vAlign w:val="center"/>
          </w:tcPr>
          <w:p w14:paraId="22C69CAF">
            <w:pPr>
              <w:numPr>
                <w:ilvl w:val="0"/>
                <w:numId w:val="0"/>
              </w:numPr>
              <w:spacing w:line="480" w:lineRule="exact"/>
              <w:ind w:left="0" w:lef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rPr>
              <w:t>履约能力</w:t>
            </w:r>
            <w:r>
              <w:rPr>
                <w:rFonts w:hint="eastAsia" w:ascii="仿宋" w:hAnsi="仿宋" w:eastAsia="仿宋" w:cs="仿宋"/>
                <w:sz w:val="24"/>
                <w:szCs w:val="24"/>
                <w:highlight w:val="none"/>
                <w:lang w:val="en-US" w:eastAsia="zh-CN"/>
              </w:rPr>
              <w:t>内容</w:t>
            </w:r>
            <w:r>
              <w:rPr>
                <w:rFonts w:hint="eastAsia" w:ascii="仿宋" w:hAnsi="仿宋" w:eastAsia="仿宋" w:cs="仿宋"/>
                <w:sz w:val="24"/>
                <w:szCs w:val="24"/>
                <w:highlight w:val="none"/>
              </w:rPr>
              <w:t>详细、具体,包括</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人员素质、管理水平</w:t>
            </w:r>
            <w:r>
              <w:rPr>
                <w:rFonts w:hint="eastAsia" w:ascii="仿宋" w:hAnsi="仿宋" w:eastAsia="仿宋" w:cs="仿宋"/>
                <w:color w:val="auto"/>
                <w:kern w:val="0"/>
                <w:sz w:val="24"/>
                <w:szCs w:val="24"/>
                <w:highlight w:val="none"/>
                <w:lang w:eastAsia="zh-CN"/>
              </w:rPr>
              <w:t>、企业文化</w:t>
            </w:r>
            <w:r>
              <w:rPr>
                <w:rFonts w:hint="eastAsia" w:ascii="仿宋" w:hAnsi="仿宋" w:eastAsia="仿宋" w:cs="仿宋"/>
                <w:color w:val="auto"/>
                <w:kern w:val="0"/>
                <w:sz w:val="24"/>
                <w:szCs w:val="24"/>
                <w:highlight w:val="none"/>
              </w:rPr>
              <w:t>等方面</w:t>
            </w:r>
            <w:r>
              <w:rPr>
                <w:rFonts w:hint="eastAsia" w:ascii="仿宋" w:hAnsi="仿宋" w:eastAsia="仿宋" w:cs="仿宋"/>
                <w:color w:val="auto"/>
                <w:kern w:val="0"/>
                <w:sz w:val="24"/>
                <w:szCs w:val="24"/>
                <w:highlight w:val="none"/>
                <w:lang w:val="en-US" w:eastAsia="zh-CN"/>
              </w:rPr>
              <w:t>进行综合比较，根据详细及响应程度。</w:t>
            </w:r>
          </w:p>
          <w:p w14:paraId="478D5AA5">
            <w:pPr>
              <w:numPr>
                <w:ilvl w:val="0"/>
                <w:numId w:val="0"/>
              </w:numPr>
              <w:spacing w:line="480" w:lineRule="exact"/>
              <w:ind w:left="0" w:leftChars="0"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内容详细、全面的计5分；</w:t>
            </w:r>
          </w:p>
          <w:p w14:paraId="2CE67E83">
            <w:pPr>
              <w:numPr>
                <w:ilvl w:val="0"/>
                <w:numId w:val="0"/>
              </w:numPr>
              <w:spacing w:line="480" w:lineRule="exact"/>
              <w:ind w:left="0" w:leftChars="0"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内容详细、全面的计3分；</w:t>
            </w:r>
          </w:p>
          <w:p w14:paraId="36DB865B">
            <w:pPr>
              <w:numPr>
                <w:ilvl w:val="0"/>
                <w:numId w:val="0"/>
              </w:numPr>
              <w:spacing w:line="480" w:lineRule="exact"/>
              <w:ind w:left="0" w:leftChars="0"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内容不具体，有缺项的计1分；</w:t>
            </w:r>
          </w:p>
          <w:p w14:paraId="55AA6BF0">
            <w:pPr>
              <w:numPr>
                <w:ilvl w:val="0"/>
                <w:numId w:val="0"/>
              </w:numPr>
              <w:spacing w:line="48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未提供不计分。</w:t>
            </w:r>
          </w:p>
        </w:tc>
      </w:tr>
      <w:tr w14:paraId="750E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6D786AC0">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w:t>
            </w:r>
          </w:p>
          <w:p w14:paraId="0FC8B3BC">
            <w:pPr>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rPr>
              <w:t>承诺</w:t>
            </w:r>
          </w:p>
        </w:tc>
        <w:tc>
          <w:tcPr>
            <w:tcW w:w="774" w:type="dxa"/>
            <w:noWrap w:val="0"/>
            <w:vAlign w:val="center"/>
          </w:tcPr>
          <w:p w14:paraId="34D19B88">
            <w:pPr>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c>
          <w:tcPr>
            <w:tcW w:w="7186" w:type="dxa"/>
            <w:noWrap w:val="0"/>
            <w:vAlign w:val="center"/>
          </w:tcPr>
          <w:p w14:paraId="77C77674">
            <w:pPr>
              <w:numPr>
                <w:ilvl w:val="0"/>
                <w:numId w:val="0"/>
              </w:numPr>
              <w:spacing w:line="480" w:lineRule="exact"/>
              <w:jc w:val="left"/>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针对本采购项目及采购人实际需求提供详细具体可行的服务承诺</w:t>
            </w:r>
            <w:r>
              <w:rPr>
                <w:rFonts w:hint="eastAsia" w:ascii="仿宋" w:hAnsi="仿宋" w:eastAsia="仿宋" w:cs="仿宋"/>
                <w:sz w:val="24"/>
                <w:szCs w:val="24"/>
                <w:highlight w:val="none"/>
                <w:lang w:eastAsia="zh-CN"/>
              </w:rPr>
              <w:t>。</w:t>
            </w:r>
          </w:p>
          <w:p w14:paraId="5B9BDE41">
            <w:pPr>
              <w:numPr>
                <w:ilvl w:val="0"/>
                <w:numId w:val="0"/>
              </w:numPr>
              <w:spacing w:line="48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承诺全面、合理、有可实施性</w:t>
            </w:r>
            <w:r>
              <w:rPr>
                <w:rFonts w:hint="eastAsia" w:ascii="仿宋" w:hAnsi="仿宋" w:eastAsia="仿宋" w:cs="仿宋"/>
                <w:sz w:val="24"/>
                <w:szCs w:val="24"/>
                <w:highlight w:val="none"/>
                <w:lang w:val="en-US" w:eastAsia="zh-CN"/>
              </w:rPr>
              <w:t>计6分</w:t>
            </w:r>
            <w:r>
              <w:rPr>
                <w:rFonts w:hint="eastAsia" w:ascii="仿宋" w:hAnsi="仿宋" w:eastAsia="仿宋" w:cs="仿宋"/>
                <w:sz w:val="24"/>
                <w:szCs w:val="24"/>
                <w:highlight w:val="none"/>
                <w:lang w:eastAsia="zh-CN"/>
              </w:rPr>
              <w:t>；</w:t>
            </w:r>
          </w:p>
          <w:p w14:paraId="6962CD6B">
            <w:pPr>
              <w:numPr>
                <w:ilvl w:val="0"/>
                <w:numId w:val="0"/>
              </w:numPr>
              <w:spacing w:line="48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承诺</w:t>
            </w:r>
            <w:r>
              <w:rPr>
                <w:rFonts w:hint="eastAsia" w:ascii="仿宋" w:hAnsi="仿宋" w:eastAsia="仿宋" w:cs="仿宋"/>
                <w:sz w:val="24"/>
                <w:szCs w:val="24"/>
                <w:highlight w:val="none"/>
                <w:lang w:val="en-US" w:eastAsia="zh-CN"/>
              </w:rPr>
              <w:t>较为</w:t>
            </w:r>
            <w:r>
              <w:rPr>
                <w:rFonts w:hint="eastAsia" w:ascii="仿宋" w:hAnsi="仿宋" w:eastAsia="仿宋" w:cs="仿宋"/>
                <w:sz w:val="24"/>
                <w:szCs w:val="24"/>
                <w:highlight w:val="none"/>
                <w:lang w:eastAsia="zh-CN"/>
              </w:rPr>
              <w:t>全面、合理、可实施性</w:t>
            </w:r>
            <w:r>
              <w:rPr>
                <w:rFonts w:hint="eastAsia" w:ascii="仿宋" w:hAnsi="仿宋" w:eastAsia="仿宋" w:cs="仿宋"/>
                <w:sz w:val="24"/>
                <w:szCs w:val="24"/>
                <w:highlight w:val="none"/>
                <w:lang w:val="en-US" w:eastAsia="zh-CN"/>
              </w:rPr>
              <w:t>较弱计3分</w:t>
            </w:r>
            <w:r>
              <w:rPr>
                <w:rFonts w:hint="eastAsia" w:ascii="仿宋" w:hAnsi="仿宋" w:eastAsia="仿宋" w:cs="仿宋"/>
                <w:sz w:val="24"/>
                <w:szCs w:val="24"/>
                <w:highlight w:val="none"/>
                <w:lang w:eastAsia="zh-CN"/>
              </w:rPr>
              <w:t>；</w:t>
            </w:r>
          </w:p>
          <w:p w14:paraId="67039C60">
            <w:pPr>
              <w:numPr>
                <w:ilvl w:val="0"/>
                <w:numId w:val="0"/>
              </w:numPr>
              <w:spacing w:line="48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承诺</w:t>
            </w:r>
            <w:r>
              <w:rPr>
                <w:rFonts w:hint="eastAsia" w:ascii="仿宋" w:hAnsi="仿宋" w:eastAsia="仿宋" w:cs="仿宋"/>
                <w:kern w:val="0"/>
                <w:sz w:val="24"/>
                <w:szCs w:val="24"/>
                <w:highlight w:val="none"/>
                <w:lang w:val="en-US" w:eastAsia="zh-CN"/>
              </w:rPr>
              <w:t>内容不具体，有缺项的计1分；</w:t>
            </w:r>
          </w:p>
          <w:p w14:paraId="6331119F">
            <w:pPr>
              <w:numPr>
                <w:ilvl w:val="0"/>
                <w:numId w:val="0"/>
              </w:numPr>
              <w:spacing w:line="48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未提供不计分。</w:t>
            </w:r>
          </w:p>
          <w:p w14:paraId="27D3C92C">
            <w:pPr>
              <w:numPr>
                <w:ilvl w:val="0"/>
                <w:numId w:val="1"/>
              </w:numPr>
              <w:spacing w:line="480" w:lineRule="exact"/>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具有良好的服务能力，完备的策略和服务体系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服务能力</w:t>
            </w:r>
            <w:r>
              <w:rPr>
                <w:rFonts w:hint="eastAsia" w:ascii="仿宋" w:hAnsi="仿宋" w:eastAsia="仿宋" w:cs="仿宋"/>
                <w:sz w:val="24"/>
                <w:szCs w:val="24"/>
                <w:highlight w:val="none"/>
                <w:lang w:eastAsia="zh-CN"/>
              </w:rPr>
              <w:t>优秀、可实施性</w:t>
            </w:r>
            <w:r>
              <w:rPr>
                <w:rFonts w:hint="eastAsia" w:ascii="仿宋" w:hAnsi="仿宋" w:eastAsia="仿宋" w:cs="仿宋"/>
                <w:sz w:val="24"/>
                <w:szCs w:val="24"/>
                <w:highlight w:val="none"/>
                <w:lang w:val="en-US" w:eastAsia="zh-CN"/>
              </w:rPr>
              <w:t>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计6分</w:t>
            </w:r>
            <w:r>
              <w:rPr>
                <w:rFonts w:hint="eastAsia" w:ascii="仿宋" w:hAnsi="仿宋" w:eastAsia="仿宋" w:cs="仿宋"/>
                <w:sz w:val="24"/>
                <w:szCs w:val="24"/>
                <w:highlight w:val="none"/>
                <w:lang w:eastAsia="zh-CN"/>
              </w:rPr>
              <w:t>；</w:t>
            </w:r>
          </w:p>
          <w:p w14:paraId="5CE73439">
            <w:pPr>
              <w:numPr>
                <w:ilvl w:val="0"/>
                <w:numId w:val="0"/>
              </w:numPr>
              <w:spacing w:line="480" w:lineRule="exact"/>
              <w:ind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服务能力</w:t>
            </w:r>
            <w:r>
              <w:rPr>
                <w:rFonts w:hint="eastAsia" w:ascii="仿宋" w:hAnsi="仿宋" w:eastAsia="仿宋" w:cs="仿宋"/>
                <w:sz w:val="24"/>
                <w:szCs w:val="24"/>
                <w:highlight w:val="none"/>
                <w:lang w:val="en-US" w:eastAsia="zh-CN"/>
              </w:rPr>
              <w:t>较为全面</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策略和服务体系</w:t>
            </w:r>
            <w:r>
              <w:rPr>
                <w:rFonts w:hint="eastAsia" w:ascii="仿宋" w:hAnsi="仿宋" w:eastAsia="仿宋" w:cs="仿宋"/>
                <w:sz w:val="24"/>
                <w:szCs w:val="24"/>
                <w:highlight w:val="none"/>
                <w:lang w:val="en-US" w:eastAsia="zh-CN"/>
              </w:rPr>
              <w:t>较为完善的计3分</w:t>
            </w:r>
            <w:r>
              <w:rPr>
                <w:rFonts w:hint="eastAsia" w:ascii="仿宋" w:hAnsi="仿宋" w:eastAsia="仿宋" w:cs="仿宋"/>
                <w:sz w:val="24"/>
                <w:szCs w:val="24"/>
                <w:highlight w:val="none"/>
                <w:lang w:eastAsia="zh-CN"/>
              </w:rPr>
              <w:t>；</w:t>
            </w:r>
          </w:p>
          <w:p w14:paraId="13DED2DE">
            <w:pPr>
              <w:numPr>
                <w:ilvl w:val="0"/>
                <w:numId w:val="0"/>
              </w:numPr>
              <w:spacing w:line="480" w:lineRule="exact"/>
              <w:ind w:leftChars="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服务能力</w:t>
            </w:r>
            <w:r>
              <w:rPr>
                <w:rFonts w:hint="eastAsia" w:ascii="仿宋" w:hAnsi="仿宋" w:eastAsia="仿宋" w:cs="仿宋"/>
                <w:sz w:val="24"/>
                <w:szCs w:val="24"/>
                <w:highlight w:val="none"/>
                <w:lang w:val="en-US" w:eastAsia="zh-CN"/>
              </w:rPr>
              <w:t>一般</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策略和服务体系</w:t>
            </w:r>
            <w:r>
              <w:rPr>
                <w:rFonts w:hint="eastAsia" w:ascii="仿宋" w:hAnsi="仿宋" w:eastAsia="仿宋" w:cs="仿宋"/>
                <w:sz w:val="24"/>
                <w:szCs w:val="24"/>
                <w:highlight w:val="none"/>
                <w:lang w:val="en-US" w:eastAsia="zh-CN"/>
              </w:rPr>
              <w:t>一般，可实施性较弱计1分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未提供不计分。</w:t>
            </w:r>
          </w:p>
        </w:tc>
      </w:tr>
    </w:tbl>
    <w:p w14:paraId="6CD96531">
      <w:pPr>
        <w:widowControl/>
        <w:autoSpaceDE w:val="0"/>
        <w:autoSpaceDN w:val="0"/>
        <w:spacing w:line="560" w:lineRule="exact"/>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注：1）评委打分超过得分界限或未按本方法赋分时，该评委的打分按废票处理。</w:t>
      </w:r>
    </w:p>
    <w:p w14:paraId="0DEE3688">
      <w:pPr>
        <w:widowControl/>
        <w:autoSpaceDE w:val="0"/>
        <w:autoSpaceDN w:val="0"/>
        <w:spacing w:line="560" w:lineRule="exact"/>
        <w:ind w:firstLine="480"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2）各种计算数字均保 留两位小数，第三位“四舍五入”。</w:t>
      </w:r>
    </w:p>
    <w:p w14:paraId="13530CC3">
      <w:pPr>
        <w:spacing w:line="56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3）特殊情况处理：</w:t>
      </w:r>
    </w:p>
    <w:p w14:paraId="4AB4C50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a、若出现综合得分相同的，最后磋商报价得分高者为第一成交候选供应商，若综合评分和最后磋商报价的得分均相同的，服务</w:t>
      </w:r>
      <w:r>
        <w:rPr>
          <w:rFonts w:hint="eastAsia" w:ascii="仿宋" w:hAnsi="仿宋" w:eastAsia="仿宋" w:cs="仿宋"/>
          <w:color w:val="000000" w:themeColor="text1"/>
          <w:sz w:val="24"/>
          <w:highlight w:val="none"/>
          <w:lang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14:paraId="2760F1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b、当供应商某评分项出现未报、漏报或零报价时，该分项得零分，并不参与磋商报价分的计算。</w:t>
      </w:r>
    </w:p>
    <w:p w14:paraId="067AB45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c、评议过程中，若出现本评分方法以外的特殊情况时，将暂停评审，待磋商小组商榷后再进行复会。</w:t>
      </w:r>
    </w:p>
    <w:p w14:paraId="2A5D62EA">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、政府采购政策评分标准</w:t>
      </w:r>
    </w:p>
    <w:p w14:paraId="1946324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-1、小微企业的价格评分标准</w:t>
      </w:r>
    </w:p>
    <w:p w14:paraId="4B2C161E">
      <w:pPr>
        <w:spacing w:line="560" w:lineRule="exact"/>
        <w:ind w:firstLine="522"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000000" w:themeColor="text1"/>
          <w:sz w:val="24"/>
          <w:highlight w:val="none"/>
          <w14:textFill>
            <w14:solidFill>
              <w14:schemeClr w14:val="tx1"/>
            </w14:solidFill>
          </w14:textFill>
        </w:rPr>
        <w:t>1）根据《政府采购促进中小企业发展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号）的办法</w:t>
      </w:r>
      <w:r>
        <w:rPr>
          <w:rFonts w:hint="eastAsia" w:ascii="仿宋" w:hAnsi="仿宋" w:eastAsia="仿宋" w:cs="仿宋"/>
          <w:color w:val="000000" w:themeColor="text1"/>
          <w:sz w:val="24"/>
          <w:highlight w:val="none"/>
          <w:lang w:eastAsia="zh-CN"/>
          <w14:textFill>
            <w14:solidFill>
              <w14:schemeClr w14:val="tx1"/>
            </w14:solidFill>
          </w14:textFill>
        </w:rPr>
        <w:t>及</w:t>
      </w:r>
      <w:bookmarkStart w:id="27" w:name="_Toc1463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（财库</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19号）</w:t>
      </w:r>
      <w:bookmarkEnd w:id="27"/>
      <w:r>
        <w:rPr>
          <w:rFonts w:hint="eastAsia" w:ascii="仿宋" w:hAnsi="仿宋" w:eastAsia="仿宋" w:cs="仿宋"/>
          <w:color w:val="000000" w:themeColor="text1"/>
          <w:sz w:val="24"/>
          <w:highlight w:val="none"/>
          <w:lang w:val="en-US" w:eastAsia="zh-CN"/>
          <w14:textFill>
            <w14:solidFill>
              <w14:schemeClr w14:val="tx1"/>
            </w14:solidFill>
          </w14:textFill>
        </w:rPr>
        <w:t>的通知</w:t>
      </w:r>
      <w:r>
        <w:rPr>
          <w:rFonts w:hint="eastAsia" w:ascii="仿宋" w:hAnsi="仿宋" w:eastAsia="仿宋" w:cs="仿宋"/>
          <w:color w:val="000000" w:themeColor="text1"/>
          <w:sz w:val="24"/>
          <w:highlight w:val="none"/>
          <w14:textFill>
            <w14:solidFill>
              <w14:schemeClr w14:val="tx1"/>
            </w14:solidFill>
          </w14:textFill>
        </w:rPr>
        <w:t>，对于专门面向中小企业采购的项目或者采购包,不再执行价格评审优惠的扶持政策。</w:t>
      </w:r>
    </w:p>
    <w:p w14:paraId="1F1C0EF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4D5D0F49">
      <w:pPr>
        <w:spacing w:line="560" w:lineRule="exact"/>
        <w:ind w:firstLine="480" w:firstLineChars="200"/>
        <w:rPr>
          <w:rFonts w:hint="eastAsia" w:ascii="仿宋" w:hAnsi="仿宋" w:eastAsia="仿宋" w:cs="仿宋"/>
          <w:strike/>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14:paraId="5E3DE91E">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）小微企业按《政府采购促进中小企业发展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color w:val="000000" w:themeColor="text1"/>
          <w:sz w:val="24"/>
          <w:highlight w:val="none"/>
          <w:lang w:eastAsia="zh-CN"/>
          <w14:textFill>
            <w14:solidFill>
              <w14:schemeClr w14:val="tx1"/>
            </w14:solidFill>
          </w14:textFill>
        </w:rPr>
        <w:t>。</w:t>
      </w:r>
    </w:p>
    <w:p w14:paraId="43C346D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-2、监狱企业的价格评分标准</w:t>
      </w:r>
    </w:p>
    <w:p w14:paraId="0FED46E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p>
    <w:p w14:paraId="2CD21050">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（2）监狱企业属于小型、微型企业的，不重复享受政策。 </w:t>
      </w:r>
    </w:p>
    <w:p w14:paraId="29DE5BB7">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14:paraId="6FD3ACE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14:paraId="3AE69F12">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-3、残疾人福利性单位的价格评分标准</w:t>
      </w:r>
    </w:p>
    <w:p w14:paraId="4AB1983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14:paraId="118820B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（2）残疾人福利性单位属于小型、微型企业的，不重复享受政策。</w:t>
      </w:r>
    </w:p>
    <w:p w14:paraId="0DB97EA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14:paraId="72342710">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-4、节能产品、环境标志产品政策</w:t>
      </w:r>
    </w:p>
    <w:p w14:paraId="1ACA3C6A">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r>
        <w:rPr>
          <w:rFonts w:hint="eastAsia" w:ascii="仿宋" w:hAnsi="仿宋" w:eastAsia="仿宋" w:cs="仿宋"/>
          <w:bCs/>
          <w:color w:val="000000" w:themeColor="text1"/>
          <w:sz w:val="24"/>
          <w:highlight w:val="none"/>
          <w14:textFill>
            <w14:solidFill>
              <w14:schemeClr w14:val="tx1"/>
            </w14:solidFill>
          </w14:textFill>
        </w:rPr>
        <w:t xml:space="preserve">。 </w:t>
      </w:r>
    </w:p>
    <w:p w14:paraId="07660387">
      <w:pPr>
        <w:spacing w:line="560" w:lineRule="exact"/>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w:t>
      </w:r>
      <w:bookmarkStart w:id="28" w:name="_Toc14886425"/>
      <w:bookmarkStart w:id="29" w:name="_Toc22138"/>
      <w:r>
        <w:rPr>
          <w:rFonts w:hint="eastAsia" w:ascii="仿宋" w:hAnsi="仿宋" w:eastAsia="仿宋" w:cs="仿宋"/>
          <w:b/>
          <w:bCs/>
          <w:color w:val="000000" w:themeColor="text1"/>
          <w:sz w:val="24"/>
          <w:highlight w:val="none"/>
          <w:lang w:val="zh-CN"/>
          <w14:textFill>
            <w14:solidFill>
              <w14:schemeClr w14:val="tx1"/>
            </w14:solidFill>
          </w14:textFill>
        </w:rPr>
        <w:t>信用担保</w:t>
      </w:r>
      <w:bookmarkEnd w:id="28"/>
      <w:bookmarkEnd w:id="29"/>
      <w:r>
        <w:rPr>
          <w:rFonts w:hint="eastAsia" w:ascii="仿宋" w:hAnsi="仿宋" w:eastAsia="仿宋" w:cs="仿宋"/>
          <w:b/>
          <w:bCs/>
          <w:color w:val="000000" w:themeColor="text1"/>
          <w:sz w:val="24"/>
          <w:highlight w:val="none"/>
          <w:lang w:val="zh-CN"/>
          <w14:textFill>
            <w14:solidFill>
              <w14:schemeClr w14:val="tx1"/>
            </w14:solidFill>
          </w14:textFill>
        </w:rPr>
        <w:t>及融资</w:t>
      </w:r>
    </w:p>
    <w:p w14:paraId="754181EE">
      <w:pPr>
        <w:adjustRightInd w:val="0"/>
        <w:snapToGrid w:val="0"/>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2950F981">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4C2CD45F">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、定标</w:t>
      </w:r>
    </w:p>
    <w:p w14:paraId="05D0C17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-1、定标程序</w:t>
      </w:r>
    </w:p>
    <w:p w14:paraId="5FE2B6E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14:paraId="30008ABF">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14:paraId="3D5E3F6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14:paraId="29633BBA">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（4）采购代理机构接到采购人的《成交复函》后，在2个工作日内，将成交结果在</w:t>
      </w:r>
      <w:r>
        <w:rPr>
          <w:rFonts w:hint="eastAsia" w:ascii="仿宋" w:hAnsi="仿宋" w:eastAsia="仿宋" w:cs="仿宋"/>
          <w:color w:val="000000" w:themeColor="text1"/>
          <w:sz w:val="24"/>
          <w:highlight w:val="none"/>
          <w:lang w:val="en-US" w:eastAsia="zh-CN"/>
          <w14:textFill>
            <w14:solidFill>
              <w14:schemeClr w14:val="tx1"/>
            </w14:solidFill>
          </w14:textFill>
        </w:rPr>
        <w:t>陕西省</w:t>
      </w:r>
      <w:r>
        <w:rPr>
          <w:rFonts w:hint="eastAsia" w:ascii="仿宋" w:hAnsi="仿宋" w:eastAsia="仿宋" w:cs="仿宋"/>
          <w:color w:val="000000" w:themeColor="text1"/>
          <w:sz w:val="24"/>
          <w:highlight w:val="none"/>
          <w:lang w:eastAsia="zh-CN"/>
          <w14:textFill>
            <w14:solidFill>
              <w14:schemeClr w14:val="tx1"/>
            </w14:solidFill>
          </w14:textFill>
        </w:rPr>
        <w:t>政府采购</w:t>
      </w:r>
      <w:r>
        <w:rPr>
          <w:rFonts w:hint="eastAsia" w:ascii="仿宋" w:hAnsi="仿宋" w:eastAsia="仿宋" w:cs="仿宋"/>
          <w:color w:val="000000" w:themeColor="text1"/>
          <w:sz w:val="24"/>
          <w:highlight w:val="none"/>
          <w14:textFill>
            <w14:solidFill>
              <w14:schemeClr w14:val="tx1"/>
            </w14:solidFill>
          </w14:textFill>
        </w:rPr>
        <w:t>网上发布公告。公告发布1个工作日，其他供应商若有异议，按《政府采购法》第52条执行。</w:t>
      </w:r>
    </w:p>
    <w:p w14:paraId="4108331F">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-2、成交供应商确定后，采购人和采购代理机构对未成交原因不作任何解释，竞争性磋商响应文件不予退还（含纸质及电子版文件）。</w:t>
      </w:r>
    </w:p>
    <w:p w14:paraId="4AF8E3FD">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、磋商无效的情形：</w:t>
      </w:r>
    </w:p>
    <w:p w14:paraId="7463BD7C">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、磋商响应文件未按磋商文件要求签署、盖章的；</w:t>
      </w:r>
    </w:p>
    <w:p w14:paraId="53A30ABD">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、不具备磋商文件中规定的资格要求的；</w:t>
      </w:r>
    </w:p>
    <w:p w14:paraId="488BC968">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、报价超过磋商文件中规定的预算金额或者最高限价的；</w:t>
      </w:r>
    </w:p>
    <w:p w14:paraId="5308F035">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、磋商响应文件含有采购人不能接受的附加条件的；</w:t>
      </w:r>
    </w:p>
    <w:p w14:paraId="42C5AAD5">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、提供虚假材料谋取成交的；</w:t>
      </w:r>
    </w:p>
    <w:p w14:paraId="2822CCD8">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、采取不正当手段诋毁、排挤其他供应商的；</w:t>
      </w:r>
    </w:p>
    <w:p w14:paraId="386E1EAB">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、法律、法规和磋商文件规定的其他无效情形。</w:t>
      </w:r>
    </w:p>
    <w:p w14:paraId="7806A339">
      <w:pPr>
        <w:adjustRightInd w:val="0"/>
        <w:snapToGrid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、成交通知书</w:t>
      </w:r>
    </w:p>
    <w:p w14:paraId="391E2F7B">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-1、成交通知书将在成交公告发布的同时由采购代理机构向成交人发出，成交供应商应在接到采购代理机构通知之日起七日内领取成交通知书。</w:t>
      </w:r>
    </w:p>
    <w:p w14:paraId="48C19203">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-2、成交通知书发出后，采购人不得违法改变成交结果，成交人无正当理由不得弃成交。</w:t>
      </w:r>
    </w:p>
    <w:p w14:paraId="4C322C27">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0" w:name="_Toc28361"/>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、合同</w:t>
      </w:r>
      <w:bookmarkEnd w:id="30"/>
    </w:p>
    <w:p w14:paraId="035E48C0">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）个日历日内，应按竞争性磋商文件的要求与采购人签订合同。成交供应商因自身原因不按规定与采购人签订合同，则采购人将废除授标。</w:t>
      </w:r>
    </w:p>
    <w:p w14:paraId="60588223">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65E6EF0D">
      <w:pPr>
        <w:adjustRightInd w:val="0"/>
        <w:snapToGrid w:val="0"/>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14:paraId="71527FD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14:paraId="6471D57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5、所签订的合同不得对磋商文件确定的事项和成交人磋商响应文件作实质性修改。</w:t>
      </w:r>
    </w:p>
    <w:p w14:paraId="1AED860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6、采购人需追加与合同标的相同的货物、工程或服务的，在不改变合同其他条款的前提下，可以与供应商协商签订补充合同，但所有补充合同的采购金额不得超过原合同采购金额的百分之十。</w:t>
      </w:r>
    </w:p>
    <w:p w14:paraId="056CB744">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1" w:name="_Toc494556650"/>
      <w:bookmarkStart w:id="32" w:name="_Toc24945"/>
      <w:bookmarkStart w:id="33" w:name="_Toc493074178"/>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、合同的履约验收</w:t>
      </w:r>
      <w:bookmarkEnd w:id="31"/>
      <w:bookmarkEnd w:id="32"/>
      <w:bookmarkEnd w:id="33"/>
    </w:p>
    <w:p w14:paraId="21C36A24">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14:paraId="7ED3DCF5">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4" w:name="_Toc19792"/>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、招标服务费</w:t>
      </w:r>
      <w:bookmarkEnd w:id="34"/>
    </w:p>
    <w:p w14:paraId="4293D942">
      <w:pPr>
        <w:tabs>
          <w:tab w:val="left" w:pos="2700"/>
        </w:tabs>
        <w:spacing w:line="560" w:lineRule="exact"/>
        <w:ind w:firstLine="480" w:firstLineChars="200"/>
        <w:rPr>
          <w:rFonts w:hint="eastAsia" w:ascii="仿宋" w:hAnsi="仿宋" w:eastAsia="仿宋" w:cs="仿宋"/>
          <w:sz w:val="24"/>
          <w:highlight w:val="none"/>
        </w:rPr>
      </w:pPr>
      <w:bookmarkStart w:id="35" w:name="_Toc458848741"/>
      <w:bookmarkStart w:id="36" w:name="_Toc458848974"/>
      <w:bookmarkStart w:id="37" w:name="_Toc458848826"/>
      <w:r>
        <w:rPr>
          <w:rFonts w:hint="eastAsia" w:ascii="仿宋" w:hAnsi="仿宋" w:eastAsia="仿宋" w:cs="仿宋"/>
          <w:sz w:val="24"/>
          <w:highlight w:val="none"/>
        </w:rPr>
        <w:t>1、</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人在领取</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通知书时，向</w:t>
      </w:r>
      <w:r>
        <w:rPr>
          <w:rFonts w:hint="eastAsia" w:ascii="仿宋" w:hAnsi="仿宋" w:eastAsia="仿宋" w:cs="仿宋"/>
          <w:sz w:val="24"/>
          <w:highlight w:val="none"/>
          <w:lang w:eastAsia="zh-CN"/>
        </w:rPr>
        <w:t>华招广和项目管理有限公司</w:t>
      </w:r>
      <w:r>
        <w:rPr>
          <w:rFonts w:hint="eastAsia" w:ascii="仿宋" w:hAnsi="仿宋" w:eastAsia="仿宋" w:cs="仿宋"/>
          <w:sz w:val="24"/>
          <w:highlight w:val="none"/>
        </w:rPr>
        <w:t>交纳招标服务费。</w:t>
      </w:r>
      <w:r>
        <w:rPr>
          <w:rFonts w:hint="eastAsia" w:ascii="仿宋" w:hAnsi="仿宋" w:eastAsia="仿宋" w:cs="仿宋"/>
          <w:sz w:val="24"/>
          <w:highlight w:val="none"/>
          <w:lang w:eastAsia="zh-CN"/>
        </w:rPr>
        <w:t>服务费收费标准参照原</w:t>
      </w:r>
      <w:r>
        <w:rPr>
          <w:rFonts w:hint="eastAsia" w:ascii="仿宋" w:hAnsi="仿宋" w:eastAsia="仿宋" w:cs="仿宋"/>
          <w:sz w:val="24"/>
          <w:highlight w:val="none"/>
        </w:rPr>
        <w:t>《国家计委关于印发&lt;招标代理服务收费管理暂行办法&gt;的通知》(计价格〔2002〕1980号)</w:t>
      </w:r>
      <w:r>
        <w:rPr>
          <w:rFonts w:hint="eastAsia" w:ascii="仿宋" w:hAnsi="仿宋" w:eastAsia="仿宋" w:cs="仿宋"/>
          <w:sz w:val="24"/>
          <w:highlight w:val="none"/>
          <w:lang w:eastAsia="zh-CN"/>
        </w:rPr>
        <w:t>、</w:t>
      </w:r>
      <w:r>
        <w:rPr>
          <w:rFonts w:hint="eastAsia" w:ascii="仿宋" w:hAnsi="仿宋" w:eastAsia="仿宋" w:cs="仿宋"/>
          <w:sz w:val="24"/>
          <w:highlight w:val="none"/>
        </w:rPr>
        <w:t>《国家发展改革委关于降低部分建设项目收费标准规范收费行为等有关问题的通知》(发改价格〔2011〕534号)</w:t>
      </w:r>
      <w:r>
        <w:rPr>
          <w:rFonts w:hint="eastAsia" w:ascii="仿宋" w:hAnsi="仿宋" w:eastAsia="仿宋" w:cs="仿宋"/>
          <w:sz w:val="24"/>
          <w:highlight w:val="none"/>
          <w:lang w:eastAsia="zh-CN"/>
        </w:rPr>
        <w:t>以及财政部关于印发&lt;政府采购代理机构管理暂行办法&gt;的通知》（财库〔2018〕</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号）规定执行</w:t>
      </w:r>
      <w:r>
        <w:rPr>
          <w:rFonts w:hint="eastAsia" w:ascii="仿宋" w:hAnsi="仿宋" w:eastAsia="仿宋" w:cs="仿宋"/>
          <w:sz w:val="24"/>
          <w:highlight w:val="none"/>
        </w:rPr>
        <w:t>。</w:t>
      </w:r>
    </w:p>
    <w:p w14:paraId="3C4A327B">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2、招标服务费应采用转账形式交纳。</w:t>
      </w:r>
    </w:p>
    <w:p w14:paraId="1E234C4E">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8" w:name="_Toc14425"/>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bookmarkEnd w:id="35"/>
      <w:bookmarkEnd w:id="36"/>
      <w:bookmarkEnd w:id="37"/>
      <w:r>
        <w:rPr>
          <w:rFonts w:hint="eastAsia" w:ascii="仿宋" w:hAnsi="仿宋" w:eastAsia="仿宋" w:cs="仿宋"/>
          <w:color w:val="000000" w:themeColor="text1"/>
          <w:sz w:val="28"/>
          <w:szCs w:val="28"/>
          <w:highlight w:val="none"/>
          <w14:textFill>
            <w14:solidFill>
              <w14:schemeClr w14:val="tx1"/>
            </w14:solidFill>
          </w14:textFill>
        </w:rPr>
        <w:t>重新组织采购活动</w:t>
      </w:r>
      <w:bookmarkEnd w:id="38"/>
    </w:p>
    <w:p w14:paraId="4B7227C3">
      <w:pPr>
        <w:spacing w:line="5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14:paraId="0DE6AC75">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（1）、因情况变化，不再符合规定的竞争性磋商采购方式适用情形的；</w:t>
      </w:r>
    </w:p>
    <w:p w14:paraId="055C131F">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14:paraId="03C979F7">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（3）、磋商小组三分之二以上的专家认定所有磋商报价存在价格不实的现象；</w:t>
      </w:r>
    </w:p>
    <w:p w14:paraId="4D8A899A">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bookmarkStart w:id="39" w:name="_Toc458848742"/>
      <w:bookmarkStart w:id="40" w:name="_Toc458848827"/>
      <w:bookmarkStart w:id="41" w:name="_Toc458848975"/>
      <w:r>
        <w:rPr>
          <w:rFonts w:hint="eastAsia" w:ascii="仿宋" w:hAnsi="仿宋" w:eastAsia="仿宋" w:cs="仿宋"/>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7987EC8F">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2" w:name="_Toc15549"/>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bookmarkEnd w:id="39"/>
      <w:bookmarkEnd w:id="40"/>
      <w:bookmarkEnd w:id="41"/>
      <w:r>
        <w:rPr>
          <w:rFonts w:hint="eastAsia" w:ascii="仿宋" w:hAnsi="仿宋" w:eastAsia="仿宋" w:cs="仿宋"/>
          <w:color w:val="000000" w:themeColor="text1"/>
          <w:sz w:val="28"/>
          <w:szCs w:val="28"/>
          <w:highlight w:val="none"/>
          <w14:textFill>
            <w14:solidFill>
              <w14:schemeClr w14:val="tx1"/>
            </w14:solidFill>
          </w14:textFill>
        </w:rPr>
        <w:t>询问、质疑与投诉</w:t>
      </w:r>
      <w:bookmarkEnd w:id="42"/>
    </w:p>
    <w:p w14:paraId="0190312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 w:name="_Toc458848743"/>
      <w:bookmarkStart w:id="44" w:name="_Toc458848976"/>
      <w:bookmarkStart w:id="45" w:name="_Toc458848828"/>
      <w:r>
        <w:rPr>
          <w:rFonts w:hint="eastAsia" w:ascii="仿宋" w:hAnsi="仿宋" w:eastAsia="仿宋" w:cs="仿宋"/>
          <w:color w:val="000000" w:themeColor="text1"/>
          <w:sz w:val="24"/>
          <w:highlight w:val="none"/>
          <w14:textFill>
            <w14:solidFill>
              <w14:schemeClr w14:val="tx1"/>
            </w14:solidFill>
          </w14:textFill>
        </w:rPr>
        <w:t>1、询问</w:t>
      </w:r>
    </w:p>
    <w:p w14:paraId="1C459FE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供应商对政府采购活动事项有疑问的，可以向采购人、采购代理机构提出询问。</w:t>
      </w:r>
    </w:p>
    <w:p w14:paraId="3F96BC2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w:t>
      </w:r>
    </w:p>
    <w:p w14:paraId="0EE6CEA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2-1、供应商认为磋商文件、磋商过程和成交结果使自己的权益受到损害的，可以</w:t>
      </w:r>
      <w:r>
        <w:rPr>
          <w:rFonts w:hint="eastAsia" w:ascii="仿宋" w:hAnsi="仿宋" w:eastAsia="仿宋" w:cs="仿宋"/>
          <w:color w:val="000000" w:themeColor="text1"/>
          <w:sz w:val="24"/>
          <w:highlight w:val="none"/>
          <w:lang w:val="en-US" w:eastAsia="zh-CN"/>
          <w14:textFill>
            <w14:solidFill>
              <w14:schemeClr w14:val="tx1"/>
            </w14:solidFill>
          </w14:textFill>
        </w:rPr>
        <w:t>向</w:t>
      </w:r>
      <w:r>
        <w:rPr>
          <w:rFonts w:hint="eastAsia" w:ascii="仿宋" w:hAnsi="仿宋" w:eastAsia="仿宋" w:cs="仿宋"/>
          <w:color w:val="000000" w:themeColor="text1"/>
          <w:sz w:val="24"/>
          <w:highlight w:val="none"/>
          <w14:textFill>
            <w14:solidFill>
              <w14:schemeClr w14:val="tx1"/>
            </w14:solidFill>
          </w14:textFill>
        </w:rPr>
        <w:t>采购人、采购代理机构提出质疑，具体时限为：</w:t>
      </w:r>
    </w:p>
    <w:p w14:paraId="7DD96D13">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（一）对可以质疑的采购文件提出质疑的，为收到采购文件之日起七个工作日内；</w:t>
      </w:r>
    </w:p>
    <w:p w14:paraId="714325EA">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（二）对采购过程提出质疑的，为各采购程序环节结束之日起七个工作日内；</w:t>
      </w:r>
    </w:p>
    <w:p w14:paraId="26CB661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（三）对成交结果提出质疑的，为成交结果公告期限届满之日起七个工作日内。</w:t>
      </w:r>
    </w:p>
    <w:p w14:paraId="22C7E846">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2-2、供应商须在法定质疑期内一次性提出针对同一采购程序环节的质疑。</w:t>
      </w:r>
    </w:p>
    <w:p w14:paraId="25FDEBD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14:paraId="510065D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61B1F68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5643C657">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2-6、供应商应在法定期限内以书面形式提出质疑，联系人： </w:t>
      </w:r>
      <w:r>
        <w:rPr>
          <w:rFonts w:hint="eastAsia" w:ascii="仿宋" w:hAnsi="仿宋" w:eastAsia="仿宋" w:cs="仿宋"/>
          <w:color w:val="000000" w:themeColor="text1"/>
          <w:sz w:val="24"/>
          <w:highlight w:val="none"/>
          <w:lang w:eastAsia="zh-CN"/>
          <w14:textFill>
            <w14:solidFill>
              <w14:schemeClr w14:val="tx1"/>
            </w14:solidFill>
          </w14:textFill>
        </w:rPr>
        <w:t>秦工</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029-87592321</w:t>
      </w: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（西安市朱雀大街南段1号汇成天玺C座18层1812室）。</w:t>
      </w:r>
    </w:p>
    <w:p w14:paraId="58FC850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w:t>
      </w:r>
    </w:p>
    <w:p w14:paraId="4AE68076">
      <w:pPr>
        <w:pStyle w:val="41"/>
        <w:spacing w:line="560" w:lineRule="exact"/>
        <w:ind w:firstLine="480"/>
        <w:rPr>
          <w:rFonts w:hint="eastAsia" w:ascii="仿宋" w:hAnsi="仿宋" w:eastAsia="仿宋" w:cs="仿宋"/>
          <w:color w:val="000000" w:themeColor="text1"/>
          <w:kern w:val="2"/>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仿宋" w:hAnsi="仿宋" w:eastAsia="仿宋" w:cs="仿宋"/>
          <w:color w:val="000000" w:themeColor="text1"/>
          <w:kern w:val="2"/>
          <w:sz w:val="24"/>
          <w:szCs w:val="20"/>
          <w:highlight w:val="none"/>
          <w14:textFill>
            <w14:solidFill>
              <w14:schemeClr w14:val="tx1"/>
            </w14:solidFill>
          </w14:textFill>
        </w:rPr>
        <w:t>和《政府采购质疑和投诉办法》（财政部令第94号）第17条等有关规定执行。</w:t>
      </w:r>
    </w:p>
    <w:p w14:paraId="2F0BFD5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韩城市财政局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提起投诉。</w:t>
      </w:r>
    </w:p>
    <w:p w14:paraId="5DC904AE">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6" w:name="_Toc19464"/>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、拒绝商业贿赂</w:t>
      </w:r>
      <w:bookmarkEnd w:id="43"/>
      <w:bookmarkEnd w:id="44"/>
      <w:bookmarkEnd w:id="45"/>
      <w:bookmarkEnd w:id="46"/>
    </w:p>
    <w:p w14:paraId="6DC2C77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14:paraId="38841F1C">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14:paraId="08B91016">
      <w:pPr>
        <w:pStyle w:val="2"/>
        <w:spacing w:before="0" w:after="0" w:line="360" w:lineRule="auto"/>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47" w:name="_Toc20324"/>
      <w:r>
        <w:rPr>
          <w:rFonts w:hint="eastAsia" w:ascii="仿宋" w:hAnsi="仿宋" w:eastAsia="仿宋" w:cs="仿宋"/>
          <w:color w:val="000000" w:themeColor="text1"/>
          <w:kern w:val="0"/>
          <w:highlight w:val="none"/>
          <w14:textFill>
            <w14:solidFill>
              <w14:schemeClr w14:val="tx1"/>
            </w14:solidFill>
          </w14:textFill>
        </w:rPr>
        <w:t>第三章  服务内容及要求</w:t>
      </w:r>
      <w:bookmarkEnd w:id="47"/>
    </w:p>
    <w:p w14:paraId="1B45AA72">
      <w:pPr>
        <w:pStyle w:val="11"/>
        <w:spacing w:before="177" w:line="360" w:lineRule="auto"/>
        <w:ind w:left="1" w:right="76" w:firstLine="492"/>
        <w:jc w:val="both"/>
        <w:rPr>
          <w:rFonts w:hint="eastAsia" w:ascii="仿宋" w:hAnsi="仿宋" w:eastAsia="仿宋" w:cs="仿宋"/>
          <w:spacing w:val="1"/>
          <w:sz w:val="24"/>
          <w:szCs w:val="24"/>
          <w:highlight w:val="none"/>
        </w:rPr>
      </w:pPr>
      <w:r>
        <w:rPr>
          <w:rFonts w:hint="eastAsia" w:ascii="仿宋" w:hAnsi="仿宋" w:eastAsia="仿宋" w:cs="仿宋"/>
          <w:spacing w:val="-4"/>
          <w:sz w:val="24"/>
          <w:szCs w:val="24"/>
          <w:highlight w:val="none"/>
        </w:rPr>
        <w:t>1</w:t>
      </w:r>
      <w:r>
        <w:rPr>
          <w:rFonts w:hint="eastAsia" w:ascii="仿宋" w:hAnsi="仿宋" w:eastAsia="仿宋" w:cs="仿宋"/>
          <w:spacing w:val="-13"/>
          <w:sz w:val="24"/>
          <w:szCs w:val="24"/>
          <w:highlight w:val="none"/>
          <w:lang w:eastAsia="zh-CN"/>
        </w:rPr>
        <w:t>、</w:t>
      </w:r>
      <w:r>
        <w:rPr>
          <w:rFonts w:hint="eastAsia" w:ascii="仿宋" w:hAnsi="仿宋" w:eastAsia="仿宋" w:cs="仿宋"/>
          <w:spacing w:val="-4"/>
          <w:sz w:val="24"/>
          <w:szCs w:val="24"/>
          <w:highlight w:val="none"/>
        </w:rPr>
        <w:t>对韩城</w:t>
      </w:r>
      <w:r>
        <w:rPr>
          <w:rFonts w:hint="eastAsia" w:ascii="仿宋" w:hAnsi="仿宋" w:eastAsia="仿宋" w:cs="仿宋"/>
          <w:spacing w:val="-4"/>
          <w:sz w:val="24"/>
          <w:szCs w:val="24"/>
          <w:highlight w:val="none"/>
          <w:lang w:eastAsia="zh-CN"/>
        </w:rPr>
        <w:t>市区域内</w:t>
      </w:r>
      <w:r>
        <w:rPr>
          <w:rFonts w:hint="eastAsia" w:ascii="仿宋" w:hAnsi="仿宋" w:eastAsia="仿宋" w:cs="仿宋"/>
          <w:spacing w:val="-56"/>
          <w:sz w:val="24"/>
          <w:szCs w:val="24"/>
          <w:highlight w:val="none"/>
        </w:rPr>
        <w:t xml:space="preserve"> </w:t>
      </w:r>
      <w:r>
        <w:rPr>
          <w:rFonts w:hint="eastAsia" w:ascii="仿宋" w:hAnsi="仿宋" w:eastAsia="仿宋" w:cs="仿宋"/>
          <w:spacing w:val="-4"/>
          <w:sz w:val="24"/>
          <w:szCs w:val="24"/>
          <w:highlight w:val="none"/>
          <w:lang w:val="en-US" w:eastAsia="zh-CN"/>
        </w:rPr>
        <w:t>548</w:t>
      </w:r>
      <w:r>
        <w:rPr>
          <w:rFonts w:hint="eastAsia" w:ascii="仿宋" w:hAnsi="仿宋" w:eastAsia="仿宋" w:cs="仿宋"/>
          <w:spacing w:val="-4"/>
          <w:sz w:val="24"/>
          <w:szCs w:val="24"/>
          <w:highlight w:val="none"/>
        </w:rPr>
        <w:t>处农村饮水安全项目水质达</w:t>
      </w:r>
      <w:r>
        <w:rPr>
          <w:rFonts w:hint="eastAsia" w:ascii="仿宋" w:hAnsi="仿宋" w:eastAsia="仿宋" w:cs="仿宋"/>
          <w:spacing w:val="1"/>
          <w:sz w:val="24"/>
          <w:szCs w:val="24"/>
          <w:highlight w:val="none"/>
        </w:rPr>
        <w:t>标情况开展水质检测工作；</w:t>
      </w:r>
    </w:p>
    <w:p w14:paraId="1462E8C1">
      <w:pPr>
        <w:pStyle w:val="11"/>
        <w:spacing w:before="177" w:line="360" w:lineRule="auto"/>
        <w:ind w:left="1" w:right="76" w:firstLine="492"/>
        <w:jc w:val="both"/>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rPr>
        <w:t>2、检测标准</w:t>
      </w:r>
      <w:r>
        <w:rPr>
          <w:rFonts w:hint="eastAsia" w:ascii="仿宋" w:hAnsi="仿宋" w:eastAsia="仿宋" w:cs="仿宋"/>
          <w:spacing w:val="1"/>
          <w:sz w:val="24"/>
          <w:szCs w:val="24"/>
          <w:highlight w:val="none"/>
          <w:lang w:eastAsia="zh-CN"/>
        </w:rPr>
        <w:t>及指标</w:t>
      </w:r>
    </w:p>
    <w:p w14:paraId="2288D834">
      <w:pPr>
        <w:pStyle w:val="11"/>
        <w:spacing w:before="177" w:line="360" w:lineRule="auto"/>
        <w:ind w:left="1" w:right="76" w:firstLine="492"/>
        <w:jc w:val="both"/>
        <w:rPr>
          <w:rFonts w:hint="eastAsia" w:ascii="仿宋" w:hAnsi="仿宋" w:eastAsia="仿宋" w:cs="仿宋"/>
          <w:spacing w:val="-3"/>
          <w:position w:val="17"/>
          <w:sz w:val="24"/>
          <w:szCs w:val="24"/>
          <w:highlight w:val="none"/>
          <w:lang w:eastAsia="zh-CN"/>
        </w:rPr>
      </w:pPr>
      <w:r>
        <w:rPr>
          <w:rFonts w:hint="eastAsia" w:ascii="仿宋" w:hAnsi="仿宋" w:eastAsia="仿宋" w:cs="仿宋"/>
          <w:spacing w:val="-3"/>
          <w:position w:val="17"/>
          <w:sz w:val="24"/>
          <w:szCs w:val="24"/>
          <w:highlight w:val="none"/>
        </w:rPr>
        <w:t>执行《生活饮用水卫生标准》（GB 5749-2022</w:t>
      </w:r>
      <w:r>
        <w:rPr>
          <w:rFonts w:hint="eastAsia" w:ascii="仿宋" w:hAnsi="仿宋" w:eastAsia="仿宋" w:cs="仿宋"/>
          <w:spacing w:val="-3"/>
          <w:position w:val="17"/>
          <w:sz w:val="24"/>
          <w:szCs w:val="24"/>
          <w:highlight w:val="none"/>
          <w:lang w:eastAsia="zh-CN"/>
        </w:rPr>
        <w:t>）中表1水质常规指标</w:t>
      </w:r>
      <w:r>
        <w:rPr>
          <w:rFonts w:hint="eastAsia" w:ascii="仿宋" w:hAnsi="仿宋" w:eastAsia="仿宋" w:cs="仿宋"/>
          <w:spacing w:val="-3"/>
          <w:position w:val="17"/>
          <w:sz w:val="24"/>
          <w:szCs w:val="24"/>
          <w:highlight w:val="none"/>
          <w:lang w:val="en-US" w:eastAsia="zh-CN"/>
        </w:rPr>
        <w:t>43</w:t>
      </w:r>
      <w:r>
        <w:rPr>
          <w:rFonts w:hint="eastAsia" w:ascii="仿宋" w:hAnsi="仿宋" w:eastAsia="仿宋" w:cs="仿宋"/>
          <w:spacing w:val="-3"/>
          <w:position w:val="17"/>
          <w:sz w:val="24"/>
          <w:szCs w:val="24"/>
          <w:highlight w:val="none"/>
          <w:lang w:eastAsia="zh-CN"/>
        </w:rPr>
        <w:t>项，具体情况如下：</w:t>
      </w:r>
    </w:p>
    <w:p w14:paraId="04644CA7">
      <w:pPr>
        <w:pStyle w:val="11"/>
        <w:spacing w:before="177" w:line="360" w:lineRule="auto"/>
        <w:ind w:left="1" w:right="76" w:firstLine="492"/>
        <w:jc w:val="both"/>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（1）微生物指标（3项）：总大肠菌群、大肠埃希氏菌、菌落总数；</w:t>
      </w:r>
    </w:p>
    <w:p w14:paraId="28660686">
      <w:pPr>
        <w:pStyle w:val="11"/>
        <w:spacing w:before="177" w:line="360" w:lineRule="auto"/>
        <w:ind w:left="1" w:right="76" w:firstLine="492"/>
        <w:jc w:val="both"/>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（2）毒理指标（18项）：砷、镉、铬（六价）、铅、汞、氰化物、氟化物、硝酸盐、 三氯甲烷、一氯二溴甲烷、二氯一溴甲烷、三溴甲烷、三卤甲烷、二氯乙酸、三氯乙酸、溴酸盐、亚氯酸盐、氯酸盐；</w:t>
      </w:r>
    </w:p>
    <w:p w14:paraId="22A6A678">
      <w:pPr>
        <w:pStyle w:val="11"/>
        <w:spacing w:before="177" w:line="360" w:lineRule="auto"/>
        <w:ind w:left="1" w:right="76" w:firstLine="492"/>
        <w:jc w:val="both"/>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（3）感官性状和一般化学指标（16项）：色度、浑浊度、臭和味、肉眼可见物、pH 值、铝、铁、锰、铜、锌、氯化物、硫酸盐、溶解性总固体、总硬度、高锰酸盐指数、氨；</w:t>
      </w:r>
    </w:p>
    <w:p w14:paraId="51D01B17">
      <w:pPr>
        <w:pStyle w:val="11"/>
        <w:spacing w:before="177" w:line="360" w:lineRule="auto"/>
        <w:ind w:left="1" w:right="76" w:firstLine="492"/>
        <w:jc w:val="both"/>
        <w:rPr>
          <w:rFonts w:hint="eastAsia"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（4）消毒剂指标（4项）：游离氯、总氯、臭氧、二氧化氯；</w:t>
      </w:r>
    </w:p>
    <w:p w14:paraId="25D54838">
      <w:pPr>
        <w:pStyle w:val="11"/>
        <w:spacing w:before="177" w:line="360" w:lineRule="auto"/>
        <w:ind w:left="1" w:right="76" w:firstLine="492"/>
        <w:jc w:val="both"/>
        <w:rPr>
          <w:rFonts w:hint="default"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（5）放射性指标（2项）：总α放射性和总β放射性指标。</w:t>
      </w:r>
    </w:p>
    <w:p w14:paraId="7D12CAB3">
      <w:pPr>
        <w:pStyle w:val="11"/>
        <w:spacing w:before="177" w:line="360" w:lineRule="auto"/>
        <w:ind w:firstLine="488"/>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3、在规定服务期限内，</w:t>
      </w:r>
      <w:r>
        <w:rPr>
          <w:rFonts w:hint="eastAsia" w:ascii="仿宋" w:hAnsi="仿宋" w:eastAsia="仿宋" w:cs="仿宋"/>
          <w:spacing w:val="1"/>
          <w:sz w:val="24"/>
          <w:szCs w:val="24"/>
          <w:highlight w:val="none"/>
          <w:lang w:val="en-US" w:eastAsia="zh-CN"/>
        </w:rPr>
        <w:t>供应商</w:t>
      </w:r>
      <w:r>
        <w:rPr>
          <w:rFonts w:hint="eastAsia" w:ascii="仿宋" w:hAnsi="仿宋" w:eastAsia="仿宋" w:cs="仿宋"/>
          <w:spacing w:val="1"/>
          <w:sz w:val="24"/>
          <w:szCs w:val="24"/>
          <w:highlight w:val="none"/>
          <w:lang w:eastAsia="zh-CN"/>
        </w:rPr>
        <w:t>应完成采样，并向</w:t>
      </w:r>
      <w:r>
        <w:rPr>
          <w:rFonts w:hint="eastAsia" w:ascii="仿宋" w:hAnsi="仿宋" w:eastAsia="仿宋" w:cs="仿宋"/>
          <w:spacing w:val="1"/>
          <w:sz w:val="24"/>
          <w:szCs w:val="24"/>
          <w:highlight w:val="none"/>
          <w:lang w:val="en-US" w:eastAsia="zh-CN"/>
        </w:rPr>
        <w:t>采购方</w:t>
      </w:r>
      <w:r>
        <w:rPr>
          <w:rFonts w:hint="eastAsia" w:ascii="仿宋" w:hAnsi="仿宋" w:eastAsia="仿宋" w:cs="仿宋"/>
          <w:spacing w:val="1"/>
          <w:sz w:val="24"/>
          <w:szCs w:val="24"/>
          <w:highlight w:val="none"/>
          <w:lang w:eastAsia="zh-CN"/>
        </w:rPr>
        <w:t>出具有效的 CMA 认证样品检验报告。</w:t>
      </w:r>
    </w:p>
    <w:p w14:paraId="0E2D1065">
      <w:pPr>
        <w:pStyle w:val="23"/>
        <w:rPr>
          <w:rFonts w:hint="eastAsia"/>
          <w:highlight w:val="none"/>
        </w:rPr>
      </w:pPr>
    </w:p>
    <w:p w14:paraId="7C2BAB81">
      <w:pPr>
        <w:rPr>
          <w:rFonts w:hint="eastAsia" w:ascii="仿宋" w:hAnsi="仿宋" w:eastAsia="仿宋" w:cs="仿宋"/>
          <w:color w:val="000000" w:themeColor="text1"/>
          <w:kern w:val="0"/>
          <w:highlight w:val="none"/>
          <w14:textFill>
            <w14:solidFill>
              <w14:schemeClr w14:val="tx1"/>
            </w14:solidFill>
          </w14:textFill>
        </w:rPr>
      </w:pPr>
      <w:bookmarkStart w:id="48" w:name="_Toc21581"/>
      <w:r>
        <w:rPr>
          <w:rFonts w:hint="eastAsia" w:ascii="仿宋" w:hAnsi="仿宋" w:eastAsia="仿宋" w:cs="仿宋"/>
          <w:color w:val="000000" w:themeColor="text1"/>
          <w:kern w:val="0"/>
          <w:highlight w:val="none"/>
          <w14:textFill>
            <w14:solidFill>
              <w14:schemeClr w14:val="tx1"/>
            </w14:solidFill>
          </w14:textFill>
        </w:rPr>
        <w:br w:type="page"/>
      </w:r>
    </w:p>
    <w:p w14:paraId="6668C803">
      <w:pPr>
        <w:pStyle w:val="2"/>
        <w:spacing w:before="0" w:after="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第四章   商务要求</w:t>
      </w:r>
      <w:bookmarkEnd w:id="48"/>
    </w:p>
    <w:p w14:paraId="347742D2">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一、服务期限及地点：</w:t>
      </w:r>
      <w:bookmarkStart w:id="49" w:name="_Toc167714037"/>
      <w:bookmarkStart w:id="50" w:name="_Toc167712839"/>
      <w:bookmarkStart w:id="51" w:name="_Toc167715234"/>
    </w:p>
    <w:bookmarkEnd w:id="49"/>
    <w:bookmarkEnd w:id="50"/>
    <w:bookmarkEnd w:id="51"/>
    <w:p w14:paraId="771D697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期限：</w:t>
      </w:r>
      <w:r>
        <w:rPr>
          <w:rFonts w:hint="eastAsia" w:ascii="仿宋" w:hAnsi="仿宋" w:eastAsia="仿宋" w:cs="仿宋"/>
          <w:color w:val="000000" w:themeColor="text1"/>
          <w:sz w:val="24"/>
          <w:highlight w:val="none"/>
          <w:lang w:val="en-US" w:eastAsia="zh-CN"/>
          <w14:textFill>
            <w14:solidFill>
              <w14:schemeClr w14:val="tx1"/>
            </w14:solidFill>
          </w14:textFill>
        </w:rPr>
        <w:t>2025年9月30日之前服务完毕</w:t>
      </w:r>
      <w:r>
        <w:rPr>
          <w:rFonts w:hint="eastAsia" w:ascii="仿宋" w:hAnsi="仿宋" w:eastAsia="仿宋" w:cs="仿宋"/>
          <w:color w:val="000000" w:themeColor="text1"/>
          <w:sz w:val="24"/>
          <w:highlight w:val="none"/>
          <w14:textFill>
            <w14:solidFill>
              <w14:schemeClr w14:val="tx1"/>
            </w14:solidFill>
          </w14:textFill>
        </w:rPr>
        <w:t>。</w:t>
      </w:r>
    </w:p>
    <w:p w14:paraId="549734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2、交付地点：甲方指定地点。</w:t>
      </w:r>
    </w:p>
    <w:p w14:paraId="518EDF3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二、付款方式：</w:t>
      </w:r>
    </w:p>
    <w:p w14:paraId="321E6EBA">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bookmarkStart w:id="52" w:name="_Toc167714041"/>
      <w:bookmarkStart w:id="53" w:name="_Toc167715238"/>
      <w:bookmarkStart w:id="54" w:name="_Toc167712843"/>
      <w:r>
        <w:rPr>
          <w:rFonts w:hint="eastAsia" w:ascii="仿宋" w:hAnsi="仿宋" w:eastAsia="仿宋" w:cs="仿宋"/>
          <w:b w:val="0"/>
          <w:bCs/>
          <w:color w:val="000000" w:themeColor="text1"/>
          <w:sz w:val="24"/>
          <w:highlight w:val="none"/>
          <w:lang w:val="en-US" w:eastAsia="zh-CN"/>
          <w14:textFill>
            <w14:solidFill>
              <w14:schemeClr w14:val="tx1"/>
            </w14:solidFill>
          </w14:textFill>
        </w:rPr>
        <w:t>合同双方签订盖章生效后，付合同金额的百分之四十（40%）费用；全部工作完成后，成交单位提供检测报告后，30日内付清合同剩余款项。</w:t>
      </w:r>
    </w:p>
    <w:p w14:paraId="15501AD6">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、质量保证：</w:t>
      </w:r>
    </w:p>
    <w:p w14:paraId="1691DF12">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单位所提供的项目成果必须经采购人审核验收，符合采购人要求，并达到技术指标先进、质量可靠、配置合理，满足</w:t>
      </w:r>
      <w:r>
        <w:rPr>
          <w:rFonts w:hint="eastAsia" w:ascii="仿宋" w:hAnsi="仿宋" w:eastAsia="仿宋" w:cs="仿宋"/>
          <w:color w:val="000000" w:themeColor="text1"/>
          <w:kern w:val="0"/>
          <w:sz w:val="24"/>
          <w:highlight w:val="none"/>
          <w:lang w:eastAsia="zh-CN"/>
          <w14:textFill>
            <w14:solidFill>
              <w14:schemeClr w14:val="tx1"/>
            </w14:solidFill>
          </w14:textFill>
        </w:rPr>
        <w:t>采购</w:t>
      </w:r>
      <w:r>
        <w:rPr>
          <w:rFonts w:hint="eastAsia" w:ascii="仿宋" w:hAnsi="仿宋" w:eastAsia="仿宋" w:cs="仿宋"/>
          <w:color w:val="000000" w:themeColor="text1"/>
          <w:kern w:val="0"/>
          <w:sz w:val="24"/>
          <w:highlight w:val="none"/>
          <w14:textFill>
            <w14:solidFill>
              <w14:schemeClr w14:val="tx1"/>
            </w14:solidFill>
          </w14:textFill>
        </w:rPr>
        <w:t>文件要求。</w:t>
      </w:r>
    </w:p>
    <w:p w14:paraId="491C511E">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2、服务的质量必须符合国家标准和有关规范，确保服务达到最佳使用要求。</w:t>
      </w:r>
    </w:p>
    <w:p w14:paraId="53EE280E">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合同实施：</w:t>
      </w:r>
      <w:bookmarkStart w:id="55" w:name="_Toc167715264"/>
      <w:bookmarkStart w:id="56" w:name="_Toc167712869"/>
      <w:bookmarkStart w:id="57" w:name="_Toc167714067"/>
    </w:p>
    <w:bookmarkEnd w:id="55"/>
    <w:bookmarkEnd w:id="56"/>
    <w:bookmarkEnd w:id="57"/>
    <w:p w14:paraId="0C845529">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成交单位应在合同签订后七（7）个日历日内安排人员（项目组成人员简历表所列）与使用单位就</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等工作进行安排、部署。</w:t>
      </w:r>
    </w:p>
    <w:p w14:paraId="48B9EA7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2、若未能在项目周期内完成合同规定的义务，由此对采购人造成的延误和一切损失，由成交单位承担和赔偿。</w:t>
      </w:r>
      <w:bookmarkEnd w:id="52"/>
      <w:bookmarkEnd w:id="53"/>
      <w:bookmarkEnd w:id="54"/>
    </w:p>
    <w:p w14:paraId="419F1E45">
      <w:pPr>
        <w:spacing w:line="5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、违约责任</w:t>
      </w:r>
    </w:p>
    <w:p w14:paraId="364C6E7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w:t>
      </w:r>
      <w:r>
        <w:rPr>
          <w:rFonts w:hint="eastAsia" w:ascii="仿宋" w:hAnsi="仿宋" w:eastAsia="仿宋" w:cs="仿宋"/>
          <w:color w:val="000000" w:themeColor="text1"/>
          <w:sz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64D2BDAE">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2、按合同要求提供服务或服务质量不能满足技术要求，采购人有权终止合同，并对供</w:t>
      </w:r>
    </w:p>
    <w:p w14:paraId="6FE27187">
      <w:pPr>
        <w:spacing w:line="560" w:lineRule="exact"/>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594995</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FA8E90">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4.05pt;margin-top:46.85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wh9FNgAAAAIAQAADwAAAAAAAAABACAAAAAiAAAAZHJzL2Rvd25yZXYu&#10;eG1sUEsBAhQAFAAAAAgAh07iQHKFR+Q0AgAAegQAAA4AAAAAAAAAAQAgAAAAJwEAAGRycy9lMm9E&#10;b2MueG1sUEsFBgAAAAAGAAYAWQEAAM0FAAAAAA==&#10;">
                <v:fill on="t" focussize="0,0"/>
                <v:stroke color="#000000" joinstyle="miter"/>
                <v:imagedata o:title=""/>
                <o:lock v:ext="edit" aspectratio="f"/>
                <v:textbox>
                  <w:txbxContent>
                    <w:p w14:paraId="3AFA8E90">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方违约行为进行追究，同时按《政府采购法》的有关规定进行处罚。</w:t>
      </w:r>
      <w:r>
        <w:rPr>
          <w:rFonts w:hint="eastAsia" w:ascii="仿宋" w:hAnsi="仿宋" w:eastAsia="仿宋" w:cs="仿宋"/>
          <w:color w:val="000000" w:themeColor="text1"/>
          <w:kern w:val="0"/>
          <w:highlight w:val="none"/>
          <w14:textFill>
            <w14:solidFill>
              <w14:schemeClr w14:val="tx1"/>
            </w14:solidFill>
          </w14:textFill>
        </w:rPr>
        <w:br w:type="page"/>
      </w:r>
    </w:p>
    <w:p w14:paraId="4F5E507D">
      <w:pPr>
        <w:spacing w:line="560" w:lineRule="exact"/>
        <w:jc w:val="center"/>
        <w:rPr>
          <w:rFonts w:hint="eastAsia" w:ascii="仿宋" w:hAnsi="仿宋" w:eastAsia="仿宋" w:cs="仿宋"/>
          <w:color w:val="000000" w:themeColor="text1"/>
          <w:kern w:val="0"/>
          <w:highlight w:val="none"/>
          <w:lang w:eastAsia="zh-CN"/>
          <w14:textFill>
            <w14:solidFill>
              <w14:schemeClr w14:val="tx1"/>
            </w14:solidFill>
          </w14:textFill>
        </w:rPr>
      </w:pPr>
      <w:bookmarkStart w:id="58" w:name="_Toc2890"/>
      <w:r>
        <w:rPr>
          <w:rStyle w:val="57"/>
          <w:rFonts w:hint="eastAsia" w:ascii="仿宋" w:hAnsi="仿宋" w:eastAsia="仿宋" w:cs="仿宋"/>
          <w:color w:val="000000" w:themeColor="text1"/>
          <w:highlight w:val="none"/>
          <w14:textFill>
            <w14:solidFill>
              <w14:schemeClr w14:val="tx1"/>
            </w14:solidFill>
          </w14:textFill>
        </w:rPr>
        <w:t>第五章  合同条款</w:t>
      </w:r>
      <w:bookmarkEnd w:id="58"/>
      <w:r>
        <w:rPr>
          <w:rStyle w:val="57"/>
          <w:rFonts w:hint="eastAsia" w:ascii="仿宋" w:hAnsi="仿宋" w:eastAsia="仿宋" w:cs="仿宋"/>
          <w:color w:val="000000" w:themeColor="text1"/>
          <w:highlight w:val="none"/>
          <w:lang w:eastAsia="zh-CN"/>
          <w14:textFill>
            <w14:solidFill>
              <w14:schemeClr w14:val="tx1"/>
            </w14:solidFill>
          </w14:textFill>
        </w:rPr>
        <w:t>（</w:t>
      </w:r>
      <w:r>
        <w:rPr>
          <w:rStyle w:val="57"/>
          <w:rFonts w:hint="eastAsia" w:ascii="仿宋" w:hAnsi="仿宋" w:eastAsia="仿宋" w:cs="仿宋"/>
          <w:color w:val="000000" w:themeColor="text1"/>
          <w:highlight w:val="none"/>
          <w:lang w:val="en-US" w:eastAsia="zh-CN"/>
          <w14:textFill>
            <w14:solidFill>
              <w14:schemeClr w14:val="tx1"/>
            </w14:solidFill>
          </w14:textFill>
        </w:rPr>
        <w:t>参考格式</w:t>
      </w:r>
      <w:r>
        <w:rPr>
          <w:rStyle w:val="57"/>
          <w:rFonts w:hint="eastAsia" w:ascii="仿宋" w:hAnsi="仿宋" w:eastAsia="仿宋" w:cs="仿宋"/>
          <w:color w:val="000000" w:themeColor="text1"/>
          <w:highlight w:val="none"/>
          <w:lang w:eastAsia="zh-CN"/>
          <w14:textFill>
            <w14:solidFill>
              <w14:schemeClr w14:val="tx1"/>
            </w14:solidFill>
          </w14:textFill>
        </w:rPr>
        <w:t>）</w:t>
      </w:r>
    </w:p>
    <w:p w14:paraId="3A7E5D36">
      <w:pPr>
        <w:ind w:firstLine="5520" w:firstLineChars="2300"/>
        <w:jc w:val="both"/>
        <w:rPr>
          <w:rFonts w:hint="eastAsia" w:ascii="仿宋" w:hAnsi="仿宋" w:eastAsia="仿宋" w:cs="仿宋"/>
          <w:b w:val="0"/>
          <w:bCs/>
          <w:color w:val="000000" w:themeColor="text1"/>
          <w:sz w:val="24"/>
          <w:szCs w:val="24"/>
          <w:highlight w:val="none"/>
          <w14:textFill>
            <w14:solidFill>
              <w14:schemeClr w14:val="tx1"/>
            </w14:solidFill>
          </w14:textFill>
        </w:rPr>
      </w:pPr>
    </w:p>
    <w:p w14:paraId="706EF3F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一、合同格式</w:t>
      </w:r>
    </w:p>
    <w:p w14:paraId="255F2AA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农村饮用水水质监测项目</w:t>
      </w:r>
      <w:r>
        <w:rPr>
          <w:rFonts w:hint="eastAsia" w:ascii="仿宋" w:hAnsi="仿宋" w:eastAsia="仿宋" w:cs="仿宋"/>
          <w:color w:val="000000" w:themeColor="text1"/>
          <w:sz w:val="24"/>
          <w:highlight w:val="none"/>
          <w14:textFill>
            <w14:solidFill>
              <w14:schemeClr w14:val="tx1"/>
            </w14:solidFill>
          </w14:textFill>
        </w:rPr>
        <w:t>(文件编号</w:t>
      </w:r>
      <w:r>
        <w:rPr>
          <w:rFonts w:hint="eastAsia" w:ascii="仿宋" w:hAnsi="仿宋" w:eastAsia="仿宋" w:cs="仿宋"/>
          <w:color w:val="000000" w:themeColor="text1"/>
          <w:sz w:val="24"/>
          <w:highlight w:val="none"/>
          <w:lang w:eastAsia="zh-CN"/>
          <w14:textFill>
            <w14:solidFill>
              <w14:schemeClr w14:val="tx1"/>
            </w14:solidFill>
          </w14:textFill>
        </w:rPr>
        <w:t>：HZGH-2025-011</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韩城市财政局</w:t>
      </w:r>
      <w:r>
        <w:rPr>
          <w:rFonts w:hint="eastAsia" w:ascii="仿宋" w:hAnsi="仿宋" w:eastAsia="仿宋" w:cs="仿宋"/>
          <w:color w:val="000000" w:themeColor="text1"/>
          <w:sz w:val="24"/>
          <w:highlight w:val="none"/>
          <w14:textFill>
            <w14:solidFill>
              <w14:schemeClr w14:val="tx1"/>
            </w14:solidFill>
          </w14:textFill>
        </w:rPr>
        <w:t>的监督管理下，由</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组织竞争性磋商。</w:t>
      </w:r>
      <w:r>
        <w:rPr>
          <w:rFonts w:hint="eastAsia" w:ascii="仿宋" w:hAnsi="仿宋" w:eastAsia="仿宋" w:cs="仿宋"/>
          <w:color w:val="000000" w:themeColor="text1"/>
          <w:sz w:val="24"/>
          <w:highlight w:val="none"/>
          <w:lang w:eastAsia="zh-CN"/>
          <w14:textFill>
            <w14:solidFill>
              <w14:schemeClr w14:val="tx1"/>
            </w14:solidFill>
          </w14:textFill>
        </w:rPr>
        <w:t>韩城市疾病预防控制中心</w:t>
      </w:r>
      <w:r>
        <w:rPr>
          <w:rFonts w:hint="eastAsia" w:ascii="仿宋" w:hAnsi="仿宋" w:eastAsia="仿宋" w:cs="仿宋"/>
          <w:color w:val="000000" w:themeColor="text1"/>
          <w:sz w:val="24"/>
          <w:highlight w:val="none"/>
          <w14:textFill>
            <w14:solidFill>
              <w14:schemeClr w14:val="tx1"/>
            </w14:solidFill>
          </w14:textFill>
        </w:rPr>
        <w:t>(以下简称“甲方”)确定 (成交单位名称) （以下简称“乙方”）为成交单位。</w:t>
      </w:r>
    </w:p>
    <w:p w14:paraId="2AD4CD35">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》和《中华人民共和国政府采购法》《中华人民共和国政府采购法实施条例》，甲方通过竞争性磋商采购（服务名称） ，并接受了乙方以价格(成交金额大写)(以下简称“合同价”)提供的服务。</w:t>
      </w:r>
    </w:p>
    <w:p w14:paraId="739FEC6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bookmarkStart w:id="59" w:name="_Toc193126879"/>
      <w:bookmarkStart w:id="60" w:name="_Toc188808831"/>
      <w:bookmarkStart w:id="61" w:name="_Toc194663916"/>
      <w:bookmarkStart w:id="62" w:name="_Toc193187095"/>
      <w:r>
        <w:rPr>
          <w:rFonts w:hint="eastAsia" w:ascii="仿宋" w:hAnsi="仿宋" w:eastAsia="仿宋" w:cs="仿宋"/>
          <w:color w:val="000000" w:themeColor="text1"/>
          <w:sz w:val="24"/>
          <w:highlight w:val="none"/>
          <w14:textFill>
            <w14:solidFill>
              <w14:schemeClr w14:val="tx1"/>
            </w14:solidFill>
          </w14:textFill>
        </w:rPr>
        <w:t>本合同在此声明如下：</w:t>
      </w:r>
    </w:p>
    <w:p w14:paraId="436C41F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1、本合同中的词语和术语的含义与合同条款中定义的相同。</w:t>
      </w:r>
    </w:p>
    <w:p w14:paraId="3C90AB5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2、下述文件是本合同的一部分，并与本合同一起阅读和解释：</w:t>
      </w:r>
    </w:p>
    <w:p w14:paraId="519217A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1）合同条款</w:t>
      </w:r>
    </w:p>
    <w:p w14:paraId="705BF05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2）合同条款附件</w:t>
      </w:r>
    </w:p>
    <w:p w14:paraId="22C2CDF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附件1—服务方案</w:t>
      </w:r>
    </w:p>
    <w:p w14:paraId="4A74EE8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附件2—服务承诺</w:t>
      </w:r>
    </w:p>
    <w:p w14:paraId="23C6832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w:t>
      </w:r>
    </w:p>
    <w:p w14:paraId="3597572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w:t>
      </w:r>
    </w:p>
    <w:p w14:paraId="4E00E52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w:t>
      </w:r>
    </w:p>
    <w:p w14:paraId="6B37E17F">
      <w:pPr>
        <w:spacing w:line="560" w:lineRule="exact"/>
        <w:jc w:val="left"/>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3、考虑到甲方将按照本合同向乙方支付款项，乙方在此保证全部按照合同的规定向甲方提</w:t>
      </w:r>
    </w:p>
    <w:p w14:paraId="2D0AF85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供服务，并修补缺陷。</w:t>
      </w:r>
    </w:p>
    <w:p w14:paraId="5196F99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4、考虑到乙方提供的服务并修补缺陷，甲方在此保证按照合同规定的时间和方式向乙方支付合同价或其他按合同规定应支付的金额。</w:t>
      </w:r>
    </w:p>
    <w:p w14:paraId="32A0817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5、付款方式：</w:t>
      </w:r>
    </w:p>
    <w:p w14:paraId="06ACE2AD">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合同双方签订盖章生效后，付合同金额的百分之二十（20%）费用；全部工作完成后，成交单位提供检测报告后，30日内付清合同剩余款项。</w:t>
      </w:r>
    </w:p>
    <w:p w14:paraId="5A0CB94E">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6、服务期限：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9944D51">
      <w:pPr>
        <w:spacing w:line="56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服务地点：</w:t>
      </w:r>
      <w:r>
        <w:rPr>
          <w:rFonts w:hint="eastAsia" w:ascii="仿宋" w:hAnsi="仿宋" w:eastAsia="仿宋" w:cs="仿宋"/>
          <w:color w:val="000000" w:themeColor="text1"/>
          <w:sz w:val="24"/>
          <w:highlight w:val="none"/>
          <w:lang w:val="en-US" w:eastAsia="zh-CN"/>
          <w14:textFill>
            <w14:solidFill>
              <w14:schemeClr w14:val="tx1"/>
            </w14:solidFill>
          </w14:textFill>
        </w:rPr>
        <w:t>甲方指定地点。</w:t>
      </w:r>
    </w:p>
    <w:p w14:paraId="6BB436D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本合同一式</w:t>
      </w:r>
      <w:r>
        <w:rPr>
          <w:rFonts w:hint="eastAsia" w:ascii="仿宋" w:hAnsi="仿宋" w:eastAsia="仿宋" w:cs="仿宋"/>
          <w:color w:val="000000" w:themeColor="text1"/>
          <w:sz w:val="24"/>
          <w:highlight w:val="none"/>
          <w:lang w:eastAsia="zh-CN"/>
          <w14:textFill>
            <w14:solidFill>
              <w14:schemeClr w14:val="tx1"/>
            </w14:solidFill>
          </w14:textFill>
        </w:rPr>
        <w:t>伍</w:t>
      </w:r>
      <w:r>
        <w:rPr>
          <w:rFonts w:hint="eastAsia" w:ascii="仿宋" w:hAnsi="仿宋" w:eastAsia="仿宋" w:cs="仿宋"/>
          <w:color w:val="000000" w:themeColor="text1"/>
          <w:sz w:val="24"/>
          <w:highlight w:val="none"/>
          <w14:textFill>
            <w14:solidFill>
              <w14:schemeClr w14:val="tx1"/>
            </w14:solidFill>
          </w14:textFill>
        </w:rPr>
        <w:t>份，其中，甲方贰份，乙方贰份，</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备案壹份。</w:t>
      </w:r>
    </w:p>
    <w:p w14:paraId="5990223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8、本合同由买卖双方共同签字盖章之日起生效。</w:t>
      </w:r>
    </w:p>
    <w:tbl>
      <w:tblPr>
        <w:tblStyle w:val="24"/>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14:paraId="578B4324">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091988E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甲方名称： </w:t>
            </w:r>
          </w:p>
          <w:p w14:paraId="3ABBB0D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2C6FBCE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w:t>
            </w:r>
          </w:p>
          <w:p w14:paraId="44DFA15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w:t>
            </w:r>
          </w:p>
          <w:p w14:paraId="2EF7321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D27C4B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2226C17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17A4A4A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5A29C89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55B560B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p w14:paraId="049C1C4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tc>
        <w:tc>
          <w:tcPr>
            <w:tcW w:w="3936" w:type="dxa"/>
            <w:tcMar>
              <w:top w:w="113" w:type="dxa"/>
              <w:left w:w="113" w:type="dxa"/>
              <w:bottom w:w="113" w:type="dxa"/>
              <w:right w:w="113" w:type="dxa"/>
            </w:tcMar>
          </w:tcPr>
          <w:p w14:paraId="3E17F5B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乙方名称：</w:t>
            </w:r>
          </w:p>
          <w:p w14:paraId="3367680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516E3E2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    编： </w:t>
            </w:r>
          </w:p>
          <w:p w14:paraId="32A8A31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 </w:t>
            </w:r>
          </w:p>
          <w:p w14:paraId="0398E20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233CD84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p w14:paraId="4B4DA19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p>
          <w:p w14:paraId="0BCFFD3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455EEDD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56E5B2B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tc>
      </w:tr>
      <w:bookmarkEnd w:id="59"/>
      <w:bookmarkEnd w:id="60"/>
      <w:bookmarkEnd w:id="61"/>
      <w:bookmarkEnd w:id="62"/>
    </w:tbl>
    <w:p w14:paraId="70E04B59">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292B8695">
      <w:pPr>
        <w:spacing w:line="480" w:lineRule="exact"/>
        <w:ind w:firstLine="480" w:firstLineChars="200"/>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w:t>
      </w:r>
    </w:p>
    <w:p w14:paraId="2C4437BC">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p>
    <w:p w14:paraId="409A34A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二、合同条款</w:t>
      </w:r>
    </w:p>
    <w:p w14:paraId="0116AE0C">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第一条 本着平等互惠、互相支持、共同发展的原则，就甲方针对本项目的事宜， 经甲乙双方友好协商， 共同签署本合同，以资共同遵守。 </w:t>
      </w:r>
    </w:p>
    <w:p w14:paraId="743E92E9">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第二条 服务定义：根据甲方需要，乙方为甲方提供该项目的服务等业务。 </w:t>
      </w:r>
    </w:p>
    <w:p w14:paraId="2A9E0F07">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2A5B8783">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第四条 服务期限，从    年  月  日起至    年  月   日。</w:t>
      </w:r>
    </w:p>
    <w:p w14:paraId="039BC574">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第五条 服务费用：人民币       元，合计人民币       元。</w:t>
      </w:r>
    </w:p>
    <w:p w14:paraId="22F6202C">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条 甲方的权利</w:t>
      </w:r>
    </w:p>
    <w:p w14:paraId="16CEB57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1、甲方有权享有乙方按照上述约定提供的服务。</w:t>
      </w:r>
    </w:p>
    <w:p w14:paraId="3E3D54C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6DF2E42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6AD99B0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4、除本合同约定的服务费用外，乙方不得向甲方及其甲方人员收取其他任何费用，如甲方发现乙方有此类行为，甲方有权要求乙方清退所收费用，退还利息并支付违约金；</w:t>
      </w:r>
    </w:p>
    <w:p w14:paraId="7EA0A03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5、对乙方相关服务资料的所有权、使用权的约定：归甲方所有。乙方不得以任何借口留存，否则承担由此产生的一切法律和经济责任。未经甲方允许，任何单位和个人不得转让和使用本项目的相关内容。</w:t>
      </w:r>
    </w:p>
    <w:p w14:paraId="0723F3DA">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条 甲方的义务</w:t>
      </w:r>
    </w:p>
    <w:p w14:paraId="0F62993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1、在服务实施过程中，甲方应为乙方提供必要的工作便利与指导，配合乙方履行职责。 </w:t>
      </w:r>
    </w:p>
    <w:p w14:paraId="48E1443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2、甲方不得将本合同的内容向甲乙双方以外的、与签订和履行本合同无关的任何第三方透露，不得泄露乙方的商业秘密（包括本合同及其附件和合同签订前的各项方案） 。</w:t>
      </w:r>
    </w:p>
    <w:p w14:paraId="3F940E9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第九条 任何一方违反或擅自变更本合同的约定，应当承担由此给对方造成的经济损失和相关责任。</w:t>
      </w:r>
    </w:p>
    <w:p w14:paraId="2F0F37E3">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条甲方违约责任</w:t>
      </w:r>
    </w:p>
    <w:p w14:paraId="661D22C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1、由于甲方的原因或因不可抗力的自然因素影响，则服务周期顺延。</w:t>
      </w:r>
    </w:p>
    <w:p w14:paraId="0554142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2、对于乙方提供的资料以及属于乙方的内容，甲方有义务保密，不得向第三方提供或用于本合同以外的项目，否则乙方有权要求甲方按本合同项目款总额的20%赔偿损失。 </w:t>
      </w:r>
    </w:p>
    <w:p w14:paraId="27238BF2">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九</w:t>
      </w:r>
      <w:r>
        <w:rPr>
          <w:rFonts w:hint="eastAsia" w:ascii="仿宋" w:hAnsi="仿宋" w:eastAsia="仿宋" w:cs="仿宋"/>
          <w:color w:val="000000" w:themeColor="text1"/>
          <w:sz w:val="24"/>
          <w:highlight w:val="none"/>
          <w14:textFill>
            <w14:solidFill>
              <w14:schemeClr w14:val="tx1"/>
            </w14:solidFill>
          </w14:textFill>
        </w:rPr>
        <w:t>条乙方违约责任</w:t>
      </w:r>
    </w:p>
    <w:p w14:paraId="2748EE9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1、合同签订后，如乙方擅自中途停止或解除合同，乙方应向甲方双倍返还定金。没有约定定金的，乙方向甲方赔偿服务价款。</w:t>
      </w:r>
    </w:p>
    <w:p w14:paraId="362D281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2、在甲方提供了必要的工作、生活条件，并且保证了项目款按时到位，乙方未能按合同规定的日期提供服务时，应向甲方赔偿拖期损失费，每天的拖期损失费按合同约定的项目总价款。</w:t>
      </w:r>
    </w:p>
    <w:p w14:paraId="72FEDB8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3、因天气、交通、政府行为、甲方提供的资料不准确等客观原因造成的服务周期拖期，乙方不承担赔偿责任。 </w:t>
      </w:r>
    </w:p>
    <w:p w14:paraId="167ABD6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21191E2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35E7E72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329336E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7、在合同期内和合同终止后，乙方应负责所有资料的保密，非经甲方书面认可，不得向任何人以任何方式提供任何资料。严格按甲方要求程序传递各种资料，否则甲方有权单方解除合同，并追回所付项目款。</w:t>
      </w:r>
    </w:p>
    <w:p w14:paraId="4DE555F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8、乙方若擅自转包或分包本合同标的，甲方有权解除合同，并可要求乙方偿付预算30%的违约金，同时追究其法律责任。 </w:t>
      </w:r>
    </w:p>
    <w:p w14:paraId="0B05350C">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51B7FE9D">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 xml:space="preserve">条 因执行本合同发生的一切争议，双方应首先友好协商解决。经协商不能解决，应向甲方所在地人民法院提起诉讼。在诉讼期间，除必须在诉讼过程中进行解决的问题外，合同其余部分应继续履行。 </w:t>
      </w:r>
    </w:p>
    <w:p w14:paraId="79B30636">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 xml:space="preserve">条 甲、乙双方有一方有正当理由要求变更本合同，须提前一个月以书面形式通知对方并协商解决，双方应签署变更合同。 </w:t>
      </w:r>
    </w:p>
    <w:p w14:paraId="3D2E0FD4">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 xml:space="preserve">条 本合同期满双方不再续约或者因一方违约导致本合同无法履行，则本合同终止。但合同的终止不得损害第三方的利益，双方应为此做出合理安排。 </w:t>
      </w:r>
    </w:p>
    <w:p w14:paraId="65416EAE">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条 未经对方同意，甲乙任何一方不得将本合同部分或全部权利和义务转让给第三方。</w:t>
      </w:r>
    </w:p>
    <w:p w14:paraId="7C5038F0">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条 本合同中涉及的所有“通知”、“同意”、“确认” 等事项均应以书面形式做出，并作为依据。</w:t>
      </w:r>
    </w:p>
    <w:p w14:paraId="16D618DD">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 xml:space="preserve">条 本合同有关附件及补充合同是本合同不可分割的组成部分，与本合同具有同等法律效力；本合同未尽事宜，双方另行协商并签署补充合同，作为本合同的附件，具有同等法律效力。 </w:t>
      </w:r>
    </w:p>
    <w:p w14:paraId="4FEFB02F">
      <w:pPr>
        <w:rPr>
          <w:rFonts w:hint="eastAsia" w:ascii="仿宋" w:hAnsi="仿宋" w:eastAsia="仿宋" w:cs="仿宋"/>
          <w:highlight w:val="none"/>
        </w:rPr>
      </w:pPr>
      <w:bookmarkStart w:id="63" w:name="_Toc32022"/>
      <w:r>
        <w:rPr>
          <w:rFonts w:hint="eastAsia" w:ascii="仿宋" w:hAnsi="仿宋" w:eastAsia="仿宋" w:cs="仿宋"/>
          <w:highlight w:val="none"/>
        </w:rPr>
        <w:br w:type="page"/>
      </w:r>
    </w:p>
    <w:p w14:paraId="4B417649">
      <w:pPr>
        <w:pStyle w:val="2"/>
        <w:bidi w:val="0"/>
        <w:jc w:val="center"/>
        <w:rPr>
          <w:rFonts w:hint="eastAsia" w:ascii="仿宋" w:hAnsi="仿宋" w:eastAsia="仿宋" w:cs="仿宋"/>
          <w:highlight w:val="none"/>
        </w:rPr>
      </w:pPr>
      <w:r>
        <w:rPr>
          <w:rFonts w:hint="eastAsia" w:ascii="仿宋" w:hAnsi="仿宋" w:eastAsia="仿宋" w:cs="仿宋"/>
          <w:highlight w:val="none"/>
        </w:rPr>
        <w:t>第六章  竞争性磋商响应文件格式</w:t>
      </w:r>
      <w:bookmarkEnd w:id="63"/>
    </w:p>
    <w:p w14:paraId="2E154F5D">
      <w:pPr>
        <w:spacing w:line="5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竞争性磋商响应文件编制说明</w:t>
      </w:r>
    </w:p>
    <w:p w14:paraId="7FC244A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14:paraId="74A339BD">
      <w:pPr>
        <w:spacing w:line="56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2CC0836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3、纸质竞争性磋商响应文件均须A4纸打印（提倡双面打印），分别各自装订成册并编制目录和页码。</w:t>
      </w:r>
    </w:p>
    <w:p w14:paraId="6C29E0F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14:paraId="24760B57">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1158866">
      <w:pPr>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70DAAAE">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D6E31CA">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599D781">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C9031A5">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49CD7E5">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829CE9F">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43E2914">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4CC25E2">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2FC37BC">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C459C7B">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2D3B56D1">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4B9CA2FF">
      <w:pPr>
        <w:spacing w:line="480" w:lineRule="exact"/>
        <w:ind w:right="140"/>
        <w:rPr>
          <w:rFonts w:hint="eastAsia" w:ascii="仿宋" w:hAnsi="仿宋" w:eastAsia="仿宋" w:cs="仿宋"/>
          <w:color w:val="000000" w:themeColor="text1"/>
          <w:sz w:val="36"/>
          <w:szCs w:val="36"/>
          <w:highlight w:val="none"/>
          <w14:textFill>
            <w14:solidFill>
              <w14:schemeClr w14:val="tx1"/>
            </w14:solidFill>
          </w14:textFill>
        </w:rPr>
      </w:pPr>
    </w:p>
    <w:p w14:paraId="3D0DAEB5">
      <w:pPr>
        <w:rPr>
          <w:rFonts w:hint="default" w:ascii="仿宋" w:hAnsi="仿宋" w:eastAsia="仿宋" w:cs="仿宋"/>
          <w:b/>
          <w:color w:val="000000" w:themeColor="text1"/>
          <w:sz w:val="20"/>
          <w:szCs w:val="20"/>
          <w:highlight w:val="none"/>
          <w:u w:val="wavyHeavy" w:color="FF0000"/>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文件编号: </w:t>
      </w:r>
      <w:r>
        <w:rPr>
          <w:rFonts w:hint="eastAsia" w:ascii="仿宋" w:hAnsi="仿宋" w:eastAsia="仿宋" w:cs="仿宋"/>
          <w:b/>
          <w:color w:val="000000" w:themeColor="text1"/>
          <w:sz w:val="36"/>
          <w:szCs w:val="36"/>
          <w:highlight w:val="none"/>
          <w:lang w:eastAsia="zh-CN"/>
          <w14:textFill>
            <w14:solidFill>
              <w14:schemeClr w14:val="tx1"/>
            </w14:solidFill>
          </w14:textFill>
        </w:rPr>
        <w:t>HZGH-2025-011</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正/副本</w:t>
      </w:r>
    </w:p>
    <w:p w14:paraId="215D2238">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7C8439A">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6F12D09E">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3FB61C6D">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C9F96DD">
      <w:pPr>
        <w:pStyle w:val="11"/>
        <w:spacing w:line="360" w:lineRule="auto"/>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农村饮用水水质监测项目</w:t>
      </w:r>
    </w:p>
    <w:p w14:paraId="2F662E25">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78BB2DC6">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537EACF1">
      <w:pPr>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 xml:space="preserve"> </w:t>
      </w:r>
      <w:r>
        <w:rPr>
          <w:rFonts w:hint="eastAsia" w:ascii="仿宋" w:hAnsi="仿宋" w:eastAsia="仿宋" w:cs="仿宋"/>
          <w:b/>
          <w:color w:val="000000" w:themeColor="text1"/>
          <w:sz w:val="52"/>
          <w:szCs w:val="52"/>
          <w:highlight w:val="none"/>
          <w14:textFill>
            <w14:solidFill>
              <w14:schemeClr w14:val="tx1"/>
            </w14:solidFill>
          </w14:textFill>
        </w:rPr>
        <w:t>竞争性磋商响应文件</w:t>
      </w:r>
    </w:p>
    <w:p w14:paraId="440FE608">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72D4DD67">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073A545E">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32BDEA24">
      <w:pPr>
        <w:pStyle w:val="11"/>
        <w:rPr>
          <w:rFonts w:hint="eastAsia"/>
          <w:highlight w:val="none"/>
        </w:rPr>
      </w:pPr>
    </w:p>
    <w:p w14:paraId="0C870EB4">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0E8F9212">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   应   商：</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759842FA">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采购代理机构：</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2476800B">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color w:val="000000" w:themeColor="text1"/>
          <w:sz w:val="13"/>
          <w:szCs w:val="13"/>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时        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441B096C">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仿宋" w:hAnsi="仿宋" w:eastAsia="仿宋" w:cs="仿宋"/>
          <w:b/>
          <w:color w:val="000000" w:themeColor="text1"/>
          <w:sz w:val="44"/>
          <w:szCs w:val="44"/>
          <w:highlight w:val="none"/>
          <w14:textFill>
            <w14:solidFill>
              <w14:schemeClr w14:val="tx1"/>
            </w14:solidFill>
          </w14:textFill>
        </w:rPr>
      </w:pPr>
    </w:p>
    <w:p w14:paraId="3E89D8D7">
      <w:pPr>
        <w:spacing w:line="480" w:lineRule="exact"/>
        <w:ind w:firstLine="3697" w:firstLineChars="837"/>
        <w:rPr>
          <w:rFonts w:hint="eastAsia" w:ascii="仿宋" w:hAnsi="仿宋" w:eastAsia="仿宋" w:cs="仿宋"/>
          <w:b/>
          <w:color w:val="000000" w:themeColor="text1"/>
          <w:sz w:val="44"/>
          <w:szCs w:val="44"/>
          <w:highlight w:val="none"/>
          <w14:textFill>
            <w14:solidFill>
              <w14:schemeClr w14:val="tx1"/>
            </w14:solidFill>
          </w14:textFill>
        </w:rPr>
      </w:pPr>
    </w:p>
    <w:p w14:paraId="3281006B">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p w14:paraId="1DF95BE3">
      <w:pPr>
        <w:pStyle w:val="18"/>
        <w:rPr>
          <w:rFonts w:hint="eastAsia"/>
          <w:highlight w:val="none"/>
        </w:rPr>
      </w:pPr>
    </w:p>
    <w:p w14:paraId="28D5E169">
      <w:pPr>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19741B22">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3B83287">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4376DB06">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78CA707E">
      <w:pPr>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分项报价表（格式自拟）</w:t>
      </w:r>
    </w:p>
    <w:p w14:paraId="5B61C28F">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52B5B3AA">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1B23371E">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16B5BA52">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19034C95">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8、服务方案</w:t>
      </w:r>
    </w:p>
    <w:p w14:paraId="31C30879">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9、人员及服务能力</w:t>
      </w:r>
    </w:p>
    <w:p w14:paraId="303803C2">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10、质量保证承诺</w:t>
      </w:r>
    </w:p>
    <w:p w14:paraId="7E9D02E1">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11、合理化建议</w:t>
      </w:r>
    </w:p>
    <w:p w14:paraId="191B39A7">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12、履约承诺</w:t>
      </w:r>
    </w:p>
    <w:p w14:paraId="6EB8B1FC">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13、服务承诺</w:t>
      </w:r>
    </w:p>
    <w:p w14:paraId="0FB31E62">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.供应商认为有必要说明的事宜（若有）</w:t>
      </w:r>
    </w:p>
    <w:p w14:paraId="40FEB291">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.供应商拒绝政府采购领域商业贿赂承诺书（格式）</w:t>
      </w:r>
    </w:p>
    <w:p w14:paraId="05BFD7A8">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.《中小企业声明函》</w:t>
      </w:r>
    </w:p>
    <w:p w14:paraId="7CFE886E">
      <w:pPr>
        <w:spacing w:line="480" w:lineRule="auto"/>
        <w:ind w:firstLine="2551" w:firstLineChars="1063"/>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7</w:t>
      </w:r>
      <w:r>
        <w:rPr>
          <w:rFonts w:hint="eastAsia" w:ascii="仿宋" w:hAnsi="仿宋" w:eastAsia="仿宋" w:cs="仿宋"/>
          <w:bCs/>
          <w:color w:val="000000" w:themeColor="text1"/>
          <w:sz w:val="24"/>
          <w:highlight w:val="none"/>
          <w14:textFill>
            <w14:solidFill>
              <w14:schemeClr w14:val="tx1"/>
            </w14:solidFill>
          </w14:textFill>
        </w:rPr>
        <w:t>.《残疾人福利性单位声明函》</w:t>
      </w:r>
      <w:r>
        <w:rPr>
          <w:rFonts w:hint="eastAsia" w:ascii="仿宋" w:hAnsi="仿宋" w:eastAsia="仿宋" w:cs="仿宋"/>
          <w:color w:val="000000" w:themeColor="text1"/>
          <w:sz w:val="24"/>
          <w:highlight w:val="none"/>
          <w14:textFill>
            <w14:solidFill>
              <w14:schemeClr w14:val="tx1"/>
            </w14:solidFill>
          </w14:textFill>
        </w:rPr>
        <w:t>（格式，若有）</w:t>
      </w:r>
    </w:p>
    <w:p w14:paraId="5096D416">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18.《监狱、戒毒企业声明函》（格式，若有）</w:t>
      </w:r>
    </w:p>
    <w:p w14:paraId="4E8D603A">
      <w:pPr>
        <w:spacing w:line="600" w:lineRule="exact"/>
        <w:rPr>
          <w:rFonts w:hint="eastAsia" w:ascii="仿宋" w:hAnsi="仿宋" w:eastAsia="仿宋" w:cs="仿宋"/>
          <w:b/>
          <w:color w:val="000000" w:themeColor="text1"/>
          <w:sz w:val="28"/>
          <w:szCs w:val="28"/>
          <w:highlight w:val="none"/>
          <w14:textFill>
            <w14:solidFill>
              <w14:schemeClr w14:val="tx1"/>
            </w14:solidFill>
          </w14:textFill>
        </w:rPr>
      </w:pPr>
    </w:p>
    <w:p w14:paraId="1D70CB37">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1B5AE23B">
      <w:pPr>
        <w:spacing w:line="6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1.竞争性磋商函</w:t>
      </w:r>
      <w:r>
        <w:rPr>
          <w:rFonts w:hint="eastAsia" w:ascii="仿宋" w:hAnsi="仿宋" w:eastAsia="仿宋" w:cs="仿宋"/>
          <w:bCs/>
          <w:color w:val="000000" w:themeColor="text1"/>
          <w:sz w:val="22"/>
          <w:szCs w:val="22"/>
          <w:highlight w:val="none"/>
          <w14:textFill>
            <w14:solidFill>
              <w14:schemeClr w14:val="tx1"/>
            </w14:solidFill>
          </w14:textFill>
        </w:rPr>
        <w:t>（格式）</w:t>
      </w:r>
    </w:p>
    <w:p w14:paraId="4E2C3B0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14:paraId="2D7E7665">
      <w:pPr>
        <w:spacing w:line="480" w:lineRule="exact"/>
        <w:rPr>
          <w:rFonts w:hint="eastAsia" w:ascii="仿宋" w:hAnsi="仿宋" w:eastAsia="仿宋" w:cs="仿宋"/>
          <w:b/>
          <w:color w:val="000000" w:themeColor="text1"/>
          <w:sz w:val="24"/>
          <w:highlight w:val="none"/>
          <w14:textFill>
            <w14:solidFill>
              <w14:schemeClr w14:val="tx1"/>
            </w14:solidFill>
          </w14:textFill>
        </w:rPr>
      </w:pPr>
    </w:p>
    <w:p w14:paraId="3BC87D7E">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致：</w:t>
      </w:r>
      <w:r>
        <w:rPr>
          <w:rFonts w:hint="eastAsia" w:ascii="仿宋" w:hAnsi="仿宋" w:eastAsia="仿宋" w:cs="仿宋"/>
          <w:b/>
          <w:color w:val="000000" w:themeColor="text1"/>
          <w:sz w:val="24"/>
          <w:highlight w:val="none"/>
          <w:lang w:eastAsia="zh-CN"/>
          <w14:textFill>
            <w14:solidFill>
              <w14:schemeClr w14:val="tx1"/>
            </w14:solidFill>
          </w14:textFill>
        </w:rPr>
        <w:t>华招广和项目管理有限公司</w:t>
      </w:r>
    </w:p>
    <w:p w14:paraId="0AFE4C3A">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根据贵单位</w:t>
      </w:r>
      <w:r>
        <w:rPr>
          <w:rFonts w:hint="eastAsia" w:ascii="仿宋" w:hAnsi="仿宋" w:eastAsia="仿宋" w:cs="仿宋"/>
          <w:color w:val="000000" w:themeColor="text1"/>
          <w:sz w:val="24"/>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的磋商公告，我方代表</w:t>
      </w:r>
      <w:r>
        <w:rPr>
          <w:rFonts w:hint="eastAsia" w:ascii="仿宋" w:hAnsi="仿宋" w:eastAsia="仿宋" w:cs="仿宋"/>
          <w:color w:val="000000" w:themeColor="text1"/>
          <w:sz w:val="24"/>
          <w:highlight w:val="none"/>
          <w:u w:val="single"/>
          <w14:textFill>
            <w14:solidFill>
              <w14:schemeClr w14:val="tx1"/>
            </w14:solidFill>
          </w14:textFill>
        </w:rPr>
        <w:t xml:space="preserve">   （姓名、职务）   </w:t>
      </w:r>
      <w:r>
        <w:rPr>
          <w:rFonts w:hint="eastAsia" w:ascii="仿宋" w:hAnsi="仿宋" w:eastAsia="仿宋" w:cs="仿宋"/>
          <w:color w:val="000000" w:themeColor="text1"/>
          <w:sz w:val="24"/>
          <w:highlight w:val="none"/>
          <w14:textFill>
            <w14:solidFill>
              <w14:schemeClr w14:val="tx1"/>
            </w14:solidFill>
          </w14:textFill>
        </w:rPr>
        <w:t>经正式授权并代表</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4"/>
          <w:highlight w:val="none"/>
          <w14:textFill>
            <w14:solidFill>
              <w14:schemeClr w14:val="tx1"/>
            </w14:solidFill>
          </w14:textFill>
        </w:rPr>
        <w:t>就该项目进行磋商。</w:t>
      </w:r>
    </w:p>
    <w:p w14:paraId="1DA19CDB">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在此，我方郑重声明以下诸点，并负法律责任：</w:t>
      </w:r>
    </w:p>
    <w:p w14:paraId="5EC862B7">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1、我方提交的竞争性磋商响应文件正本一份，副本叁份，电子文件一份。</w:t>
      </w:r>
    </w:p>
    <w:p w14:paraId="2DDAD6B3">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2、我方所附磋商报价表中应提交和交付的货物/服务磋商总价为人民币：</w:t>
      </w:r>
      <w:r>
        <w:rPr>
          <w:rFonts w:hint="eastAsia" w:ascii="仿宋" w:hAnsi="仿宋" w:eastAsia="仿宋" w:cs="仿宋"/>
          <w:color w:val="000000" w:themeColor="text1"/>
          <w:sz w:val="24"/>
          <w:highlight w:val="none"/>
          <w:u w:val="single"/>
          <w14:textFill>
            <w14:solidFill>
              <w14:schemeClr w14:val="tx1"/>
            </w14:solidFill>
          </w14:textFill>
        </w:rPr>
        <w:t>（同时用汉字大写和数字表示的磋商总价）</w:t>
      </w:r>
      <w:r>
        <w:rPr>
          <w:rFonts w:hint="eastAsia" w:ascii="仿宋" w:hAnsi="仿宋" w:eastAsia="仿宋" w:cs="仿宋"/>
          <w:color w:val="000000" w:themeColor="text1"/>
          <w:sz w:val="24"/>
          <w:highlight w:val="none"/>
          <w14:textFill>
            <w14:solidFill>
              <w14:schemeClr w14:val="tx1"/>
            </w14:solidFill>
          </w14:textFill>
        </w:rPr>
        <w:t>。</w:t>
      </w:r>
    </w:p>
    <w:p w14:paraId="5C742F5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14:paraId="7136C7EC">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4、我方完全理解并同意竞争性磋商</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中拒绝投标的条款。</w:t>
      </w:r>
    </w:p>
    <w:p w14:paraId="23001D6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5、我方同意按照要求提供磋商有关的一切数据或资料。</w:t>
      </w:r>
    </w:p>
    <w:p w14:paraId="04D3CE3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6、我方将按竞争性磋商文件的规定履行合同责任和义务。</w:t>
      </w:r>
    </w:p>
    <w:p w14:paraId="78314E4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7、我方完全理解最低报价不是成交的唯一条件，采购人权选择质优价廉的货物/服务。</w:t>
      </w:r>
    </w:p>
    <w:p w14:paraId="058F413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8、我方同意按竞争性磋商文件规定，遵守贵方有关采购的各项规定。</w:t>
      </w:r>
    </w:p>
    <w:p w14:paraId="276F3F0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9、若我方被选为成交供应商，我方保证按有关规定向贵方支付招标服务费。</w:t>
      </w:r>
    </w:p>
    <w:p w14:paraId="43C81BA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10、磋商响应有效期为自提交磋商响应文件的截止之日起90个日历日。</w:t>
      </w:r>
    </w:p>
    <w:p w14:paraId="2C766D8F">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11、所有关于本项目的函电，请按下列地址联系：</w:t>
      </w:r>
    </w:p>
    <w:p w14:paraId="025CAFD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5C6826FA">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141180F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4FC65D6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5D5B96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 细 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CC5BA30">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502E4A3">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       话：</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4FEC7F52">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       真：</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735C3B3">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子 邮 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A80AE0">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开 户 银 行：</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690ED4A6">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帐       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3A5BED2">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CB2016F">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0D80F4EE">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63A55265">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2AEF0B98">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5B91156">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0141108F">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79F9DDB">
      <w:pPr>
        <w:autoSpaceDE w:val="0"/>
        <w:autoSpaceDN w:val="0"/>
        <w:adjustRightInd w:val="0"/>
        <w:spacing w:line="480" w:lineRule="exact"/>
        <w:rPr>
          <w:rFonts w:hint="eastAsia" w:ascii="仿宋" w:hAnsi="仿宋" w:eastAsia="仿宋" w:cs="仿宋"/>
          <w:color w:val="000000" w:themeColor="text1"/>
          <w:sz w:val="24"/>
          <w:highlight w:val="none"/>
          <w:lang w:val="zh-CN"/>
          <w14:textFill>
            <w14:solidFill>
              <w14:schemeClr w14:val="tx1"/>
            </w14:solidFill>
          </w14:textFill>
        </w:rPr>
      </w:pPr>
    </w:p>
    <w:p w14:paraId="5FE4E8C1">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lang w:val="zh-CN"/>
          <w14:textFill>
            <w14:solidFill>
              <w14:schemeClr w14:val="tx1"/>
            </w14:solidFill>
          </w14:textFill>
        </w:rPr>
        <w:t>代表签名：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4BCB3AA">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联系电话/手机：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850372E">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0B4F21EC">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8"/>
          <w:szCs w:val="28"/>
          <w:highlight w:val="none"/>
          <w14:textFill>
            <w14:solidFill>
              <w14:schemeClr w14:val="tx1"/>
            </w14:solidFill>
          </w14:textFill>
        </w:rPr>
        <w:sectPr>
          <w:headerReference r:id="rId12" w:type="first"/>
          <w:footerReference r:id="rId14" w:type="first"/>
          <w:headerReference r:id="rId11" w:type="default"/>
          <w:footerReference r:id="rId13" w:type="default"/>
          <w:pgSz w:w="11907" w:h="16840"/>
          <w:pgMar w:top="1418" w:right="1287" w:bottom="936" w:left="1259" w:header="907" w:footer="654" w:gutter="0"/>
          <w:pgBorders>
            <w:top w:val="none" w:sz="0" w:space="0"/>
            <w:left w:val="none" w:sz="0" w:space="0"/>
            <w:bottom w:val="none" w:sz="0" w:space="0"/>
            <w:right w:val="none" w:sz="0" w:space="0"/>
          </w:pgBorders>
          <w:cols w:space="720" w:num="1"/>
          <w:titlePg/>
          <w:docGrid w:linePitch="312" w:charSpace="0"/>
        </w:sectPr>
      </w:pPr>
    </w:p>
    <w:p w14:paraId="145F2A4E">
      <w:pPr>
        <w:pStyle w:val="41"/>
        <w:ind w:firstLine="562"/>
        <w:rPr>
          <w:rFonts w:hint="eastAsia" w:ascii="仿宋" w:hAnsi="仿宋" w:eastAsia="仿宋" w:cs="仿宋"/>
          <w:b/>
          <w:color w:val="000000" w:themeColor="text1"/>
          <w:highlight w:val="none"/>
          <w14:textFill>
            <w14:solidFill>
              <w14:schemeClr w14:val="tx1"/>
            </w14:solidFill>
          </w14:textFill>
        </w:rPr>
      </w:pPr>
      <w:bookmarkStart w:id="64" w:name="_Toc188808834"/>
      <w:bookmarkStart w:id="65" w:name="_Toc194663919"/>
      <w:bookmarkStart w:id="66" w:name="_Toc193126882"/>
      <w:bookmarkStart w:id="67" w:name="_Toc193187098"/>
      <w:r>
        <w:rPr>
          <w:rFonts w:hint="eastAsia" w:ascii="仿宋" w:hAnsi="仿宋" w:eastAsia="仿宋" w:cs="仿宋"/>
          <w:b/>
          <w:color w:val="000000" w:themeColor="text1"/>
          <w:highlight w:val="none"/>
          <w14:textFill>
            <w14:solidFill>
              <w14:schemeClr w14:val="tx1"/>
            </w14:solidFill>
          </w14:textFill>
        </w:rPr>
        <w:t>2.磋商报价一览表</w:t>
      </w:r>
      <w:bookmarkEnd w:id="64"/>
      <w:bookmarkEnd w:id="65"/>
      <w:bookmarkEnd w:id="66"/>
      <w:bookmarkEnd w:id="67"/>
      <w:r>
        <w:rPr>
          <w:rFonts w:hint="eastAsia" w:ascii="仿宋" w:hAnsi="仿宋" w:eastAsia="仿宋" w:cs="仿宋"/>
          <w:bCs/>
          <w:color w:val="000000" w:themeColor="text1"/>
          <w:sz w:val="22"/>
          <w:highlight w:val="none"/>
          <w14:textFill>
            <w14:solidFill>
              <w14:schemeClr w14:val="tx1"/>
            </w14:solidFill>
          </w14:textFill>
        </w:rPr>
        <w:t>（格式）</w:t>
      </w:r>
    </w:p>
    <w:p w14:paraId="715692BA">
      <w:pPr>
        <w:spacing w:line="480" w:lineRule="exact"/>
        <w:ind w:firstLine="723" w:firstLineChars="200"/>
        <w:jc w:val="center"/>
        <w:rPr>
          <w:rFonts w:hint="eastAsia" w:ascii="仿宋" w:hAnsi="仿宋" w:eastAsia="仿宋" w:cs="仿宋"/>
          <w:b/>
          <w:bCs/>
          <w:color w:val="000000" w:themeColor="text1"/>
          <w:sz w:val="36"/>
          <w:szCs w:val="21"/>
          <w:highlight w:val="none"/>
          <w14:textFill>
            <w14:solidFill>
              <w14:schemeClr w14:val="tx1"/>
            </w14:solidFill>
          </w14:textFill>
        </w:rPr>
      </w:pPr>
    </w:p>
    <w:p w14:paraId="22E22DFF">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tbl>
      <w:tblPr>
        <w:tblStyle w:val="24"/>
        <w:tblW w:w="14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2"/>
        <w:gridCol w:w="5135"/>
        <w:gridCol w:w="6186"/>
      </w:tblGrid>
      <w:tr w14:paraId="5307C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822" w:type="dxa"/>
            <w:vAlign w:val="center"/>
          </w:tcPr>
          <w:p w14:paraId="53D812BD">
            <w:pPr>
              <w:spacing w:line="480" w:lineRule="exact"/>
              <w:ind w:right="143" w:rightChars="68" w:firstLine="118" w:firstLineChars="49"/>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tc>
        <w:tc>
          <w:tcPr>
            <w:tcW w:w="5135" w:type="dxa"/>
            <w:vAlign w:val="center"/>
          </w:tcPr>
          <w:p w14:paraId="4D829D1D">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磋商报价（人民币:元）</w:t>
            </w:r>
          </w:p>
        </w:tc>
        <w:tc>
          <w:tcPr>
            <w:tcW w:w="6186" w:type="dxa"/>
            <w:tcMar>
              <w:top w:w="57" w:type="dxa"/>
              <w:left w:w="28" w:type="dxa"/>
              <w:bottom w:w="57" w:type="dxa"/>
              <w:right w:w="28" w:type="dxa"/>
            </w:tcMar>
            <w:vAlign w:val="center"/>
          </w:tcPr>
          <w:p w14:paraId="6CF1E267">
            <w:pPr>
              <w:spacing w:line="480" w:lineRule="exact"/>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14:paraId="412BA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2822" w:type="dxa"/>
            <w:vMerge w:val="restart"/>
            <w:vAlign w:val="center"/>
          </w:tcPr>
          <w:p w14:paraId="4F454E07">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5135" w:type="dxa"/>
            <w:vAlign w:val="center"/>
          </w:tcPr>
          <w:p w14:paraId="0EF73E73">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6186" w:type="dxa"/>
            <w:tcMar>
              <w:top w:w="57" w:type="dxa"/>
              <w:left w:w="28" w:type="dxa"/>
              <w:bottom w:w="57" w:type="dxa"/>
              <w:right w:w="28" w:type="dxa"/>
            </w:tcMar>
            <w:vAlign w:val="center"/>
          </w:tcPr>
          <w:p w14:paraId="6AC722CC">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r>
      <w:tr w14:paraId="5B01EA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822" w:type="dxa"/>
            <w:vMerge w:val="continue"/>
            <w:tcMar>
              <w:top w:w="57" w:type="dxa"/>
              <w:left w:w="28" w:type="dxa"/>
              <w:bottom w:w="57" w:type="dxa"/>
              <w:right w:w="28" w:type="dxa"/>
            </w:tcMar>
            <w:vAlign w:val="center"/>
          </w:tcPr>
          <w:p w14:paraId="0517771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321" w:type="dxa"/>
            <w:gridSpan w:val="2"/>
            <w:vAlign w:val="top"/>
          </w:tcPr>
          <w:p w14:paraId="2358D405">
            <w:pPr>
              <w:spacing w:line="480" w:lineRule="exact"/>
              <w:ind w:left="210" w:left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（大写）                                </w:t>
            </w:r>
          </w:p>
        </w:tc>
      </w:tr>
    </w:tbl>
    <w:p w14:paraId="5B28EA5F">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18D8EF15">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（全称、签章）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6398BC0">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（盖章或签字）        </w:t>
      </w:r>
    </w:p>
    <w:p w14:paraId="47459273">
      <w:pPr>
        <w:keepNext w:val="0"/>
        <w:keepLines w:val="0"/>
        <w:pageBreakBefore w:val="0"/>
        <w:widowControl w:val="0"/>
        <w:kinsoku/>
        <w:wordWrap/>
        <w:overflowPunct/>
        <w:topLinePunct w:val="0"/>
        <w:autoSpaceDE/>
        <w:autoSpaceDN/>
        <w:bidi w:val="0"/>
        <w:adjustRightInd/>
        <w:snapToGrid/>
        <w:spacing w:after="100" w:afterAutospacing="1" w:line="640" w:lineRule="exact"/>
        <w:jc w:val="left"/>
        <w:textAlignment w:val="auto"/>
        <w:rPr>
          <w:rFonts w:hint="eastAsia" w:ascii="仿宋" w:hAnsi="仿宋" w:eastAsia="仿宋" w:cs="仿宋"/>
          <w:b/>
          <w:color w:val="000000" w:themeColor="text1"/>
          <w:sz w:val="28"/>
          <w:szCs w:val="28"/>
          <w:highlight w:val="none"/>
          <w14:textFill>
            <w14:solidFill>
              <w14:schemeClr w14:val="tx1"/>
            </w14:solidFill>
          </w14:textFill>
        </w:rPr>
      </w:pPr>
    </w:p>
    <w:p w14:paraId="0B6138A8">
      <w:pPr>
        <w:pStyle w:val="11"/>
        <w:rPr>
          <w:rFonts w:hint="eastAsia" w:ascii="仿宋" w:hAnsi="仿宋" w:eastAsia="仿宋" w:cs="仿宋"/>
          <w:b/>
          <w:color w:val="000000" w:themeColor="text1"/>
          <w:sz w:val="28"/>
          <w:szCs w:val="28"/>
          <w:highlight w:val="none"/>
          <w14:textFill>
            <w14:solidFill>
              <w14:schemeClr w14:val="tx1"/>
            </w14:solidFill>
          </w14:textFill>
        </w:rPr>
      </w:pPr>
    </w:p>
    <w:p w14:paraId="62CA2652">
      <w:pPr>
        <w:rPr>
          <w:rFonts w:hint="eastAsia"/>
          <w:highlight w:val="none"/>
        </w:rPr>
      </w:pPr>
    </w:p>
    <w:p w14:paraId="275E0587">
      <w:pPr>
        <w:rPr>
          <w:rFonts w:hint="eastAsia" w:ascii="仿宋" w:hAnsi="仿宋" w:eastAsia="仿宋" w:cs="仿宋"/>
          <w:b/>
          <w:color w:val="000000" w:themeColor="text1"/>
          <w:sz w:val="28"/>
          <w:szCs w:val="28"/>
          <w:highlight w:val="none"/>
          <w14:textFill>
            <w14:solidFill>
              <w14:schemeClr w14:val="tx1"/>
            </w14:solidFill>
          </w14:textFill>
        </w:rPr>
      </w:pPr>
    </w:p>
    <w:p w14:paraId="7AB55BEB">
      <w:pPr>
        <w:rPr>
          <w:rFonts w:hint="eastAsia" w:ascii="仿宋" w:hAnsi="仿宋" w:eastAsia="仿宋" w:cs="仿宋"/>
          <w:b/>
          <w:color w:val="000000" w:themeColor="text1"/>
          <w:sz w:val="28"/>
          <w:szCs w:val="28"/>
          <w:highlight w:val="none"/>
          <w14:textFill>
            <w14:solidFill>
              <w14:schemeClr w14:val="tx1"/>
            </w14:solidFill>
          </w14:textFill>
        </w:rPr>
      </w:pPr>
    </w:p>
    <w:p w14:paraId="048ECB77">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14:paraId="72420656">
      <w:pPr>
        <w:numPr>
          <w:ilvl w:val="0"/>
          <w:numId w:val="0"/>
        </w:numPr>
        <w:spacing w:after="100" w:afterAutospacing="1" w:line="480" w:lineRule="auto"/>
        <w:ind w:left="0" w:leftChars="0" w:firstLine="0" w:firstLineChars="0"/>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3、</w:t>
      </w:r>
      <w:r>
        <w:rPr>
          <w:rFonts w:hint="eastAsia" w:ascii="仿宋" w:hAnsi="仿宋" w:eastAsia="仿宋" w:cs="仿宋"/>
          <w:b/>
          <w:color w:val="000000" w:themeColor="text1"/>
          <w:sz w:val="28"/>
          <w:szCs w:val="28"/>
          <w:highlight w:val="none"/>
          <w:lang w:val="en-US" w:eastAsia="zh-CN"/>
          <w14:textFill>
            <w14:solidFill>
              <w14:schemeClr w14:val="tx1"/>
            </w14:solidFill>
          </w14:textFill>
        </w:rPr>
        <w:t>分项报价表</w:t>
      </w:r>
    </w:p>
    <w:p w14:paraId="61D3A245">
      <w:pPr>
        <w:pStyle w:val="22"/>
        <w:ind w:firstLine="1200" w:firstLineChars="500"/>
        <w:rPr>
          <w:rFonts w:hint="eastAsia"/>
          <w:highlight w:val="none"/>
          <w:lang w:val="en-US" w:eastAsia="zh-CN"/>
        </w:rPr>
      </w:pPr>
      <w:r>
        <w:rPr>
          <w:rFonts w:hint="eastAsia" w:ascii="仿宋" w:hAnsi="仿宋" w:eastAsia="仿宋" w:cs="仿宋"/>
          <w:color w:val="000000"/>
          <w:sz w:val="24"/>
          <w:highlight w:val="none"/>
        </w:rPr>
        <w:t>供应商名称：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项目编号：</w:t>
      </w:r>
      <w:r>
        <w:rPr>
          <w:rFonts w:hint="eastAsia" w:ascii="仿宋" w:hAnsi="仿宋" w:eastAsia="仿宋" w:cs="仿宋"/>
          <w:color w:val="000000"/>
          <w:sz w:val="24"/>
          <w:highlight w:val="none"/>
          <w:u w:val="single"/>
        </w:rPr>
        <w:t xml:space="preserve">             </w:t>
      </w:r>
    </w:p>
    <w:tbl>
      <w:tblPr>
        <w:tblStyle w:val="25"/>
        <w:tblW w:w="4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430"/>
        <w:gridCol w:w="1893"/>
        <w:gridCol w:w="1852"/>
        <w:gridCol w:w="2524"/>
        <w:gridCol w:w="1547"/>
      </w:tblGrid>
      <w:tr w14:paraId="2A3D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noWrap w:val="0"/>
            <w:vAlign w:val="top"/>
          </w:tcPr>
          <w:p w14:paraId="75E5CE5E">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404" w:type="pct"/>
            <w:noWrap w:val="0"/>
            <w:vAlign w:val="top"/>
          </w:tcPr>
          <w:p w14:paraId="185123D8">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名称</w:t>
            </w:r>
          </w:p>
        </w:tc>
        <w:tc>
          <w:tcPr>
            <w:tcW w:w="775" w:type="pct"/>
            <w:noWrap w:val="0"/>
            <w:vAlign w:val="top"/>
          </w:tcPr>
          <w:p w14:paraId="5C5AD5D0">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758" w:type="pct"/>
            <w:noWrap w:val="0"/>
            <w:vAlign w:val="top"/>
          </w:tcPr>
          <w:p w14:paraId="6DADF8B3">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w:t>
            </w:r>
          </w:p>
        </w:tc>
        <w:tc>
          <w:tcPr>
            <w:tcW w:w="1033" w:type="pct"/>
            <w:noWrap w:val="0"/>
            <w:vAlign w:val="top"/>
          </w:tcPr>
          <w:p w14:paraId="2824B156">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总价</w:t>
            </w:r>
          </w:p>
        </w:tc>
        <w:tc>
          <w:tcPr>
            <w:tcW w:w="633" w:type="pct"/>
            <w:noWrap w:val="0"/>
            <w:vAlign w:val="top"/>
          </w:tcPr>
          <w:p w14:paraId="650A5910">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579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noWrap w:val="0"/>
            <w:vAlign w:val="top"/>
          </w:tcPr>
          <w:p w14:paraId="53736FC3">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noWrap w:val="0"/>
            <w:vAlign w:val="top"/>
          </w:tcPr>
          <w:p w14:paraId="1D4795F9">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noWrap w:val="0"/>
            <w:vAlign w:val="top"/>
          </w:tcPr>
          <w:p w14:paraId="1AA953BC">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noWrap w:val="0"/>
            <w:vAlign w:val="top"/>
          </w:tcPr>
          <w:p w14:paraId="7020AB1C">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noWrap w:val="0"/>
            <w:vAlign w:val="top"/>
          </w:tcPr>
          <w:p w14:paraId="3B14DA84">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noWrap w:val="0"/>
            <w:vAlign w:val="top"/>
          </w:tcPr>
          <w:p w14:paraId="783FAC84">
            <w:pPr>
              <w:spacing w:line="440" w:lineRule="exact"/>
              <w:jc w:val="center"/>
              <w:rPr>
                <w:rFonts w:hint="eastAsia" w:ascii="仿宋" w:hAnsi="仿宋" w:eastAsia="仿宋" w:cs="仿宋"/>
                <w:b/>
                <w:bCs/>
                <w:color w:val="auto"/>
                <w:sz w:val="24"/>
                <w:szCs w:val="24"/>
                <w:highlight w:val="none"/>
                <w:vertAlign w:val="baseline"/>
                <w:lang w:val="en-US" w:eastAsia="zh-CN"/>
              </w:rPr>
            </w:pPr>
          </w:p>
        </w:tc>
      </w:tr>
      <w:tr w14:paraId="60C9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noWrap w:val="0"/>
            <w:vAlign w:val="top"/>
          </w:tcPr>
          <w:p w14:paraId="1C7CB3FC">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noWrap w:val="0"/>
            <w:vAlign w:val="top"/>
          </w:tcPr>
          <w:p w14:paraId="79BA6EB1">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noWrap w:val="0"/>
            <w:vAlign w:val="top"/>
          </w:tcPr>
          <w:p w14:paraId="3AF38AD0">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noWrap w:val="0"/>
            <w:vAlign w:val="top"/>
          </w:tcPr>
          <w:p w14:paraId="687B1905">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noWrap w:val="0"/>
            <w:vAlign w:val="top"/>
          </w:tcPr>
          <w:p w14:paraId="3A5D9316">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noWrap w:val="0"/>
            <w:vAlign w:val="top"/>
          </w:tcPr>
          <w:p w14:paraId="2C6BB188">
            <w:pPr>
              <w:spacing w:line="440" w:lineRule="exact"/>
              <w:jc w:val="center"/>
              <w:rPr>
                <w:rFonts w:hint="eastAsia" w:ascii="仿宋" w:hAnsi="仿宋" w:eastAsia="仿宋" w:cs="仿宋"/>
                <w:b/>
                <w:bCs/>
                <w:color w:val="auto"/>
                <w:sz w:val="24"/>
                <w:szCs w:val="24"/>
                <w:highlight w:val="none"/>
                <w:vertAlign w:val="baseline"/>
                <w:lang w:val="en-US" w:eastAsia="zh-CN"/>
              </w:rPr>
            </w:pPr>
          </w:p>
        </w:tc>
      </w:tr>
      <w:tr w14:paraId="5DD5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noWrap w:val="0"/>
            <w:vAlign w:val="top"/>
          </w:tcPr>
          <w:p w14:paraId="62DB12BA">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noWrap w:val="0"/>
            <w:vAlign w:val="top"/>
          </w:tcPr>
          <w:p w14:paraId="1544670D">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noWrap w:val="0"/>
            <w:vAlign w:val="top"/>
          </w:tcPr>
          <w:p w14:paraId="5B17EE80">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noWrap w:val="0"/>
            <w:vAlign w:val="top"/>
          </w:tcPr>
          <w:p w14:paraId="67673A3F">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noWrap w:val="0"/>
            <w:vAlign w:val="top"/>
          </w:tcPr>
          <w:p w14:paraId="5134F5F3">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noWrap w:val="0"/>
            <w:vAlign w:val="top"/>
          </w:tcPr>
          <w:p w14:paraId="310AA58B">
            <w:pPr>
              <w:spacing w:line="440" w:lineRule="exact"/>
              <w:jc w:val="center"/>
              <w:rPr>
                <w:rFonts w:hint="eastAsia" w:ascii="仿宋" w:hAnsi="仿宋" w:eastAsia="仿宋" w:cs="仿宋"/>
                <w:b/>
                <w:bCs/>
                <w:color w:val="auto"/>
                <w:sz w:val="24"/>
                <w:szCs w:val="24"/>
                <w:highlight w:val="none"/>
                <w:vertAlign w:val="baseline"/>
                <w:lang w:val="en-US" w:eastAsia="zh-CN"/>
              </w:rPr>
            </w:pPr>
          </w:p>
        </w:tc>
      </w:tr>
    </w:tbl>
    <w:p w14:paraId="46FA5434">
      <w:pPr>
        <w:spacing w:line="440" w:lineRule="exact"/>
        <w:ind w:firstLine="960" w:firstLineChars="400"/>
        <w:jc w:val="both"/>
        <w:rPr>
          <w:rFonts w:hint="eastAsia" w:ascii="仿宋" w:hAnsi="仿宋" w:eastAsia="仿宋" w:cs="仿宋"/>
          <w:color w:val="auto"/>
          <w:sz w:val="24"/>
          <w:highlight w:val="none"/>
          <w:lang w:val="en-US" w:eastAsia="zh-CN"/>
        </w:rPr>
      </w:pPr>
    </w:p>
    <w:p w14:paraId="1E995C44">
      <w:pPr>
        <w:spacing w:line="440" w:lineRule="exact"/>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000000"/>
          <w:sz w:val="24"/>
          <w:highlight w:val="none"/>
          <w:lang w:val="zh-CN"/>
        </w:rPr>
        <w:t>法定代表人或被授权人（签字或盖章）</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(供应商单位公章)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 期：</w:t>
      </w:r>
    </w:p>
    <w:p w14:paraId="0EF77378">
      <w:pPr>
        <w:spacing w:line="440" w:lineRule="exact"/>
        <w:rPr>
          <w:rFonts w:hint="eastAsia" w:ascii="仿宋" w:hAnsi="仿宋" w:eastAsia="仿宋" w:cs="仿宋"/>
          <w:color w:val="auto"/>
          <w:sz w:val="24"/>
          <w:highlight w:val="none"/>
        </w:rPr>
      </w:pPr>
    </w:p>
    <w:p w14:paraId="080F160C">
      <w:pPr>
        <w:pStyle w:val="11"/>
        <w:rPr>
          <w:rFonts w:hint="eastAsia" w:ascii="仿宋" w:hAnsi="仿宋" w:eastAsia="仿宋" w:cs="仿宋"/>
          <w:sz w:val="24"/>
          <w:szCs w:val="24"/>
          <w:highlight w:val="none"/>
          <w:lang w:val="en-US" w:eastAsia="zh-CN"/>
        </w:rPr>
        <w:sectPr>
          <w:headerReference r:id="rId16" w:type="first"/>
          <w:headerReference r:id="rId15" w:type="default"/>
          <w:footerReference r:id="rId17" w:type="default"/>
          <w:pgSz w:w="16840" w:h="11907" w:orient="landscape"/>
          <w:pgMar w:top="1259" w:right="1418" w:bottom="1287" w:left="936" w:header="851" w:footer="102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 xml:space="preserve">       </w:t>
      </w:r>
    </w:p>
    <w:p w14:paraId="14AFF531">
      <w:pPr>
        <w:pStyle w:val="41"/>
        <w:ind w:firstLine="562"/>
        <w:rPr>
          <w:rFonts w:hint="eastAsia" w:ascii="仿宋" w:hAnsi="仿宋" w:eastAsia="仿宋" w:cs="仿宋"/>
          <w:b/>
          <w:color w:val="000000" w:themeColor="text1"/>
          <w:szCs w:val="28"/>
          <w:highlight w:val="none"/>
          <w14:textFill>
            <w14:solidFill>
              <w14:schemeClr w14:val="tx1"/>
            </w14:solidFill>
          </w14:textFill>
        </w:rPr>
      </w:pPr>
      <w:bookmarkStart w:id="68" w:name="_Toc13908"/>
      <w:bookmarkStart w:id="69" w:name="_Toc49019497"/>
      <w:bookmarkStart w:id="70" w:name="_Toc47262069"/>
      <w:bookmarkStart w:id="71" w:name="_Toc47418255"/>
      <w:bookmarkStart w:id="72" w:name="_Toc47418731"/>
      <w:bookmarkStart w:id="73" w:name="_Toc194663925"/>
      <w:bookmarkStart w:id="74" w:name="_Toc188808839"/>
      <w:bookmarkStart w:id="75" w:name="_Toc48791235"/>
      <w:bookmarkStart w:id="76" w:name="_Toc47418938"/>
      <w:bookmarkStart w:id="77" w:name="_Toc237"/>
      <w:bookmarkStart w:id="78" w:name="_Toc193187104"/>
      <w:bookmarkStart w:id="79" w:name="_Toc49019236"/>
      <w:bookmarkStart w:id="80" w:name="_Toc48995851"/>
      <w:bookmarkStart w:id="81" w:name="_Toc193126888"/>
      <w:bookmarkStart w:id="82" w:name="_Toc47261885"/>
      <w:bookmarkStart w:id="83" w:name="_Toc458617477"/>
      <w:bookmarkStart w:id="84" w:name="_Toc47261690"/>
      <w:r>
        <w:rPr>
          <w:rFonts w:hint="eastAsia" w:ascii="仿宋" w:hAnsi="仿宋" w:eastAsia="仿宋" w:cs="仿宋"/>
          <w:b/>
          <w:color w:val="000000" w:themeColor="text1"/>
          <w:szCs w:val="28"/>
          <w:highlight w:val="none"/>
          <w:lang w:val="en-US" w:eastAsia="zh-CN"/>
          <w14:textFill>
            <w14:solidFill>
              <w14:schemeClr w14:val="tx1"/>
            </w14:solidFill>
          </w14:textFill>
        </w:rPr>
        <w:t>4</w:t>
      </w:r>
      <w:r>
        <w:rPr>
          <w:rFonts w:hint="eastAsia" w:ascii="仿宋" w:hAnsi="仿宋" w:eastAsia="仿宋" w:cs="仿宋"/>
          <w:b/>
          <w:color w:val="000000" w:themeColor="text1"/>
          <w:szCs w:val="28"/>
          <w:highlight w:val="none"/>
          <w14:textFill>
            <w14:solidFill>
              <w14:schemeClr w14:val="tx1"/>
            </w14:solidFill>
          </w14:textFill>
        </w:rPr>
        <w:t>、商务条款响应偏离表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4C72835B">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4"/>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14:paraId="6BF66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691A3F7">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14:paraId="4BA3C896">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14:paraId="7DD556BB">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14:paraId="6721C441">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14:paraId="18069BCF">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69E36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14:paraId="6775551A">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1459F1E9">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5CADD3A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7BDC584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3ECF39D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FA27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14:paraId="6B9B1C28">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4EBF7121">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5387085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4E7E2E1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1C4689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56AD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04A4D02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9575A53">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5BE272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0D8026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A96EA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7098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4B1C63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72F477A9">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2023C5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4C0D61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FACF00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AFFE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716F1A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1DC3305">
            <w:pPr>
              <w:spacing w:line="48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A5B6FE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7727D7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8E085B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AC15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08B755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74EC9FD">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8F27B9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7EF38C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94031A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C9C2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343C30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81FF86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54CCDEC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E7F403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9FC1B5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49D3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EA232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A209A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B556DF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4DE117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FD4102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3330A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024297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CED68C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FC466D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D415F2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24A79B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239A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175A38D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7899C2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1D9F7B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44ED0E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47FAB0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1415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59280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DCAFE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BE7089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7F9426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80C160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0CD71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256EF5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5F71E1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22B353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864A0D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09DE49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413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2D6A39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770FC2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0024D9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01A6FF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F4D00B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7248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34768B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6F1E7A5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4F6134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648B10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F5C892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00FD6A03">
      <w:pPr>
        <w:spacing w:line="440" w:lineRule="exact"/>
        <w:rPr>
          <w:rFonts w:hint="eastAsia" w:ascii="仿宋" w:hAnsi="仿宋" w:eastAsia="仿宋" w:cs="仿宋"/>
          <w:b/>
          <w:bCs/>
          <w:color w:val="000000" w:themeColor="text1"/>
          <w:sz w:val="24"/>
          <w:highlight w:val="none"/>
          <w:lang w:val="zh-CN" w:eastAsia="zh-CN"/>
          <w14:textFill>
            <w14:solidFill>
              <w14:schemeClr w14:val="tx1"/>
            </w14:solidFill>
          </w14:textFill>
        </w:rPr>
      </w:pPr>
    </w:p>
    <w:p w14:paraId="5975397F">
      <w:pPr>
        <w:spacing w:line="440" w:lineRule="exact"/>
        <w:rPr>
          <w:rFonts w:hint="eastAsia" w:ascii="仿宋" w:hAnsi="仿宋" w:eastAsia="仿宋" w:cs="仿宋"/>
          <w:sz w:val="24"/>
          <w:highlight w:val="none"/>
          <w:lang w:val="zh-CN"/>
        </w:rPr>
      </w:pPr>
      <w:r>
        <w:rPr>
          <w:rFonts w:hint="eastAsia" w:ascii="仿宋" w:hAnsi="仿宋" w:eastAsia="仿宋" w:cs="仿宋"/>
          <w:b/>
          <w:bCs/>
          <w:color w:val="auto"/>
          <w:sz w:val="22"/>
          <w:szCs w:val="22"/>
          <w:highlight w:val="none"/>
          <w:lang w:eastAsia="zh-CN"/>
        </w:rPr>
        <w:t>注：本表按照磋商文件第四章《</w:t>
      </w:r>
      <w:r>
        <w:rPr>
          <w:rFonts w:hint="eastAsia" w:ascii="仿宋" w:hAnsi="仿宋" w:eastAsia="仿宋" w:cs="仿宋"/>
          <w:b/>
          <w:bCs/>
          <w:color w:val="auto"/>
          <w:sz w:val="22"/>
          <w:szCs w:val="22"/>
          <w:highlight w:val="none"/>
          <w:lang w:val="en-US" w:eastAsia="zh-CN"/>
        </w:rPr>
        <w:t>商务要求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逐条响应，否则按无效投标处理。</w:t>
      </w:r>
      <w:r>
        <w:rPr>
          <w:rFonts w:hint="eastAsia" w:ascii="仿宋" w:hAnsi="仿宋" w:eastAsia="仿宋" w:cs="仿宋"/>
          <w:b/>
          <w:bCs/>
          <w:color w:val="auto"/>
          <w:sz w:val="22"/>
          <w:szCs w:val="22"/>
          <w:highlight w:val="none"/>
          <w:u w:val="none"/>
          <w:lang w:val="en-US" w:eastAsia="zh-CN"/>
        </w:rPr>
        <w:t>偏离情况填写：优于、等于或者低于，偏离说明对偏离情况做出详细说明。</w:t>
      </w:r>
    </w:p>
    <w:p w14:paraId="540FADBE">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53480AE4">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4E921F5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2D75B8C5">
      <w:pPr>
        <w:rPr>
          <w:rFonts w:hint="eastAsia" w:ascii="仿宋" w:hAnsi="仿宋" w:eastAsia="仿宋" w:cs="仿宋"/>
          <w:color w:val="000000" w:themeColor="text1"/>
          <w:sz w:val="24"/>
          <w:highlight w:val="none"/>
          <w14:textFill>
            <w14:solidFill>
              <w14:schemeClr w14:val="tx1"/>
            </w14:solidFill>
          </w14:textFill>
        </w:rPr>
      </w:pPr>
    </w:p>
    <w:p w14:paraId="51CC063D">
      <w:pPr>
        <w:rPr>
          <w:rFonts w:hint="eastAsia" w:ascii="仿宋" w:hAnsi="仿宋" w:eastAsia="仿宋" w:cs="仿宋"/>
          <w:color w:val="000000" w:themeColor="text1"/>
          <w:sz w:val="24"/>
          <w:highlight w:val="none"/>
          <w14:textFill>
            <w14:solidFill>
              <w14:schemeClr w14:val="tx1"/>
            </w14:solidFill>
          </w14:textFill>
        </w:rPr>
      </w:pPr>
    </w:p>
    <w:p w14:paraId="21108353">
      <w:pPr>
        <w:rPr>
          <w:rFonts w:hint="eastAsia" w:ascii="仿宋" w:hAnsi="仿宋" w:eastAsia="仿宋" w:cs="仿宋"/>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pPr>
    </w:p>
    <w:p w14:paraId="6BF1D204">
      <w:pPr>
        <w:pStyle w:val="41"/>
        <w:ind w:firstLine="562"/>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14:textFill>
            <w14:solidFill>
              <w14:schemeClr w14:val="tx1"/>
            </w14:solidFill>
          </w14:textFill>
        </w:rPr>
        <w:t>、服务条款响应偏离表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5637E9AD">
      <w:pPr>
        <w:spacing w:line="240" w:lineRule="exact"/>
        <w:ind w:left="210" w:leftChars="100"/>
        <w:rPr>
          <w:rFonts w:hint="eastAsia" w:ascii="仿宋" w:hAnsi="仿宋" w:eastAsia="仿宋" w:cs="仿宋"/>
          <w:b/>
          <w:bCs/>
          <w:color w:val="000000" w:themeColor="text1"/>
          <w:sz w:val="24"/>
          <w:highlight w:val="none"/>
          <w14:textFill>
            <w14:solidFill>
              <w14:schemeClr w14:val="tx1"/>
            </w14:solidFill>
          </w14:textFill>
        </w:rPr>
      </w:pPr>
    </w:p>
    <w:p w14:paraId="380BC4F5">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4"/>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14:paraId="6814D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2A214A2">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14:paraId="5BFBD294">
            <w:pPr>
              <w:spacing w:line="320" w:lineRule="exact"/>
              <w:ind w:left="-97" w:leftChars="-46"/>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14:paraId="6EFAF07F">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14:paraId="2C42A65B">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14:paraId="6C048E70">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14:paraId="42220C24">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09F22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14:paraId="4F8CEC1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0EC0ADE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698349B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70DF2D2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03EBA1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4410166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2E60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14:paraId="2941BE8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7537C3A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77AF9B3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74C9BB3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20CE212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3E612A8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57EA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419C4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3F4DB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F1D836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24726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9739E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6C2F7E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30FE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72AEBB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F4F72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3B9CFB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F877B0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151314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472D78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4600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A4E561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4BAF36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0B854E7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68CC549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D0BD54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338DD0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E641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D35479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A07BA7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4C0C95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3BB7E2C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2339EE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22D3F5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266F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B2DFB7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28961F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64FFA5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C0349E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A57EE6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2AB63B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45EF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2FC29A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81C3E7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4F933B1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85C07C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6017C6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112986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9C09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CC9292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513450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6C55F5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5A9170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D76589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83D51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1759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0D2EF4A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252FA9A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C643A4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37C893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056CB10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21DA68E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8110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30F4EF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095D43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72D568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87880E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A8F419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10401D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C590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14:paraId="13FD6CF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35CAD01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403AB0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095A6E7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2061370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376525C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46A1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657363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F8BCD4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79BB55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C5725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732F4B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68FE6E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CF2B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976F3E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5EDDFAE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658CBFB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2EC3571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F26E68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7F867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99B7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49117E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3A70EC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3C2F907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26E5DC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65ADB4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A2DEFC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0C41A846">
      <w:pPr>
        <w:spacing w:line="240" w:lineRule="auto"/>
        <w:ind w:left="210" w:leftChars="100"/>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服务内容及要求</w:t>
      </w: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14:paraId="6BF2EF5F">
      <w:pPr>
        <w:spacing w:line="440" w:lineRule="exact"/>
        <w:rPr>
          <w:rFonts w:hint="eastAsia" w:ascii="仿宋" w:hAnsi="仿宋" w:eastAsia="仿宋" w:cs="仿宋"/>
          <w:color w:val="000000" w:themeColor="text1"/>
          <w:sz w:val="24"/>
          <w:highlight w:val="none"/>
          <w:lang w:val="zh-CN"/>
          <w14:textFill>
            <w14:solidFill>
              <w14:schemeClr w14:val="tx1"/>
            </w14:solidFill>
          </w14:textFill>
        </w:rPr>
      </w:pPr>
    </w:p>
    <w:p w14:paraId="65225E0D">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5036C0C2">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2322C0A5">
      <w:pPr>
        <w:pStyle w:val="41"/>
        <w:ind w:firstLineChars="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14:textFill>
            <w14:solidFill>
              <w14:schemeClr w14:val="tx1"/>
            </w14:solidFill>
          </w14:textFill>
        </w:rPr>
        <w:br w:type="page"/>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b/>
          <w:color w:val="000000" w:themeColor="text1"/>
          <w:kern w:val="0"/>
          <w:sz w:val="28"/>
          <w:szCs w:val="22"/>
          <w:highlight w:val="none"/>
          <w:lang w:val="en-US" w:eastAsia="zh-CN"/>
          <w14:textFill>
            <w14:solidFill>
              <w14:schemeClr w14:val="tx1"/>
            </w14:solidFill>
          </w14:textFill>
        </w:rPr>
        <w:t>6</w:t>
      </w:r>
      <w:r>
        <w:rPr>
          <w:rFonts w:hint="eastAsia" w:ascii="仿宋" w:hAnsi="仿宋" w:eastAsia="仿宋" w:cs="仿宋"/>
          <w:b/>
          <w:color w:val="000000" w:themeColor="text1"/>
          <w:szCs w:val="28"/>
          <w:highlight w:val="none"/>
          <w14:textFill>
            <w14:solidFill>
              <w14:schemeClr w14:val="tx1"/>
            </w14:solidFill>
          </w14:textFill>
        </w:rPr>
        <w:t>.资格证明文件</w:t>
      </w:r>
    </w:p>
    <w:p w14:paraId="23C1783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bookmarkStart w:id="85" w:name="_Toc193126891"/>
      <w:bookmarkStart w:id="86" w:name="_Toc188808842"/>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14:paraId="1AA9E8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14:paraId="6E65C2B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w:t>
      </w:r>
      <w:r>
        <w:rPr>
          <w:rFonts w:hint="eastAsia" w:ascii="仿宋" w:hAnsi="仿宋" w:eastAsia="仿宋" w:cs="仿宋"/>
          <w:i w:val="0"/>
          <w:iCs w:val="0"/>
          <w:caps w:val="0"/>
          <w:color w:val="000000"/>
          <w:spacing w:val="0"/>
          <w:sz w:val="24"/>
          <w:szCs w:val="24"/>
          <w:highlight w:val="none"/>
          <w:shd w:val="clear" w:color="auto" w:fill="FFFFFF"/>
          <w:lang w:eastAsia="zh-CN"/>
        </w:rPr>
        <w:t>财务状况报告：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0E23C2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税收缴纳证明：提供2024年1月1日至今任意一个月已缴纳的纳税证明或完税证明（包含增值税、企业所得税、营业税至少一种）；（依法免税的投标人应提供相关文件证明）</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37ED4C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社会保障资金缴纳证明：提供2024年1月1日至今任意一个月的社保缴费凭据或社保机构开具的社会保险参保缴费情况证明；（依法不需要缴纳社会保障资金的投标人应提供相关证明）</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21E49BC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14:paraId="7E7968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14:paraId="32341490">
      <w:pPr>
        <w:spacing w:line="56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（2）、落实政府采购政策满足的资格要求：</w:t>
      </w:r>
    </w:p>
    <w:p w14:paraId="00752132">
      <w:pPr>
        <w:spacing w:line="56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本项目专门面向中小企业采购；须符合《政府采购促进中小企业发展管理办法》（财库〔2020〕46号）规定的中小企业参加；(提供《中小企业声明函》，式样见竞争性磋商响应文件格式)</w:t>
      </w:r>
    </w:p>
    <w:p w14:paraId="592BBFB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）、特定资格条件：</w:t>
      </w:r>
    </w:p>
    <w:p w14:paraId="4BAAF190">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1、法定代表人或负责人参与磋商时需提供法定代表人或负责人资格证明书（附法定代表人或负责人身份证复印件）；（法定代表人或负责人须提供身份证原件，身份证原件可由本人持有）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14:paraId="4491C9E0">
      <w:pPr>
        <w:widowControl/>
        <w:spacing w:line="560" w:lineRule="exact"/>
        <w:ind w:right="-197" w:rightChars="-94" w:firstLine="480" w:firstLineChars="200"/>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14:paraId="11A2C4CE">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081A9DF6">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、单位负责人为同一人或者存在直接控股、管理关系的不同供应商，不得参加同一合同项下的政府采购活动；（提供书面承诺函，格式自拟加盖供应商公章）</w:t>
      </w:r>
    </w:p>
    <w:p w14:paraId="62B21777">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5、供应商须具备CMA检验检测机构资质认定证书；</w:t>
      </w:r>
    </w:p>
    <w:p w14:paraId="655F7D6D">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6、本项目不接受联合体磋商。（提供非联合体声明，格式自拟加盖供应商公章）</w:t>
      </w:r>
    </w:p>
    <w:p w14:paraId="0E1C4C3A">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p>
    <w:p w14:paraId="3FC45644">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780022EF">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4F50632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2CFCAF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b/>
          <w:color w:val="000000" w:themeColor="text1"/>
          <w:highlight w:val="none"/>
          <w14:textFill>
            <w14:solidFill>
              <w14:schemeClr w14:val="tx1"/>
            </w14:solidFill>
          </w14:textFill>
        </w:rPr>
        <w:br w:type="page"/>
      </w:r>
    </w:p>
    <w:p w14:paraId="4ED283CF">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法定代表人资格证明书</w:t>
      </w:r>
    </w:p>
    <w:tbl>
      <w:tblPr>
        <w:tblStyle w:val="24"/>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04C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755FDC2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14:paraId="00D9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DBB7DE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8538" w:type="dxa"/>
            <w:gridSpan w:val="4"/>
          </w:tcPr>
          <w:p w14:paraId="0A6B881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184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18E071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8538" w:type="dxa"/>
            <w:gridSpan w:val="4"/>
          </w:tcPr>
          <w:p w14:paraId="45BF626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C4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C1AD8D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   限</w:t>
            </w:r>
          </w:p>
        </w:tc>
        <w:tc>
          <w:tcPr>
            <w:tcW w:w="8538" w:type="dxa"/>
            <w:gridSpan w:val="4"/>
            <w:vAlign w:val="center"/>
          </w:tcPr>
          <w:p w14:paraId="1B0A0986">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14:paraId="74F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BCE33A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有效期</w:t>
            </w:r>
          </w:p>
        </w:tc>
        <w:tc>
          <w:tcPr>
            <w:tcW w:w="8538" w:type="dxa"/>
            <w:gridSpan w:val="4"/>
            <w:vAlign w:val="center"/>
          </w:tcPr>
          <w:p w14:paraId="6358819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自提交磋商响应文件的截止之日起90个日历日</w:t>
            </w:r>
          </w:p>
        </w:tc>
      </w:tr>
      <w:tr w14:paraId="18D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7FCBA956">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w:t>
            </w:r>
          </w:p>
          <w:p w14:paraId="2604BF10">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信息</w:t>
            </w:r>
          </w:p>
        </w:tc>
        <w:tc>
          <w:tcPr>
            <w:tcW w:w="2470" w:type="dxa"/>
          </w:tcPr>
          <w:p w14:paraId="61AC3C1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68" w:type="dxa"/>
            <w:gridSpan w:val="3"/>
          </w:tcPr>
          <w:p w14:paraId="544318E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5EF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B17405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460476F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68" w:type="dxa"/>
            <w:gridSpan w:val="3"/>
          </w:tcPr>
          <w:p w14:paraId="27622E5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E8A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AAD1EF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65F607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68" w:type="dxa"/>
            <w:gridSpan w:val="3"/>
          </w:tcPr>
          <w:p w14:paraId="7228669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C24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1559CB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6B9F910">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工商登记机关</w:t>
            </w:r>
          </w:p>
        </w:tc>
        <w:tc>
          <w:tcPr>
            <w:tcW w:w="6068" w:type="dxa"/>
            <w:gridSpan w:val="3"/>
          </w:tcPr>
          <w:p w14:paraId="4ABFD9B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395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605B93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B21C553">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网        址</w:t>
            </w:r>
          </w:p>
        </w:tc>
        <w:tc>
          <w:tcPr>
            <w:tcW w:w="6068" w:type="dxa"/>
            <w:gridSpan w:val="3"/>
          </w:tcPr>
          <w:p w14:paraId="1B0255C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2C0B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FD802F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w:t>
            </w:r>
          </w:p>
          <w:p w14:paraId="2B456E4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表人</w:t>
            </w:r>
          </w:p>
        </w:tc>
        <w:tc>
          <w:tcPr>
            <w:tcW w:w="2470" w:type="dxa"/>
          </w:tcPr>
          <w:p w14:paraId="1587C017">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    名</w:t>
            </w:r>
          </w:p>
        </w:tc>
        <w:tc>
          <w:tcPr>
            <w:tcW w:w="1965" w:type="dxa"/>
          </w:tcPr>
          <w:p w14:paraId="238F5ED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42C03DB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767" w:type="dxa"/>
          </w:tcPr>
          <w:p w14:paraId="4E201F9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C06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10A84A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6C83435">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    务</w:t>
            </w:r>
          </w:p>
        </w:tc>
        <w:tc>
          <w:tcPr>
            <w:tcW w:w="1965" w:type="dxa"/>
          </w:tcPr>
          <w:p w14:paraId="4F23DC8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11E9C27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联系电话</w:t>
            </w:r>
          </w:p>
        </w:tc>
        <w:tc>
          <w:tcPr>
            <w:tcW w:w="2767" w:type="dxa"/>
          </w:tcPr>
          <w:p w14:paraId="4020E90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339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6B490C3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F4AA5EA">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传    真</w:t>
            </w:r>
          </w:p>
        </w:tc>
        <w:tc>
          <w:tcPr>
            <w:tcW w:w="6068" w:type="dxa"/>
            <w:gridSpan w:val="3"/>
          </w:tcPr>
          <w:p w14:paraId="33BBC19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B1B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BDACFB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737195D7">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6068" w:type="dxa"/>
            <w:gridSpan w:val="3"/>
          </w:tcPr>
          <w:p w14:paraId="434EF1B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6D5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0FD048A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18CFD3B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6945ACC5">
            <w:pPr>
              <w:tabs>
                <w:tab w:val="right" w:leader="dot" w:pos="9022"/>
              </w:tabs>
              <w:autoSpaceDE w:val="0"/>
              <w:autoSpaceDN w:val="0"/>
              <w:adjustRightInd w:val="0"/>
              <w:spacing w:line="500" w:lineRule="exact"/>
              <w:jc w:val="center"/>
              <w:rPr>
                <w:rFonts w:hint="eastAsia" w:ascii="仿宋" w:hAnsi="仿宋" w:eastAsia="仿宋" w:cs="仿宋"/>
                <w:color w:val="000000" w:themeColor="text1"/>
                <w:spacing w:val="-4"/>
                <w:sz w:val="24"/>
                <w:highlight w:val="none"/>
                <w14:textFill>
                  <w14:solidFill>
                    <w14:schemeClr w14:val="tx1"/>
                  </w14:solidFill>
                </w14:textFill>
              </w:rPr>
            </w:pPr>
          </w:p>
          <w:p w14:paraId="793C9F7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二代身份证正、反两面都需复印</w:t>
            </w:r>
          </w:p>
          <w:p w14:paraId="168C0D3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269C3CB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p w14:paraId="4B81DA4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4D3E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24D1665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r>
    </w:tbl>
    <w:p w14:paraId="7B019F70">
      <w:pPr>
        <w:pStyle w:val="41"/>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（供应商单位公章）   日 期：</w:t>
      </w:r>
    </w:p>
    <w:p w14:paraId="1656460A">
      <w:pPr>
        <w:rPr>
          <w:rFonts w:hint="eastAsia" w:ascii="仿宋" w:hAnsi="仿宋" w:eastAsia="仿宋" w:cs="仿宋"/>
          <w:color w:val="000000" w:themeColor="text1"/>
          <w:kern w:val="0"/>
          <w:sz w:val="24"/>
          <w:highlight w:val="none"/>
          <w:u w:val="none"/>
          <w14:textFill>
            <w14:solidFill>
              <w14:schemeClr w14:val="tx1"/>
            </w14:solidFill>
          </w14:textFill>
        </w:rPr>
      </w:pPr>
    </w:p>
    <w:p w14:paraId="58E978A6">
      <w:pPr>
        <w:ind w:firstLine="723" w:firstLineChars="30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（法定代表人直接投标，只须提供法定代表人证明书及身份证原件）</w:t>
      </w:r>
    </w:p>
    <w:p w14:paraId="1903E68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186CF98D">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法定代表人授权委托书</w:t>
      </w:r>
    </w:p>
    <w:tbl>
      <w:tblPr>
        <w:tblStyle w:val="2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3366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694CAE8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14:paraId="7AF5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E204F0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w:t>
            </w:r>
          </w:p>
          <w:p w14:paraId="24438C1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权项</w:t>
            </w:r>
          </w:p>
          <w:p w14:paraId="09FC780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目与</w:t>
            </w:r>
          </w:p>
          <w:p w14:paraId="6B5F2FC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内容</w:t>
            </w:r>
          </w:p>
        </w:tc>
        <w:tc>
          <w:tcPr>
            <w:tcW w:w="1355" w:type="dxa"/>
          </w:tcPr>
          <w:p w14:paraId="680CF2B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7138" w:type="dxa"/>
            <w:gridSpan w:val="5"/>
          </w:tcPr>
          <w:p w14:paraId="0F35A45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47F7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67948B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16E0C026">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7138" w:type="dxa"/>
            <w:gridSpan w:val="5"/>
          </w:tcPr>
          <w:p w14:paraId="5A870770">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000000" w:themeColor="text1"/>
                <w:sz w:val="24"/>
                <w:highlight w:val="none"/>
                <w14:textFill>
                  <w14:solidFill>
                    <w14:schemeClr w14:val="tx1"/>
                  </w14:solidFill>
                </w14:textFill>
              </w:rPr>
            </w:pPr>
          </w:p>
        </w:tc>
      </w:tr>
      <w:tr w14:paraId="2F61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AC4C71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233E394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授权范围</w:t>
            </w:r>
          </w:p>
        </w:tc>
        <w:tc>
          <w:tcPr>
            <w:tcW w:w="7138" w:type="dxa"/>
            <w:gridSpan w:val="5"/>
          </w:tcPr>
          <w:p w14:paraId="02EED760">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14:paraId="5646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8F8DB2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5939DE4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法律责任</w:t>
            </w:r>
          </w:p>
        </w:tc>
        <w:tc>
          <w:tcPr>
            <w:tcW w:w="7138" w:type="dxa"/>
            <w:gridSpan w:val="5"/>
          </w:tcPr>
          <w:p w14:paraId="158C4EC9">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本公司对被授权人在本项目中的签名承担全部法律责任。</w:t>
            </w:r>
          </w:p>
        </w:tc>
      </w:tr>
      <w:tr w14:paraId="5817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92ADBE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0796EC99">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授权期限</w:t>
            </w:r>
          </w:p>
        </w:tc>
        <w:tc>
          <w:tcPr>
            <w:tcW w:w="7138" w:type="dxa"/>
            <w:gridSpan w:val="5"/>
            <w:vAlign w:val="center"/>
          </w:tcPr>
          <w:p w14:paraId="6F6A9583">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本授权书自提交磋商响应文件的截止之日起90个日历日</w:t>
            </w:r>
          </w:p>
        </w:tc>
      </w:tr>
      <w:tr w14:paraId="0DB8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837199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企业信息</w:t>
            </w:r>
          </w:p>
        </w:tc>
        <w:tc>
          <w:tcPr>
            <w:tcW w:w="2489" w:type="dxa"/>
            <w:gridSpan w:val="2"/>
          </w:tcPr>
          <w:p w14:paraId="7B61418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14:paraId="4E29393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7D2A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1BC22B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2A288D89">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04" w:type="dxa"/>
            <w:gridSpan w:val="4"/>
            <w:vAlign w:val="center"/>
          </w:tcPr>
          <w:p w14:paraId="5A0A01AF">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5F8B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AFD7A9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2345718E">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04" w:type="dxa"/>
            <w:gridSpan w:val="4"/>
            <w:vAlign w:val="center"/>
          </w:tcPr>
          <w:p w14:paraId="3F092149">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13FF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A5F4109">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w:t>
            </w:r>
          </w:p>
        </w:tc>
        <w:tc>
          <w:tcPr>
            <w:tcW w:w="1355" w:type="dxa"/>
            <w:vAlign w:val="center"/>
          </w:tcPr>
          <w:p w14:paraId="379F425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03F5BBC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16629AE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1A41E4E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1FC5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607AF87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72F299B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7226CC4C">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7CB93598">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vAlign w:val="center"/>
          </w:tcPr>
          <w:p w14:paraId="387AC895">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4F57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C7DA32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w:t>
            </w:r>
          </w:p>
        </w:tc>
        <w:tc>
          <w:tcPr>
            <w:tcW w:w="1355" w:type="dxa"/>
            <w:vAlign w:val="center"/>
          </w:tcPr>
          <w:p w14:paraId="2587BBA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08143E4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2A548AF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2F2D44C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6656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B4C77C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7EF88CE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15981CB0">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0C0D1174">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tcPr>
          <w:p w14:paraId="07FC0F6B">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04A4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2BCC802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8493" w:type="dxa"/>
            <w:gridSpan w:val="6"/>
          </w:tcPr>
          <w:p w14:paraId="5542542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DE8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4D46C04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7756A91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3157623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3E1BFD1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640B415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5296" w:type="dxa"/>
            <w:gridSpan w:val="3"/>
            <w:vAlign w:val="center"/>
          </w:tcPr>
          <w:p w14:paraId="7E86ECF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被授权人身份证复印件</w:t>
            </w:r>
          </w:p>
          <w:p w14:paraId="0DA9859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7966446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5CF2C4A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652B1C6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1E9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14:paraId="36A0D31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14:paraId="00BE6FB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被授权人签字或盖章：</w:t>
            </w:r>
          </w:p>
        </w:tc>
      </w:tr>
    </w:tbl>
    <w:p w14:paraId="6C560147">
      <w:pPr>
        <w:autoSpaceDE w:val="0"/>
        <w:autoSpaceDN w:val="0"/>
        <w:adjustRightInd w:val="0"/>
        <w:snapToGrid w:val="0"/>
        <w:spacing w:line="48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供应商名称：</w:t>
      </w:r>
      <w:r>
        <w:rPr>
          <w:rFonts w:hint="eastAsia" w:ascii="仿宋" w:hAnsi="仿宋" w:eastAsia="仿宋" w:cs="仿宋"/>
          <w:bCs/>
          <w:caps/>
          <w:color w:val="000000" w:themeColor="text1"/>
          <w:sz w:val="24"/>
          <w:highlight w:val="none"/>
          <w:u w:val="single"/>
          <w14:textFill>
            <w14:solidFill>
              <w14:schemeClr w14:val="tx1"/>
            </w14:solidFill>
          </w14:textFill>
        </w:rPr>
        <w:t xml:space="preserve">             </w:t>
      </w:r>
      <w:r>
        <w:rPr>
          <w:rFonts w:hint="eastAsia" w:ascii="仿宋" w:hAnsi="仿宋" w:eastAsia="仿宋" w:cs="仿宋"/>
          <w:bCs/>
          <w:caps/>
          <w:color w:val="000000" w:themeColor="text1"/>
          <w:sz w:val="24"/>
          <w:highlight w:val="none"/>
          <w14:textFill>
            <w14:solidFill>
              <w14:schemeClr w14:val="tx1"/>
            </w14:solidFill>
          </w14:textFill>
        </w:rPr>
        <w:t xml:space="preserve">（供应商单位公章）     日 期：  </w:t>
      </w:r>
    </w:p>
    <w:p w14:paraId="1BB664D0">
      <w:pPr>
        <w:pStyle w:val="41"/>
        <w:ind w:firstLine="0" w:firstLineChars="0"/>
        <w:rPr>
          <w:rFonts w:hint="eastAsia" w:ascii="仿宋" w:hAnsi="仿宋" w:eastAsia="仿宋" w:cs="仿宋"/>
          <w:color w:val="000000" w:themeColor="text1"/>
          <w:kern w:val="0"/>
          <w:sz w:val="24"/>
          <w:highlight w:val="none"/>
          <w:u w:val="none"/>
          <w14:textFill>
            <w14:solidFill>
              <w14:schemeClr w14:val="tx1"/>
            </w14:solidFill>
          </w14:textFill>
        </w:rPr>
      </w:pPr>
    </w:p>
    <w:p w14:paraId="055B7DF4">
      <w:pPr>
        <w:pStyle w:val="41"/>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被授权人投标时</w:t>
      </w:r>
      <w:r>
        <w:rPr>
          <w:rFonts w:hint="eastAsia" w:ascii="仿宋" w:hAnsi="仿宋" w:eastAsia="仿宋" w:cs="仿宋"/>
          <w:b/>
          <w:bCs/>
          <w:color w:val="000000" w:themeColor="text1"/>
          <w:kern w:val="0"/>
          <w:sz w:val="24"/>
          <w:highlight w:val="none"/>
          <w:u w:val="none"/>
          <w14:textFill>
            <w14:solidFill>
              <w14:schemeClr w14:val="tx1"/>
            </w14:solidFill>
          </w14:textFill>
        </w:rPr>
        <w:t>，须提供</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法定代表人授权委托书</w:t>
      </w:r>
      <w:r>
        <w:rPr>
          <w:rFonts w:hint="eastAsia" w:ascii="仿宋" w:hAnsi="仿宋" w:eastAsia="仿宋" w:cs="仿宋"/>
          <w:b/>
          <w:bCs/>
          <w:color w:val="000000" w:themeColor="text1"/>
          <w:kern w:val="0"/>
          <w:sz w:val="24"/>
          <w:highlight w:val="none"/>
          <w:u w:val="none"/>
          <w14:textFill>
            <w14:solidFill>
              <w14:schemeClr w14:val="tx1"/>
            </w14:solidFill>
          </w14:textFill>
        </w:rPr>
        <w:t>及</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被授权人身份证</w:t>
      </w:r>
      <w:r>
        <w:rPr>
          <w:rFonts w:hint="eastAsia" w:ascii="仿宋" w:hAnsi="仿宋" w:eastAsia="仿宋" w:cs="仿宋"/>
          <w:b/>
          <w:bCs/>
          <w:color w:val="000000" w:themeColor="text1"/>
          <w:kern w:val="0"/>
          <w:sz w:val="24"/>
          <w:highlight w:val="none"/>
          <w:u w:val="none"/>
          <w14:textFill>
            <w14:solidFill>
              <w14:schemeClr w14:val="tx1"/>
            </w14:solidFill>
          </w14:textFill>
        </w:rPr>
        <w:t>原件）</w:t>
      </w:r>
    </w:p>
    <w:p w14:paraId="19997DD8">
      <w:pPr>
        <w:pStyle w:val="41"/>
        <w:ind w:firstLine="562"/>
        <w:rPr>
          <w:rFonts w:hint="eastAsia" w:ascii="仿宋" w:hAnsi="仿宋" w:eastAsia="仿宋" w:cs="仿宋"/>
          <w:b/>
          <w:color w:val="000000" w:themeColor="text1"/>
          <w:highlight w:val="none"/>
          <w14:textFill>
            <w14:solidFill>
              <w14:schemeClr w14:val="tx1"/>
            </w14:solidFill>
          </w14:textFill>
        </w:rPr>
      </w:pPr>
    </w:p>
    <w:p w14:paraId="581B8770">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lang w:eastAsia="zh-CN"/>
          <w14:textFill>
            <w14:solidFill>
              <w14:schemeClr w14:val="tx1"/>
            </w14:solidFill>
          </w14:textFill>
        </w:rPr>
        <w:t>、202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lang w:eastAsia="zh-CN"/>
          <w14:textFill>
            <w14:solidFill>
              <w14:schemeClr w14:val="tx1"/>
            </w14:solidFill>
          </w14:textFill>
        </w:rPr>
        <w:t>年1月1日</w:t>
      </w:r>
      <w:r>
        <w:rPr>
          <w:rFonts w:hint="eastAsia" w:ascii="仿宋" w:hAnsi="仿宋" w:eastAsia="仿宋" w:cs="仿宋"/>
          <w:b/>
          <w:color w:val="000000" w:themeColor="text1"/>
          <w:highlight w:val="none"/>
          <w14:textFill>
            <w14:solidFill>
              <w14:schemeClr w14:val="tx1"/>
            </w14:solidFill>
          </w14:textFill>
        </w:rPr>
        <w:t>至今</w:t>
      </w:r>
      <w:r>
        <w:rPr>
          <w:rFonts w:hint="eastAsia" w:ascii="仿宋" w:hAnsi="仿宋" w:eastAsia="仿宋" w:cs="仿宋"/>
          <w:b/>
          <w:color w:val="000000" w:themeColor="text1"/>
          <w:highlight w:val="none"/>
          <w:lang w:val="en-US" w:eastAsia="zh-CN"/>
          <w14:textFill>
            <w14:solidFill>
              <w14:schemeClr w14:val="tx1"/>
            </w14:solidFill>
          </w14:textFill>
        </w:rPr>
        <w:t>同类项目业绩</w:t>
      </w:r>
      <w:r>
        <w:rPr>
          <w:rFonts w:hint="eastAsia" w:ascii="仿宋" w:hAnsi="仿宋" w:eastAsia="仿宋" w:cs="仿宋"/>
          <w:b/>
          <w:color w:val="000000" w:themeColor="text1"/>
          <w:highlight w:val="none"/>
          <w14:textFill>
            <w14:solidFill>
              <w14:schemeClr w14:val="tx1"/>
            </w14:solidFill>
          </w14:textFill>
        </w:rPr>
        <w:t>（提供合同复印件加盖公章）</w:t>
      </w:r>
    </w:p>
    <w:p w14:paraId="0939E037">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7108D72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00FAB7D7">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8、服务方案</w:t>
      </w:r>
    </w:p>
    <w:p w14:paraId="537F0F9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28017E4">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50E1BD1A">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FF534A1">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9、人员及服务能力</w:t>
      </w:r>
    </w:p>
    <w:p w14:paraId="103D99E6">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77A5184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7B8391D">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2304A865">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10、质量保证承诺</w:t>
      </w:r>
    </w:p>
    <w:p w14:paraId="24DAAA11">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39078E6">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2BB4F39">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DF498EC">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11、合理化建议</w:t>
      </w:r>
    </w:p>
    <w:p w14:paraId="0CE25660">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5CCFEA34">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E44D92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24B25A0">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12、履约承诺</w:t>
      </w:r>
    </w:p>
    <w:p w14:paraId="5D2C21B7">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041A08FD">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D23682E">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AB3DD93">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13、服务承诺</w:t>
      </w:r>
    </w:p>
    <w:p w14:paraId="4D53A31A">
      <w:pPr>
        <w:pStyle w:val="41"/>
        <w:ind w:firstLine="0" w:firstLineChars="0"/>
        <w:rPr>
          <w:rFonts w:hint="eastAsia" w:ascii="仿宋" w:hAnsi="仿宋" w:eastAsia="仿宋" w:cs="仿宋"/>
          <w:b/>
          <w:color w:val="000000" w:themeColor="text1"/>
          <w:highlight w:val="none"/>
          <w14:textFill>
            <w14:solidFill>
              <w14:schemeClr w14:val="tx1"/>
            </w14:solidFill>
          </w14:textFill>
        </w:rPr>
      </w:pPr>
      <w:bookmarkStart w:id="87" w:name="_Toc193126905"/>
      <w:bookmarkStart w:id="88" w:name="_Toc194663942"/>
      <w:bookmarkStart w:id="89" w:name="_Toc188808855"/>
      <w:bookmarkStart w:id="90" w:name="_Toc193187111"/>
    </w:p>
    <w:p w14:paraId="4F230DA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5226CF20">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41FB0DE5">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14</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供应商认为有必要说明的事宜</w:t>
      </w:r>
    </w:p>
    <w:p w14:paraId="0DABC1FE">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5DEF101A">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64C495AA">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1C8D57B0">
      <w:pPr>
        <w:pStyle w:val="38"/>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1937988D">
      <w:pPr>
        <w:pStyle w:val="41"/>
        <w:ind w:left="0" w:leftChars="0" w:firstLine="0" w:firstLineChars="0"/>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1</w:t>
      </w: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lang w:eastAsia="zh-CN"/>
          <w14:textFill>
            <w14:solidFill>
              <w14:schemeClr w14:val="tx1"/>
            </w14:solidFill>
          </w14:textFill>
        </w:rPr>
        <w:t>、供应商</w:t>
      </w:r>
      <w:r>
        <w:rPr>
          <w:rFonts w:hint="eastAsia" w:ascii="仿宋" w:hAnsi="仿宋" w:eastAsia="仿宋" w:cs="仿宋"/>
          <w:b/>
          <w:color w:val="000000" w:themeColor="text1"/>
          <w:szCs w:val="28"/>
          <w:highlight w:val="none"/>
          <w14:textFill>
            <w14:solidFill>
              <w14:schemeClr w14:val="tx1"/>
            </w14:solidFill>
          </w14:textFill>
        </w:rPr>
        <w:t>承诺书</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w:t>
      </w:r>
      <w:r>
        <w:rPr>
          <w:rFonts w:hint="eastAsia" w:ascii="仿宋" w:hAnsi="仿宋" w:eastAsia="仿宋" w:cs="仿宋"/>
          <w:b w:val="0"/>
          <w:bCs/>
          <w:color w:val="000000" w:themeColor="text1"/>
          <w:sz w:val="24"/>
          <w:szCs w:val="24"/>
          <w:highlight w:val="none"/>
          <w14:textFill>
            <w14:solidFill>
              <w14:schemeClr w14:val="tx1"/>
            </w14:solidFill>
          </w14:textFill>
        </w:rPr>
        <w:t> </w:t>
      </w:r>
    </w:p>
    <w:p w14:paraId="42460CB4">
      <w:pPr>
        <w:widowControl/>
        <w:spacing w:line="480" w:lineRule="exact"/>
        <w:jc w:val="left"/>
        <w:rPr>
          <w:rFonts w:hint="eastAsia" w:ascii="仿宋" w:hAnsi="仿宋" w:eastAsia="仿宋" w:cs="仿宋"/>
          <w:b/>
          <w:color w:val="000000" w:themeColor="text1"/>
          <w:kern w:val="0"/>
          <w:highlight w:val="none"/>
          <w14:textFill>
            <w14:solidFill>
              <w14:schemeClr w14:val="tx1"/>
            </w14:solidFill>
          </w14:textFill>
        </w:rPr>
      </w:pPr>
    </w:p>
    <w:p w14:paraId="149FCCAD">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陕西省政府采购供应商</w:t>
      </w:r>
    </w:p>
    <w:p w14:paraId="6A3F5A13">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拒绝政府采购领域商业贿赂承诺书Ⅰ</w:t>
      </w:r>
    </w:p>
    <w:p w14:paraId="0A7A153C">
      <w:pPr>
        <w:widowControl/>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6E4B8533">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为响应党中央、国务院关于治理政府采购领域商业贿赂行为的号召</w:t>
      </w:r>
      <w:r>
        <w:rPr>
          <w:rFonts w:hint="eastAsia" w:ascii="仿宋" w:hAnsi="仿宋" w:eastAsia="仿宋" w:cs="仿宋"/>
          <w:color w:val="000000" w:themeColor="text1"/>
          <w:kern w:val="0"/>
          <w:sz w:val="24"/>
          <w:highlight w:val="none"/>
          <w14:textFill>
            <w14:solidFill>
              <w14:schemeClr w14:val="tx1"/>
            </w14:solidFill>
          </w14:textFill>
        </w:rPr>
        <w:t xml:space="preserve">，我单位作为     </w:t>
      </w:r>
      <w:r>
        <w:rPr>
          <w:rFonts w:hint="eastAsia" w:ascii="仿宋" w:hAnsi="仿宋" w:eastAsia="仿宋" w:cs="仿宋"/>
          <w:color w:val="000000" w:themeColor="text1"/>
          <w:kern w:val="0"/>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kern w:val="0"/>
          <w:sz w:val="24"/>
          <w:highlight w:val="none"/>
          <w14:textFill>
            <w14:solidFill>
              <w14:schemeClr w14:val="tx1"/>
            </w14:solidFill>
          </w14:textFill>
        </w:rPr>
        <w:t xml:space="preserve"> 的供应商，</w:t>
      </w:r>
      <w:r>
        <w:rPr>
          <w:rFonts w:hint="eastAsia" w:ascii="仿宋" w:hAnsi="仿宋" w:eastAsia="仿宋" w:cs="仿宋"/>
          <w:color w:val="000000" w:themeColor="text1"/>
          <w:sz w:val="24"/>
          <w:highlight w:val="none"/>
          <w14:textFill>
            <w14:solidFill>
              <w14:schemeClr w14:val="tx1"/>
            </w14:solidFill>
          </w14:textFill>
        </w:rPr>
        <w:t xml:space="preserve">在此庄严承诺： </w:t>
      </w:r>
    </w:p>
    <w:p w14:paraId="12908C29">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1、在参与政府采购活动中遵纪守法、诚信经营、公平竞标。 </w:t>
      </w:r>
    </w:p>
    <w:p w14:paraId="660AD3F1">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14:paraId="2C0A44F6">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14:paraId="78F9CD6A">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4、不采取“围标、陪标”等商业欺诈手段获得政府采购定单。 </w:t>
      </w:r>
    </w:p>
    <w:p w14:paraId="1138C68B">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5、不采取不正当手段低毁、排挤其他供应商。 </w:t>
      </w:r>
    </w:p>
    <w:p w14:paraId="2EE617C4">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6、不在提供商品和服务时“偷梁换柱、以次充好”损害采购人的合法权益。 </w:t>
      </w:r>
    </w:p>
    <w:p w14:paraId="695B9D38">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14:paraId="537A2DB0">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14:paraId="69D75D48">
      <w:pPr>
        <w:widowControl/>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9、不发生其他有悖于政府采购公开、公平、公正和诚信原则的行为。 </w:t>
      </w:r>
    </w:p>
    <w:p w14:paraId="565C3173">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p>
    <w:p w14:paraId="0EF9497A">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承诺单位：</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（盖章） </w:t>
      </w:r>
    </w:p>
    <w:p w14:paraId="75855366">
      <w:pPr>
        <w:widowControl/>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全权代表：</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（签字） </w:t>
      </w:r>
    </w:p>
    <w:p w14:paraId="77A8B423">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69DEE0A9">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    编：</w:t>
      </w:r>
      <w:r>
        <w:rPr>
          <w:rFonts w:hint="eastAsia" w:ascii="仿宋" w:hAnsi="仿宋" w:eastAsia="仿宋" w:cs="仿宋"/>
          <w:color w:val="000000" w:themeColor="text1"/>
          <w:kern w:val="0"/>
          <w:sz w:val="24"/>
          <w:highlight w:val="none"/>
          <w:u w:val="single"/>
          <w14:textFill>
            <w14:solidFill>
              <w14:schemeClr w14:val="tx1"/>
            </w14:solidFill>
          </w14:textFill>
        </w:rPr>
        <w:t>　　                     　　</w:t>
      </w:r>
    </w:p>
    <w:p w14:paraId="67299D28">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　　话：</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7B1661C">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承诺书Ⅱ</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F00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AE749F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D4F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3457438">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，本公司承诺：在参加本项目</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14:paraId="7235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C397D3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2CF988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15A84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A34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CF66AF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7B5573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406DA653">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79DA38D8">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0CACF674">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2DB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B9D5E1F">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9CE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5AEA58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tc>
      </w:tr>
      <w:tr w14:paraId="59A9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5F2A104">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12DBA3C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D053F5D">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19D5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54CFA0C">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1A08B05C">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2A99B1BF">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957E7C8">
      <w:pPr>
        <w:spacing w:line="360" w:lineRule="atLeast"/>
        <w:rPr>
          <w:rFonts w:hint="eastAsia" w:ascii="仿宋" w:hAnsi="仿宋" w:eastAsia="仿宋" w:cs="仿宋"/>
          <w:b/>
          <w:color w:val="000000" w:themeColor="text1"/>
          <w:sz w:val="32"/>
          <w:szCs w:val="32"/>
          <w:highlight w:val="none"/>
          <w14:textFill>
            <w14:solidFill>
              <w14:schemeClr w14:val="tx1"/>
            </w14:solidFill>
          </w14:textFill>
        </w:rPr>
      </w:pPr>
    </w:p>
    <w:p w14:paraId="6E51BABE">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承诺书Ⅳ</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6C5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2769AB3">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206F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E68A32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，本公司郑重申告：近三年因</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问题的不法行为记录为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p w14:paraId="32747DD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本公司承诺：本次</w:t>
            </w:r>
            <w:r>
              <w:rPr>
                <w:rFonts w:hint="eastAsia" w:ascii="仿宋" w:hAnsi="仿宋" w:eastAsia="仿宋" w:cs="仿宋"/>
                <w:color w:val="000000" w:themeColor="text1"/>
                <w:sz w:val="24"/>
                <w:highlight w:val="none"/>
                <w:lang w:val="en-US" w:eastAsia="zh-CN"/>
                <w14:textFill>
                  <w14:solidFill>
                    <w14:schemeClr w14:val="tx1"/>
                  </w14:solidFill>
                </w14:textFill>
              </w:rPr>
              <w:t>所投服务符合相关行业标准</w:t>
            </w:r>
            <w:r>
              <w:rPr>
                <w:rFonts w:hint="eastAsia" w:ascii="仿宋" w:hAnsi="仿宋" w:eastAsia="仿宋" w:cs="仿宋"/>
                <w:color w:val="000000" w:themeColor="text1"/>
                <w:sz w:val="24"/>
                <w:highlight w:val="none"/>
                <w14:textFill>
                  <w14:solidFill>
                    <w14:schemeClr w14:val="tx1"/>
                  </w14:solidFill>
                </w14:textFill>
              </w:rPr>
              <w:t>。</w:t>
            </w:r>
          </w:p>
        </w:tc>
      </w:tr>
      <w:tr w14:paraId="287C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4300BEE">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4222BA8F">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297F95A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52CF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02E213A">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94FFD0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53A0BC29">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F91D39F">
      <w:pPr>
        <w:spacing w:line="360" w:lineRule="auto"/>
        <w:ind w:right="480"/>
        <w:rPr>
          <w:rFonts w:hint="eastAsia" w:ascii="仿宋" w:hAnsi="仿宋" w:eastAsia="仿宋" w:cs="仿宋"/>
          <w:color w:val="000000" w:themeColor="text1"/>
          <w:sz w:val="24"/>
          <w:szCs w:val="28"/>
          <w:highlight w:val="none"/>
          <w14:textFill>
            <w14:solidFill>
              <w14:schemeClr w14:val="tx1"/>
            </w14:solidFill>
          </w14:textFill>
        </w:rPr>
      </w:pPr>
    </w:p>
    <w:p w14:paraId="19B582D4">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w:t>
      </w:r>
      <w:r>
        <w:rPr>
          <w:rFonts w:hint="eastAsia" w:ascii="仿宋" w:hAnsi="仿宋" w:eastAsia="仿宋" w:cs="仿宋"/>
          <w:b/>
          <w:color w:val="000000" w:themeColor="text1"/>
          <w:sz w:val="36"/>
          <w:szCs w:val="36"/>
          <w:highlight w:val="none"/>
          <w14:textFill>
            <w14:solidFill>
              <w14:schemeClr w14:val="tx1"/>
            </w14:solidFill>
          </w14:textFill>
        </w:rPr>
        <w:fldChar w:fldCharType="begin"/>
      </w:r>
      <w:r>
        <w:rPr>
          <w:rFonts w:hint="eastAsia" w:ascii="仿宋" w:hAnsi="仿宋" w:eastAsia="仿宋" w:cs="仿宋"/>
          <w:b/>
          <w:color w:val="000000" w:themeColor="text1"/>
          <w:sz w:val="36"/>
          <w:szCs w:val="36"/>
          <w:highlight w:val="none"/>
          <w14:textFill>
            <w14:solidFill>
              <w14:schemeClr w14:val="tx1"/>
            </w14:solidFill>
          </w14:textFill>
        </w:rPr>
        <w:instrText xml:space="preserve"> = 5 \* ROMAN </w:instrText>
      </w:r>
      <w:r>
        <w:rPr>
          <w:rFonts w:hint="eastAsia" w:ascii="仿宋" w:hAnsi="仿宋" w:eastAsia="仿宋" w:cs="仿宋"/>
          <w:b/>
          <w:color w:val="000000" w:themeColor="text1"/>
          <w:sz w:val="36"/>
          <w:szCs w:val="36"/>
          <w:highlight w:val="none"/>
          <w14:textFill>
            <w14:solidFill>
              <w14:schemeClr w14:val="tx1"/>
            </w14:solidFill>
          </w14:textFill>
        </w:rPr>
        <w:fldChar w:fldCharType="separate"/>
      </w:r>
      <w:r>
        <w:rPr>
          <w:rFonts w:hint="eastAsia" w:ascii="仿宋" w:hAnsi="仿宋" w:eastAsia="仿宋" w:cs="仿宋"/>
          <w:b/>
          <w:color w:val="000000" w:themeColor="text1"/>
          <w:sz w:val="36"/>
          <w:szCs w:val="36"/>
          <w:highlight w:val="none"/>
          <w14:textFill>
            <w14:solidFill>
              <w14:schemeClr w14:val="tx1"/>
            </w14:solidFill>
          </w14:textFill>
        </w:rPr>
        <w:t>V</w:t>
      </w:r>
      <w:r>
        <w:rPr>
          <w:rFonts w:hint="eastAsia" w:ascii="仿宋" w:hAnsi="仿宋" w:eastAsia="仿宋" w:cs="仿宋"/>
          <w:b/>
          <w:color w:val="000000" w:themeColor="text1"/>
          <w:sz w:val="36"/>
          <w:szCs w:val="36"/>
          <w:highlight w:val="none"/>
          <w14:textFill>
            <w14:solidFill>
              <w14:schemeClr w14:val="tx1"/>
            </w14:solidFill>
          </w14:textFill>
        </w:rPr>
        <w:fldChar w:fldCharType="end"/>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F98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91F28FE">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31E8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717894CE">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，本公司承诺：参加本次</w:t>
            </w:r>
            <w:r>
              <w:rPr>
                <w:rFonts w:hint="eastAsia" w:ascii="仿宋" w:hAnsi="仿宋" w:eastAsia="仿宋" w:cs="仿宋"/>
                <w:color w:val="000000" w:themeColor="text1"/>
                <w:sz w:val="24"/>
                <w:highlight w:val="none"/>
                <w:lang w:eastAsia="zh-CN"/>
                <w14:textFill>
                  <w14:solidFill>
                    <w14:schemeClr w14:val="tx1"/>
                  </w14:solidFill>
                </w14:textFill>
              </w:rPr>
              <w:t>磋商活动</w:t>
            </w:r>
            <w:r>
              <w:rPr>
                <w:rFonts w:hint="eastAsia" w:ascii="仿宋" w:hAnsi="仿宋" w:eastAsia="仿宋" w:cs="仿宋"/>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14:paraId="10A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300BA75">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1730044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30BF08E">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B8E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009C2DA">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0D19190F">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1E9A976C">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005CFFAC">
      <w:pPr>
        <w:spacing w:line="500" w:lineRule="exact"/>
        <w:rPr>
          <w:rFonts w:hint="eastAsia" w:ascii="仿宋" w:hAnsi="仿宋" w:eastAsia="仿宋" w:cs="仿宋"/>
          <w:b/>
          <w:bCs/>
          <w:color w:val="000000" w:themeColor="text1"/>
          <w:sz w:val="32"/>
          <w:highlight w:val="none"/>
          <w14:textFill>
            <w14:solidFill>
              <w14:schemeClr w14:val="tx1"/>
            </w14:solidFill>
          </w14:textFill>
        </w:rPr>
      </w:pPr>
    </w:p>
    <w:p w14:paraId="4E97C1CC">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674C7CC2">
      <w:pPr>
        <w:spacing w:line="360" w:lineRule="atLeast"/>
        <w:jc w:val="center"/>
        <w:rPr>
          <w:rFonts w:hint="eastAsia" w:ascii="仿宋" w:hAnsi="仿宋" w:eastAsia="仿宋" w:cs="仿宋"/>
          <w:b/>
          <w:color w:val="000000" w:themeColor="text1"/>
          <w:sz w:val="32"/>
          <w:szCs w:val="32"/>
          <w:highlight w:val="none"/>
          <w:u w:val="none"/>
          <w14:textFill>
            <w14:solidFill>
              <w14:schemeClr w14:val="tx1"/>
            </w14:solidFill>
          </w14:textFill>
        </w:rPr>
      </w:pPr>
      <w:r>
        <w:rPr>
          <w:rFonts w:hint="eastAsia" w:ascii="仿宋" w:hAnsi="仿宋" w:eastAsia="仿宋" w:cs="仿宋"/>
          <w:b/>
          <w:color w:val="000000" w:themeColor="text1"/>
          <w:sz w:val="32"/>
          <w:szCs w:val="32"/>
          <w:highlight w:val="none"/>
          <w:u w:val="none"/>
          <w14:textFill>
            <w14:solidFill>
              <w14:schemeClr w14:val="tx1"/>
            </w14:solidFill>
          </w14:textFill>
        </w:rPr>
        <w:t>承诺书Ⅵ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076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18B84D8">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AD2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2AA10C6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w:t>
            </w:r>
            <w:r>
              <w:rPr>
                <w:rFonts w:hint="eastAsia" w:ascii="仿宋" w:hAnsi="仿宋" w:eastAsia="仿宋" w:cs="仿宋"/>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，我单位自愿放弃本次项目的磋商。</w:t>
            </w:r>
          </w:p>
        </w:tc>
      </w:tr>
      <w:tr w14:paraId="76A7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FB3B288">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409DA67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516AF36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2DA3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3BB0D98">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49C6A60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57F6F771">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7409DFD6">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p>
    <w:p w14:paraId="5B699183">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6A93671E">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3B846B5B">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7F7AE21F">
      <w:pPr>
        <w:pStyle w:val="41"/>
        <w:ind w:firstLine="174"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6、</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中小</w:t>
      </w:r>
      <w:r>
        <w:rPr>
          <w:rFonts w:hint="eastAsia" w:ascii="仿宋" w:hAnsi="仿宋" w:eastAsia="仿宋" w:cs="仿宋"/>
          <w:b/>
          <w:bCs/>
          <w:color w:val="000000" w:themeColor="text1"/>
          <w:szCs w:val="28"/>
          <w:highlight w:val="none"/>
          <w14:textFill>
            <w14:solidFill>
              <w14:schemeClr w14:val="tx1"/>
            </w14:solidFill>
          </w14:textFill>
        </w:rPr>
        <w:t>企业声明函》</w:t>
      </w:r>
      <w:bookmarkStart w:id="91" w:name="OLE_LINK19"/>
    </w:p>
    <w:bookmarkEnd w:id="91"/>
    <w:p w14:paraId="2B05B0AA">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中小企业声明函（服务）</w:t>
      </w:r>
    </w:p>
    <w:p w14:paraId="38C97835">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p>
    <w:p w14:paraId="393B8357">
      <w:pPr>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lang w:eastAsia="zh-CN"/>
          <w14:textFill>
            <w14:solidFill>
              <w14:schemeClr w14:val="tx1"/>
            </w14:solidFill>
          </w14:textFill>
        </w:rPr>
        <w:t>华招广和项目管理有限公司</w:t>
      </w:r>
    </w:p>
    <w:p w14:paraId="22851C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45DE22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51E94E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5701E04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5405C2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1FB592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7C6686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42A048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6E21B167">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p>
    <w:p w14:paraId="2792C431">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r>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14:paraId="67854EBF">
      <w:pPr>
        <w:pStyle w:val="41"/>
        <w:ind w:firstLine="149"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7、</w:t>
      </w:r>
      <w:r>
        <w:rPr>
          <w:rFonts w:hint="eastAsia" w:ascii="仿宋" w:hAnsi="仿宋" w:eastAsia="仿宋" w:cs="仿宋"/>
          <w:b/>
          <w:bCs/>
          <w:color w:val="000000" w:themeColor="text1"/>
          <w:szCs w:val="28"/>
          <w:highlight w:val="none"/>
          <w14:textFill>
            <w14:solidFill>
              <w14:schemeClr w14:val="tx1"/>
            </w14:solidFill>
          </w14:textFill>
        </w:rPr>
        <w:t>《残疾人福利性单位声明函》</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p>
    <w:p w14:paraId="6E0FE974">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047D3297">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（非</w:t>
      </w:r>
      <w:r>
        <w:rPr>
          <w:rFonts w:hint="eastAsia" w:ascii="仿宋" w:hAnsi="仿宋" w:eastAsia="仿宋" w:cs="仿宋"/>
          <w:b/>
          <w:color w:val="000000" w:themeColor="text1"/>
          <w:spacing w:val="6"/>
          <w:sz w:val="18"/>
          <w:szCs w:val="18"/>
          <w:highlight w:val="none"/>
          <w14:textFill>
            <w14:solidFill>
              <w14:schemeClr w14:val="tx1"/>
            </w14:solidFill>
          </w14:textFill>
        </w:rPr>
        <w:t>残疾人福利企业</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不</w:t>
      </w:r>
      <w:r>
        <w:rPr>
          <w:rFonts w:hint="eastAsia" w:ascii="仿宋" w:hAnsi="仿宋" w:eastAsia="仿宋" w:cs="仿宋"/>
          <w:b/>
          <w:color w:val="000000" w:themeColor="text1"/>
          <w:spacing w:val="6"/>
          <w:sz w:val="18"/>
          <w:szCs w:val="18"/>
          <w:highlight w:val="none"/>
          <w14:textFill>
            <w14:solidFill>
              <w14:schemeClr w14:val="tx1"/>
            </w14:solidFill>
          </w14:textFill>
        </w:rPr>
        <w:t>填写</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w:t>
      </w:r>
    </w:p>
    <w:p w14:paraId="274E8297">
      <w:pPr>
        <w:spacing w:line="588" w:lineRule="exact"/>
        <w:rPr>
          <w:rFonts w:hint="eastAsia" w:ascii="仿宋" w:hAnsi="仿宋" w:eastAsia="仿宋" w:cs="仿宋"/>
          <w:b/>
          <w:color w:val="000000" w:themeColor="text1"/>
          <w:spacing w:val="6"/>
          <w:sz w:val="24"/>
          <w:szCs w:val="24"/>
          <w:highlight w:val="none"/>
          <w14:textFill>
            <w14:solidFill>
              <w14:schemeClr w14:val="tx1"/>
            </w14:solidFill>
          </w14:textFill>
        </w:rPr>
      </w:pPr>
    </w:p>
    <w:p w14:paraId="7C9363B1">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7EBA61">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2E4CEFDD">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417870C7">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56B4208F">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单位名称（盖章）：</w:t>
      </w:r>
    </w:p>
    <w:p w14:paraId="45D8A64C">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6DB2DE51">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44C05D9D">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313989AD">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7FB7BE7E">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659C3EF1">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0890C411">
      <w:pPr>
        <w:spacing w:line="360" w:lineRule="auto"/>
        <w:ind w:firstLine="422" w:firstLineChars="200"/>
        <w:rPr>
          <w:rFonts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w:t>
      </w:r>
      <w:r>
        <w:rPr>
          <w:rFonts w:hint="eastAsia" w:ascii="仿宋" w:hAnsi="仿宋" w:eastAsia="仿宋" w:cs="仿宋"/>
          <w:b/>
          <w:kern w:val="0"/>
          <w:sz w:val="21"/>
          <w:szCs w:val="20"/>
          <w:highlight w:val="none"/>
          <w:lang w:val="en-US" w:eastAsia="zh-CN"/>
        </w:rPr>
        <w:t>供应商</w:t>
      </w:r>
      <w:r>
        <w:rPr>
          <w:rFonts w:hint="eastAsia" w:ascii="仿宋" w:hAnsi="仿宋" w:eastAsia="仿宋" w:cs="仿宋"/>
          <w:b/>
          <w:kern w:val="0"/>
          <w:sz w:val="21"/>
          <w:szCs w:val="20"/>
          <w:highlight w:val="none"/>
          <w:lang w:val="zh-CN"/>
        </w:rPr>
        <w:t>提供的《残疾人福利性单位声明函》必须真实有效，如果被举报经查实出具虚假声明函的，将被取消投标资格，并按有关规定予以处理。</w:t>
      </w:r>
    </w:p>
    <w:p w14:paraId="6F4AE1BF">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8F327E8">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2F521A16">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2F812D7">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6672F974">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063FAB6D">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D66284D">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31392825">
      <w:pPr>
        <w:pStyle w:val="16"/>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33CA5A4F">
      <w:pPr>
        <w:pStyle w:val="41"/>
        <w:pageBreakBefore w:val="0"/>
        <w:bidi w:val="0"/>
        <w:spacing w:line="560" w:lineRule="exact"/>
        <w:ind w:left="0" w:leftChars="0" w:firstLine="0" w:firstLineChars="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18、</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监狱、戒毒企业</w:t>
      </w:r>
      <w:r>
        <w:rPr>
          <w:rFonts w:hint="eastAsia" w:ascii="仿宋" w:hAnsi="仿宋" w:eastAsia="仿宋" w:cs="仿宋"/>
          <w:b/>
          <w:bCs/>
          <w:color w:val="000000" w:themeColor="text1"/>
          <w:szCs w:val="28"/>
          <w:highlight w:val="none"/>
          <w14:textFill>
            <w14:solidFill>
              <w14:schemeClr w14:val="tx1"/>
            </w14:solidFill>
          </w14:textFill>
        </w:rPr>
        <w:t>声明函》</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48341FFD">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color w:val="000000" w:themeColor="text1"/>
          <w:kern w:val="0"/>
          <w:sz w:val="28"/>
          <w:szCs w:val="28"/>
          <w:highlight w:val="none"/>
          <w:lang w:val="zh-CN"/>
          <w14:textFill>
            <w14:solidFill>
              <w14:schemeClr w14:val="tx1"/>
            </w14:solidFill>
          </w14:textFill>
        </w:rPr>
      </w:pPr>
    </w:p>
    <w:p w14:paraId="0F9B3CA6">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000000" w:themeColor="text1"/>
          <w:spacing w:val="6"/>
          <w:sz w:val="21"/>
          <w:szCs w:val="21"/>
          <w:highlight w:val="none"/>
          <w:u w:val="doubl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监狱、戒毒企业声明函</w:t>
      </w:r>
      <w:r>
        <w:rPr>
          <w:rFonts w:hint="eastAsia" w:ascii="仿宋" w:hAnsi="仿宋" w:eastAsia="仿宋" w:cs="仿宋"/>
          <w:b/>
          <w:strike w:val="0"/>
          <w:dstrike w:val="0"/>
          <w:color w:val="000000" w:themeColor="text1"/>
          <w:spacing w:val="6"/>
          <w:sz w:val="18"/>
          <w:szCs w:val="18"/>
          <w:highlight w:val="none"/>
          <w:u w:val="none"/>
          <w:lang w:val="zh-CN"/>
          <w14:textFill>
            <w14:solidFill>
              <w14:schemeClr w14:val="tx1"/>
            </w14:solidFill>
          </w14:textFill>
        </w:rPr>
        <w:t>（非监狱、戒毒企业不填写）</w:t>
      </w:r>
    </w:p>
    <w:p w14:paraId="4FF24BB9">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themeColor="text1"/>
          <w:spacing w:val="6"/>
          <w:szCs w:val="24"/>
          <w:highlight w:val="none"/>
          <w14:textFill>
            <w14:solidFill>
              <w14:schemeClr w14:val="tx1"/>
            </w14:solidFill>
          </w14:textFill>
        </w:rPr>
      </w:pPr>
      <w:r>
        <w:rPr>
          <w:rFonts w:hint="eastAsia" w:ascii="仿宋" w:hAnsi="仿宋" w:eastAsia="仿宋" w:cs="仿宋"/>
          <w:color w:val="000000" w:themeColor="text1"/>
          <w:spacing w:val="6"/>
          <w:szCs w:val="24"/>
          <w:highlight w:val="none"/>
          <w14:textFill>
            <w14:solidFill>
              <w14:schemeClr w14:val="tx1"/>
            </w14:solidFill>
          </w14:textFill>
        </w:rPr>
        <w:t xml:space="preserve"> </w:t>
      </w:r>
    </w:p>
    <w:p w14:paraId="315698AA">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w:t>
      </w:r>
      <w:r>
        <w:rPr>
          <w:rFonts w:hint="eastAsia" w:ascii="仿宋" w:hAnsi="仿宋" w:eastAsia="仿宋" w:cs="仿宋"/>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仿宋" w:hAnsi="仿宋" w:eastAsia="仿宋" w:cs="仿宋"/>
          <w:color w:val="000000" w:themeColor="text1"/>
          <w:sz w:val="24"/>
          <w:highlight w:val="none"/>
          <w14:textFill>
            <w14:solidFill>
              <w14:schemeClr w14:val="tx1"/>
            </w14:solidFill>
          </w14:textFill>
        </w:rPr>
        <w:t>》（财库〔2014〕68号）的规定，本单位为符合条件的监狱、戒毒企业，且本单位参加的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14:paraId="746921C9">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3B9C7FEC">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49307C5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4D85961B">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全称（公章）：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AF73CEE">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1CD343A6">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4F642B0F">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3F704088">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C5EA96F">
      <w:pPr>
        <w:pStyle w:val="16"/>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备注：供应商提供的《</w:t>
      </w:r>
      <w:r>
        <w:rPr>
          <w:rFonts w:hint="eastAsia" w:ascii="仿宋" w:hAnsi="仿宋" w:eastAsia="仿宋" w:cs="仿宋"/>
          <w:b/>
          <w:bCs w:val="0"/>
          <w:color w:val="000000" w:themeColor="text1"/>
          <w:sz w:val="21"/>
          <w:szCs w:val="20"/>
          <w:highlight w:val="none"/>
          <w14:textFill>
            <w14:solidFill>
              <w14:schemeClr w14:val="tx1"/>
            </w14:solidFill>
          </w14:textFill>
        </w:rPr>
        <w:t>监狱、戒毒企业</w:t>
      </w: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声明函》必须真实有效，供应商</w:t>
      </w:r>
      <w:r>
        <w:rPr>
          <w:rFonts w:hint="eastAsia" w:ascii="仿宋" w:hAnsi="仿宋" w:eastAsia="仿宋" w:cs="仿宋"/>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14:paraId="4FEA708C">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1D797B63">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4B660D65">
      <w:pPr>
        <w:pStyle w:val="41"/>
        <w:spacing w:line="560" w:lineRule="exact"/>
        <w:ind w:firstLine="0" w:firstLineChars="0"/>
        <w:jc w:val="both"/>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17F1BEFD">
      <w:pPr>
        <w:rPr>
          <w:rFonts w:hint="eastAsia" w:ascii="仿宋" w:hAnsi="仿宋" w:eastAsia="仿宋" w:cs="仿宋"/>
          <w:color w:val="000000" w:themeColor="text1"/>
          <w:highlight w:val="none"/>
          <w14:textFill>
            <w14:solidFill>
              <w14:schemeClr w14:val="tx1"/>
            </w14:solidFill>
          </w14:textFill>
        </w:rPr>
      </w:pPr>
    </w:p>
    <w:p w14:paraId="35CD46AF">
      <w:pPr>
        <w:spacing w:line="4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竞争性磋商响应</w:t>
      </w:r>
      <w:r>
        <w:rPr>
          <w:rFonts w:hint="eastAsia" w:ascii="仿宋" w:hAnsi="仿宋" w:eastAsia="仿宋" w:cs="仿宋"/>
          <w:b/>
          <w:color w:val="000000" w:themeColor="text1"/>
          <w:sz w:val="24"/>
          <w:highlight w:val="none"/>
          <w14:textFill>
            <w14:solidFill>
              <w14:schemeClr w14:val="tx1"/>
            </w14:solidFill>
          </w14:textFill>
        </w:rPr>
        <w:t>文件封袋正面标识式样</w:t>
      </w:r>
    </w:p>
    <w:p w14:paraId="6E2CD39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157480</wp:posOffset>
                </wp:positionV>
                <wp:extent cx="5678805" cy="7706360"/>
                <wp:effectExtent l="5080" t="4445" r="12065" b="2349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183F3A">
                            <w:pPr>
                              <w:rPr>
                                <w:rFonts w:hint="eastAsia" w:ascii="仿宋" w:hAnsi="仿宋" w:eastAsia="仿宋" w:cs="仿宋"/>
                                <w:color w:val="00B0F0"/>
                                <w:sz w:val="28"/>
                                <w:szCs w:val="28"/>
                              </w:rPr>
                            </w:pPr>
                          </w:p>
                          <w:p w14:paraId="275FC6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46D056A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623396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79C15E0">
                            <w:pPr>
                              <w:jc w:val="center"/>
                              <w:rPr>
                                <w:rFonts w:hint="eastAsia" w:ascii="仿宋" w:hAnsi="仿宋" w:eastAsia="仿宋" w:cs="仿宋"/>
                                <w:b/>
                                <w:sz w:val="44"/>
                                <w:szCs w:val="44"/>
                              </w:rPr>
                            </w:pPr>
                          </w:p>
                          <w:p w14:paraId="39C02EF5">
                            <w:pPr>
                              <w:jc w:val="center"/>
                              <w:rPr>
                                <w:rFonts w:hint="eastAsia" w:ascii="仿宋" w:hAnsi="仿宋" w:eastAsia="仿宋" w:cs="仿宋"/>
                                <w:b/>
                                <w:sz w:val="44"/>
                                <w:szCs w:val="44"/>
                              </w:rPr>
                            </w:pPr>
                          </w:p>
                          <w:p w14:paraId="5D57BE39">
                            <w:pPr>
                              <w:jc w:val="center"/>
                              <w:rPr>
                                <w:rFonts w:hint="eastAsia" w:ascii="仿宋" w:hAnsi="仿宋" w:eastAsia="仿宋" w:cs="仿宋"/>
                                <w:b/>
                                <w:sz w:val="44"/>
                                <w:szCs w:val="44"/>
                              </w:rPr>
                            </w:pPr>
                          </w:p>
                          <w:p w14:paraId="3483A0DA">
                            <w:pPr>
                              <w:pStyle w:val="11"/>
                              <w:rPr>
                                <w:rFonts w:hint="eastAsia"/>
                              </w:rPr>
                            </w:pPr>
                          </w:p>
                          <w:p w14:paraId="5D8C96F6">
                            <w:pPr>
                              <w:jc w:val="center"/>
                              <w:rPr>
                                <w:rFonts w:hint="eastAsia" w:ascii="仿宋" w:hAnsi="仿宋" w:eastAsia="仿宋" w:cs="仿宋"/>
                                <w:b/>
                                <w:sz w:val="44"/>
                                <w:szCs w:val="44"/>
                              </w:rPr>
                            </w:pPr>
                          </w:p>
                          <w:p w14:paraId="1A8B1DE5">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4F899810">
                            <w:pPr>
                              <w:rPr>
                                <w:rFonts w:hint="eastAsia" w:ascii="仿宋" w:hAnsi="仿宋" w:eastAsia="仿宋" w:cs="仿宋"/>
                                <w:sz w:val="28"/>
                                <w:szCs w:val="28"/>
                              </w:rPr>
                            </w:pPr>
                          </w:p>
                          <w:p w14:paraId="0AD65C77">
                            <w:pPr>
                              <w:rPr>
                                <w:rFonts w:hint="eastAsia" w:ascii="仿宋" w:hAnsi="仿宋" w:eastAsia="仿宋" w:cs="仿宋"/>
                                <w:sz w:val="28"/>
                                <w:szCs w:val="28"/>
                              </w:rPr>
                            </w:pPr>
                          </w:p>
                          <w:p w14:paraId="498CED71">
                            <w:pPr>
                              <w:rPr>
                                <w:rFonts w:hint="eastAsia" w:ascii="仿宋" w:hAnsi="仿宋" w:eastAsia="仿宋" w:cs="仿宋"/>
                                <w:sz w:val="28"/>
                                <w:szCs w:val="28"/>
                              </w:rPr>
                            </w:pPr>
                          </w:p>
                          <w:p w14:paraId="29504EDD">
                            <w:pPr>
                              <w:rPr>
                                <w:rFonts w:hint="eastAsia" w:ascii="仿宋" w:hAnsi="仿宋" w:eastAsia="仿宋" w:cs="仿宋"/>
                                <w:sz w:val="28"/>
                                <w:szCs w:val="28"/>
                              </w:rPr>
                            </w:pPr>
                          </w:p>
                          <w:p w14:paraId="73FE10ED">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41CF04D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E0DCE36">
                            <w:pPr>
                              <w:pStyle w:val="11"/>
                              <w:jc w:val="center"/>
                              <w:rPr>
                                <w:rFonts w:hint="eastAsia" w:ascii="仿宋" w:hAnsi="仿宋" w:eastAsia="仿宋" w:cs="仿宋"/>
                                <w:color w:val="auto"/>
                              </w:rPr>
                            </w:pPr>
                          </w:p>
                          <w:p w14:paraId="489541AC">
                            <w:pPr>
                              <w:pStyle w:val="11"/>
                              <w:jc w:val="center"/>
                              <w:rPr>
                                <w:rFonts w:hint="eastAsia" w:ascii="仿宋" w:hAnsi="仿宋" w:eastAsia="仿宋" w:cs="仿宋"/>
                                <w:color w:val="auto"/>
                              </w:rPr>
                            </w:pPr>
                          </w:p>
                          <w:p w14:paraId="64D9AB3D">
                            <w:pPr>
                              <w:rPr>
                                <w:rFonts w:hint="eastAsia" w:ascii="仿宋" w:hAnsi="仿宋" w:eastAsia="仿宋" w:cs="仿宋"/>
                                <w:color w:val="auto"/>
                              </w:rPr>
                            </w:pPr>
                          </w:p>
                          <w:p w14:paraId="6F09AC12">
                            <w:pPr>
                              <w:pStyle w:val="11"/>
                              <w:rPr>
                                <w:rFonts w:hint="eastAsia"/>
                              </w:rPr>
                            </w:pPr>
                          </w:p>
                          <w:p w14:paraId="6FDF8887">
                            <w:pPr>
                              <w:pStyle w:val="11"/>
                              <w:jc w:val="center"/>
                              <w:rPr>
                                <w:rFonts w:hint="eastAsia" w:ascii="仿宋" w:hAnsi="仿宋" w:eastAsia="仿宋" w:cs="仿宋"/>
                                <w:color w:val="auto"/>
                              </w:rPr>
                            </w:pPr>
                          </w:p>
                          <w:p w14:paraId="1A865ABA">
                            <w:pPr>
                              <w:pStyle w:val="11"/>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381AB726">
                            <w:pPr>
                              <w:pStyle w:val="11"/>
                              <w:rPr>
                                <w:rFonts w:hint="eastAsia" w:ascii="仿宋" w:hAnsi="仿宋" w:eastAsia="仿宋" w:cs="仿宋"/>
                                <w:color w:val="00B0F0"/>
                              </w:rPr>
                            </w:pPr>
                          </w:p>
                          <w:p w14:paraId="13070FB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6432;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14:paraId="2A183F3A">
                      <w:pPr>
                        <w:rPr>
                          <w:rFonts w:hint="eastAsia" w:ascii="仿宋" w:hAnsi="仿宋" w:eastAsia="仿宋" w:cs="仿宋"/>
                          <w:color w:val="00B0F0"/>
                          <w:sz w:val="28"/>
                          <w:szCs w:val="28"/>
                        </w:rPr>
                      </w:pPr>
                    </w:p>
                    <w:p w14:paraId="275FC6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46D056A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623396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79C15E0">
                      <w:pPr>
                        <w:jc w:val="center"/>
                        <w:rPr>
                          <w:rFonts w:hint="eastAsia" w:ascii="仿宋" w:hAnsi="仿宋" w:eastAsia="仿宋" w:cs="仿宋"/>
                          <w:b/>
                          <w:sz w:val="44"/>
                          <w:szCs w:val="44"/>
                        </w:rPr>
                      </w:pPr>
                    </w:p>
                    <w:p w14:paraId="39C02EF5">
                      <w:pPr>
                        <w:jc w:val="center"/>
                        <w:rPr>
                          <w:rFonts w:hint="eastAsia" w:ascii="仿宋" w:hAnsi="仿宋" w:eastAsia="仿宋" w:cs="仿宋"/>
                          <w:b/>
                          <w:sz w:val="44"/>
                          <w:szCs w:val="44"/>
                        </w:rPr>
                      </w:pPr>
                    </w:p>
                    <w:p w14:paraId="5D57BE39">
                      <w:pPr>
                        <w:jc w:val="center"/>
                        <w:rPr>
                          <w:rFonts w:hint="eastAsia" w:ascii="仿宋" w:hAnsi="仿宋" w:eastAsia="仿宋" w:cs="仿宋"/>
                          <w:b/>
                          <w:sz w:val="44"/>
                          <w:szCs w:val="44"/>
                        </w:rPr>
                      </w:pPr>
                    </w:p>
                    <w:p w14:paraId="3483A0DA">
                      <w:pPr>
                        <w:pStyle w:val="11"/>
                        <w:rPr>
                          <w:rFonts w:hint="eastAsia"/>
                        </w:rPr>
                      </w:pPr>
                    </w:p>
                    <w:p w14:paraId="5D8C96F6">
                      <w:pPr>
                        <w:jc w:val="center"/>
                        <w:rPr>
                          <w:rFonts w:hint="eastAsia" w:ascii="仿宋" w:hAnsi="仿宋" w:eastAsia="仿宋" w:cs="仿宋"/>
                          <w:b/>
                          <w:sz w:val="44"/>
                          <w:szCs w:val="44"/>
                        </w:rPr>
                      </w:pPr>
                    </w:p>
                    <w:p w14:paraId="1A8B1DE5">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4F899810">
                      <w:pPr>
                        <w:rPr>
                          <w:rFonts w:hint="eastAsia" w:ascii="仿宋" w:hAnsi="仿宋" w:eastAsia="仿宋" w:cs="仿宋"/>
                          <w:sz w:val="28"/>
                          <w:szCs w:val="28"/>
                        </w:rPr>
                      </w:pPr>
                    </w:p>
                    <w:p w14:paraId="0AD65C77">
                      <w:pPr>
                        <w:rPr>
                          <w:rFonts w:hint="eastAsia" w:ascii="仿宋" w:hAnsi="仿宋" w:eastAsia="仿宋" w:cs="仿宋"/>
                          <w:sz w:val="28"/>
                          <w:szCs w:val="28"/>
                        </w:rPr>
                      </w:pPr>
                    </w:p>
                    <w:p w14:paraId="498CED71">
                      <w:pPr>
                        <w:rPr>
                          <w:rFonts w:hint="eastAsia" w:ascii="仿宋" w:hAnsi="仿宋" w:eastAsia="仿宋" w:cs="仿宋"/>
                          <w:sz w:val="28"/>
                          <w:szCs w:val="28"/>
                        </w:rPr>
                      </w:pPr>
                    </w:p>
                    <w:p w14:paraId="29504EDD">
                      <w:pPr>
                        <w:rPr>
                          <w:rFonts w:hint="eastAsia" w:ascii="仿宋" w:hAnsi="仿宋" w:eastAsia="仿宋" w:cs="仿宋"/>
                          <w:sz w:val="28"/>
                          <w:szCs w:val="28"/>
                        </w:rPr>
                      </w:pPr>
                    </w:p>
                    <w:p w14:paraId="73FE10ED">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41CF04D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E0DCE36">
                      <w:pPr>
                        <w:pStyle w:val="11"/>
                        <w:jc w:val="center"/>
                        <w:rPr>
                          <w:rFonts w:hint="eastAsia" w:ascii="仿宋" w:hAnsi="仿宋" w:eastAsia="仿宋" w:cs="仿宋"/>
                          <w:color w:val="auto"/>
                        </w:rPr>
                      </w:pPr>
                    </w:p>
                    <w:p w14:paraId="489541AC">
                      <w:pPr>
                        <w:pStyle w:val="11"/>
                        <w:jc w:val="center"/>
                        <w:rPr>
                          <w:rFonts w:hint="eastAsia" w:ascii="仿宋" w:hAnsi="仿宋" w:eastAsia="仿宋" w:cs="仿宋"/>
                          <w:color w:val="auto"/>
                        </w:rPr>
                      </w:pPr>
                    </w:p>
                    <w:p w14:paraId="64D9AB3D">
                      <w:pPr>
                        <w:rPr>
                          <w:rFonts w:hint="eastAsia" w:ascii="仿宋" w:hAnsi="仿宋" w:eastAsia="仿宋" w:cs="仿宋"/>
                          <w:color w:val="auto"/>
                        </w:rPr>
                      </w:pPr>
                    </w:p>
                    <w:p w14:paraId="6F09AC12">
                      <w:pPr>
                        <w:pStyle w:val="11"/>
                        <w:rPr>
                          <w:rFonts w:hint="eastAsia"/>
                        </w:rPr>
                      </w:pPr>
                    </w:p>
                    <w:p w14:paraId="6FDF8887">
                      <w:pPr>
                        <w:pStyle w:val="11"/>
                        <w:jc w:val="center"/>
                        <w:rPr>
                          <w:rFonts w:hint="eastAsia" w:ascii="仿宋" w:hAnsi="仿宋" w:eastAsia="仿宋" w:cs="仿宋"/>
                          <w:color w:val="auto"/>
                        </w:rPr>
                      </w:pPr>
                    </w:p>
                    <w:p w14:paraId="1A865ABA">
                      <w:pPr>
                        <w:pStyle w:val="11"/>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381AB726">
                      <w:pPr>
                        <w:pStyle w:val="11"/>
                        <w:rPr>
                          <w:rFonts w:hint="eastAsia" w:ascii="仿宋" w:hAnsi="仿宋" w:eastAsia="仿宋" w:cs="仿宋"/>
                          <w:color w:val="00B0F0"/>
                        </w:rPr>
                      </w:pPr>
                    </w:p>
                    <w:p w14:paraId="13070FB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14:paraId="7271CB71">
      <w:pPr>
        <w:snapToGrid w:val="0"/>
        <w:spacing w:line="560" w:lineRule="exact"/>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50092CEE">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p>
    <w:p w14:paraId="2B0E15D7">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w:t>
      </w:r>
    </w:p>
    <w:p w14:paraId="08D2A587">
      <w:pPr>
        <w:pStyle w:val="11"/>
        <w:rPr>
          <w:rFonts w:hint="eastAsia" w:ascii="仿宋" w:hAnsi="仿宋" w:eastAsia="仿宋" w:cs="仿宋"/>
          <w:color w:val="000000" w:themeColor="text1"/>
          <w:highlight w:val="none"/>
          <w14:textFill>
            <w14:solidFill>
              <w14:schemeClr w14:val="tx1"/>
            </w14:solidFill>
          </w14:textFill>
        </w:rPr>
      </w:pPr>
    </w:p>
    <w:p w14:paraId="2DF0E162">
      <w:pPr>
        <w:rPr>
          <w:rFonts w:hint="eastAsia" w:ascii="仿宋" w:hAnsi="仿宋" w:eastAsia="仿宋" w:cs="仿宋"/>
          <w:color w:val="000000" w:themeColor="text1"/>
          <w:highlight w:val="none"/>
          <w14:textFill>
            <w14:solidFill>
              <w14:schemeClr w14:val="tx1"/>
            </w14:solidFill>
          </w14:textFill>
        </w:rPr>
      </w:pPr>
    </w:p>
    <w:p w14:paraId="5F24310D">
      <w:pPr>
        <w:spacing w:line="560" w:lineRule="exact"/>
        <w:rPr>
          <w:rFonts w:hint="eastAsia" w:ascii="仿宋" w:hAnsi="仿宋" w:eastAsia="仿宋" w:cs="仿宋"/>
          <w:b/>
          <w:color w:val="000000" w:themeColor="text1"/>
          <w:sz w:val="44"/>
          <w:szCs w:val="44"/>
          <w:highlight w:val="none"/>
          <w14:textFill>
            <w14:solidFill>
              <w14:schemeClr w14:val="tx1"/>
            </w14:solidFill>
          </w14:textFill>
        </w:rPr>
      </w:pPr>
    </w:p>
    <w:p w14:paraId="5E5C7FB1">
      <w:pPr>
        <w:pStyle w:val="11"/>
        <w:rPr>
          <w:rFonts w:hint="eastAsia" w:ascii="仿宋" w:hAnsi="仿宋" w:eastAsia="仿宋" w:cs="仿宋"/>
          <w:color w:val="000000" w:themeColor="text1"/>
          <w:highlight w:val="none"/>
          <w14:textFill>
            <w14:solidFill>
              <w14:schemeClr w14:val="tx1"/>
            </w14:solidFill>
          </w14:textFill>
        </w:rPr>
      </w:pPr>
    </w:p>
    <w:p w14:paraId="75E52B6B">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bookmarkEnd w:id="85"/>
    <w:bookmarkEnd w:id="86"/>
    <w:bookmarkEnd w:id="87"/>
    <w:bookmarkEnd w:id="88"/>
    <w:bookmarkEnd w:id="89"/>
    <w:bookmarkEnd w:id="90"/>
    <w:p w14:paraId="7D9CDB7E">
      <w:pPr>
        <w:pStyle w:val="16"/>
        <w:rPr>
          <w:rFonts w:hint="eastAsia" w:ascii="仿宋" w:hAnsi="仿宋" w:eastAsia="仿宋" w:cs="仿宋"/>
          <w:color w:val="000000" w:themeColor="text1"/>
          <w:sz w:val="24"/>
          <w:highlight w:val="none"/>
          <w14:textFill>
            <w14:solidFill>
              <w14:schemeClr w14:val="tx1"/>
            </w14:solidFill>
          </w14:textFill>
        </w:rPr>
      </w:pPr>
    </w:p>
    <w:p w14:paraId="774C2908">
      <w:pPr>
        <w:pStyle w:val="16"/>
        <w:rPr>
          <w:rFonts w:hint="eastAsia" w:ascii="仿宋" w:hAnsi="仿宋" w:eastAsia="仿宋" w:cs="仿宋"/>
          <w:color w:val="000000" w:themeColor="text1"/>
          <w:sz w:val="24"/>
          <w:highlight w:val="none"/>
          <w14:textFill>
            <w14:solidFill>
              <w14:schemeClr w14:val="tx1"/>
            </w14:solidFill>
          </w14:textFill>
        </w:rPr>
      </w:pPr>
    </w:p>
    <w:p w14:paraId="0DC62A55">
      <w:pPr>
        <w:pStyle w:val="16"/>
        <w:rPr>
          <w:rFonts w:hint="eastAsia" w:ascii="仿宋" w:hAnsi="仿宋" w:eastAsia="仿宋" w:cs="仿宋"/>
          <w:color w:val="000000" w:themeColor="text1"/>
          <w:sz w:val="24"/>
          <w:highlight w:val="none"/>
          <w14:textFill>
            <w14:solidFill>
              <w14:schemeClr w14:val="tx1"/>
            </w14:solidFill>
          </w14:textFill>
        </w:rPr>
      </w:pPr>
    </w:p>
    <w:p w14:paraId="5E0F8885">
      <w:pPr>
        <w:pStyle w:val="16"/>
        <w:rPr>
          <w:rFonts w:hint="eastAsia" w:ascii="仿宋" w:hAnsi="仿宋" w:eastAsia="仿宋" w:cs="仿宋"/>
          <w:color w:val="000000" w:themeColor="text1"/>
          <w:sz w:val="24"/>
          <w:highlight w:val="none"/>
          <w14:textFill>
            <w14:solidFill>
              <w14:schemeClr w14:val="tx1"/>
            </w14:solidFill>
          </w14:textFill>
        </w:rPr>
      </w:pPr>
    </w:p>
    <w:p w14:paraId="4B14D90F">
      <w:pPr>
        <w:pStyle w:val="16"/>
        <w:rPr>
          <w:rFonts w:hint="eastAsia" w:ascii="仿宋" w:hAnsi="仿宋" w:eastAsia="仿宋" w:cs="仿宋"/>
          <w:color w:val="000000" w:themeColor="text1"/>
          <w:sz w:val="24"/>
          <w:highlight w:val="none"/>
          <w14:textFill>
            <w14:solidFill>
              <w14:schemeClr w14:val="tx1"/>
            </w14:solidFill>
          </w14:textFill>
        </w:rPr>
      </w:pPr>
    </w:p>
    <w:p w14:paraId="4B0BD08D">
      <w:pPr>
        <w:pStyle w:val="16"/>
        <w:rPr>
          <w:rFonts w:hint="eastAsia" w:ascii="仿宋" w:hAnsi="仿宋" w:eastAsia="仿宋" w:cs="仿宋"/>
          <w:color w:val="000000" w:themeColor="text1"/>
          <w:sz w:val="24"/>
          <w:highlight w:val="none"/>
          <w14:textFill>
            <w14:solidFill>
              <w14:schemeClr w14:val="tx1"/>
            </w14:solidFill>
          </w14:textFill>
        </w:rPr>
      </w:pPr>
    </w:p>
    <w:p w14:paraId="07D5B033">
      <w:pPr>
        <w:pStyle w:val="16"/>
        <w:rPr>
          <w:rFonts w:hint="eastAsia" w:ascii="仿宋" w:hAnsi="仿宋" w:eastAsia="仿宋" w:cs="仿宋"/>
          <w:color w:val="000000" w:themeColor="text1"/>
          <w:sz w:val="24"/>
          <w:highlight w:val="none"/>
          <w14:textFill>
            <w14:solidFill>
              <w14:schemeClr w14:val="tx1"/>
            </w14:solidFill>
          </w14:textFill>
        </w:rPr>
      </w:pPr>
    </w:p>
    <w:p w14:paraId="005DF559">
      <w:pPr>
        <w:pStyle w:val="16"/>
        <w:rPr>
          <w:rFonts w:hint="eastAsia" w:ascii="仿宋" w:hAnsi="仿宋" w:eastAsia="仿宋" w:cs="仿宋"/>
          <w:color w:val="000000" w:themeColor="text1"/>
          <w:sz w:val="24"/>
          <w:highlight w:val="none"/>
          <w14:textFill>
            <w14:solidFill>
              <w14:schemeClr w14:val="tx1"/>
            </w14:solidFill>
          </w14:textFill>
        </w:rPr>
      </w:pPr>
    </w:p>
    <w:p w14:paraId="1A1A235C">
      <w:pPr>
        <w:pStyle w:val="16"/>
        <w:rPr>
          <w:rFonts w:hint="eastAsia" w:ascii="仿宋" w:hAnsi="仿宋" w:eastAsia="仿宋" w:cs="仿宋"/>
          <w:color w:val="000000" w:themeColor="text1"/>
          <w:sz w:val="24"/>
          <w:highlight w:val="none"/>
          <w14:textFill>
            <w14:solidFill>
              <w14:schemeClr w14:val="tx1"/>
            </w14:solidFill>
          </w14:textFill>
        </w:rPr>
      </w:pPr>
    </w:p>
    <w:p w14:paraId="30F3E072">
      <w:pPr>
        <w:pStyle w:val="16"/>
        <w:rPr>
          <w:rFonts w:hint="eastAsia" w:ascii="仿宋" w:hAnsi="仿宋" w:eastAsia="仿宋" w:cs="仿宋"/>
          <w:color w:val="000000" w:themeColor="text1"/>
          <w:sz w:val="24"/>
          <w:highlight w:val="none"/>
          <w14:textFill>
            <w14:solidFill>
              <w14:schemeClr w14:val="tx1"/>
            </w14:solidFill>
          </w14:textFill>
        </w:rPr>
      </w:pPr>
    </w:p>
    <w:p w14:paraId="5FBBBAD2">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lang w:val="zh-CN"/>
          <w14:textFill>
            <w14:solidFill>
              <w14:schemeClr w14:val="tx1"/>
            </w14:solidFill>
          </w14:textFill>
        </w:rPr>
        <w:t>为政府采购</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我们更专心</w:t>
      </w:r>
    </w:p>
    <w:p w14:paraId="0BD1654C">
      <w:pPr>
        <w:rPr>
          <w:rFonts w:hint="eastAsia" w:ascii="仿宋" w:hAnsi="仿宋" w:eastAsia="仿宋" w:cs="仿宋"/>
          <w:i/>
          <w:iCs/>
          <w:color w:val="000000" w:themeColor="text1"/>
          <w:sz w:val="28"/>
          <w:szCs w:val="22"/>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u w:val="singl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p>
    <w:p w14:paraId="487D8C2C">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做政府采购  我们更用心</w:t>
      </w:r>
    </w:p>
    <w:p w14:paraId="7828A4FA">
      <w:pPr>
        <w:rPr>
          <w:rFonts w:hint="eastAsia" w:ascii="仿宋" w:hAnsi="仿宋" w:eastAsia="仿宋" w:cs="仿宋"/>
          <w:color w:val="000000" w:themeColor="text1"/>
          <w:highlight w:val="none"/>
          <w:lang w:val="zh-CN"/>
          <w14:textFill>
            <w14:solidFill>
              <w14:schemeClr w14:val="tx1"/>
            </w14:solidFill>
          </w14:textFill>
        </w:rPr>
      </w:pPr>
    </w:p>
    <w:p w14:paraId="4DEC2265">
      <w:pPr>
        <w:rPr>
          <w:rFonts w:hint="eastAsia" w:ascii="仿宋" w:hAnsi="仿宋" w:eastAsia="仿宋" w:cs="仿宋"/>
          <w:color w:val="000000" w:themeColor="text1"/>
          <w:highlight w:val="none"/>
          <w:lang w:val="zh-CN"/>
          <w14:textFill>
            <w14:solidFill>
              <w14:schemeClr w14:val="tx1"/>
            </w14:solidFill>
          </w14:textFill>
        </w:rPr>
      </w:pPr>
    </w:p>
    <w:p w14:paraId="206E3DD8">
      <w:pPr>
        <w:rPr>
          <w:rFonts w:hint="eastAsia" w:ascii="仿宋" w:hAnsi="仿宋" w:eastAsia="仿宋" w:cs="仿宋"/>
          <w:color w:val="000000" w:themeColor="text1"/>
          <w:highlight w:val="none"/>
          <w:lang w:val="zh-CN"/>
          <w14:textFill>
            <w14:solidFill>
              <w14:schemeClr w14:val="tx1"/>
            </w14:solidFill>
          </w14:textFill>
        </w:rPr>
      </w:pPr>
    </w:p>
    <w:p w14:paraId="0A093B2C">
      <w:pPr>
        <w:pStyle w:val="39"/>
        <w:rPr>
          <w:rFonts w:hint="eastAsia" w:ascii="仿宋" w:hAnsi="仿宋" w:eastAsia="仿宋" w:cs="仿宋"/>
          <w:color w:val="000000" w:themeColor="text1"/>
          <w:highlight w:val="none"/>
          <w:lang w:val="zh-CN"/>
          <w14:textFill>
            <w14:solidFill>
              <w14:schemeClr w14:val="tx1"/>
            </w14:solidFill>
          </w14:textFill>
        </w:rPr>
      </w:pPr>
    </w:p>
    <w:p w14:paraId="4FD369FF">
      <w:pPr>
        <w:pStyle w:val="39"/>
        <w:rPr>
          <w:rFonts w:hint="eastAsia" w:ascii="仿宋" w:hAnsi="仿宋" w:eastAsia="仿宋" w:cs="仿宋"/>
          <w:color w:val="000000" w:themeColor="text1"/>
          <w:highlight w:val="none"/>
          <w:lang w:val="zh-CN"/>
          <w14:textFill>
            <w14:solidFill>
              <w14:schemeClr w14:val="tx1"/>
            </w14:solidFill>
          </w14:textFill>
        </w:rPr>
      </w:pPr>
    </w:p>
    <w:p w14:paraId="053976B9">
      <w:pPr>
        <w:pStyle w:val="39"/>
        <w:rPr>
          <w:rFonts w:hint="eastAsia" w:ascii="仿宋" w:hAnsi="仿宋" w:eastAsia="仿宋" w:cs="仿宋"/>
          <w:color w:val="000000" w:themeColor="text1"/>
          <w:highlight w:val="none"/>
          <w:lang w:val="zh-CN"/>
          <w14:textFill>
            <w14:solidFill>
              <w14:schemeClr w14:val="tx1"/>
            </w14:solidFill>
          </w14:textFill>
        </w:rPr>
      </w:pPr>
    </w:p>
    <w:p w14:paraId="35C19E44">
      <w:pPr>
        <w:pStyle w:val="39"/>
        <w:rPr>
          <w:rFonts w:hint="eastAsia" w:ascii="仿宋" w:hAnsi="仿宋" w:eastAsia="仿宋" w:cs="仿宋"/>
          <w:color w:val="000000" w:themeColor="text1"/>
          <w:highlight w:val="none"/>
          <w:lang w:val="zh-CN"/>
          <w14:textFill>
            <w14:solidFill>
              <w14:schemeClr w14:val="tx1"/>
            </w14:solidFill>
          </w14:textFill>
        </w:rPr>
      </w:pPr>
    </w:p>
    <w:p w14:paraId="20D8577C">
      <w:pPr>
        <w:pStyle w:val="39"/>
        <w:rPr>
          <w:rFonts w:hint="eastAsia" w:ascii="仿宋" w:hAnsi="仿宋" w:eastAsia="仿宋" w:cs="仿宋"/>
          <w:color w:val="000000" w:themeColor="text1"/>
          <w:highlight w:val="none"/>
          <w:lang w:val="zh-CN"/>
          <w14:textFill>
            <w14:solidFill>
              <w14:schemeClr w14:val="tx1"/>
            </w14:solidFill>
          </w14:textFill>
        </w:rPr>
      </w:pPr>
    </w:p>
    <w:p w14:paraId="7176B58B">
      <w:pPr>
        <w:pStyle w:val="39"/>
        <w:rPr>
          <w:rFonts w:hint="eastAsia" w:ascii="仿宋" w:hAnsi="仿宋" w:eastAsia="仿宋" w:cs="仿宋"/>
          <w:color w:val="000000" w:themeColor="text1"/>
          <w:highlight w:val="none"/>
          <w:lang w:val="zh-CN"/>
          <w14:textFill>
            <w14:solidFill>
              <w14:schemeClr w14:val="tx1"/>
            </w14:solidFill>
          </w14:textFill>
        </w:rPr>
      </w:pPr>
    </w:p>
    <w:p w14:paraId="54BFD864">
      <w:pPr>
        <w:pStyle w:val="39"/>
        <w:rPr>
          <w:rFonts w:hint="eastAsia" w:ascii="仿宋" w:hAnsi="仿宋" w:eastAsia="仿宋" w:cs="仿宋"/>
          <w:color w:val="000000" w:themeColor="text1"/>
          <w:highlight w:val="none"/>
          <w:lang w:val="zh-CN"/>
          <w14:textFill>
            <w14:solidFill>
              <w14:schemeClr w14:val="tx1"/>
            </w14:solidFill>
          </w14:textFill>
        </w:rPr>
      </w:pPr>
    </w:p>
    <w:p w14:paraId="0ACE067E">
      <w:pPr>
        <w:rPr>
          <w:rFonts w:hint="eastAsia" w:ascii="仿宋" w:hAnsi="仿宋" w:eastAsia="仿宋" w:cs="仿宋"/>
          <w:color w:val="000000" w:themeColor="text1"/>
          <w:highlight w:val="none"/>
          <w:lang w:val="zh-CN"/>
          <w14:textFill>
            <w14:solidFill>
              <w14:schemeClr w14:val="tx1"/>
            </w14:solidFill>
          </w14:textFill>
        </w:rPr>
      </w:pPr>
    </w:p>
    <w:p w14:paraId="4EA40988">
      <w:pPr>
        <w:rPr>
          <w:rFonts w:hint="eastAsia" w:ascii="仿宋" w:hAnsi="仿宋" w:eastAsia="仿宋" w:cs="仿宋"/>
          <w:color w:val="000000" w:themeColor="text1"/>
          <w:sz w:val="40"/>
          <w:szCs w:val="40"/>
          <w:highlight w:val="none"/>
          <w:lang w:val="zh-CN"/>
          <w14:textFill>
            <w14:solidFill>
              <w14:schemeClr w14:val="tx1"/>
            </w14:solidFill>
          </w14:textFill>
        </w:rPr>
      </w:pPr>
      <w:r>
        <w:rPr>
          <w:rFonts w:hint="eastAsia" w:ascii="仿宋" w:hAnsi="仿宋" w:eastAsia="仿宋" w:cs="仿宋"/>
          <w:color w:val="000000" w:themeColor="text1"/>
          <w:sz w:val="40"/>
          <w:szCs w:val="40"/>
          <w:highlight w:val="none"/>
          <w:lang w:val="zh-CN"/>
          <w14:textFill>
            <w14:solidFill>
              <w14:schemeClr w14:val="tx1"/>
            </w14:solidFill>
          </w14:textFill>
        </w:rPr>
        <w:t>华招广和项目管理有限公司</w:t>
      </w:r>
    </w:p>
    <w:p w14:paraId="131BCC77">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20C95CC">
      <w:pPr>
        <w:autoSpaceDE w:val="0"/>
        <w:autoSpaceDN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地</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zh-CN"/>
          <w14:textFill>
            <w14:solidFill>
              <w14:schemeClr w14:val="tx1"/>
            </w14:solidFill>
          </w14:textFill>
        </w:rPr>
        <w:t>址：</w:t>
      </w:r>
      <w:r>
        <w:rPr>
          <w:rFonts w:hint="eastAsia" w:ascii="仿宋" w:hAnsi="仿宋" w:eastAsia="仿宋" w:cs="仿宋"/>
          <w:bCs/>
          <w:color w:val="000000" w:themeColor="text1"/>
          <w:sz w:val="24"/>
          <w:highlight w:val="none"/>
          <w14:textFill>
            <w14:solidFill>
              <w14:schemeClr w14:val="tx1"/>
            </w14:solidFill>
          </w14:textFill>
        </w:rPr>
        <w:t>西安市朱雀大街南段1号汇成天玺C座18层</w:t>
      </w:r>
    </w:p>
    <w:p w14:paraId="0D689A12">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编：710000</w:t>
      </w:r>
    </w:p>
    <w:p w14:paraId="1B24B438">
      <w:pPr>
        <w:autoSpaceDE w:val="0"/>
        <w:autoSpaceDN w:val="0"/>
        <w:spacing w:line="5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    话：</w:t>
      </w:r>
      <w:r>
        <w:rPr>
          <w:rFonts w:hint="eastAsia" w:ascii="仿宋" w:hAnsi="仿宋" w:eastAsia="仿宋" w:cs="仿宋"/>
          <w:bCs/>
          <w:color w:val="000000" w:themeColor="text1"/>
          <w:sz w:val="24"/>
          <w:highlight w:val="none"/>
          <w:lang w:eastAsia="zh-CN"/>
          <w14:textFill>
            <w14:solidFill>
              <w14:schemeClr w14:val="tx1"/>
            </w14:solidFill>
          </w14:textFill>
        </w:rPr>
        <w:t>029-87592321</w:t>
      </w:r>
    </w:p>
    <w:p w14:paraId="0A4933A1">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电子邮箱：hzghxmglyxgs@163.com</w:t>
      </w:r>
    </w:p>
    <w:p w14:paraId="5934FAFE">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D5C4D8F">
      <w:pPr>
        <w:pStyle w:val="16"/>
        <w:rPr>
          <w:rFonts w:hint="eastAsia" w:ascii="仿宋" w:hAnsi="仿宋" w:eastAsia="仿宋" w:cs="仿宋"/>
          <w:color w:val="000000" w:themeColor="text1"/>
          <w:sz w:val="24"/>
          <w:highlight w:val="none"/>
          <w14:textFill>
            <w14:solidFill>
              <w14:schemeClr w14:val="tx1"/>
            </w14:solidFill>
          </w14:textFill>
        </w:rPr>
      </w:pPr>
    </w:p>
    <w:p w14:paraId="2363D841">
      <w:pPr>
        <w:rPr>
          <w:rFonts w:hint="eastAsia" w:ascii="仿宋" w:hAnsi="仿宋" w:eastAsia="仿宋" w:cs="仿宋"/>
          <w:color w:val="000000" w:themeColor="text1"/>
          <w:highlight w:val="none"/>
          <w14:textFill>
            <w14:solidFill>
              <w14:schemeClr w14:val="tx1"/>
            </w14:solidFill>
          </w14:textFill>
        </w:rPr>
      </w:pPr>
    </w:p>
    <w:sectPr>
      <w:footerReference r:id="rId22"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3CED">
    <w:pPr>
      <w:spacing w:line="280" w:lineRule="exact"/>
      <w:jc w:val="center"/>
      <w:rPr>
        <w:rFonts w:ascii="楷体" w:hAnsi="楷体" w:eastAsia="楷体" w:cs="楷体"/>
        <w:b/>
        <w:sz w:val="18"/>
        <w:szCs w:val="18"/>
        <w:u w:val="single"/>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42AA">
    <w:pPr>
      <w:spacing w:line="240" w:lineRule="exact"/>
      <w:ind w:firstLine="103" w:firstLineChars="49"/>
      <w:rPr>
        <w:b/>
        <w:szCs w:val="21"/>
      </w:rPr>
    </w:pPr>
    <w:r>
      <w:rPr>
        <w:rFonts w:hint="eastAsia"/>
        <w:b/>
        <w:szCs w:val="21"/>
      </w:rPr>
      <w:t>--------------</w:t>
    </w:r>
    <w:r>
      <w:rPr>
        <w:rFonts w:hint="eastAsia"/>
        <w:b/>
      </w:rPr>
      <w:t>-</w:t>
    </w:r>
    <w:r>
      <w:rPr>
        <w:rFonts w:hint="eastAsia"/>
        <w:b/>
        <w:szCs w:val="21"/>
      </w:rPr>
      <w:t>--------------------------------------------------</w:t>
    </w:r>
    <w:r>
      <w:rPr>
        <w:szCs w:val="21"/>
      </w:rPr>
      <w:fldChar w:fldCharType="begin"/>
    </w:r>
    <w:r>
      <w:rPr>
        <w:rStyle w:val="28"/>
        <w:szCs w:val="21"/>
      </w:rPr>
      <w:instrText xml:space="preserve"> PAGE </w:instrText>
    </w:r>
    <w:r>
      <w:rPr>
        <w:szCs w:val="21"/>
      </w:rPr>
      <w:fldChar w:fldCharType="separate"/>
    </w:r>
    <w:r>
      <w:rPr>
        <w:rStyle w:val="28"/>
        <w:szCs w:val="21"/>
      </w:rPr>
      <w:t>41</w:t>
    </w:r>
    <w:r>
      <w:rPr>
        <w:szCs w:val="21"/>
      </w:rPr>
      <w:fldChar w:fldCharType="end"/>
    </w:r>
    <w:r>
      <w:rPr>
        <w:rStyle w:val="28"/>
        <w:rFonts w:hint="eastAsia"/>
        <w:szCs w:val="21"/>
      </w:rPr>
      <w:t xml:space="preserve"> </w:t>
    </w:r>
    <w:r>
      <w:rPr>
        <w:rFonts w:hint="eastAsia"/>
        <w:b/>
        <w:szCs w:val="21"/>
      </w:rPr>
      <w:t>---------------------------------------------------------</w:t>
    </w:r>
  </w:p>
  <w:p w14:paraId="7C06993E">
    <w:pPr>
      <w:spacing w:line="280" w:lineRule="exact"/>
      <w:jc w:val="center"/>
      <w:rPr>
        <w:b/>
        <w:szCs w:val="21"/>
      </w:rPr>
    </w:pPr>
    <w:r>
      <w:rPr>
        <w:rFonts w:hint="eastAsia"/>
        <w:b/>
        <w:szCs w:val="21"/>
        <w:lang w:eastAsia="zh-CN"/>
      </w:rPr>
      <w:t>华招广和项目管理有限公司</w:t>
    </w:r>
    <w:r>
      <w:rPr>
        <w:rFonts w:hint="eastAsia"/>
        <w:b/>
        <w:szCs w:val="21"/>
      </w:rPr>
      <w:t xml:space="preserve">  SHAANXI SHANGDE TENDERING CO，LTD</w:t>
    </w:r>
  </w:p>
  <w:p w14:paraId="1FE2E372">
    <w:pPr>
      <w:spacing w:line="280" w:lineRule="exact"/>
      <w:jc w:val="center"/>
      <w:rPr>
        <w:rStyle w:val="28"/>
        <w:b/>
        <w:szCs w:val="21"/>
      </w:rPr>
    </w:pPr>
    <w:r>
      <w:rPr>
        <w:rFonts w:hint="eastAsia"/>
        <w:b/>
      </w:rPr>
      <w:t>地 址：西安市南二环西段华融国际A座25层D区   电 话：029-85350801/2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EAE4">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238125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BA0384">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18.75pt;height:144pt;width:144pt;mso-position-horizontal:center;mso-position-horizontal-relative:margin;mso-wrap-style:none;z-index:251664384;mso-width-relative:page;mso-height-relative:page;" filled="f" stroked="f" coordsize="21600,21600" o:gfxdata="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wHnbpnBiZ9+&#10;/zr9+Xf6+5OgDwXqPdSYd+8xMw6f3IDJsx/QmXgPMpj0RUYE4yjv8SyvGCLh6VG1rKoSQxxj8wXx&#10;i8fnPkD8LJwhyWhowPllWdnhK8QxdU5J1ay7VVrnGWpLekS9rK4u84tzCNG1xSKJxdhtsuKwHSZq&#10;W9cekVmPS9BQiztPif5iUeO0L7MRZmM7Gak8+Jt9xBZyZwl1hJqK4cQyt2m70ko8veesxz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zf/F1wAAAAcBAAAPAAAAAAAAAAEAIAAAACIAAABkcnMv&#10;ZG93bnJldi54bWxQSwECFAAUAAAACACHTuJA3cXsccsBAACZAwAADgAAAAAAAAABACAAAAAmAQAA&#10;ZHJzL2Uyb0RvYy54bWxQSwUGAAAAAAYABgBZAQAAYwUAAAAA&#10;">
              <v:fill on="f" focussize="0,0"/>
              <v:stroke on="f" weight="1.25pt"/>
              <v:imagedata o:title=""/>
              <o:lock v:ext="edit" aspectratio="f"/>
              <v:textbox inset="0mm,0mm,0mm,0mm" style="mso-fit-shape-to-text:t;">
                <w:txbxContent>
                  <w:p w14:paraId="3DBA0384">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v:textbox>
            </v:shape>
          </w:pict>
        </mc:Fallback>
      </mc:AlternateConten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93FA1">
    <w:pPr>
      <w:pStyle w:val="16"/>
      <w:framePr w:wrap="around" w:vAnchor="text" w:hAnchor="margin" w:xAlign="center" w:y="1"/>
      <w:rPr>
        <w:rStyle w:val="28"/>
      </w:rPr>
    </w:pPr>
    <w:r>
      <w:fldChar w:fldCharType="begin"/>
    </w:r>
    <w:r>
      <w:rPr>
        <w:rStyle w:val="28"/>
      </w:rPr>
      <w:instrText xml:space="preserve">PAGE  </w:instrText>
    </w:r>
    <w:r>
      <w:fldChar w:fldCharType="end"/>
    </w:r>
  </w:p>
  <w:p w14:paraId="1FBDDD09">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92BD">
    <w:pPr>
      <w:spacing w:line="280" w:lineRule="exact"/>
      <w:rPr>
        <w:rFonts w:ascii="楷体" w:hAnsi="楷体" w:eastAsia="楷体" w:cs="楷体"/>
        <w:b/>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FD4C">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D6BF">
    <w:pPr>
      <w:pStyle w:val="11"/>
    </w:pPr>
  </w:p>
  <w:p w14:paraId="08AC3E6B">
    <w:pPr>
      <w:spacing w:line="280" w:lineRule="exact"/>
      <w:rPr>
        <w:rFonts w:ascii="宋体" w:hAnsi="宋体"/>
        <w:b/>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580E">
    <w:pPr>
      <w:spacing w:line="280" w:lineRule="exact"/>
      <w:jc w:val="center"/>
      <w:rPr>
        <w:rFonts w:hint="eastAsia" w:ascii="仿宋" w:hAnsi="仿宋" w:eastAsia="仿宋" w:cs="仿宋"/>
        <w:b/>
        <w:sz w:val="18"/>
        <w:szCs w:val="18"/>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0A1FF4E0">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B3987E">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CkqqGnLAQAAm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kpPLgb/YRW8idJdQRaiqGE8vcpu1KK/H0nrMe/6j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qxN7ZAAAACQEAAA8AAAAAAAAAAQAgAAAAIgAAAGRy&#10;cy9kb3ducmV2LnhtbFBLAQIUABQAAAAIAIdO4kApKqhpywEAAJkDAAAOAAAAAAAAAAEAIAAAACgB&#10;AABkcnMvZTJvRG9jLnhtbFBLBQYAAAAABgAGAFkBAABlBQAAAAA=&#10;">
              <v:fill on="f" focussize="0,0"/>
              <v:stroke on="f" weight="1.25pt"/>
              <v:imagedata o:title=""/>
              <o:lock v:ext="edit" aspectratio="f"/>
              <v:textbox inset="0mm,0mm,0mm,0mm" style="mso-fit-shape-to-text:t;">
                <w:txbxContent>
                  <w:p w14:paraId="2EB3987E">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43CD">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411DF63D">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0D29E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B/B7ZtywEAAJk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MlJ58B8OEVvInSXUEWoqhhPL3KbtSivx9J6zHv+o&#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Q3Ot2gAAAAkBAAAPAAAAAAAAAAEAIAAAACIAAABk&#10;cnMvZG93bnJldi54bWxQSwECFAAUAAAACACHTuJAfwe2bcsBAACZAwAADgAAAAAAAAABACAAAAAp&#10;AQAAZHJzL2Uyb0RvYy54bWxQSwUGAAAAAAYABgBZAQAAZgUAAAAA&#10;">
              <v:fill on="f" focussize="0,0"/>
              <v:stroke on="f" weight="1.25pt"/>
              <v:imagedata o:title=""/>
              <o:lock v:ext="edit" aspectratio="f"/>
              <v:textbox inset="0mm,0mm,0mm,0mm" style="mso-fit-shape-to-text:t;">
                <w:txbxContent>
                  <w:p w14:paraId="400D29E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8382">
    <w:pPr>
      <w:pStyle w:val="16"/>
      <w:ind w:firstLine="90" w:firstLineChars="50"/>
      <w:rPr>
        <w:rStyle w:val="28"/>
      </w:rPr>
    </w:pPr>
    <w:r>
      <w:rPr>
        <w:rStyle w:val="28"/>
        <w:rFonts w:hint="eastAsia"/>
      </w:rPr>
      <w:t xml:space="preserve">  </w:t>
    </w:r>
  </w:p>
  <w:p w14:paraId="7B26C01F">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1DB2E4A4">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BABBFE">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CQzjdzMAQAAm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TkcqDv91HbCF3llBHqKkYTixzm7YrrcS/95z19E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UyCo2QAAAAkBAAAPAAAAAAAAAAEAIAAAACIAAABk&#10;cnMvZG93bnJldi54bWxQSwECFAAUAAAACACHTuJAJDON3MwBAACZAwAADgAAAAAAAAABACAAAAAo&#10;AQAAZHJzL2Uyb0RvYy54bWxQSwUGAAAAAAYABgBZAQAAZgUAAAAA&#10;">
              <v:fill on="f" focussize="0,0"/>
              <v:stroke on="f" weight="1.25pt"/>
              <v:imagedata o:title=""/>
              <o:lock v:ext="edit" aspectratio="f"/>
              <v:textbox inset="0mm,0mm,0mm,0mm" style="mso-fit-shape-to-text:t;">
                <w:txbxContent>
                  <w:p w14:paraId="36BABBFE">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05F3">
    <w:pPr>
      <w:spacing w:line="280" w:lineRule="exact"/>
      <w:jc w:val="center"/>
      <w:rPr>
        <w:rFonts w:hint="eastAsia" w:ascii="楷体" w:hAnsi="楷体" w:eastAsia="楷体" w:cs="楷体"/>
        <w:b/>
        <w:sz w:val="18"/>
        <w:szCs w:val="18"/>
        <w:u w:val="single"/>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C68FC6">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DTXYplywEAAJk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ZKTy4O/2EVvInSXUEWoqhhPL3KbtSivx9z1nvfx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6nxK1wAAAAoBAAAPAAAAAAAAAAEAIAAAACIAAABkcnMv&#10;ZG93bnJldi54bWxQSwECFAAUAAAACACHTuJA012KZcsBAACZAwAADgAAAAAAAAABACAAAAAmAQAA&#10;ZHJzL2Uyb0RvYy54bWxQSwUGAAAAAAYABgBZAQAAYwUAAAAA&#10;">
              <v:fill on="f" focussize="0,0"/>
              <v:stroke on="f" weight="1.25pt"/>
              <v:imagedata o:title=""/>
              <o:lock v:ext="edit" aspectratio="f"/>
              <v:textbox inset="0mm,0mm,0mm,0mm" style="mso-fit-shape-to-text:t;">
                <w:txbxContent>
                  <w:p w14:paraId="44C68FC6">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rPr>
      <w:t xml:space="preserve">        西安市朱雀大街南段1号汇成天玺C座18层          电话：</w:t>
    </w:r>
    <w:r>
      <w:rPr>
        <w:rFonts w:hint="eastAsia" w:ascii="楷体" w:hAnsi="楷体" w:eastAsia="楷体" w:cs="楷体"/>
        <w:b/>
        <w:sz w:val="18"/>
        <w:szCs w:val="18"/>
        <w:u w:val="single"/>
        <w:lang w:eastAsia="zh-CN"/>
      </w:rPr>
      <w:t>029-87592321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49D4">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1F2F">
    <w:pPr>
      <w:pStyle w:val="17"/>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9354">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24AE">
    <w:pPr>
      <w:pStyle w:val="17"/>
      <w:pBdr>
        <w:bottom w:val="none" w:color="auto" w:sz="0" w:space="1"/>
      </w:pBdr>
      <w:jc w:val="both"/>
    </w:pPr>
    <w:r>
      <w:rPr>
        <w:rFonts w:hint="eastAsia" w:ascii="仿宋" w:hAnsi="仿宋" w:eastAsia="仿宋" w:cs="仿宋"/>
        <w:b/>
        <w:u w:val="single"/>
        <w:lang w:val="en-US" w:eastAsia="zh-CN"/>
      </w:rPr>
      <w:t>农村饮用水水质监测项目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4621">
    <w:pPr>
      <w:pStyle w:val="17"/>
      <w:pBdr>
        <w:bottom w:val="none" w:color="auto" w:sz="0" w:space="1"/>
      </w:pBdr>
      <w:jc w:val="left"/>
    </w:pPr>
    <w:r>
      <w:rPr>
        <w:rFonts w:hint="eastAsia" w:ascii="仿宋" w:hAnsi="仿宋" w:eastAsia="仿宋" w:cs="仿宋"/>
        <w:b/>
        <w:u w:val="single"/>
        <w:lang w:val="en-US" w:eastAsia="zh-CN"/>
      </w:rPr>
      <w:t>农村饮用水水质监测项目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946A">
    <w:pPr>
      <w:pStyle w:val="17"/>
      <w:pBdr>
        <w:bottom w:val="none" w:color="auto" w:sz="0" w:space="1"/>
      </w:pBdr>
      <w:jc w:val="both"/>
      <w:rPr>
        <w:rFonts w:ascii="楷体" w:hAnsi="楷体" w:eastAsia="楷体" w:cs="楷体"/>
        <w:b/>
        <w:u w:val="single"/>
        <w:shd w:val="pct10" w:color="auto" w:fill="FFFFFF"/>
      </w:rPr>
    </w:pPr>
    <w:r>
      <w:rPr>
        <w:rFonts w:hint="eastAsia" w:ascii="仿宋" w:hAnsi="仿宋" w:eastAsia="仿宋" w:cs="仿宋"/>
        <w:b/>
        <w:u w:val="single"/>
        <w:lang w:val="en-US" w:eastAsia="zh-CN"/>
      </w:rPr>
      <w:t>农村饮用水水质监测项目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D3C4">
    <w:pPr>
      <w:pStyle w:val="17"/>
      <w:rPr>
        <w:szCs w:val="21"/>
        <w:shd w:val="pct10" w:color="auto" w:fill="FFFFFF"/>
      </w:rPr>
    </w:pPr>
    <w:r>
      <w:rPr>
        <w:rFonts w:hint="eastAsia" w:ascii="宋体" w:hAnsi="宋体"/>
        <w:b/>
        <w:lang w:eastAsia="zh-CN"/>
      </w:rPr>
      <w:t>韩城市疾病预防控制中心关于武功县设施农业用地上图入库第二阶段采购项目</w:t>
    </w:r>
    <w:r>
      <w:rPr>
        <w:rFonts w:hint="eastAsia" w:ascii="宋体" w:hAnsi="宋体"/>
        <w:b/>
      </w:rPr>
      <w:t xml:space="preserve">                  文件编号: GDZB-2017-0000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7533">
    <w:pPr>
      <w:pStyle w:val="17"/>
      <w:pBdr>
        <w:bottom w:val="none" w:color="auto" w:sz="0" w:space="1"/>
      </w:pBdr>
      <w:jc w:val="both"/>
    </w:pPr>
    <w:r>
      <w:rPr>
        <w:rFonts w:hint="eastAsia" w:ascii="仿宋" w:hAnsi="仿宋" w:eastAsia="仿宋" w:cs="仿宋"/>
        <w:b/>
        <w:u w:val="single"/>
        <w:lang w:val="en-US" w:eastAsia="zh-CN"/>
      </w:rPr>
      <w:t>农村饮用水水质监测项目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65BE">
    <w:pPr>
      <w:pStyle w:val="17"/>
      <w:rPr>
        <w:rFonts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238E1"/>
    <w:multiLevelType w:val="singleLevel"/>
    <w:tmpl w:val="C42238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WIxMTQ0ZTAwM2IyODM5YWY0M2Q1ZDFhYWQ4NDEifQ=="/>
  </w:docVars>
  <w:rsids>
    <w:rsidRoot w:val="5CA52231"/>
    <w:rsid w:val="00295C4C"/>
    <w:rsid w:val="00314C9C"/>
    <w:rsid w:val="003D1B79"/>
    <w:rsid w:val="004006FE"/>
    <w:rsid w:val="004E284B"/>
    <w:rsid w:val="00574C91"/>
    <w:rsid w:val="00605C8A"/>
    <w:rsid w:val="00716A3F"/>
    <w:rsid w:val="0099218B"/>
    <w:rsid w:val="00AE2E12"/>
    <w:rsid w:val="00C56673"/>
    <w:rsid w:val="016D4D4A"/>
    <w:rsid w:val="018848B9"/>
    <w:rsid w:val="01AF53D2"/>
    <w:rsid w:val="01E01AFA"/>
    <w:rsid w:val="01EE1413"/>
    <w:rsid w:val="02076EEB"/>
    <w:rsid w:val="026F22F1"/>
    <w:rsid w:val="02A117CD"/>
    <w:rsid w:val="02AA1D26"/>
    <w:rsid w:val="02D33E38"/>
    <w:rsid w:val="030C1D6D"/>
    <w:rsid w:val="0317331D"/>
    <w:rsid w:val="03427D59"/>
    <w:rsid w:val="037759E0"/>
    <w:rsid w:val="03AC6219"/>
    <w:rsid w:val="04083177"/>
    <w:rsid w:val="046907DC"/>
    <w:rsid w:val="046B31A0"/>
    <w:rsid w:val="04740EAB"/>
    <w:rsid w:val="04BE50B1"/>
    <w:rsid w:val="065027ED"/>
    <w:rsid w:val="06670CDB"/>
    <w:rsid w:val="06707460"/>
    <w:rsid w:val="067F0181"/>
    <w:rsid w:val="06AC3D9C"/>
    <w:rsid w:val="06E36671"/>
    <w:rsid w:val="06F136E7"/>
    <w:rsid w:val="06FD58FA"/>
    <w:rsid w:val="0708446E"/>
    <w:rsid w:val="071E7D6B"/>
    <w:rsid w:val="074932D5"/>
    <w:rsid w:val="07826662"/>
    <w:rsid w:val="07F208D7"/>
    <w:rsid w:val="07FA3B8F"/>
    <w:rsid w:val="08107D05"/>
    <w:rsid w:val="08514E5D"/>
    <w:rsid w:val="089F1C5C"/>
    <w:rsid w:val="09047D11"/>
    <w:rsid w:val="094B1DE4"/>
    <w:rsid w:val="094B7E72"/>
    <w:rsid w:val="09783466"/>
    <w:rsid w:val="09C126F0"/>
    <w:rsid w:val="09E10362"/>
    <w:rsid w:val="09F0034F"/>
    <w:rsid w:val="0A40182F"/>
    <w:rsid w:val="0A441C29"/>
    <w:rsid w:val="0A462C8E"/>
    <w:rsid w:val="0A47098D"/>
    <w:rsid w:val="0A782F46"/>
    <w:rsid w:val="0AC611DC"/>
    <w:rsid w:val="0AE35538"/>
    <w:rsid w:val="0B5F7256"/>
    <w:rsid w:val="0B7432FA"/>
    <w:rsid w:val="0B8D704E"/>
    <w:rsid w:val="0BAA5656"/>
    <w:rsid w:val="0BCE259C"/>
    <w:rsid w:val="0BE407DC"/>
    <w:rsid w:val="0C04209F"/>
    <w:rsid w:val="0C654222"/>
    <w:rsid w:val="0C993304"/>
    <w:rsid w:val="0CA23356"/>
    <w:rsid w:val="0CA26AF9"/>
    <w:rsid w:val="0CAD7162"/>
    <w:rsid w:val="0D035E0E"/>
    <w:rsid w:val="0D046532"/>
    <w:rsid w:val="0D1B42EE"/>
    <w:rsid w:val="0D2378B7"/>
    <w:rsid w:val="0D8243F6"/>
    <w:rsid w:val="0DBA6097"/>
    <w:rsid w:val="0DBC4B86"/>
    <w:rsid w:val="0DC74ACF"/>
    <w:rsid w:val="0E2F54AF"/>
    <w:rsid w:val="0E535B99"/>
    <w:rsid w:val="0E9852F9"/>
    <w:rsid w:val="0E9D2DA8"/>
    <w:rsid w:val="0EB9746D"/>
    <w:rsid w:val="0EF84A2E"/>
    <w:rsid w:val="0F032353"/>
    <w:rsid w:val="0F160CF9"/>
    <w:rsid w:val="0FE65E5D"/>
    <w:rsid w:val="113A0411"/>
    <w:rsid w:val="11C25421"/>
    <w:rsid w:val="125C471A"/>
    <w:rsid w:val="12D77F2E"/>
    <w:rsid w:val="12FE1C75"/>
    <w:rsid w:val="13134FCF"/>
    <w:rsid w:val="13532ADC"/>
    <w:rsid w:val="138A771E"/>
    <w:rsid w:val="13A866AB"/>
    <w:rsid w:val="13C705E7"/>
    <w:rsid w:val="13D50BD8"/>
    <w:rsid w:val="142F3033"/>
    <w:rsid w:val="145D5190"/>
    <w:rsid w:val="14685C58"/>
    <w:rsid w:val="147C3400"/>
    <w:rsid w:val="14AA3760"/>
    <w:rsid w:val="14E622ED"/>
    <w:rsid w:val="14F614AD"/>
    <w:rsid w:val="14FE0622"/>
    <w:rsid w:val="150154C3"/>
    <w:rsid w:val="150729CC"/>
    <w:rsid w:val="150F0169"/>
    <w:rsid w:val="153B4ABB"/>
    <w:rsid w:val="1545594D"/>
    <w:rsid w:val="159E5B20"/>
    <w:rsid w:val="15E52C78"/>
    <w:rsid w:val="15EF74ED"/>
    <w:rsid w:val="163B5862"/>
    <w:rsid w:val="16666A8E"/>
    <w:rsid w:val="166925C4"/>
    <w:rsid w:val="167960C4"/>
    <w:rsid w:val="169776BC"/>
    <w:rsid w:val="16A10FD1"/>
    <w:rsid w:val="16B82264"/>
    <w:rsid w:val="17953593"/>
    <w:rsid w:val="17BE2920"/>
    <w:rsid w:val="17C00796"/>
    <w:rsid w:val="17D91989"/>
    <w:rsid w:val="188341B0"/>
    <w:rsid w:val="19521B57"/>
    <w:rsid w:val="1958524A"/>
    <w:rsid w:val="196873D3"/>
    <w:rsid w:val="19764F21"/>
    <w:rsid w:val="197D4F2E"/>
    <w:rsid w:val="19925274"/>
    <w:rsid w:val="19A3119E"/>
    <w:rsid w:val="19AB5269"/>
    <w:rsid w:val="1ACA1E7D"/>
    <w:rsid w:val="1B2E333A"/>
    <w:rsid w:val="1B5D5967"/>
    <w:rsid w:val="1B762CE2"/>
    <w:rsid w:val="1B800E24"/>
    <w:rsid w:val="1B8018F0"/>
    <w:rsid w:val="1B8B6FB4"/>
    <w:rsid w:val="1BAC4E13"/>
    <w:rsid w:val="1C2C6107"/>
    <w:rsid w:val="1C3F3B57"/>
    <w:rsid w:val="1C654B13"/>
    <w:rsid w:val="1C704310"/>
    <w:rsid w:val="1C8A0D7E"/>
    <w:rsid w:val="1C9F1DD3"/>
    <w:rsid w:val="1CBD2782"/>
    <w:rsid w:val="1CC058E0"/>
    <w:rsid w:val="1CE9176D"/>
    <w:rsid w:val="1CEF3C8D"/>
    <w:rsid w:val="1D5B2D98"/>
    <w:rsid w:val="1DAD3A24"/>
    <w:rsid w:val="1DAE3C1B"/>
    <w:rsid w:val="1DBF1167"/>
    <w:rsid w:val="1DFA6949"/>
    <w:rsid w:val="1E0D2086"/>
    <w:rsid w:val="1E36609D"/>
    <w:rsid w:val="1E685343"/>
    <w:rsid w:val="1E724D4C"/>
    <w:rsid w:val="1EC5245F"/>
    <w:rsid w:val="1EE018EF"/>
    <w:rsid w:val="1EF86EC7"/>
    <w:rsid w:val="1F193AD6"/>
    <w:rsid w:val="1FB44E67"/>
    <w:rsid w:val="1FC277B4"/>
    <w:rsid w:val="1FE52B2C"/>
    <w:rsid w:val="2090323C"/>
    <w:rsid w:val="20B56347"/>
    <w:rsid w:val="20D13F45"/>
    <w:rsid w:val="20F52DBB"/>
    <w:rsid w:val="20F67044"/>
    <w:rsid w:val="210851CD"/>
    <w:rsid w:val="218403EA"/>
    <w:rsid w:val="219D3ACF"/>
    <w:rsid w:val="21B602C8"/>
    <w:rsid w:val="224729DE"/>
    <w:rsid w:val="228D72CD"/>
    <w:rsid w:val="22AA45D0"/>
    <w:rsid w:val="22FB4A29"/>
    <w:rsid w:val="23214339"/>
    <w:rsid w:val="233B6B95"/>
    <w:rsid w:val="234C60E3"/>
    <w:rsid w:val="23667A8F"/>
    <w:rsid w:val="237972CB"/>
    <w:rsid w:val="238460C9"/>
    <w:rsid w:val="2387409E"/>
    <w:rsid w:val="239C3527"/>
    <w:rsid w:val="23BD1AD4"/>
    <w:rsid w:val="23BD364C"/>
    <w:rsid w:val="23BD5C15"/>
    <w:rsid w:val="23D855A8"/>
    <w:rsid w:val="243A34C8"/>
    <w:rsid w:val="243F7A48"/>
    <w:rsid w:val="2498323C"/>
    <w:rsid w:val="24AD6618"/>
    <w:rsid w:val="24D24F1B"/>
    <w:rsid w:val="24E91E9C"/>
    <w:rsid w:val="24EB35BF"/>
    <w:rsid w:val="250927A4"/>
    <w:rsid w:val="25255D5C"/>
    <w:rsid w:val="253668B6"/>
    <w:rsid w:val="253C5361"/>
    <w:rsid w:val="254B7584"/>
    <w:rsid w:val="25D62632"/>
    <w:rsid w:val="261C10D2"/>
    <w:rsid w:val="26B00013"/>
    <w:rsid w:val="26D23436"/>
    <w:rsid w:val="26E01831"/>
    <w:rsid w:val="270200AF"/>
    <w:rsid w:val="27222C9B"/>
    <w:rsid w:val="27323271"/>
    <w:rsid w:val="27A401A2"/>
    <w:rsid w:val="27EE5444"/>
    <w:rsid w:val="281A1E64"/>
    <w:rsid w:val="282B61D0"/>
    <w:rsid w:val="283930FA"/>
    <w:rsid w:val="284A0F2F"/>
    <w:rsid w:val="285F3C13"/>
    <w:rsid w:val="287F6F5C"/>
    <w:rsid w:val="2884639A"/>
    <w:rsid w:val="289C18BC"/>
    <w:rsid w:val="28D322DB"/>
    <w:rsid w:val="28EB2A8B"/>
    <w:rsid w:val="292C49EE"/>
    <w:rsid w:val="293E4722"/>
    <w:rsid w:val="294962CA"/>
    <w:rsid w:val="296F5970"/>
    <w:rsid w:val="29C075C6"/>
    <w:rsid w:val="29C673A2"/>
    <w:rsid w:val="29F41216"/>
    <w:rsid w:val="29F51CDA"/>
    <w:rsid w:val="2A2031AC"/>
    <w:rsid w:val="2A4C49A4"/>
    <w:rsid w:val="2A51745D"/>
    <w:rsid w:val="2B6927F8"/>
    <w:rsid w:val="2B9D7E25"/>
    <w:rsid w:val="2BB9108D"/>
    <w:rsid w:val="2BCD3D86"/>
    <w:rsid w:val="2C3E7E32"/>
    <w:rsid w:val="2C4B7EAE"/>
    <w:rsid w:val="2C7125F6"/>
    <w:rsid w:val="2CCA4573"/>
    <w:rsid w:val="2CD23AFF"/>
    <w:rsid w:val="2D2F6022"/>
    <w:rsid w:val="2DE52846"/>
    <w:rsid w:val="2DFF443A"/>
    <w:rsid w:val="2E4648D8"/>
    <w:rsid w:val="2E55254F"/>
    <w:rsid w:val="2E76670C"/>
    <w:rsid w:val="2E98219C"/>
    <w:rsid w:val="2EBA2A9C"/>
    <w:rsid w:val="2EC30FD3"/>
    <w:rsid w:val="2F3D365B"/>
    <w:rsid w:val="2FD74A2F"/>
    <w:rsid w:val="2FFD6A02"/>
    <w:rsid w:val="307D1B7F"/>
    <w:rsid w:val="308121AA"/>
    <w:rsid w:val="30882EF9"/>
    <w:rsid w:val="309D06C4"/>
    <w:rsid w:val="30D6704C"/>
    <w:rsid w:val="30E42811"/>
    <w:rsid w:val="30FC1C38"/>
    <w:rsid w:val="312D5C40"/>
    <w:rsid w:val="313451FE"/>
    <w:rsid w:val="3179279B"/>
    <w:rsid w:val="318F07B1"/>
    <w:rsid w:val="31D010A8"/>
    <w:rsid w:val="321A765E"/>
    <w:rsid w:val="322F33E6"/>
    <w:rsid w:val="323963CE"/>
    <w:rsid w:val="324A6E8E"/>
    <w:rsid w:val="324C4540"/>
    <w:rsid w:val="328409AF"/>
    <w:rsid w:val="3285675A"/>
    <w:rsid w:val="3306189B"/>
    <w:rsid w:val="33441EEA"/>
    <w:rsid w:val="33C8035F"/>
    <w:rsid w:val="34285437"/>
    <w:rsid w:val="349D2C44"/>
    <w:rsid w:val="34B67359"/>
    <w:rsid w:val="34BD6422"/>
    <w:rsid w:val="34FD3CDD"/>
    <w:rsid w:val="35474D1B"/>
    <w:rsid w:val="35635AE6"/>
    <w:rsid w:val="35FC0885"/>
    <w:rsid w:val="35FF6EE4"/>
    <w:rsid w:val="36607BFC"/>
    <w:rsid w:val="36647515"/>
    <w:rsid w:val="366B68D7"/>
    <w:rsid w:val="36754531"/>
    <w:rsid w:val="36960592"/>
    <w:rsid w:val="369B31B3"/>
    <w:rsid w:val="36A6383E"/>
    <w:rsid w:val="36C86E67"/>
    <w:rsid w:val="36CF2484"/>
    <w:rsid w:val="36D45F5B"/>
    <w:rsid w:val="36E765D4"/>
    <w:rsid w:val="36E81B47"/>
    <w:rsid w:val="37015A67"/>
    <w:rsid w:val="37696A12"/>
    <w:rsid w:val="37D672E5"/>
    <w:rsid w:val="37D82BA9"/>
    <w:rsid w:val="38236863"/>
    <w:rsid w:val="385B7D01"/>
    <w:rsid w:val="3946502A"/>
    <w:rsid w:val="3A0C2363"/>
    <w:rsid w:val="3A612FFC"/>
    <w:rsid w:val="3A991BBE"/>
    <w:rsid w:val="3AAA1667"/>
    <w:rsid w:val="3AAD0891"/>
    <w:rsid w:val="3B0648C2"/>
    <w:rsid w:val="3B2A69F2"/>
    <w:rsid w:val="3BF0451E"/>
    <w:rsid w:val="3C0C0C6E"/>
    <w:rsid w:val="3C5E7A24"/>
    <w:rsid w:val="3CF66938"/>
    <w:rsid w:val="3CFA113A"/>
    <w:rsid w:val="3D474C33"/>
    <w:rsid w:val="3D5F716B"/>
    <w:rsid w:val="3DAA35EA"/>
    <w:rsid w:val="3DAB59FE"/>
    <w:rsid w:val="3DBB3A26"/>
    <w:rsid w:val="3E072A46"/>
    <w:rsid w:val="3E1168FA"/>
    <w:rsid w:val="3E3D638D"/>
    <w:rsid w:val="3E424DBB"/>
    <w:rsid w:val="3E59316B"/>
    <w:rsid w:val="3E7A5E78"/>
    <w:rsid w:val="3E8F35BB"/>
    <w:rsid w:val="3EA96557"/>
    <w:rsid w:val="3EB218A7"/>
    <w:rsid w:val="3EE06A33"/>
    <w:rsid w:val="3EED2A1A"/>
    <w:rsid w:val="3EFA6BAE"/>
    <w:rsid w:val="3F370BCB"/>
    <w:rsid w:val="3F7A43AD"/>
    <w:rsid w:val="3F8E5C59"/>
    <w:rsid w:val="3F8F26F6"/>
    <w:rsid w:val="3FF543F2"/>
    <w:rsid w:val="40287CFB"/>
    <w:rsid w:val="407C02A4"/>
    <w:rsid w:val="40AF73C0"/>
    <w:rsid w:val="410A4E3D"/>
    <w:rsid w:val="417F1907"/>
    <w:rsid w:val="41F07ECA"/>
    <w:rsid w:val="420B00B0"/>
    <w:rsid w:val="425D4330"/>
    <w:rsid w:val="427101FB"/>
    <w:rsid w:val="427136EC"/>
    <w:rsid w:val="42B36D52"/>
    <w:rsid w:val="43211C22"/>
    <w:rsid w:val="4360708A"/>
    <w:rsid w:val="43BB7949"/>
    <w:rsid w:val="43E14160"/>
    <w:rsid w:val="448C05DF"/>
    <w:rsid w:val="44AC070C"/>
    <w:rsid w:val="44AC45F6"/>
    <w:rsid w:val="44C0719C"/>
    <w:rsid w:val="44DB0AFB"/>
    <w:rsid w:val="45183524"/>
    <w:rsid w:val="45283340"/>
    <w:rsid w:val="45612478"/>
    <w:rsid w:val="45A75332"/>
    <w:rsid w:val="45BF1A3F"/>
    <w:rsid w:val="45D4091B"/>
    <w:rsid w:val="45E00128"/>
    <w:rsid w:val="45E61DF8"/>
    <w:rsid w:val="45FC0156"/>
    <w:rsid w:val="461D6E60"/>
    <w:rsid w:val="46322C1D"/>
    <w:rsid w:val="468C2F1E"/>
    <w:rsid w:val="46D2182F"/>
    <w:rsid w:val="474536FB"/>
    <w:rsid w:val="478B389E"/>
    <w:rsid w:val="47F40F55"/>
    <w:rsid w:val="48056B92"/>
    <w:rsid w:val="484D0B6A"/>
    <w:rsid w:val="484D4A7D"/>
    <w:rsid w:val="4856239B"/>
    <w:rsid w:val="48962D4B"/>
    <w:rsid w:val="48D45224"/>
    <w:rsid w:val="48F3112A"/>
    <w:rsid w:val="493004E9"/>
    <w:rsid w:val="49350D52"/>
    <w:rsid w:val="496F62CD"/>
    <w:rsid w:val="49C53F9D"/>
    <w:rsid w:val="49D768C0"/>
    <w:rsid w:val="49E51A96"/>
    <w:rsid w:val="49FE675C"/>
    <w:rsid w:val="4A03006A"/>
    <w:rsid w:val="4A385AE6"/>
    <w:rsid w:val="4AA519CD"/>
    <w:rsid w:val="4AF10388"/>
    <w:rsid w:val="4AF94070"/>
    <w:rsid w:val="4AFB5E63"/>
    <w:rsid w:val="4B46181C"/>
    <w:rsid w:val="4B965FB0"/>
    <w:rsid w:val="4C024B95"/>
    <w:rsid w:val="4C256914"/>
    <w:rsid w:val="4C5A1013"/>
    <w:rsid w:val="4C6C31F6"/>
    <w:rsid w:val="4C96549F"/>
    <w:rsid w:val="4CAD74C4"/>
    <w:rsid w:val="4CC674CA"/>
    <w:rsid w:val="4CCA0DF3"/>
    <w:rsid w:val="4D3944DB"/>
    <w:rsid w:val="4D3D1756"/>
    <w:rsid w:val="4D49565B"/>
    <w:rsid w:val="4E0C743C"/>
    <w:rsid w:val="4E93715A"/>
    <w:rsid w:val="4E9F6F1B"/>
    <w:rsid w:val="4EB21ED9"/>
    <w:rsid w:val="4EC14B14"/>
    <w:rsid w:val="4F141B05"/>
    <w:rsid w:val="4F1B0161"/>
    <w:rsid w:val="4F1B0C9F"/>
    <w:rsid w:val="4F7810D0"/>
    <w:rsid w:val="4F8A7B60"/>
    <w:rsid w:val="50CC1400"/>
    <w:rsid w:val="50DE1F06"/>
    <w:rsid w:val="50FA6915"/>
    <w:rsid w:val="514345C9"/>
    <w:rsid w:val="518270C9"/>
    <w:rsid w:val="519266B2"/>
    <w:rsid w:val="519C1B26"/>
    <w:rsid w:val="51E27AE8"/>
    <w:rsid w:val="521F2034"/>
    <w:rsid w:val="52242BD3"/>
    <w:rsid w:val="527821A3"/>
    <w:rsid w:val="527A4BCD"/>
    <w:rsid w:val="527E492B"/>
    <w:rsid w:val="52BD596D"/>
    <w:rsid w:val="52DE7D41"/>
    <w:rsid w:val="53195734"/>
    <w:rsid w:val="531D2DA5"/>
    <w:rsid w:val="533A6602"/>
    <w:rsid w:val="533E0763"/>
    <w:rsid w:val="535A5075"/>
    <w:rsid w:val="53774E9B"/>
    <w:rsid w:val="53B94DB8"/>
    <w:rsid w:val="53BD7700"/>
    <w:rsid w:val="54075DCC"/>
    <w:rsid w:val="541377CE"/>
    <w:rsid w:val="5447089E"/>
    <w:rsid w:val="548D5DC1"/>
    <w:rsid w:val="54A14884"/>
    <w:rsid w:val="54BA1808"/>
    <w:rsid w:val="54EB6E03"/>
    <w:rsid w:val="550601C8"/>
    <w:rsid w:val="55146E5E"/>
    <w:rsid w:val="553B5415"/>
    <w:rsid w:val="553C5232"/>
    <w:rsid w:val="554372DB"/>
    <w:rsid w:val="554B2CF1"/>
    <w:rsid w:val="55C129F3"/>
    <w:rsid w:val="55C43442"/>
    <w:rsid w:val="56150435"/>
    <w:rsid w:val="567474A4"/>
    <w:rsid w:val="569B3AE2"/>
    <w:rsid w:val="57E15B41"/>
    <w:rsid w:val="5812279B"/>
    <w:rsid w:val="585554B6"/>
    <w:rsid w:val="58862037"/>
    <w:rsid w:val="58AF1A95"/>
    <w:rsid w:val="58E805C8"/>
    <w:rsid w:val="58F61C6D"/>
    <w:rsid w:val="59047ECD"/>
    <w:rsid w:val="592D49A0"/>
    <w:rsid w:val="598D0AFF"/>
    <w:rsid w:val="59AC7E01"/>
    <w:rsid w:val="5A2F12C4"/>
    <w:rsid w:val="5A351EEE"/>
    <w:rsid w:val="5A521346"/>
    <w:rsid w:val="5AD76600"/>
    <w:rsid w:val="5B191112"/>
    <w:rsid w:val="5B6B3CC8"/>
    <w:rsid w:val="5B8155F3"/>
    <w:rsid w:val="5B9F39FA"/>
    <w:rsid w:val="5BA31738"/>
    <w:rsid w:val="5BA6792C"/>
    <w:rsid w:val="5BD25514"/>
    <w:rsid w:val="5C0974B2"/>
    <w:rsid w:val="5C186F88"/>
    <w:rsid w:val="5C1B42CB"/>
    <w:rsid w:val="5C73777D"/>
    <w:rsid w:val="5CA52231"/>
    <w:rsid w:val="5CAA3CE0"/>
    <w:rsid w:val="5CB315BE"/>
    <w:rsid w:val="5CD05EC4"/>
    <w:rsid w:val="5CEE67CC"/>
    <w:rsid w:val="5D9C44BA"/>
    <w:rsid w:val="5DD3719E"/>
    <w:rsid w:val="5DD4697C"/>
    <w:rsid w:val="5DEC5D6F"/>
    <w:rsid w:val="5DF32237"/>
    <w:rsid w:val="5E1B365D"/>
    <w:rsid w:val="5E245395"/>
    <w:rsid w:val="5E370EEC"/>
    <w:rsid w:val="5E68355E"/>
    <w:rsid w:val="5E693E0B"/>
    <w:rsid w:val="5EF51B46"/>
    <w:rsid w:val="5F716DD1"/>
    <w:rsid w:val="5F9A1C0C"/>
    <w:rsid w:val="60092B91"/>
    <w:rsid w:val="607D2628"/>
    <w:rsid w:val="60CC048B"/>
    <w:rsid w:val="60EF7936"/>
    <w:rsid w:val="615D15B4"/>
    <w:rsid w:val="617C53D9"/>
    <w:rsid w:val="619C3FB1"/>
    <w:rsid w:val="61B77CE2"/>
    <w:rsid w:val="61BE4845"/>
    <w:rsid w:val="62014DE8"/>
    <w:rsid w:val="628E2F58"/>
    <w:rsid w:val="62954FBF"/>
    <w:rsid w:val="62F67840"/>
    <w:rsid w:val="6300246C"/>
    <w:rsid w:val="6322437F"/>
    <w:rsid w:val="63245663"/>
    <w:rsid w:val="63420DA4"/>
    <w:rsid w:val="6357614B"/>
    <w:rsid w:val="6376727B"/>
    <w:rsid w:val="637D74E4"/>
    <w:rsid w:val="63DD2A68"/>
    <w:rsid w:val="64166B12"/>
    <w:rsid w:val="64725A90"/>
    <w:rsid w:val="64C46520"/>
    <w:rsid w:val="64EC4D35"/>
    <w:rsid w:val="64F413C0"/>
    <w:rsid w:val="651265B7"/>
    <w:rsid w:val="6517248E"/>
    <w:rsid w:val="653918E3"/>
    <w:rsid w:val="65BA296F"/>
    <w:rsid w:val="65EE67B8"/>
    <w:rsid w:val="664153F0"/>
    <w:rsid w:val="66E43193"/>
    <w:rsid w:val="67267CB5"/>
    <w:rsid w:val="67341171"/>
    <w:rsid w:val="67430B7A"/>
    <w:rsid w:val="674508E2"/>
    <w:rsid w:val="674F3DFC"/>
    <w:rsid w:val="676C5425"/>
    <w:rsid w:val="677775CA"/>
    <w:rsid w:val="681F1432"/>
    <w:rsid w:val="68384664"/>
    <w:rsid w:val="683E40AC"/>
    <w:rsid w:val="688540C8"/>
    <w:rsid w:val="6894063F"/>
    <w:rsid w:val="68AA0374"/>
    <w:rsid w:val="690C3C0F"/>
    <w:rsid w:val="698915CD"/>
    <w:rsid w:val="69AF0E2F"/>
    <w:rsid w:val="69C87321"/>
    <w:rsid w:val="69E7087D"/>
    <w:rsid w:val="69F92CBD"/>
    <w:rsid w:val="6A1A76FF"/>
    <w:rsid w:val="6A5E5183"/>
    <w:rsid w:val="6A6804B7"/>
    <w:rsid w:val="6A8F6A6C"/>
    <w:rsid w:val="6A9D515D"/>
    <w:rsid w:val="6AA03474"/>
    <w:rsid w:val="6AEE00B8"/>
    <w:rsid w:val="6B3468AC"/>
    <w:rsid w:val="6B587443"/>
    <w:rsid w:val="6B6B0DB4"/>
    <w:rsid w:val="6B894DA7"/>
    <w:rsid w:val="6B8B20B8"/>
    <w:rsid w:val="6B8B218D"/>
    <w:rsid w:val="6C3D0FAE"/>
    <w:rsid w:val="6C8E0AE9"/>
    <w:rsid w:val="6D165605"/>
    <w:rsid w:val="6D226F33"/>
    <w:rsid w:val="6D7F2964"/>
    <w:rsid w:val="6DB31991"/>
    <w:rsid w:val="6DCE340F"/>
    <w:rsid w:val="6E8F55C7"/>
    <w:rsid w:val="6E910FE5"/>
    <w:rsid w:val="6E9B76DB"/>
    <w:rsid w:val="6EFE55DA"/>
    <w:rsid w:val="6F2D2B84"/>
    <w:rsid w:val="6F42336D"/>
    <w:rsid w:val="6F5A0AAF"/>
    <w:rsid w:val="6F8932E6"/>
    <w:rsid w:val="700C68AA"/>
    <w:rsid w:val="701D3C4D"/>
    <w:rsid w:val="70200256"/>
    <w:rsid w:val="70501F38"/>
    <w:rsid w:val="705B5D23"/>
    <w:rsid w:val="70865CFA"/>
    <w:rsid w:val="70981F36"/>
    <w:rsid w:val="70C20D61"/>
    <w:rsid w:val="70E919C6"/>
    <w:rsid w:val="70EE68EA"/>
    <w:rsid w:val="71427881"/>
    <w:rsid w:val="716571EA"/>
    <w:rsid w:val="71DE4F62"/>
    <w:rsid w:val="71E640D4"/>
    <w:rsid w:val="720751EB"/>
    <w:rsid w:val="725A52FD"/>
    <w:rsid w:val="729E0707"/>
    <w:rsid w:val="72AF2147"/>
    <w:rsid w:val="72D33A44"/>
    <w:rsid w:val="730F643C"/>
    <w:rsid w:val="736A2FD2"/>
    <w:rsid w:val="73B26F4B"/>
    <w:rsid w:val="73DF1469"/>
    <w:rsid w:val="74B17D02"/>
    <w:rsid w:val="74E06AEF"/>
    <w:rsid w:val="75384BC5"/>
    <w:rsid w:val="75661286"/>
    <w:rsid w:val="75B46528"/>
    <w:rsid w:val="75D01C05"/>
    <w:rsid w:val="75D648AF"/>
    <w:rsid w:val="75ED55FA"/>
    <w:rsid w:val="75FB2DFF"/>
    <w:rsid w:val="764B713D"/>
    <w:rsid w:val="76895E06"/>
    <w:rsid w:val="77312EA9"/>
    <w:rsid w:val="77371E97"/>
    <w:rsid w:val="778C38DC"/>
    <w:rsid w:val="77B455D4"/>
    <w:rsid w:val="77B6365C"/>
    <w:rsid w:val="77C117B8"/>
    <w:rsid w:val="77D63E3F"/>
    <w:rsid w:val="77E154C3"/>
    <w:rsid w:val="7815335E"/>
    <w:rsid w:val="78361EBF"/>
    <w:rsid w:val="784349DE"/>
    <w:rsid w:val="78867CF8"/>
    <w:rsid w:val="78C03102"/>
    <w:rsid w:val="78DE0702"/>
    <w:rsid w:val="78EC6560"/>
    <w:rsid w:val="79083935"/>
    <w:rsid w:val="790C3251"/>
    <w:rsid w:val="7911271A"/>
    <w:rsid w:val="79426EE3"/>
    <w:rsid w:val="79544133"/>
    <w:rsid w:val="79616F10"/>
    <w:rsid w:val="799500C0"/>
    <w:rsid w:val="7A476702"/>
    <w:rsid w:val="7A5113F9"/>
    <w:rsid w:val="7A537FDD"/>
    <w:rsid w:val="7A641434"/>
    <w:rsid w:val="7AD216C8"/>
    <w:rsid w:val="7B005BEC"/>
    <w:rsid w:val="7BA14395"/>
    <w:rsid w:val="7C15026F"/>
    <w:rsid w:val="7C5E091E"/>
    <w:rsid w:val="7D0D1638"/>
    <w:rsid w:val="7D144297"/>
    <w:rsid w:val="7D163F2E"/>
    <w:rsid w:val="7D21497E"/>
    <w:rsid w:val="7D43638A"/>
    <w:rsid w:val="7D5947FB"/>
    <w:rsid w:val="7D636A70"/>
    <w:rsid w:val="7D891CD5"/>
    <w:rsid w:val="7DC35135"/>
    <w:rsid w:val="7DE80F5B"/>
    <w:rsid w:val="7E190276"/>
    <w:rsid w:val="7E505BFE"/>
    <w:rsid w:val="7E532D12"/>
    <w:rsid w:val="7EA877E8"/>
    <w:rsid w:val="7EB03176"/>
    <w:rsid w:val="7EC87E8B"/>
    <w:rsid w:val="7F0F6FFB"/>
    <w:rsid w:val="7F23573B"/>
    <w:rsid w:val="7F4A4909"/>
    <w:rsid w:val="7F543DBA"/>
    <w:rsid w:val="7FAF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5">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te Heading"/>
    <w:basedOn w:val="1"/>
    <w:next w:val="1"/>
    <w:qFormat/>
    <w:uiPriority w:val="0"/>
    <w:pPr>
      <w:jc w:val="center"/>
    </w:pPr>
  </w:style>
  <w:style w:type="paragraph" w:styleId="8">
    <w:name w:val="Normal Indent"/>
    <w:basedOn w:val="1"/>
    <w:qFormat/>
    <w:uiPriority w:val="99"/>
    <w:pPr>
      <w:ind w:firstLine="420"/>
    </w:p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53"/>
    <w:qFormat/>
    <w:uiPriority w:val="0"/>
    <w:pPr>
      <w:jc w:val="left"/>
    </w:pPr>
  </w:style>
  <w:style w:type="paragraph" w:styleId="11">
    <w:name w:val="Body Text"/>
    <w:basedOn w:val="1"/>
    <w:next w:val="1"/>
    <w:unhideWhenUsed/>
    <w:qFormat/>
    <w:uiPriority w:val="99"/>
    <w:pPr>
      <w:spacing w:after="120"/>
    </w:pPr>
    <w:rPr>
      <w:rFonts w:eastAsia="Times New Roman"/>
    </w:rPr>
  </w:style>
  <w:style w:type="paragraph" w:styleId="12">
    <w:name w:val="Body Text Indent"/>
    <w:basedOn w:val="1"/>
    <w:qFormat/>
    <w:uiPriority w:val="0"/>
    <w:pPr>
      <w:spacing w:after="120" w:afterLines="0"/>
      <w:ind w:left="420" w:leftChars="200"/>
    </w:pPr>
  </w:style>
  <w:style w:type="paragraph" w:styleId="13">
    <w:name w:val="Block Text"/>
    <w:basedOn w:val="1"/>
    <w:qFormat/>
    <w:uiPriority w:val="99"/>
    <w:pPr>
      <w:spacing w:after="120" w:line="240" w:lineRule="auto"/>
      <w:ind w:left="1440" w:leftChars="700" w:right="1440" w:rightChars="700"/>
    </w:pPr>
    <w:rPr>
      <w:rFonts w:ascii="Calibri" w:hAnsi="Calibri"/>
      <w:szCs w:val="22"/>
    </w:rPr>
  </w:style>
  <w:style w:type="paragraph" w:styleId="14">
    <w:name w:val="Plain Text"/>
    <w:basedOn w:val="1"/>
    <w:qFormat/>
    <w:uiPriority w:val="0"/>
    <w:rPr>
      <w:rFonts w:ascii="宋体" w:hAnsi="Courier New"/>
      <w:szCs w:val="20"/>
    </w:rPr>
  </w:style>
  <w:style w:type="paragraph" w:styleId="15">
    <w:name w:val="Balloon Text"/>
    <w:basedOn w:val="1"/>
    <w:link w:val="55"/>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annotation subject"/>
    <w:basedOn w:val="10"/>
    <w:next w:val="10"/>
    <w:link w:val="54"/>
    <w:qFormat/>
    <w:uiPriority w:val="0"/>
    <w:rPr>
      <w:b/>
      <w:bCs/>
    </w:rPr>
  </w:style>
  <w:style w:type="paragraph" w:styleId="22">
    <w:name w:val="Body Text First Indent"/>
    <w:basedOn w:val="11"/>
    <w:qFormat/>
    <w:uiPriority w:val="0"/>
    <w:pPr>
      <w:ind w:firstLine="420" w:firstLineChars="100"/>
    </w:pPr>
  </w:style>
  <w:style w:type="paragraph" w:styleId="23">
    <w:name w:val="Body Text First Indent 2"/>
    <w:basedOn w:val="12"/>
    <w:qFormat/>
    <w:uiPriority w:val="99"/>
    <w:pPr>
      <w:ind w:firstLine="420" w:firstLineChars="200"/>
    </w:pPr>
    <w:rPr>
      <w:szCs w:val="21"/>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yperlink"/>
    <w:basedOn w:val="26"/>
    <w:qFormat/>
    <w:uiPriority w:val="0"/>
    <w:rPr>
      <w:color w:val="0000FF"/>
      <w:u w:val="none"/>
    </w:rPr>
  </w:style>
  <w:style w:type="character" w:styleId="33">
    <w:name w:val="HTML Code"/>
    <w:basedOn w:val="26"/>
    <w:qFormat/>
    <w:uiPriority w:val="0"/>
    <w:rPr>
      <w:rFonts w:ascii="Consolas" w:hAnsi="Consolas" w:eastAsia="Consolas" w:cs="Consolas"/>
      <w:color w:val="C7254E"/>
      <w:sz w:val="21"/>
      <w:szCs w:val="21"/>
      <w:shd w:val="clear" w:fill="F9F2F4"/>
    </w:rPr>
  </w:style>
  <w:style w:type="character" w:styleId="34">
    <w:name w:val="annotation reference"/>
    <w:basedOn w:val="26"/>
    <w:qFormat/>
    <w:uiPriority w:val="0"/>
    <w:rPr>
      <w:sz w:val="21"/>
      <w:szCs w:val="21"/>
    </w:rPr>
  </w:style>
  <w:style w:type="character" w:styleId="35">
    <w:name w:val="HTML Keyboard"/>
    <w:basedOn w:val="26"/>
    <w:qFormat/>
    <w:uiPriority w:val="0"/>
    <w:rPr>
      <w:rFonts w:hint="default" w:ascii="Consolas" w:hAnsi="Consolas" w:eastAsia="Consolas" w:cs="Consolas"/>
      <w:color w:val="FFFFFF"/>
      <w:sz w:val="21"/>
      <w:szCs w:val="21"/>
      <w:shd w:val="clear" w:fill="333333"/>
    </w:rPr>
  </w:style>
  <w:style w:type="character" w:styleId="36">
    <w:name w:val="HTML Sample"/>
    <w:basedOn w:val="26"/>
    <w:qFormat/>
    <w:uiPriority w:val="0"/>
    <w:rPr>
      <w:rFonts w:hint="default" w:ascii="Consolas" w:hAnsi="Consolas" w:eastAsia="Consolas" w:cs="Consolas"/>
      <w:sz w:val="21"/>
      <w:szCs w:val="21"/>
    </w:rPr>
  </w:style>
  <w:style w:type="paragraph" w:customStyle="1" w:styleId="37">
    <w:name w:val="No Spacing1"/>
    <w:qFormat/>
    <w:uiPriority w:val="0"/>
    <w:rPr>
      <w:rFonts w:ascii="Calibri" w:hAnsi="Calibri" w:eastAsia="宋体" w:cs="Calibri"/>
      <w:sz w:val="22"/>
      <w:szCs w:val="22"/>
      <w:lang w:val="en-US" w:eastAsia="zh-CN" w:bidi="ar-SA"/>
    </w:rPr>
  </w:style>
  <w:style w:type="paragraph" w:customStyle="1" w:styleId="38">
    <w:name w:val="Normal Indent1"/>
    <w:basedOn w:val="1"/>
    <w:qFormat/>
    <w:uiPriority w:val="0"/>
    <w:pPr>
      <w:ind w:firstLine="420"/>
    </w:pPr>
    <w:rPr>
      <w:sz w:val="21"/>
    </w:rPr>
  </w:style>
  <w:style w:type="paragraph" w:customStyle="1" w:styleId="39">
    <w:name w:val="正文缩进1"/>
    <w:basedOn w:val="1"/>
    <w:qFormat/>
    <w:uiPriority w:val="0"/>
    <w:pPr>
      <w:autoSpaceDE w:val="0"/>
      <w:autoSpaceDN w:val="0"/>
      <w:adjustRightInd w:val="0"/>
      <w:ind w:firstLine="420"/>
      <w:jc w:val="left"/>
    </w:pPr>
    <w:rPr>
      <w:rFonts w:ascii="宋体"/>
      <w:kern w:val="0"/>
      <w:sz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2">
    <w:name w:val="title1"/>
    <w:basedOn w:val="1"/>
    <w:qFormat/>
    <w:uiPriority w:val="0"/>
    <w:pPr>
      <w:spacing w:before="150" w:line="450" w:lineRule="atLeast"/>
      <w:jc w:val="left"/>
    </w:pPr>
    <w:rPr>
      <w:b/>
      <w:kern w:val="0"/>
      <w:sz w:val="24"/>
    </w:rPr>
  </w:style>
  <w:style w:type="paragraph" w:customStyle="1" w:styleId="43">
    <w:name w:val="p15"/>
    <w:basedOn w:val="1"/>
    <w:qFormat/>
    <w:uiPriority w:val="99"/>
    <w:pPr>
      <w:widowControl/>
    </w:pPr>
    <w:rPr>
      <w:kern w:val="0"/>
      <w:szCs w:val="21"/>
    </w:rPr>
  </w:style>
  <w:style w:type="character" w:customStyle="1" w:styleId="44">
    <w:name w:val="font21"/>
    <w:basedOn w:val="26"/>
    <w:qFormat/>
    <w:uiPriority w:val="99"/>
    <w:rPr>
      <w:rFonts w:ascii="宋体" w:hAnsi="宋体" w:eastAsia="宋体"/>
      <w:color w:val="000000"/>
      <w:sz w:val="20"/>
      <w:u w:val="none"/>
    </w:rPr>
  </w:style>
  <w:style w:type="paragraph" w:customStyle="1" w:styleId="45">
    <w:name w:val="List Paragraph"/>
    <w:basedOn w:val="1"/>
    <w:qFormat/>
    <w:uiPriority w:val="34"/>
    <w:pPr>
      <w:ind w:firstLine="420" w:firstLineChars="200"/>
    </w:pPr>
    <w:rPr>
      <w:rFonts w:ascii="Calibri" w:hAnsi="Calibri"/>
      <w:szCs w:val="22"/>
    </w:rPr>
  </w:style>
  <w:style w:type="paragraph" w:customStyle="1" w:styleId="46">
    <w:name w:val="title11"/>
    <w:basedOn w:val="1"/>
    <w:qFormat/>
    <w:uiPriority w:val="0"/>
    <w:pPr>
      <w:spacing w:before="100"/>
      <w:jc w:val="left"/>
    </w:pPr>
    <w:rPr>
      <w:b/>
      <w:kern w:val="0"/>
      <w:sz w:val="15"/>
      <w:szCs w:val="15"/>
    </w:rPr>
  </w:style>
  <w:style w:type="paragraph" w:customStyle="1" w:styleId="47">
    <w:name w:val="title13"/>
    <w:basedOn w:val="1"/>
    <w:qFormat/>
    <w:uiPriority w:val="0"/>
    <w:pPr>
      <w:spacing w:before="100"/>
      <w:jc w:val="left"/>
    </w:pPr>
    <w:rPr>
      <w:b/>
      <w:kern w:val="0"/>
      <w:sz w:val="15"/>
      <w:szCs w:val="15"/>
    </w:rPr>
  </w:style>
  <w:style w:type="character" w:customStyle="1" w:styleId="48">
    <w:name w:val="phone"/>
    <w:basedOn w:val="26"/>
    <w:qFormat/>
    <w:uiPriority w:val="0"/>
    <w:rPr>
      <w:color w:val="FF8833"/>
      <w:sz w:val="12"/>
      <w:szCs w:val="12"/>
    </w:rPr>
  </w:style>
  <w:style w:type="character" w:customStyle="1" w:styleId="49">
    <w:name w:val="number"/>
    <w:basedOn w:val="26"/>
    <w:qFormat/>
    <w:uiPriority w:val="0"/>
    <w:rPr>
      <w:color w:val="FF8833"/>
      <w:sz w:val="12"/>
      <w:szCs w:val="12"/>
    </w:rPr>
  </w:style>
  <w:style w:type="character" w:customStyle="1" w:styleId="50">
    <w:name w:val="stclosebtn"/>
    <w:basedOn w:val="26"/>
    <w:qFormat/>
    <w:uiPriority w:val="0"/>
  </w:style>
  <w:style w:type="character" w:customStyle="1" w:styleId="51">
    <w:name w:val="proollist"/>
    <w:basedOn w:val="26"/>
    <w:qFormat/>
    <w:uiPriority w:val="0"/>
  </w:style>
  <w:style w:type="character" w:customStyle="1" w:styleId="52">
    <w:name w:val="beforeinfotext"/>
    <w:basedOn w:val="26"/>
    <w:qFormat/>
    <w:uiPriority w:val="0"/>
    <w:rPr>
      <w:color w:val="666666"/>
    </w:rPr>
  </w:style>
  <w:style w:type="character" w:customStyle="1" w:styleId="53">
    <w:name w:val="批注文字 Char"/>
    <w:basedOn w:val="26"/>
    <w:link w:val="10"/>
    <w:qFormat/>
    <w:uiPriority w:val="0"/>
    <w:rPr>
      <w:kern w:val="2"/>
      <w:sz w:val="21"/>
      <w:szCs w:val="24"/>
    </w:rPr>
  </w:style>
  <w:style w:type="character" w:customStyle="1" w:styleId="54">
    <w:name w:val="批注主题 Char"/>
    <w:basedOn w:val="53"/>
    <w:link w:val="21"/>
    <w:qFormat/>
    <w:uiPriority w:val="0"/>
    <w:rPr>
      <w:b/>
      <w:bCs/>
      <w:kern w:val="2"/>
      <w:sz w:val="21"/>
      <w:szCs w:val="24"/>
    </w:rPr>
  </w:style>
  <w:style w:type="character" w:customStyle="1" w:styleId="55">
    <w:name w:val="批注框文本 Char"/>
    <w:basedOn w:val="26"/>
    <w:link w:val="15"/>
    <w:qFormat/>
    <w:uiPriority w:val="0"/>
    <w:rPr>
      <w:kern w:val="2"/>
      <w:sz w:val="18"/>
      <w:szCs w:val="18"/>
    </w:rPr>
  </w:style>
  <w:style w:type="paragraph" w:customStyle="1" w:styleId="56">
    <w:name w:val="正文首行缩进两字符"/>
    <w:basedOn w:val="1"/>
    <w:qFormat/>
    <w:uiPriority w:val="0"/>
    <w:pPr>
      <w:spacing w:line="360" w:lineRule="auto"/>
      <w:ind w:firstLine="200" w:firstLineChars="200"/>
    </w:pPr>
    <w:rPr>
      <w:rFonts w:ascii="Times New Roman" w:hAnsi="Times New Roman"/>
    </w:rPr>
  </w:style>
  <w:style w:type="character" w:customStyle="1" w:styleId="57">
    <w:name w:val="标题 1 Char"/>
    <w:link w:val="2"/>
    <w:qFormat/>
    <w:uiPriority w:val="99"/>
    <w:rPr>
      <w:b/>
      <w:bCs/>
      <w:kern w:val="44"/>
      <w:sz w:val="44"/>
      <w:szCs w:val="44"/>
    </w:rPr>
  </w:style>
  <w:style w:type="paragraph" w:customStyle="1" w:styleId="58">
    <w:name w:val="正文 New"/>
    <w:qFormat/>
    <w:uiPriority w:val="99"/>
    <w:pPr>
      <w:widowControl w:val="0"/>
      <w:jc w:val="both"/>
    </w:pPr>
    <w:rPr>
      <w:rFonts w:ascii="Calibri" w:hAnsi="Calibri" w:eastAsiaTheme="minorEastAsia" w:cstheme="minorBidi"/>
      <w:sz w:val="21"/>
      <w:szCs w:val="22"/>
      <w:lang w:val="en-US" w:eastAsia="zh-CN" w:bidi="ar-SA"/>
    </w:rPr>
  </w:style>
  <w:style w:type="paragraph" w:customStyle="1" w:styleId="59">
    <w:name w:val="Table Paragraph"/>
    <w:basedOn w:val="1"/>
    <w:qFormat/>
    <w:uiPriority w:val="1"/>
    <w:pPr>
      <w:adjustRightInd/>
    </w:pPr>
    <w:rPr>
      <w:rFonts w:ascii="宋体" w:hAnsi="宋体" w:cs="宋体"/>
      <w:sz w:val="22"/>
      <w:szCs w:val="22"/>
      <w:lang w:val="zh-CN" w:bidi="zh-CN"/>
    </w:rPr>
  </w:style>
  <w:style w:type="table" w:customStyle="1" w:styleId="6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1">
    <w:name w:val="hover25"/>
    <w:basedOn w:val="26"/>
    <w:qFormat/>
    <w:uiPriority w:val="0"/>
    <w:rPr>
      <w:color w:val="167AE0"/>
    </w:rPr>
  </w:style>
  <w:style w:type="character" w:customStyle="1" w:styleId="62">
    <w:name w:val="nth-of-type(5)"/>
    <w:basedOn w:val="26"/>
    <w:qFormat/>
    <w:uiPriority w:val="0"/>
  </w:style>
  <w:style w:type="character" w:customStyle="1" w:styleId="63">
    <w:name w:val="nth-child(2)"/>
    <w:basedOn w:val="26"/>
    <w:qFormat/>
    <w:uiPriority w:val="0"/>
  </w:style>
  <w:style w:type="character" w:customStyle="1" w:styleId="64">
    <w:name w:val="layui-this"/>
    <w:basedOn w:val="26"/>
    <w:qFormat/>
    <w:uiPriority w:val="0"/>
    <w:rPr>
      <w:bdr w:val="single" w:color="EEEEEE" w:sz="6" w:space="0"/>
      <w:shd w:val="clear" w:fill="FFFFFF"/>
    </w:rPr>
  </w:style>
  <w:style w:type="character" w:customStyle="1" w:styleId="65">
    <w:name w:val="first-child"/>
    <w:basedOn w:val="26"/>
    <w:qFormat/>
    <w:uiPriority w:val="0"/>
  </w:style>
  <w:style w:type="character" w:customStyle="1" w:styleId="66">
    <w:name w:val="first-child1"/>
    <w:basedOn w:val="26"/>
    <w:qFormat/>
    <w:uiPriority w:val="0"/>
  </w:style>
  <w:style w:type="character" w:customStyle="1" w:styleId="67">
    <w:name w:val="first-child2"/>
    <w:basedOn w:val="26"/>
    <w:qFormat/>
    <w:uiPriority w:val="0"/>
  </w:style>
  <w:style w:type="character" w:customStyle="1" w:styleId="68">
    <w:name w:val="first-child3"/>
    <w:basedOn w:val="26"/>
    <w:qFormat/>
    <w:uiPriority w:val="0"/>
  </w:style>
  <w:style w:type="character" w:customStyle="1" w:styleId="69">
    <w:name w:val="nth-of-type(8)"/>
    <w:basedOn w:val="26"/>
    <w:qFormat/>
    <w:uiPriority w:val="0"/>
  </w:style>
  <w:style w:type="character" w:customStyle="1" w:styleId="70">
    <w:name w:val="layui-laypage-curr"/>
    <w:basedOn w:val="26"/>
    <w:qFormat/>
    <w:uiPriority w:val="0"/>
  </w:style>
  <w:style w:type="character" w:customStyle="1" w:styleId="71">
    <w:name w:val="nth-of-type(7)"/>
    <w:basedOn w:val="26"/>
    <w:qFormat/>
    <w:uiPriority w:val="0"/>
  </w:style>
  <w:style w:type="character" w:customStyle="1" w:styleId="72">
    <w:name w:val="nth-of-type(7)1"/>
    <w:basedOn w:val="26"/>
    <w:qFormat/>
    <w:uiPriority w:val="0"/>
  </w:style>
  <w:style w:type="character" w:customStyle="1" w:styleId="73">
    <w:name w:val="nth-of-type(7)2"/>
    <w:basedOn w:val="26"/>
    <w:qFormat/>
    <w:uiPriority w:val="0"/>
  </w:style>
  <w:style w:type="character" w:customStyle="1" w:styleId="74">
    <w:name w:val="nth-of-type(6)"/>
    <w:basedOn w:val="26"/>
    <w:qFormat/>
    <w:uiPriority w:val="0"/>
  </w:style>
  <w:style w:type="character" w:customStyle="1" w:styleId="75">
    <w:name w:val="lineshow"/>
    <w:basedOn w:val="26"/>
    <w:qFormat/>
    <w:uiPriority w:val="0"/>
  </w:style>
  <w:style w:type="character" w:customStyle="1" w:styleId="76">
    <w:name w:val="lineshow1"/>
    <w:basedOn w:val="26"/>
    <w:qFormat/>
    <w:uiPriority w:val="0"/>
  </w:style>
  <w:style w:type="character" w:customStyle="1" w:styleId="77">
    <w:name w:val="nth-of-type(9)"/>
    <w:basedOn w:val="26"/>
    <w:qFormat/>
    <w:uiPriority w:val="0"/>
  </w:style>
  <w:style w:type="character" w:customStyle="1" w:styleId="78">
    <w:name w:val="nth-of-type(3)"/>
    <w:basedOn w:val="26"/>
    <w:qFormat/>
    <w:uiPriority w:val="0"/>
  </w:style>
  <w:style w:type="character" w:customStyle="1" w:styleId="79">
    <w:name w:val="nth-of-type(4)"/>
    <w:basedOn w:val="26"/>
    <w:qFormat/>
    <w:uiPriority w:val="0"/>
  </w:style>
  <w:style w:type="character" w:customStyle="1" w:styleId="80">
    <w:name w:val="nth-of-type(1)"/>
    <w:basedOn w:val="26"/>
    <w:qFormat/>
    <w:uiPriority w:val="0"/>
  </w:style>
  <w:style w:type="character" w:customStyle="1" w:styleId="81">
    <w:name w:val="nth-of-type(1)1"/>
    <w:basedOn w:val="26"/>
    <w:qFormat/>
    <w:uiPriority w:val="0"/>
  </w:style>
  <w:style w:type="character" w:customStyle="1" w:styleId="82">
    <w:name w:val="nth-of-type(1)2"/>
    <w:basedOn w:val="26"/>
    <w:qFormat/>
    <w:uiPriority w:val="0"/>
  </w:style>
  <w:style w:type="character" w:customStyle="1" w:styleId="83">
    <w:name w:val="nth-of-type(1)3"/>
    <w:basedOn w:val="26"/>
    <w:qFormat/>
    <w:uiPriority w:val="0"/>
  </w:style>
  <w:style w:type="character" w:customStyle="1" w:styleId="84">
    <w:name w:val="nth-of-type(1)4"/>
    <w:basedOn w:val="26"/>
    <w:qFormat/>
    <w:uiPriority w:val="0"/>
  </w:style>
  <w:style w:type="character" w:customStyle="1" w:styleId="85">
    <w:name w:val="nth-of-type(1)5"/>
    <w:basedOn w:val="26"/>
    <w:qFormat/>
    <w:uiPriority w:val="0"/>
  </w:style>
  <w:style w:type="character" w:customStyle="1" w:styleId="86">
    <w:name w:val="nth-of-type(1)6"/>
    <w:basedOn w:val="26"/>
    <w:qFormat/>
    <w:uiPriority w:val="0"/>
  </w:style>
  <w:style w:type="character" w:customStyle="1" w:styleId="87">
    <w:name w:val="nth-of-type(1)7"/>
    <w:basedOn w:val="26"/>
    <w:qFormat/>
    <w:uiPriority w:val="0"/>
    <w:rPr>
      <w:rFonts w:ascii="SourceHanSansCN-Regular" w:hAnsi="SourceHanSansCN-Regular" w:eastAsia="SourceHanSansCN-Regular" w:cs="SourceHanSansCN-Regular"/>
      <w:color w:val="FB560A"/>
      <w:sz w:val="21"/>
      <w:szCs w:val="21"/>
    </w:rPr>
  </w:style>
  <w:style w:type="character" w:customStyle="1" w:styleId="88">
    <w:name w:val="nth-of-type(1)8"/>
    <w:basedOn w:val="26"/>
    <w:qFormat/>
    <w:uiPriority w:val="0"/>
  </w:style>
  <w:style w:type="character" w:customStyle="1" w:styleId="89">
    <w:name w:val="nth-of-type(1)9"/>
    <w:basedOn w:val="26"/>
    <w:qFormat/>
    <w:uiPriority w:val="0"/>
  </w:style>
  <w:style w:type="character" w:customStyle="1" w:styleId="90">
    <w:name w:val="nth-of-type(1)10"/>
    <w:basedOn w:val="26"/>
    <w:qFormat/>
    <w:uiPriority w:val="0"/>
  </w:style>
  <w:style w:type="character" w:customStyle="1" w:styleId="91">
    <w:name w:val="nth-of-type(1)11"/>
    <w:basedOn w:val="26"/>
    <w:qFormat/>
    <w:uiPriority w:val="0"/>
  </w:style>
  <w:style w:type="character" w:customStyle="1" w:styleId="92">
    <w:name w:val="nth-of-type(1)12"/>
    <w:basedOn w:val="26"/>
    <w:qFormat/>
    <w:uiPriority w:val="0"/>
  </w:style>
  <w:style w:type="character" w:customStyle="1" w:styleId="93">
    <w:name w:val="nth-of-type(1)13"/>
    <w:basedOn w:val="26"/>
    <w:qFormat/>
    <w:uiPriority w:val="0"/>
  </w:style>
  <w:style w:type="character" w:customStyle="1" w:styleId="94">
    <w:name w:val="nth-of-type(1)14"/>
    <w:basedOn w:val="26"/>
    <w:qFormat/>
    <w:uiPriority w:val="0"/>
  </w:style>
  <w:style w:type="character" w:customStyle="1" w:styleId="95">
    <w:name w:val="nth-of-type(1)15"/>
    <w:basedOn w:val="26"/>
    <w:qFormat/>
    <w:uiPriority w:val="0"/>
    <w:rPr>
      <w:color w:val="0082DF"/>
    </w:rPr>
  </w:style>
  <w:style w:type="character" w:customStyle="1" w:styleId="96">
    <w:name w:val="nth-of-type(1)16"/>
    <w:basedOn w:val="26"/>
    <w:qFormat/>
    <w:uiPriority w:val="0"/>
  </w:style>
  <w:style w:type="character" w:customStyle="1" w:styleId="97">
    <w:name w:val="nth-of-type(1)17"/>
    <w:basedOn w:val="26"/>
    <w:qFormat/>
    <w:uiPriority w:val="0"/>
    <w:rPr>
      <w:sz w:val="21"/>
      <w:szCs w:val="21"/>
    </w:rPr>
  </w:style>
  <w:style w:type="character" w:customStyle="1" w:styleId="98">
    <w:name w:val="last-child1"/>
    <w:basedOn w:val="26"/>
    <w:qFormat/>
    <w:uiPriority w:val="0"/>
    <w:rPr>
      <w:color w:val="FFFFFF"/>
    </w:rPr>
  </w:style>
  <w:style w:type="character" w:customStyle="1" w:styleId="99">
    <w:name w:val="last-child2"/>
    <w:basedOn w:val="26"/>
    <w:qFormat/>
    <w:uiPriority w:val="0"/>
  </w:style>
  <w:style w:type="character" w:customStyle="1" w:styleId="100">
    <w:name w:val="last-child3"/>
    <w:basedOn w:val="26"/>
    <w:qFormat/>
    <w:uiPriority w:val="0"/>
  </w:style>
  <w:style w:type="character" w:customStyle="1" w:styleId="101">
    <w:name w:val="nth-of-type(2)"/>
    <w:basedOn w:val="26"/>
    <w:qFormat/>
    <w:uiPriority w:val="0"/>
  </w:style>
  <w:style w:type="character" w:customStyle="1" w:styleId="102">
    <w:name w:val="nth-of-type(2)1"/>
    <w:basedOn w:val="26"/>
    <w:qFormat/>
    <w:uiPriority w:val="0"/>
  </w:style>
  <w:style w:type="character" w:customStyle="1" w:styleId="103">
    <w:name w:val="nth-of-type(2)2"/>
    <w:basedOn w:val="26"/>
    <w:qFormat/>
    <w:uiPriority w:val="0"/>
  </w:style>
  <w:style w:type="character" w:customStyle="1" w:styleId="104">
    <w:name w:val="nth-of-type(2)3"/>
    <w:basedOn w:val="26"/>
    <w:qFormat/>
    <w:uiPriority w:val="0"/>
  </w:style>
  <w:style w:type="character" w:customStyle="1" w:styleId="105">
    <w:name w:val="nth-of-type(2)4"/>
    <w:basedOn w:val="26"/>
    <w:qFormat/>
    <w:uiPriority w:val="0"/>
  </w:style>
  <w:style w:type="character" w:customStyle="1" w:styleId="106">
    <w:name w:val="nth-of-type(2)5"/>
    <w:basedOn w:val="26"/>
    <w:qFormat/>
    <w:uiPriority w:val="0"/>
  </w:style>
  <w:style w:type="character" w:customStyle="1" w:styleId="107">
    <w:name w:val="nth-of-type(2)6"/>
    <w:basedOn w:val="26"/>
    <w:qFormat/>
    <w:uiPriority w:val="0"/>
  </w:style>
  <w:style w:type="character" w:customStyle="1" w:styleId="108">
    <w:name w:val="nth-of-type(2)7"/>
    <w:basedOn w:val="26"/>
    <w:qFormat/>
    <w:uiPriority w:val="0"/>
  </w:style>
  <w:style w:type="character" w:customStyle="1" w:styleId="109">
    <w:name w:val="nth-of-type(2)8"/>
    <w:basedOn w:val="26"/>
    <w:qFormat/>
    <w:uiPriority w:val="0"/>
  </w:style>
  <w:style w:type="character" w:customStyle="1" w:styleId="110">
    <w:name w:val="nth-of-type(2)9"/>
    <w:basedOn w:val="26"/>
    <w:qFormat/>
    <w:uiPriority w:val="0"/>
  </w:style>
  <w:style w:type="character" w:customStyle="1" w:styleId="111">
    <w:name w:val="nth-of-type(2)10"/>
    <w:basedOn w:val="26"/>
    <w:qFormat/>
    <w:uiPriority w:val="0"/>
  </w:style>
  <w:style w:type="character" w:customStyle="1" w:styleId="112">
    <w:name w:val="nth-of-type(2)11"/>
    <w:basedOn w:val="26"/>
    <w:qFormat/>
    <w:uiPriority w:val="0"/>
  </w:style>
  <w:style w:type="character" w:customStyle="1" w:styleId="113">
    <w:name w:val="nth-of-type(2)12"/>
    <w:basedOn w:val="26"/>
    <w:qFormat/>
    <w:uiPriority w:val="0"/>
  </w:style>
  <w:style w:type="character" w:customStyle="1" w:styleId="114">
    <w:name w:val="nth-of-type(2)13"/>
    <w:basedOn w:val="26"/>
    <w:qFormat/>
    <w:uiPriority w:val="0"/>
    <w:rPr>
      <w:sz w:val="21"/>
      <w:szCs w:val="21"/>
    </w:rPr>
  </w:style>
  <w:style w:type="character" w:customStyle="1" w:styleId="115">
    <w:name w:val="nth-child(1)"/>
    <w:basedOn w:val="26"/>
    <w:qFormat/>
    <w:uiPriority w:val="0"/>
  </w:style>
  <w:style w:type="character" w:customStyle="1" w:styleId="116">
    <w:name w:val="nth-of-type(10)"/>
    <w:basedOn w:val="26"/>
    <w:qFormat/>
    <w:uiPriority w:val="0"/>
  </w:style>
  <w:style w:type="character" w:customStyle="1" w:styleId="117">
    <w:name w:val="nth-child(3)"/>
    <w:basedOn w:val="26"/>
    <w:qFormat/>
    <w:uiPriority w:val="0"/>
  </w:style>
  <w:style w:type="character" w:customStyle="1" w:styleId="118">
    <w:name w:val="titleshow"/>
    <w:basedOn w:val="26"/>
    <w:qFormat/>
    <w:uiPriority w:val="0"/>
    <w:rPr>
      <w:color w:val="3E464C"/>
    </w:rPr>
  </w:style>
  <w:style w:type="character" w:customStyle="1" w:styleId="119">
    <w:name w:val="before2"/>
    <w:basedOn w:val="26"/>
    <w:qFormat/>
    <w:uiPriority w:val="0"/>
    <w:rPr>
      <w:shd w:val="clear" w:fill="C20E0C"/>
    </w:rPr>
  </w:style>
  <w:style w:type="character" w:customStyle="1" w:styleId="120">
    <w:name w:val="nth-of-type(6)1"/>
    <w:basedOn w:val="26"/>
    <w:qFormat/>
    <w:uiPriority w:val="0"/>
  </w:style>
  <w:style w:type="character" w:customStyle="1" w:styleId="121">
    <w:name w:val="nth-of-type(6)2"/>
    <w:basedOn w:val="26"/>
    <w:qFormat/>
    <w:uiPriority w:val="0"/>
    <w:rPr>
      <w:color w:val="0082DF"/>
    </w:rPr>
  </w:style>
  <w:style w:type="character" w:customStyle="1" w:styleId="122">
    <w:name w:val="nth-of-type(6)3"/>
    <w:basedOn w:val="26"/>
    <w:qFormat/>
    <w:uiPriority w:val="0"/>
  </w:style>
  <w:style w:type="character" w:customStyle="1" w:styleId="123">
    <w:name w:val="nth-of-type(6)4"/>
    <w:basedOn w:val="26"/>
    <w:qFormat/>
    <w:uiPriority w:val="0"/>
  </w:style>
  <w:style w:type="character" w:customStyle="1" w:styleId="124">
    <w:name w:val="nth-of-type(6)5"/>
    <w:basedOn w:val="26"/>
    <w:qFormat/>
    <w:uiPriority w:val="0"/>
  </w:style>
  <w:style w:type="character" w:customStyle="1" w:styleId="125">
    <w:name w:val="nth-of-type(3)1"/>
    <w:basedOn w:val="26"/>
    <w:qFormat/>
    <w:uiPriority w:val="0"/>
  </w:style>
  <w:style w:type="character" w:customStyle="1" w:styleId="126">
    <w:name w:val="nth-of-type(3)2"/>
    <w:basedOn w:val="26"/>
    <w:qFormat/>
    <w:uiPriority w:val="0"/>
  </w:style>
  <w:style w:type="character" w:customStyle="1" w:styleId="127">
    <w:name w:val="nth-of-type(3)3"/>
    <w:basedOn w:val="26"/>
    <w:qFormat/>
    <w:uiPriority w:val="0"/>
  </w:style>
  <w:style w:type="character" w:customStyle="1" w:styleId="128">
    <w:name w:val="nth-of-type(3)4"/>
    <w:basedOn w:val="26"/>
    <w:qFormat/>
    <w:uiPriority w:val="0"/>
  </w:style>
  <w:style w:type="character" w:customStyle="1" w:styleId="129">
    <w:name w:val="nth-of-type(3)5"/>
    <w:basedOn w:val="26"/>
    <w:qFormat/>
    <w:uiPriority w:val="0"/>
  </w:style>
  <w:style w:type="character" w:customStyle="1" w:styleId="130">
    <w:name w:val="nth-of-type(3)6"/>
    <w:basedOn w:val="26"/>
    <w:qFormat/>
    <w:uiPriority w:val="0"/>
  </w:style>
  <w:style w:type="character" w:customStyle="1" w:styleId="131">
    <w:name w:val="nth-of-type(3)7"/>
    <w:basedOn w:val="26"/>
    <w:qFormat/>
    <w:uiPriority w:val="0"/>
    <w:rPr>
      <w:sz w:val="21"/>
      <w:szCs w:val="21"/>
    </w:rPr>
  </w:style>
  <w:style w:type="character" w:customStyle="1" w:styleId="132">
    <w:name w:val="nth-of-type(4)1"/>
    <w:basedOn w:val="26"/>
    <w:qFormat/>
    <w:uiPriority w:val="0"/>
  </w:style>
  <w:style w:type="character" w:customStyle="1" w:styleId="133">
    <w:name w:val="nth-of-type(4)2"/>
    <w:basedOn w:val="26"/>
    <w:qFormat/>
    <w:uiPriority w:val="0"/>
  </w:style>
  <w:style w:type="character" w:customStyle="1" w:styleId="134">
    <w:name w:val="nth-of-type(4)3"/>
    <w:basedOn w:val="26"/>
    <w:qFormat/>
    <w:uiPriority w:val="0"/>
  </w:style>
  <w:style w:type="character" w:customStyle="1" w:styleId="135">
    <w:name w:val="nth-of-type(4)4"/>
    <w:basedOn w:val="26"/>
    <w:qFormat/>
    <w:uiPriority w:val="0"/>
  </w:style>
  <w:style w:type="character" w:customStyle="1" w:styleId="136">
    <w:name w:val="nth-of-type(4)5"/>
    <w:basedOn w:val="26"/>
    <w:qFormat/>
    <w:uiPriority w:val="0"/>
  </w:style>
  <w:style w:type="character" w:customStyle="1" w:styleId="137">
    <w:name w:val="nth-of-type(4)6"/>
    <w:basedOn w:val="26"/>
    <w:qFormat/>
    <w:uiPriority w:val="0"/>
  </w:style>
  <w:style w:type="character" w:customStyle="1" w:styleId="138">
    <w:name w:val="nth-of-type(4)7"/>
    <w:basedOn w:val="26"/>
    <w:qFormat/>
    <w:uiPriority w:val="0"/>
  </w:style>
  <w:style w:type="character" w:customStyle="1" w:styleId="139">
    <w:name w:val="nth-of-type(4)8"/>
    <w:basedOn w:val="26"/>
    <w:qFormat/>
    <w:uiPriority w:val="0"/>
    <w:rPr>
      <w:sz w:val="21"/>
      <w:szCs w:val="21"/>
    </w:rPr>
  </w:style>
  <w:style w:type="character" w:customStyle="1" w:styleId="140">
    <w:name w:val="layui-this4"/>
    <w:basedOn w:val="2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2929</Words>
  <Characters>3316</Characters>
  <Lines>289</Lines>
  <Paragraphs>81</Paragraphs>
  <TotalTime>28</TotalTime>
  <ScaleCrop>false</ScaleCrop>
  <LinksUpToDate>false</LinksUpToDate>
  <CharactersWithSpaces>3389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Miss. Kang✨</cp:lastModifiedBy>
  <cp:lastPrinted>2022-05-10T07:51:00Z</cp:lastPrinted>
  <dcterms:modified xsi:type="dcterms:W3CDTF">2025-07-21T05:02:23Z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8D8C0C9EF98F4DD9B389ECCF849CA280_13</vt:lpwstr>
  </property>
  <property fmtid="{D5CDD505-2E9C-101B-9397-08002B2CF9AE}" pid="4" name="KSOTemplateDocerSaveRecord">
    <vt:lpwstr>eyJoZGlkIjoiYjU2MzJhZDllMzY3MzFiYjIzZTcxZjlhYjM0M2NmMzMiLCJ1c2VySWQiOiI1Njc3MDgxNTgifQ==</vt:lpwstr>
  </property>
</Properties>
</file>