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吕河镇险滩村庭院经济项目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吕河镇险滩村庭院经济项目采购项目的潜在供应商应在陕西省安康市高新技术产业开发区高新总部城Z1栋2单元104室，并于2025年08月11日09时00分（北京时间）前提交响应文件。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项目编号：TYZM-ZFCG-2025031</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项目名称：吕河镇险滩村庭院经济项目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w:t>
      </w:r>
      <w:bookmarkStart w:id="0" w:name="_GoBack"/>
      <w:bookmarkEnd w:id="0"/>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预算金额：400,000.00元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合同包1(吕河镇险滩村庭院经济项目):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合同包预算金额：400,000.00元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合同包最高限价：399,144.92元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400,000.00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合同包1(吕河镇险滩村庭院经济项目)落实政府采购政策需满足的资格要求如下: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合同包1(吕河镇险滩村庭院经济项目)特定资格要求如下: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3B6D6B14">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B5806"/>
    <w:rsid w:val="0A3B5806"/>
    <w:rsid w:val="0C013D5A"/>
    <w:rsid w:val="11A322D1"/>
    <w:rsid w:val="1CDD1A55"/>
    <w:rsid w:val="26CA4A18"/>
    <w:rsid w:val="38585E77"/>
    <w:rsid w:val="64721F13"/>
    <w:rsid w:val="668251E1"/>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1623</Words>
  <Characters>1857</Characters>
  <Lines>0</Lines>
  <Paragraphs>0</Paragraphs>
  <TotalTime>0</TotalTime>
  <ScaleCrop>false</ScaleCrop>
  <LinksUpToDate>false</LinksUpToDate>
  <CharactersWithSpaces>1859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L.</cp:lastModifiedBy>
  <dcterms:modified xsi:type="dcterms:W3CDTF">2025-07-29T10:47:50Z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03C6C79A826042679BEAD98E217CE703_11</vt:lpwstr>
  </property>
  <property fmtid="{D5CDD505-2E9C-101B-9397-08002B2CF9AE}" pid="4" name="KSOTemplateDocerSaveRecord">
    <vt:lpwstr>eyJoZGlkIjoiMmU1ODFkNGMzYTM1Y2U1ZWRiNDQyZWIxYjNiOGNkYzIiLCJ1c2VySWQiOiIyNzk2MTUyODcifQ==</vt:lpwstr>
  </property>
</Properties>
</file>