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6AB9A4">
      <w:pPr>
        <w:pStyle w:val="8"/>
        <w:rPr>
          <w:rFonts w:hint="eastAsia" w:ascii="宋体" w:hAnsi="宋体" w:eastAsia="宋体" w:cs="宋体"/>
          <w:b/>
          <w:bCs/>
          <w:color w:val="auto"/>
          <w:sz w:val="32"/>
          <w:szCs w:val="32"/>
        </w:rPr>
      </w:pPr>
      <w:r>
        <w:rPr>
          <w:rFonts w:hint="eastAsia" w:ascii="宋体" w:hAnsi="宋体" w:eastAsia="宋体" w:cs="宋体"/>
          <w:b/>
          <w:bCs/>
          <w:color w:val="auto"/>
          <w:sz w:val="32"/>
          <w:szCs w:val="32"/>
        </w:rPr>
        <w:t xml:space="preserve"> </w:t>
      </w:r>
      <w:r>
        <w:rPr>
          <w:rFonts w:hint="eastAsia" w:ascii="宋体" w:hAnsi="宋体" w:eastAsia="宋体" w:cs="宋体"/>
          <w:b/>
          <w:bCs/>
          <w:color w:val="auto"/>
          <w:sz w:val="32"/>
          <w:szCs w:val="32"/>
          <w:lang w:val="en-US" w:eastAsia="zh-CN"/>
        </w:rPr>
        <w:t>采购</w:t>
      </w:r>
      <w:r>
        <w:rPr>
          <w:rFonts w:hint="eastAsia" w:ascii="宋体" w:hAnsi="宋体" w:eastAsia="宋体" w:cs="宋体"/>
          <w:b/>
          <w:bCs/>
          <w:color w:val="auto"/>
          <w:sz w:val="32"/>
          <w:szCs w:val="32"/>
        </w:rPr>
        <w:t>内容及要求</w:t>
      </w:r>
    </w:p>
    <w:p w14:paraId="1BAAE237">
      <w:pPr>
        <w:numPr>
          <w:ilvl w:val="0"/>
          <w:numId w:val="1"/>
        </w:numPr>
        <w:autoSpaceDE w:val="0"/>
        <w:autoSpaceDN w:val="0"/>
        <w:snapToGrid w:val="0"/>
        <w:spacing w:line="560" w:lineRule="exact"/>
        <w:rPr>
          <w:rFonts w:hint="eastAsia" w:ascii="宋体" w:hAnsi="宋体" w:eastAsia="宋体" w:cs="宋体"/>
          <w:color w:val="auto"/>
          <w:sz w:val="28"/>
          <w:szCs w:val="28"/>
          <w:lang w:val="zh-CN"/>
        </w:rPr>
      </w:pPr>
      <w:r>
        <w:rPr>
          <w:rFonts w:hint="eastAsia" w:ascii="宋体" w:hAnsi="宋体" w:eastAsia="宋体" w:cs="宋体"/>
          <w:color w:val="auto"/>
          <w:sz w:val="28"/>
          <w:szCs w:val="28"/>
          <w:lang w:val="zh-CN"/>
        </w:rPr>
        <w:t>项目情况：</w:t>
      </w:r>
    </w:p>
    <w:p w14:paraId="009FF78F">
      <w:pPr>
        <w:spacing w:line="800" w:lineRule="exact"/>
        <w:ind w:firstLine="560" w:firstLineChars="200"/>
        <w:rPr>
          <w:rFonts w:hint="eastAsia" w:ascii="宋体" w:hAnsi="宋体" w:eastAsia="宋体" w:cs="宋体"/>
          <w:color w:val="auto"/>
          <w:sz w:val="28"/>
          <w:szCs w:val="28"/>
          <w:lang w:val="zh-CN"/>
        </w:rPr>
      </w:pPr>
      <w:r>
        <w:rPr>
          <w:rFonts w:hint="eastAsia" w:ascii="宋体" w:hAnsi="宋体" w:eastAsia="宋体" w:cs="宋体"/>
          <w:color w:val="auto"/>
          <w:sz w:val="28"/>
          <w:szCs w:val="28"/>
          <w:lang w:val="zh-CN"/>
        </w:rPr>
        <w:t>1、项目名称：</w:t>
      </w:r>
      <w:r>
        <w:rPr>
          <w:rFonts w:hint="eastAsia" w:hAnsi="宋体" w:cs="宋体"/>
          <w:b w:val="0"/>
          <w:bCs/>
          <w:sz w:val="28"/>
          <w:szCs w:val="28"/>
          <w:lang w:eastAsia="zh-CN"/>
        </w:rPr>
        <w:t>旬阳市赵湾镇王庄村一组烟草产业园产业路水毁修复项目</w:t>
      </w:r>
    </w:p>
    <w:p w14:paraId="68013E82">
      <w:pPr>
        <w:autoSpaceDE w:val="0"/>
        <w:autoSpaceDN w:val="0"/>
        <w:snapToGrid w:val="0"/>
        <w:spacing w:line="520" w:lineRule="exact"/>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auto"/>
          <w:sz w:val="28"/>
          <w:szCs w:val="28"/>
          <w:lang w:val="zh-CN"/>
        </w:rPr>
        <w:t>2、</w:t>
      </w:r>
      <w:r>
        <w:rPr>
          <w:rFonts w:hint="eastAsia" w:ascii="宋体" w:hAnsi="宋体" w:eastAsia="宋体" w:cs="宋体"/>
          <w:color w:val="auto"/>
          <w:sz w:val="28"/>
          <w:szCs w:val="28"/>
        </w:rPr>
        <w:t>工程概况：</w:t>
      </w:r>
      <w:r>
        <w:rPr>
          <w:rFonts w:hint="eastAsia" w:hAnsi="宋体" w:cs="宋体"/>
          <w:b w:val="0"/>
          <w:bCs/>
          <w:sz w:val="28"/>
          <w:szCs w:val="28"/>
          <w:lang w:eastAsia="zh-CN"/>
        </w:rPr>
        <w:t>旬阳市赵湾镇王庄村一组烟草产业园产业路水毁修复项目</w:t>
      </w:r>
      <w:r>
        <w:rPr>
          <w:rFonts w:hint="eastAsia" w:ascii="宋体" w:hAnsi="宋体" w:eastAsia="宋体" w:cs="宋体"/>
          <w:bCs/>
          <w:color w:val="000000" w:themeColor="text1"/>
          <w:sz w:val="28"/>
          <w:szCs w:val="28"/>
          <w14:textFill>
            <w14:solidFill>
              <w14:schemeClr w14:val="tx1"/>
            </w14:solidFill>
          </w14:textFill>
        </w:rPr>
        <w:t>，</w:t>
      </w:r>
      <w:r>
        <w:rPr>
          <w:rFonts w:hint="eastAsia" w:ascii="宋体" w:hAnsi="宋体" w:eastAsia="宋体" w:cs="宋体"/>
          <w:color w:val="auto"/>
          <w:sz w:val="28"/>
          <w:szCs w:val="28"/>
          <w:lang w:val="en-US" w:eastAsia="zh-CN"/>
        </w:rPr>
        <w:t>最高限价：</w:t>
      </w:r>
      <w:r>
        <w:rPr>
          <w:rFonts w:hint="eastAsia" w:hAnsi="宋体" w:cs="宋体"/>
          <w:b w:val="0"/>
          <w:bCs/>
          <w:color w:val="000000"/>
          <w:kern w:val="0"/>
          <w:sz w:val="28"/>
          <w:szCs w:val="28"/>
          <w:lang w:val="en-US" w:eastAsia="zh-CN" w:bidi="ar-SA"/>
        </w:rPr>
        <w:t>999900</w:t>
      </w:r>
      <w:r>
        <w:rPr>
          <w:rFonts w:hint="eastAsia" w:ascii="宋体" w:hAnsi="宋体" w:eastAsia="宋体" w:cs="宋体"/>
          <w:color w:val="000000" w:themeColor="text1"/>
          <w:sz w:val="28"/>
          <w:szCs w:val="28"/>
          <w14:textFill>
            <w14:solidFill>
              <w14:schemeClr w14:val="tx1"/>
            </w14:solidFill>
          </w14:textFill>
        </w:rPr>
        <w:t>元。</w:t>
      </w:r>
      <w:r>
        <w:rPr>
          <w:rFonts w:hint="eastAsia" w:ascii="宋体" w:hAnsi="宋体" w:eastAsia="宋体" w:cs="宋体"/>
          <w:bCs/>
          <w:color w:val="000000" w:themeColor="text1"/>
          <w:sz w:val="28"/>
          <w:szCs w:val="28"/>
          <w14:textFill>
            <w14:solidFill>
              <w14:schemeClr w14:val="tx1"/>
            </w14:solidFill>
          </w14:textFill>
        </w:rPr>
        <w:t>工程建设具体</w:t>
      </w:r>
      <w:r>
        <w:rPr>
          <w:rFonts w:hint="eastAsia" w:ascii="宋体" w:hAnsi="宋体" w:eastAsia="宋体" w:cs="宋体"/>
          <w:color w:val="000000" w:themeColor="text1"/>
          <w:sz w:val="28"/>
          <w:szCs w:val="28"/>
          <w14:textFill>
            <w14:solidFill>
              <w14:schemeClr w14:val="tx1"/>
            </w14:solidFill>
          </w14:textFill>
        </w:rPr>
        <w:t>以工程量清单</w:t>
      </w:r>
      <w:r>
        <w:rPr>
          <w:rFonts w:hint="eastAsia" w:ascii="宋体" w:hAnsi="宋体" w:eastAsia="宋体" w:cs="宋体"/>
          <w:color w:val="000000" w:themeColor="text1"/>
          <w:sz w:val="28"/>
          <w:szCs w:val="28"/>
          <w:lang w:val="en-US" w:eastAsia="zh-CN"/>
          <w14:textFill>
            <w14:solidFill>
              <w14:schemeClr w14:val="tx1"/>
            </w14:solidFill>
          </w14:textFill>
        </w:rPr>
        <w:t>内容</w:t>
      </w:r>
      <w:r>
        <w:rPr>
          <w:rFonts w:hint="eastAsia" w:ascii="宋体" w:hAnsi="宋体" w:eastAsia="宋体" w:cs="宋体"/>
          <w:color w:val="000000" w:themeColor="text1"/>
          <w:sz w:val="28"/>
          <w:szCs w:val="28"/>
          <w14:textFill>
            <w14:solidFill>
              <w14:schemeClr w14:val="tx1"/>
            </w14:solidFill>
          </w14:textFill>
        </w:rPr>
        <w:t>为准，必须按项目施工设计要求和采购人要求施工。</w:t>
      </w:r>
    </w:p>
    <w:p w14:paraId="30278BFF">
      <w:pPr>
        <w:autoSpaceDE w:val="0"/>
        <w:autoSpaceDN w:val="0"/>
        <w:snapToGrid w:val="0"/>
        <w:spacing w:line="520" w:lineRule="exact"/>
        <w:ind w:firstLine="560" w:firstLineChars="200"/>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3、建设地点：</w:t>
      </w:r>
      <w:r>
        <w:rPr>
          <w:rFonts w:hint="eastAsia" w:ascii="宋体" w:hAnsi="宋体" w:eastAsia="宋体" w:cs="宋体"/>
          <w:b w:val="0"/>
          <w:bCs/>
          <w:color w:val="000000" w:themeColor="text1"/>
          <w:sz w:val="28"/>
          <w:szCs w:val="28"/>
          <w:lang w:eastAsia="zh-CN"/>
          <w14:textFill>
            <w14:solidFill>
              <w14:schemeClr w14:val="tx1"/>
            </w14:solidFill>
          </w14:textFill>
        </w:rPr>
        <w:t>旬阳市</w:t>
      </w:r>
      <w:r>
        <w:rPr>
          <w:rFonts w:hint="eastAsia" w:hAnsi="宋体" w:cs="宋体"/>
          <w:b w:val="0"/>
          <w:bCs/>
          <w:color w:val="000000" w:themeColor="text1"/>
          <w:sz w:val="28"/>
          <w:szCs w:val="28"/>
          <w:lang w:eastAsia="zh-CN"/>
          <w14:textFill>
            <w14:solidFill>
              <w14:schemeClr w14:val="tx1"/>
            </w14:solidFill>
          </w14:textFill>
        </w:rPr>
        <w:t>赵湾镇王庄村一组</w:t>
      </w:r>
    </w:p>
    <w:p w14:paraId="45323AD9">
      <w:pPr>
        <w:spacing w:line="560" w:lineRule="exact"/>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 xml:space="preserve">    4、项目工期</w:t>
      </w:r>
      <w:r>
        <w:rPr>
          <w:rFonts w:hint="eastAsia" w:ascii="宋体" w:hAnsi="宋体" w:eastAsia="宋体" w:cs="宋体"/>
          <w:color w:val="auto"/>
          <w:sz w:val="28"/>
          <w:szCs w:val="28"/>
        </w:rPr>
        <w:t>：</w:t>
      </w:r>
      <w:r>
        <w:rPr>
          <w:rFonts w:hint="eastAsia" w:hAnsi="宋体" w:cs="宋体"/>
          <w:color w:val="auto"/>
          <w:sz w:val="28"/>
          <w:szCs w:val="28"/>
          <w:lang w:val="en-US" w:eastAsia="zh-CN"/>
        </w:rPr>
        <w:t>60日历日</w:t>
      </w:r>
      <w:r>
        <w:rPr>
          <w:rFonts w:hint="eastAsia" w:ascii="宋体" w:hAnsi="宋体" w:eastAsia="宋体" w:cs="宋体"/>
          <w:color w:val="auto"/>
          <w:sz w:val="28"/>
          <w:szCs w:val="28"/>
        </w:rPr>
        <w:t>。</w:t>
      </w:r>
    </w:p>
    <w:p w14:paraId="09AD51F0">
      <w:pPr>
        <w:spacing w:line="560" w:lineRule="exact"/>
        <w:ind w:firstLine="420" w:firstLineChars="150"/>
        <w:rPr>
          <w:rFonts w:hint="eastAsia" w:ascii="宋体" w:hAnsi="宋体" w:eastAsia="宋体" w:cs="宋体"/>
          <w:color w:val="auto"/>
          <w:sz w:val="28"/>
          <w:szCs w:val="28"/>
        </w:rPr>
      </w:pPr>
      <w:r>
        <w:rPr>
          <w:rFonts w:hint="eastAsia" w:ascii="宋体" w:hAnsi="宋体" w:eastAsia="宋体" w:cs="宋体"/>
          <w:color w:val="auto"/>
          <w:sz w:val="28"/>
          <w:szCs w:val="28"/>
        </w:rPr>
        <w:t xml:space="preserve"> 5、质量要求：合格。</w:t>
      </w:r>
    </w:p>
    <w:p w14:paraId="20964EC7">
      <w:pPr>
        <w:spacing w:line="56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6、踏勘现场：采购人不组织，由各投标人自行踏勘。</w:t>
      </w:r>
    </w:p>
    <w:p w14:paraId="1E799930">
      <w:pPr>
        <w:spacing w:line="560" w:lineRule="exact"/>
        <w:ind w:firstLine="560" w:firstLineChars="200"/>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rPr>
        <w:t>7、付款方式：</w:t>
      </w:r>
      <w:r>
        <w:rPr>
          <w:rFonts w:hint="eastAsia" w:ascii="宋体" w:hAnsi="宋体" w:eastAsia="宋体" w:cs="宋体"/>
          <w:color w:val="auto"/>
          <w:sz w:val="28"/>
          <w:szCs w:val="28"/>
          <w:highlight w:val="none"/>
          <w:lang w:val="en-US" w:eastAsia="zh-CN"/>
        </w:rPr>
        <w:t>按相关规定在合同中约定。</w:t>
      </w:r>
    </w:p>
    <w:p w14:paraId="016D4052">
      <w:pPr>
        <w:pStyle w:val="5"/>
        <w:rPr>
          <w:rFonts w:hint="eastAsia" w:ascii="宋体" w:hAnsi="宋体" w:eastAsia="宋体" w:cs="宋体"/>
          <w:b w:val="0"/>
          <w:bCs w:val="0"/>
          <w:color w:val="auto"/>
          <w:sz w:val="28"/>
          <w:szCs w:val="28"/>
          <w:lang w:val="en-US" w:eastAsia="zh-CN"/>
        </w:rPr>
      </w:pPr>
      <w:r>
        <w:rPr>
          <w:rFonts w:hint="eastAsia" w:ascii="宋体" w:hAnsi="宋体" w:eastAsia="宋体" w:cs="宋体"/>
          <w:color w:val="auto"/>
          <w:sz w:val="28"/>
          <w:szCs w:val="28"/>
          <w:lang w:val="en-US" w:eastAsia="zh-CN"/>
        </w:rPr>
        <w:t xml:space="preserve">    </w:t>
      </w:r>
      <w:r>
        <w:rPr>
          <w:rFonts w:hint="eastAsia" w:ascii="宋体" w:hAnsi="宋体" w:eastAsia="宋体" w:cs="宋体"/>
          <w:b w:val="0"/>
          <w:bCs w:val="0"/>
          <w:color w:val="auto"/>
          <w:sz w:val="28"/>
          <w:szCs w:val="28"/>
          <w:lang w:val="en-US" w:eastAsia="zh-CN"/>
        </w:rPr>
        <w:t>8、施工许可：成交供应商须按照 （陕建管发〔2021〕3号）等文件要求向建设行政主管部门申请办理施工许可证。</w:t>
      </w:r>
    </w:p>
    <w:p w14:paraId="70124C17">
      <w:pPr>
        <w:pStyle w:val="5"/>
        <w:ind w:firstLine="560" w:firstLineChars="200"/>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9、工程监理：本项目实行全过程工程监理。</w:t>
      </w:r>
    </w:p>
    <w:p w14:paraId="507B0670">
      <w:pPr>
        <w:spacing w:line="560" w:lineRule="exact"/>
        <w:ind w:firstLine="700" w:firstLineChars="250"/>
        <w:rPr>
          <w:rFonts w:hint="eastAsia" w:ascii="宋体" w:hAnsi="宋体" w:eastAsia="宋体" w:cs="宋体"/>
          <w:color w:val="auto"/>
          <w:sz w:val="28"/>
          <w:szCs w:val="28"/>
        </w:rPr>
      </w:pPr>
      <w:r>
        <w:rPr>
          <w:rFonts w:hint="eastAsia" w:ascii="宋体" w:hAnsi="宋体" w:eastAsia="宋体" w:cs="宋体"/>
          <w:sz w:val="28"/>
          <w:szCs w:val="28"/>
          <w:lang w:val="en-US" w:eastAsia="zh-CN"/>
        </w:rPr>
        <w:t xml:space="preserve"> </w:t>
      </w:r>
      <w:r>
        <w:rPr>
          <w:rFonts w:hint="eastAsia" w:ascii="宋体" w:hAnsi="宋体" w:eastAsia="宋体" w:cs="宋体"/>
          <w:color w:val="auto"/>
          <w:sz w:val="28"/>
          <w:szCs w:val="28"/>
        </w:rPr>
        <w:t>二、其他要求：</w:t>
      </w:r>
    </w:p>
    <w:p w14:paraId="328C6148">
      <w:pPr>
        <w:autoSpaceDE w:val="0"/>
        <w:autoSpaceDN w:val="0"/>
        <w:snapToGrid w:val="0"/>
        <w:spacing w:line="52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1、磋商供应商应仔细查阅磋商文件及图纸等相关资料，因自身原因未查阅图纸复核工程量，从而导致工程量不清楚或计算有误差，由磋商供应商自行承担不利后果。</w:t>
      </w:r>
    </w:p>
    <w:p w14:paraId="562ABD14">
      <w:pPr>
        <w:autoSpaceDE w:val="0"/>
        <w:autoSpaceDN w:val="0"/>
        <w:snapToGrid w:val="0"/>
        <w:spacing w:line="52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2、磋商供应商应自行现场踏勘，因现场实际情况造成施工方案发生改变而增加的工程造价由磋商供应商在报价时自行考虑，结算时不予调整。对于工程量清单中遗漏的工程量部分，应当在响应截止时间2日前向磋商组织机构书面提出。成交后严格按照施工图施工，自愿承担图纸与工程量清单不符的风险责任，对遗漏部份不另行支付。</w:t>
      </w:r>
    </w:p>
    <w:p w14:paraId="0498B5BF">
      <w:pPr>
        <w:autoSpaceDE w:val="0"/>
        <w:autoSpaceDN w:val="0"/>
        <w:snapToGrid w:val="0"/>
        <w:spacing w:line="520" w:lineRule="exact"/>
        <w:ind w:firstLine="560" w:firstLineChars="200"/>
        <w:rPr>
          <w:rFonts w:hint="eastAsia" w:ascii="宋体" w:hAnsi="宋体" w:eastAsia="宋体" w:cs="宋体"/>
          <w:color w:val="auto"/>
          <w:sz w:val="28"/>
          <w:szCs w:val="28"/>
          <w:lang w:eastAsia="zh-CN"/>
        </w:rPr>
      </w:pPr>
      <w:r>
        <w:rPr>
          <w:rFonts w:hint="eastAsia" w:ascii="宋体" w:hAnsi="宋体" w:eastAsia="宋体" w:cs="宋体"/>
          <w:color w:val="auto"/>
          <w:sz w:val="28"/>
          <w:szCs w:val="28"/>
        </w:rPr>
        <w:t>3、供应商应采取措施保护原有设施完好</w:t>
      </w:r>
      <w:r>
        <w:rPr>
          <w:rFonts w:hint="eastAsia" w:ascii="宋体" w:hAnsi="宋体" w:eastAsia="宋体" w:cs="宋体"/>
          <w:color w:val="auto"/>
          <w:sz w:val="28"/>
          <w:szCs w:val="28"/>
          <w:lang w:eastAsia="zh-CN"/>
        </w:rPr>
        <w:t>。</w:t>
      </w:r>
    </w:p>
    <w:p w14:paraId="4F57BB46">
      <w:pPr>
        <w:autoSpaceDE w:val="0"/>
        <w:autoSpaceDN w:val="0"/>
        <w:snapToGrid w:val="0"/>
        <w:spacing w:line="52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4、施工周边环境及关系协调全部由成交供应商负责，所产生的相关费用供应商在磋商报价中综合考虑， 结算时不作调整。</w:t>
      </w:r>
    </w:p>
    <w:p w14:paraId="4B0FCA76">
      <w:pPr>
        <w:autoSpaceDE w:val="0"/>
        <w:autoSpaceDN w:val="0"/>
        <w:snapToGrid w:val="0"/>
        <w:spacing w:line="52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 xml:space="preserve"> 5、建筑垃圾全部清理外运，弃碴场地由施工方负责落实，场地清扫干净。</w:t>
      </w:r>
    </w:p>
    <w:p w14:paraId="5CD72644">
      <w:pPr>
        <w:autoSpaceDE w:val="0"/>
        <w:autoSpaceDN w:val="0"/>
        <w:snapToGrid w:val="0"/>
        <w:spacing w:line="52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6、工程必须符合现行工程质量标准和施工验收规范，在施工中必须保证文明施工和安全施工，施工期间的安全问题由施工方全权负责。</w:t>
      </w:r>
    </w:p>
    <w:p w14:paraId="0F504031">
      <w:pPr>
        <w:autoSpaceDE w:val="0"/>
        <w:autoSpaceDN w:val="0"/>
        <w:snapToGrid w:val="0"/>
        <w:spacing w:line="52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7、本项目所需材料均由成交供应商采购供应，所有材料必须使用符合国家标准规范及节能环保要求，主要材料进场前须提供样品和质检报告，经采购单位及监理单位的确认方可使用。</w:t>
      </w:r>
    </w:p>
    <w:p w14:paraId="4DE49EB8">
      <w:pPr>
        <w:autoSpaceDE w:val="0"/>
        <w:autoSpaceDN w:val="0"/>
        <w:snapToGrid w:val="0"/>
        <w:spacing w:line="52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8、关键工序及隐蔽工程须经采购人代表及监理单位见证验收后方可进行下一步工序。</w:t>
      </w:r>
    </w:p>
    <w:p w14:paraId="0A073E81">
      <w:pPr>
        <w:autoSpaceDE w:val="0"/>
        <w:autoSpaceDN w:val="0"/>
        <w:snapToGrid w:val="0"/>
        <w:spacing w:line="52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9、未尽事宜，按照工程建设的相关规定和惯例执行。</w:t>
      </w:r>
    </w:p>
    <w:p w14:paraId="3BFEDAC6">
      <w:pPr>
        <w:numPr>
          <w:ilvl w:val="0"/>
          <w:numId w:val="0"/>
        </w:numPr>
        <w:ind w:leftChars="0"/>
        <w:rPr>
          <w:rFonts w:hint="eastAsia" w:eastAsia="宋体"/>
          <w:lang w:eastAsia="zh-CN"/>
        </w:rPr>
      </w:pPr>
      <w:r>
        <w:rPr>
          <w:rFonts w:hint="eastAsia" w:hAnsi="宋体" w:cs="宋体"/>
          <w:color w:val="auto"/>
          <w:sz w:val="28"/>
          <w:szCs w:val="28"/>
          <w:lang w:eastAsia="zh-CN"/>
        </w:rPr>
        <w:t>三、付款方式：</w:t>
      </w:r>
      <w:r>
        <w:rPr>
          <w:rFonts w:hint="eastAsia" w:ascii="宋体" w:hAnsi="宋体" w:cs="宋体"/>
          <w:b w:val="0"/>
          <w:bCs/>
          <w:sz w:val="28"/>
          <w:szCs w:val="28"/>
          <w:lang w:val="en-US" w:eastAsia="zh-CN"/>
        </w:rPr>
        <w:t xml:space="preserve"> 所有工程完工后经甲方验收合格后，一次</w:t>
      </w:r>
      <w:r>
        <w:rPr>
          <w:rFonts w:hint="eastAsia" w:hAnsi="宋体" w:cs="宋体"/>
          <w:b w:val="0"/>
          <w:bCs/>
          <w:sz w:val="28"/>
          <w:szCs w:val="28"/>
          <w:lang w:val="en-US" w:eastAsia="zh-CN"/>
        </w:rPr>
        <w:t>性</w:t>
      </w:r>
      <w:r>
        <w:rPr>
          <w:rFonts w:hint="eastAsia" w:ascii="宋体" w:hAnsi="宋体" w:cs="宋体"/>
          <w:b w:val="0"/>
          <w:bCs/>
          <w:sz w:val="28"/>
          <w:szCs w:val="28"/>
          <w:lang w:val="en-US" w:eastAsia="zh-CN"/>
        </w:rPr>
        <w:t>付清所有工程款。</w:t>
      </w:r>
    </w:p>
    <w:p w14:paraId="06CAD8D8">
      <w:pPr>
        <w:autoSpaceDE w:val="0"/>
        <w:autoSpaceDN w:val="0"/>
        <w:snapToGrid w:val="0"/>
        <w:spacing w:line="520" w:lineRule="exact"/>
        <w:rPr>
          <w:rFonts w:hint="eastAsia" w:ascii="宋体" w:hAnsi="宋体" w:eastAsia="宋体" w:cs="宋体"/>
          <w:color w:val="auto"/>
          <w:sz w:val="28"/>
          <w:szCs w:val="28"/>
          <w:lang w:val="zh-CN"/>
        </w:rPr>
      </w:pPr>
      <w:r>
        <w:rPr>
          <w:rFonts w:hint="eastAsia" w:hAnsi="宋体" w:cs="宋体"/>
          <w:color w:val="auto"/>
          <w:sz w:val="28"/>
          <w:szCs w:val="28"/>
          <w:lang w:eastAsia="zh-CN"/>
        </w:rPr>
        <w:t>四</w:t>
      </w:r>
      <w:r>
        <w:rPr>
          <w:rFonts w:hint="eastAsia" w:ascii="宋体" w:hAnsi="宋体" w:eastAsia="宋体" w:cs="宋体"/>
          <w:color w:val="auto"/>
          <w:sz w:val="28"/>
          <w:szCs w:val="28"/>
        </w:rPr>
        <w:t>、报价</w:t>
      </w:r>
      <w:r>
        <w:rPr>
          <w:rFonts w:hint="eastAsia" w:ascii="宋体" w:hAnsi="宋体" w:eastAsia="宋体" w:cs="宋体"/>
          <w:color w:val="auto"/>
          <w:sz w:val="28"/>
          <w:szCs w:val="28"/>
          <w:lang w:val="en-US" w:eastAsia="zh-CN"/>
        </w:rPr>
        <w:t>要求</w:t>
      </w:r>
      <w:r>
        <w:rPr>
          <w:rFonts w:hint="eastAsia" w:ascii="宋体" w:hAnsi="宋体" w:eastAsia="宋体" w:cs="宋体"/>
          <w:color w:val="auto"/>
          <w:sz w:val="28"/>
          <w:szCs w:val="28"/>
        </w:rPr>
        <w:t>：</w:t>
      </w:r>
    </w:p>
    <w:p w14:paraId="779CB830">
      <w:pPr>
        <w:pStyle w:val="4"/>
        <w:keepNext w:val="0"/>
        <w:keepLines w:val="0"/>
        <w:autoSpaceDE w:val="0"/>
        <w:autoSpaceDN w:val="0"/>
        <w:spacing w:line="560" w:lineRule="exact"/>
        <w:ind w:firstLine="281" w:firstLineChars="100"/>
        <w:jc w:val="both"/>
        <w:rPr>
          <w:rFonts w:hint="eastAsia" w:ascii="宋体" w:hAnsi="宋体" w:eastAsia="宋体" w:cs="宋体"/>
          <w:color w:val="auto"/>
          <w:sz w:val="28"/>
          <w:szCs w:val="28"/>
          <w:lang w:val="zh-CN"/>
        </w:rPr>
      </w:pPr>
      <w:r>
        <w:rPr>
          <w:rFonts w:hint="eastAsia" w:ascii="宋体" w:hAnsi="宋体" w:eastAsia="宋体" w:cs="宋体"/>
          <w:color w:val="auto"/>
          <w:sz w:val="28"/>
          <w:szCs w:val="28"/>
          <w:lang w:val="zh-CN"/>
        </w:rPr>
        <w:t xml:space="preserve">  1、施工图纸（工程量清单）范围内所有工程内容及其保修。</w:t>
      </w:r>
      <w:r>
        <w:rPr>
          <w:rFonts w:hint="eastAsia" w:ascii="宋体" w:hAnsi="宋体" w:eastAsia="宋体" w:cs="宋体"/>
          <w:color w:val="auto"/>
          <w:sz w:val="28"/>
          <w:szCs w:val="28"/>
        </w:rPr>
        <w:t>应包括但不限于</w:t>
      </w:r>
      <w:r>
        <w:rPr>
          <w:rFonts w:hint="eastAsia" w:hAnsi="宋体" w:cs="宋体"/>
          <w:color w:val="auto"/>
          <w:sz w:val="28"/>
          <w:szCs w:val="28"/>
          <w:lang w:eastAsia="zh-CN"/>
        </w:rPr>
        <w:t>工程费</w:t>
      </w:r>
      <w:r>
        <w:rPr>
          <w:rFonts w:hint="eastAsia" w:ascii="宋体" w:hAnsi="宋体" w:eastAsia="宋体" w:cs="宋体"/>
          <w:color w:val="auto"/>
          <w:sz w:val="28"/>
          <w:szCs w:val="28"/>
        </w:rPr>
        <w:t>、措施项目费、规费、施工设备、劳务、管理、材料、安装、维护、利润、税金及政策性文件规定的各项应有费用及图纸、清单范围内所有内容。</w:t>
      </w:r>
    </w:p>
    <w:p w14:paraId="7DE41549">
      <w:pPr>
        <w:pStyle w:val="4"/>
        <w:keepNext w:val="0"/>
        <w:keepLines w:val="0"/>
        <w:spacing w:line="560" w:lineRule="exact"/>
        <w:ind w:firstLine="562" w:firstLineChars="200"/>
        <w:jc w:val="both"/>
      </w:pPr>
      <w:r>
        <w:rPr>
          <w:rFonts w:hint="eastAsia" w:ascii="宋体" w:hAnsi="宋体" w:eastAsia="宋体" w:cs="宋体"/>
          <w:color w:val="auto"/>
          <w:sz w:val="28"/>
          <w:szCs w:val="28"/>
        </w:rPr>
        <w:t>2、报价形式：本工程项目采用</w:t>
      </w:r>
      <w:r>
        <w:rPr>
          <w:rFonts w:hint="eastAsia" w:ascii="宋体" w:hAnsi="宋体" w:eastAsia="宋体" w:cs="宋体"/>
          <w:b/>
          <w:color w:val="auto"/>
          <w:sz w:val="28"/>
          <w:szCs w:val="28"/>
          <w:u w:val="single"/>
        </w:rPr>
        <w:t>工程量清单</w:t>
      </w:r>
      <w:r>
        <w:rPr>
          <w:rFonts w:hint="eastAsia" w:ascii="宋体" w:hAnsi="宋体" w:eastAsia="宋体" w:cs="宋体"/>
          <w:color w:val="auto"/>
          <w:sz w:val="28"/>
          <w:szCs w:val="28"/>
        </w:rPr>
        <w:t>报价方式，未按要求编制的报价无效。磋商报价单位应充分考虑施工期间各种材料的市场风险和国家政策性调整风险系数，并计入总报价，今后不作调整</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lang w:val="en-US" w:eastAsia="zh-CN"/>
        </w:rPr>
        <w:t>工程量清单报价表</w:t>
      </w:r>
      <w:r>
        <w:rPr>
          <w:rFonts w:hint="eastAsia" w:ascii="宋体" w:hAnsi="宋体" w:eastAsia="宋体" w:cs="宋体"/>
          <w:color w:val="auto"/>
          <w:sz w:val="28"/>
          <w:szCs w:val="28"/>
        </w:rPr>
        <w:t>必须加盖单位公章</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法人代表签字</w:t>
      </w:r>
      <w:r>
        <w:rPr>
          <w:rFonts w:hint="eastAsia" w:ascii="宋体" w:hAnsi="宋体" w:eastAsia="宋体" w:cs="宋体"/>
          <w:color w:val="auto"/>
          <w:sz w:val="28"/>
          <w:szCs w:val="28"/>
          <w:lang w:val="en-US" w:eastAsia="zh-CN"/>
        </w:rPr>
        <w:t>或盖章</w:t>
      </w:r>
      <w:r>
        <w:rPr>
          <w:rFonts w:hint="eastAsia" w:ascii="宋体" w:hAnsi="宋体" w:eastAsia="宋体" w:cs="宋体"/>
          <w:color w:val="auto"/>
          <w:sz w:val="28"/>
          <w:szCs w:val="28"/>
        </w:rPr>
        <w:t xml:space="preserve">。 </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9635548"/>
    <w:multiLevelType w:val="multilevel"/>
    <w:tmpl w:val="19635548"/>
    <w:lvl w:ilvl="0" w:tentative="0">
      <w:start w:val="1"/>
      <w:numFmt w:val="chineseCountingThousand"/>
      <w:lvlText w:val="%1、"/>
      <w:lvlJc w:val="left"/>
      <w:pPr>
        <w:tabs>
          <w:tab w:val="left" w:pos="1168"/>
        </w:tabs>
        <w:ind w:left="1168" w:hanging="568"/>
      </w:pPr>
    </w:lvl>
    <w:lvl w:ilvl="1" w:tentative="0">
      <w:start w:val="1"/>
      <w:numFmt w:val="lowerLetter"/>
      <w:lvlText w:val="%2)"/>
      <w:lvlJc w:val="left"/>
      <w:pPr>
        <w:tabs>
          <w:tab w:val="left" w:pos="1440"/>
        </w:tabs>
        <w:ind w:left="1440" w:hanging="420"/>
      </w:pPr>
    </w:lvl>
    <w:lvl w:ilvl="2" w:tentative="0">
      <w:start w:val="1"/>
      <w:numFmt w:val="lowerRoman"/>
      <w:lvlText w:val="%3."/>
      <w:lvlJc w:val="right"/>
      <w:pPr>
        <w:tabs>
          <w:tab w:val="left" w:pos="1860"/>
        </w:tabs>
        <w:ind w:left="1860" w:hanging="420"/>
      </w:pPr>
    </w:lvl>
    <w:lvl w:ilvl="3" w:tentative="0">
      <w:start w:val="1"/>
      <w:numFmt w:val="decimal"/>
      <w:lvlText w:val="%4."/>
      <w:lvlJc w:val="left"/>
      <w:pPr>
        <w:tabs>
          <w:tab w:val="left" w:pos="2280"/>
        </w:tabs>
        <w:ind w:left="2280" w:hanging="420"/>
      </w:pPr>
    </w:lvl>
    <w:lvl w:ilvl="4" w:tentative="0">
      <w:start w:val="1"/>
      <w:numFmt w:val="lowerLetter"/>
      <w:lvlText w:val="%5)"/>
      <w:lvlJc w:val="left"/>
      <w:pPr>
        <w:tabs>
          <w:tab w:val="left" w:pos="2700"/>
        </w:tabs>
        <w:ind w:left="2700" w:hanging="420"/>
      </w:pPr>
    </w:lvl>
    <w:lvl w:ilvl="5" w:tentative="0">
      <w:start w:val="1"/>
      <w:numFmt w:val="lowerRoman"/>
      <w:lvlText w:val="%6."/>
      <w:lvlJc w:val="right"/>
      <w:pPr>
        <w:tabs>
          <w:tab w:val="left" w:pos="3120"/>
        </w:tabs>
        <w:ind w:left="3120" w:hanging="420"/>
      </w:pPr>
    </w:lvl>
    <w:lvl w:ilvl="6" w:tentative="0">
      <w:start w:val="1"/>
      <w:numFmt w:val="decimal"/>
      <w:lvlText w:val="%7."/>
      <w:lvlJc w:val="left"/>
      <w:pPr>
        <w:tabs>
          <w:tab w:val="left" w:pos="3540"/>
        </w:tabs>
        <w:ind w:left="3540" w:hanging="420"/>
      </w:pPr>
    </w:lvl>
    <w:lvl w:ilvl="7" w:tentative="0">
      <w:start w:val="1"/>
      <w:numFmt w:val="lowerLetter"/>
      <w:lvlText w:val="%8)"/>
      <w:lvlJc w:val="left"/>
      <w:pPr>
        <w:tabs>
          <w:tab w:val="left" w:pos="3960"/>
        </w:tabs>
        <w:ind w:left="3960" w:hanging="420"/>
      </w:pPr>
    </w:lvl>
    <w:lvl w:ilvl="8" w:tentative="0">
      <w:start w:val="1"/>
      <w:numFmt w:val="lowerRoman"/>
      <w:lvlText w:val="%9."/>
      <w:lvlJc w:val="right"/>
      <w:pPr>
        <w:tabs>
          <w:tab w:val="left" w:pos="4380"/>
        </w:tabs>
        <w:ind w:left="43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26C23A1"/>
    <w:rsid w:val="126C23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Times New Roman" w:eastAsia="宋体" w:cs="Times New Roman"/>
      <w:sz w:val="34"/>
      <w:lang w:val="en-US" w:eastAsia="zh-CN" w:bidi="ar-SA"/>
    </w:rPr>
  </w:style>
  <w:style w:type="paragraph" w:styleId="4">
    <w:name w:val="heading 1"/>
    <w:basedOn w:val="1"/>
    <w:next w:val="1"/>
    <w:qFormat/>
    <w:uiPriority w:val="0"/>
    <w:pPr>
      <w:keepNext/>
      <w:keepLines/>
      <w:spacing w:line="360" w:lineRule="auto"/>
      <w:outlineLvl w:val="0"/>
    </w:pPr>
    <w:rPr>
      <w:rFonts w:eastAsia="宋体"/>
      <w:b/>
      <w:bCs/>
      <w:kern w:val="44"/>
      <w:sz w:val="32"/>
      <w:szCs w:val="44"/>
      <w:lang w:val="en-US" w:eastAsia="zh-CN" w:bidi="ar-SA"/>
    </w:rPr>
  </w:style>
  <w:style w:type="paragraph" w:styleId="5">
    <w:name w:val="heading 4"/>
    <w:basedOn w:val="1"/>
    <w:next w:val="1"/>
    <w:qFormat/>
    <w:uiPriority w:val="0"/>
    <w:pPr>
      <w:keepNext/>
      <w:keepLines/>
      <w:spacing w:line="360" w:lineRule="auto"/>
      <w:outlineLvl w:val="3"/>
    </w:pPr>
    <w:rPr>
      <w:rFonts w:ascii="Arial" w:hAnsi="Arial" w:eastAsia="宋体"/>
      <w:b/>
      <w:bCs/>
      <w:kern w:val="2"/>
      <w:sz w:val="21"/>
      <w:szCs w:val="28"/>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afterLines="0"/>
    </w:pPr>
    <w:rPr>
      <w:rFonts w:eastAsia="宋体"/>
      <w:kern w:val="2"/>
      <w:sz w:val="21"/>
      <w:szCs w:val="24"/>
      <w:lang w:val="en-US" w:eastAsia="zh-CN" w:bidi="ar-SA"/>
    </w:rPr>
  </w:style>
  <w:style w:type="paragraph" w:styleId="3">
    <w:name w:val="Body Text Indent 2"/>
    <w:basedOn w:val="1"/>
    <w:qFormat/>
    <w:uiPriority w:val="0"/>
    <w:pPr>
      <w:spacing w:line="520" w:lineRule="exact"/>
      <w:ind w:firstLine="624"/>
    </w:pPr>
    <w:rPr>
      <w:rFonts w:ascii="楷体_GB2312" w:eastAsia="楷体_GB2312"/>
      <w:kern w:val="2"/>
      <w:sz w:val="32"/>
      <w:szCs w:val="30"/>
      <w:lang w:val="en-US" w:eastAsia="zh-CN" w:bidi="ar-SA"/>
    </w:rPr>
  </w:style>
  <w:style w:type="paragraph" w:customStyle="1" w:styleId="8">
    <w:name w:val="※章节标题（第X章）"/>
    <w:basedOn w:val="1"/>
    <w:qFormat/>
    <w:uiPriority w:val="0"/>
    <w:pPr>
      <w:spacing w:line="240" w:lineRule="auto"/>
      <w:jc w:val="center"/>
      <w:outlineLvl w:val="0"/>
    </w:pPr>
    <w:rPr>
      <w:rFonts w:eastAsia="黑体"/>
      <w:sz w:val="36"/>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2025-07-31T07:44:00Z</dcterms:created>
  <dc:creator>新晴</dc:creator>
  <cp:lastModifiedBy>新晴</cp:lastModifiedBy>
  <dcterms:modified xsi:type="dcterms:W3CDTF">2025-07-31T07:44:47Z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522F9D496F3D420BB2F66635097F0FB4_11</vt:lpwstr>
  </property>
  <property fmtid="{D5CDD505-2E9C-101B-9397-08002B2CF9AE}" pid="4" name="KSOTemplateDocerSaveRecord">
    <vt:lpwstr>eyJoZGlkIjoiOGRlODFjYzQ1OWU0NTY0MTIzZGZlNWMxMGExZGMxMTciLCJ1c2VySWQiOiIzNTk5ODE1MDIifQ==</vt:lpwstr>
  </property>
</Properties>
</file>