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A39B">
      <w:pPr>
        <w:numPr>
          <w:ilvl w:val="-1"/>
          <w:numId w:val="0"/>
        </w:numPr>
        <w:spacing w:line="360" w:lineRule="auto"/>
        <w:ind w:firstLine="0" w:firstLineChars="0"/>
        <w:jc w:val="center"/>
        <w:outlineLvl w:val="0"/>
        <w:rPr>
          <w:rFonts w:hint="eastAsia"/>
          <w:lang w:val="en-US" w:eastAsia="zh-CN"/>
        </w:rPr>
      </w:pPr>
      <w:r>
        <w:rPr>
          <w:rStyle w:val="9"/>
          <w:rFonts w:hint="eastAsia" w:ascii="仿宋" w:hAnsi="仿宋" w:eastAsia="仿宋" w:cs="仿宋"/>
          <w:b/>
          <w:color w:val="auto"/>
          <w:kern w:val="2"/>
          <w:sz w:val="44"/>
          <w:szCs w:val="44"/>
          <w:highlight w:val="none"/>
        </w:rPr>
        <w:t>采购内容及技术要求</w:t>
      </w:r>
    </w:p>
    <w:p w14:paraId="1AB094CF">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一、采购内容</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727"/>
        <w:gridCol w:w="1494"/>
        <w:gridCol w:w="5536"/>
      </w:tblGrid>
      <w:tr w14:paraId="1800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6F724855">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427" w:type="pct"/>
            <w:tcBorders>
              <w:top w:val="single" w:color="auto" w:sz="4" w:space="0"/>
              <w:left w:val="single" w:color="auto" w:sz="4" w:space="0"/>
              <w:bottom w:val="single" w:color="auto" w:sz="4" w:space="0"/>
              <w:right w:val="single" w:color="auto" w:sz="4" w:space="0"/>
            </w:tcBorders>
            <w:vAlign w:val="center"/>
          </w:tcPr>
          <w:p w14:paraId="14ECF54C">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包号</w:t>
            </w:r>
          </w:p>
        </w:tc>
        <w:tc>
          <w:tcPr>
            <w:tcW w:w="877" w:type="pct"/>
            <w:tcBorders>
              <w:top w:val="single" w:color="auto" w:sz="4" w:space="0"/>
              <w:left w:val="single" w:color="auto" w:sz="4" w:space="0"/>
              <w:bottom w:val="single" w:color="auto" w:sz="4" w:space="0"/>
              <w:right w:val="single" w:color="auto" w:sz="4" w:space="0"/>
            </w:tcBorders>
            <w:vAlign w:val="center"/>
          </w:tcPr>
          <w:p w14:paraId="0646B455">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采购预算</w:t>
            </w:r>
          </w:p>
          <w:p w14:paraId="3DB042FC">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（元）</w:t>
            </w:r>
          </w:p>
        </w:tc>
        <w:tc>
          <w:tcPr>
            <w:tcW w:w="3249" w:type="pct"/>
            <w:tcBorders>
              <w:top w:val="single" w:color="auto" w:sz="4" w:space="0"/>
              <w:left w:val="single" w:color="auto" w:sz="4" w:space="0"/>
              <w:bottom w:val="single" w:color="auto" w:sz="4" w:space="0"/>
              <w:right w:val="single" w:color="auto" w:sz="4" w:space="0"/>
            </w:tcBorders>
            <w:vAlign w:val="center"/>
          </w:tcPr>
          <w:p w14:paraId="53F05F3B">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采购内容</w:t>
            </w:r>
          </w:p>
        </w:tc>
      </w:tr>
      <w:tr w14:paraId="34B6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48F72F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rPr>
              <w:t>1</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37427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rPr>
              <w:t>3包</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455370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rPr>
              <w:t>30</w:t>
            </w:r>
            <w:r>
              <w:rPr>
                <w:rFonts w:hint="eastAsia" w:ascii="仿宋" w:hAnsi="仿宋" w:eastAsia="仿宋" w:cs="仿宋"/>
                <w:color w:val="auto"/>
                <w:sz w:val="22"/>
                <w:szCs w:val="22"/>
                <w:highlight w:val="none"/>
                <w:lang w:val="en-US" w:eastAsia="zh-CN"/>
              </w:rPr>
              <w:t>0000.00元</w:t>
            </w:r>
          </w:p>
        </w:tc>
        <w:tc>
          <w:tcPr>
            <w:tcW w:w="3249" w:type="pct"/>
            <w:tcBorders>
              <w:top w:val="single" w:color="auto" w:sz="4" w:space="0"/>
              <w:left w:val="single" w:color="auto" w:sz="4" w:space="0"/>
              <w:bottom w:val="single" w:color="auto" w:sz="4" w:space="0"/>
              <w:right w:val="single" w:color="auto" w:sz="4" w:space="0"/>
            </w:tcBorders>
            <w:shd w:val="clear" w:color="auto" w:fill="auto"/>
            <w:vAlign w:val="center"/>
          </w:tcPr>
          <w:p w14:paraId="7F45A9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2"/>
                <w:szCs w:val="22"/>
                <w:lang w:val="en-US" w:eastAsia="zh-CN" w:bidi="ar-SA"/>
              </w:rPr>
            </w:pPr>
            <w:r>
              <w:rPr>
                <w:rFonts w:hint="eastAsia" w:ascii="仿宋" w:hAnsi="仿宋" w:eastAsia="仿宋" w:cs="仿宋"/>
                <w:color w:val="auto"/>
                <w:sz w:val="22"/>
                <w:szCs w:val="22"/>
                <w:lang w:val="en-US" w:eastAsia="zh-CN"/>
              </w:rPr>
              <w:t>生态环境应急监测、生态环境执法应急监测、校核性监测等专项监测；</w:t>
            </w:r>
          </w:p>
        </w:tc>
      </w:tr>
    </w:tbl>
    <w:p w14:paraId="4A39FA78">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3包服务内容及要求</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048"/>
        <w:gridCol w:w="6561"/>
      </w:tblGrid>
      <w:tr w14:paraId="1ED4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blHeader/>
          <w:jc w:val="center"/>
        </w:trPr>
        <w:tc>
          <w:tcPr>
            <w:tcW w:w="533" w:type="pct"/>
            <w:tcBorders>
              <w:top w:val="single" w:color="auto" w:sz="4" w:space="0"/>
              <w:left w:val="single" w:color="auto" w:sz="4" w:space="0"/>
              <w:bottom w:val="single" w:color="auto" w:sz="4" w:space="0"/>
              <w:right w:val="single" w:color="auto" w:sz="4" w:space="0"/>
            </w:tcBorders>
            <w:vAlign w:val="center"/>
          </w:tcPr>
          <w:p w14:paraId="495CE7B8">
            <w:pPr>
              <w:spacing w:line="360" w:lineRule="auto"/>
              <w:ind w:left="120" w:leftChars="50" w:right="120" w:rightChars="50"/>
              <w:jc w:val="center"/>
              <w:rPr>
                <w:rFonts w:hint="eastAsia" w:ascii="仿宋" w:hAnsi="仿宋" w:eastAsia="仿宋" w:cs="仿宋"/>
                <w:b/>
                <w:szCs w:val="24"/>
              </w:rPr>
            </w:pPr>
            <w:r>
              <w:rPr>
                <w:rFonts w:hint="eastAsia" w:ascii="仿宋" w:hAnsi="仿宋" w:eastAsia="仿宋" w:cs="仿宋"/>
                <w:b/>
                <w:szCs w:val="24"/>
              </w:rPr>
              <w:t>序号</w:t>
            </w:r>
          </w:p>
        </w:tc>
        <w:tc>
          <w:tcPr>
            <w:tcW w:w="615" w:type="pct"/>
            <w:tcBorders>
              <w:top w:val="single" w:color="auto" w:sz="4" w:space="0"/>
              <w:left w:val="single" w:color="auto" w:sz="4" w:space="0"/>
              <w:bottom w:val="single" w:color="auto" w:sz="4" w:space="0"/>
              <w:right w:val="single" w:color="auto" w:sz="4" w:space="0"/>
            </w:tcBorders>
            <w:vAlign w:val="center"/>
          </w:tcPr>
          <w:p w14:paraId="74AE548B">
            <w:pPr>
              <w:spacing w:line="360" w:lineRule="auto"/>
              <w:ind w:left="120" w:leftChars="50" w:right="120" w:rightChars="50"/>
              <w:jc w:val="center"/>
              <w:rPr>
                <w:rFonts w:hint="eastAsia" w:ascii="仿宋" w:hAnsi="仿宋" w:eastAsia="仿宋" w:cs="仿宋"/>
                <w:b/>
                <w:szCs w:val="24"/>
              </w:rPr>
            </w:pPr>
            <w:r>
              <w:rPr>
                <w:rFonts w:hint="eastAsia" w:ascii="仿宋" w:hAnsi="仿宋" w:eastAsia="仿宋" w:cs="仿宋"/>
                <w:b/>
                <w:szCs w:val="24"/>
              </w:rPr>
              <w:t>名称</w:t>
            </w:r>
          </w:p>
        </w:tc>
        <w:tc>
          <w:tcPr>
            <w:tcW w:w="3851" w:type="pct"/>
            <w:tcBorders>
              <w:top w:val="single" w:color="auto" w:sz="4" w:space="0"/>
              <w:left w:val="single" w:color="auto" w:sz="4" w:space="0"/>
              <w:bottom w:val="single" w:color="auto" w:sz="4" w:space="0"/>
              <w:right w:val="single" w:color="auto" w:sz="4" w:space="0"/>
            </w:tcBorders>
            <w:vAlign w:val="center"/>
          </w:tcPr>
          <w:p w14:paraId="7FDA25FA">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要求及内容</w:t>
            </w:r>
          </w:p>
        </w:tc>
      </w:tr>
      <w:tr w14:paraId="1F9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14:paraId="5E26B700">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1</w:t>
            </w:r>
          </w:p>
        </w:tc>
        <w:tc>
          <w:tcPr>
            <w:tcW w:w="615" w:type="pct"/>
            <w:vMerge w:val="restart"/>
            <w:tcBorders>
              <w:top w:val="single" w:color="auto" w:sz="4" w:space="0"/>
              <w:left w:val="single" w:color="auto" w:sz="4" w:space="0"/>
              <w:bottom w:val="single" w:color="auto" w:sz="4" w:space="0"/>
              <w:right w:val="single" w:color="auto" w:sz="4" w:space="0"/>
            </w:tcBorders>
            <w:vAlign w:val="center"/>
          </w:tcPr>
          <w:p w14:paraId="5A05BBFF">
            <w:pPr>
              <w:spacing w:line="360" w:lineRule="auto"/>
              <w:ind w:left="120" w:leftChars="50" w:right="120" w:rightChars="50"/>
              <w:jc w:val="center"/>
              <w:rPr>
                <w:rFonts w:hint="eastAsia" w:ascii="仿宋" w:hAnsi="仿宋" w:eastAsia="仿宋" w:cs="仿宋"/>
                <w:b/>
                <w:szCs w:val="24"/>
              </w:rPr>
            </w:pPr>
            <w:r>
              <w:rPr>
                <w:rFonts w:hint="eastAsia" w:ascii="仿宋" w:hAnsi="仿宋" w:eastAsia="仿宋" w:cs="仿宋"/>
                <w:b/>
                <w:szCs w:val="24"/>
              </w:rPr>
              <w:t>基本</w:t>
            </w:r>
          </w:p>
          <w:p w14:paraId="4CB5E867">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要求</w:t>
            </w:r>
          </w:p>
        </w:tc>
        <w:tc>
          <w:tcPr>
            <w:tcW w:w="3851" w:type="pct"/>
            <w:tcBorders>
              <w:top w:val="single" w:color="auto" w:sz="4" w:space="0"/>
              <w:left w:val="single" w:color="auto" w:sz="4" w:space="0"/>
              <w:bottom w:val="single" w:color="auto" w:sz="4" w:space="0"/>
              <w:right w:val="single" w:color="auto" w:sz="4" w:space="0"/>
            </w:tcBorders>
            <w:vAlign w:val="center"/>
          </w:tcPr>
          <w:p w14:paraId="4A305357">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严格按照有关的法规、政策、文件等有关规定及采购人的要求，按时按质按量提供服务。</w:t>
            </w:r>
          </w:p>
        </w:tc>
      </w:tr>
      <w:tr w14:paraId="2DBE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089BCADE">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5E2A62A9">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7C301EA6">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投标人必须在资质范围内承接业务。</w:t>
            </w:r>
          </w:p>
        </w:tc>
      </w:tr>
      <w:tr w14:paraId="7AE6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183F4A99">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5D038EB4">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57619346">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投标人应具备24小时监测能力保障，并按照采购人要求提供服务。</w:t>
            </w:r>
          </w:p>
        </w:tc>
      </w:tr>
      <w:tr w14:paraId="2F0C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2CF1FEF7">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6E5EA0F2">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3E5C31F6">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投标人有健全的组织机构，完善的内控制度和质量保证体系以及经济技术档案管理制度，有良好的服务态度和较好的社会信誉。</w:t>
            </w:r>
          </w:p>
        </w:tc>
      </w:tr>
      <w:tr w14:paraId="4CAD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17C32B78">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4577412D">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620D6508">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投标人必须设立项目联系人，该联系人必须是正式员工（社保清单中必须含有项目联系人名单），因特殊原因需更换的，须在变更前三个工作日内书面报告采购人。</w:t>
            </w:r>
          </w:p>
        </w:tc>
      </w:tr>
      <w:tr w14:paraId="4FCD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14:paraId="377A0301">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2</w:t>
            </w:r>
          </w:p>
        </w:tc>
        <w:tc>
          <w:tcPr>
            <w:tcW w:w="615" w:type="pct"/>
            <w:vMerge w:val="restart"/>
            <w:tcBorders>
              <w:top w:val="single" w:color="auto" w:sz="4" w:space="0"/>
              <w:left w:val="single" w:color="auto" w:sz="4" w:space="0"/>
              <w:bottom w:val="single" w:color="auto" w:sz="4" w:space="0"/>
              <w:right w:val="single" w:color="auto" w:sz="4" w:space="0"/>
            </w:tcBorders>
            <w:vAlign w:val="center"/>
          </w:tcPr>
          <w:p w14:paraId="49BF2417">
            <w:pPr>
              <w:spacing w:line="360" w:lineRule="auto"/>
              <w:ind w:left="120" w:leftChars="50" w:right="120" w:rightChars="50"/>
              <w:jc w:val="center"/>
              <w:rPr>
                <w:rFonts w:hint="eastAsia" w:ascii="仿宋" w:hAnsi="仿宋" w:eastAsia="仿宋" w:cs="仿宋"/>
                <w:b/>
                <w:szCs w:val="24"/>
              </w:rPr>
            </w:pPr>
            <w:r>
              <w:rPr>
                <w:rFonts w:hint="eastAsia" w:ascii="仿宋" w:hAnsi="仿宋" w:eastAsia="仿宋" w:cs="仿宋"/>
                <w:b/>
                <w:szCs w:val="24"/>
              </w:rPr>
              <w:t>技术</w:t>
            </w:r>
          </w:p>
          <w:p w14:paraId="0CD356E7">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要求</w:t>
            </w:r>
          </w:p>
        </w:tc>
        <w:tc>
          <w:tcPr>
            <w:tcW w:w="3851" w:type="pct"/>
            <w:tcBorders>
              <w:top w:val="single" w:color="auto" w:sz="4" w:space="0"/>
              <w:left w:val="single" w:color="auto" w:sz="4" w:space="0"/>
              <w:bottom w:val="single" w:color="auto" w:sz="4" w:space="0"/>
              <w:right w:val="single" w:color="auto" w:sz="4" w:space="0"/>
            </w:tcBorders>
            <w:vAlign w:val="center"/>
          </w:tcPr>
          <w:p w14:paraId="49839240">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采样和分析方法：废水、废气、环境空气、地表水、地下水、噪声、土壤、固体废物、底质、辐射的采样、分析方法按现行有效的国家标准、行业标准、地方标准和国家有关规定的要求。</w:t>
            </w:r>
          </w:p>
        </w:tc>
      </w:tr>
      <w:tr w14:paraId="2102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0A545858">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6AA1A9EF">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4C08B083">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质控要求：按照《关于加强全省重点污染源监督性监测质量控制工作的通知（陕环办发(2011)78号）、《国控重点污染源监测质量核查办法》（总站统字〔2010〕191号）、《陕西省生态环境厅关于印发陕西省生态环境监测质量管理规定的通知》（陕环发〔2021〕42号）、《西安市生态环境局办公室关于加强购买第三方监测服务项目监管的通知》、环境监测质量管理技术导则（HJ 630-2011）、监测项目标准技术方法的质量保证和质量控制等国家、省、市颁布的监测质量管理文件的要求执行。</w:t>
            </w:r>
          </w:p>
        </w:tc>
      </w:tr>
      <w:tr w14:paraId="7013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61DB406A">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2CDB5B9B">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7FBE40DF">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保密要求：中标人对采购人、被监测企业的相关信息及监测数据或报告负保密责任。</w:t>
            </w:r>
          </w:p>
        </w:tc>
      </w:tr>
      <w:tr w14:paraId="5F30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14:paraId="72B95780">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3</w:t>
            </w:r>
          </w:p>
        </w:tc>
        <w:tc>
          <w:tcPr>
            <w:tcW w:w="615" w:type="pct"/>
            <w:vMerge w:val="restart"/>
            <w:tcBorders>
              <w:top w:val="single" w:color="auto" w:sz="4" w:space="0"/>
              <w:left w:val="single" w:color="auto" w:sz="4" w:space="0"/>
              <w:bottom w:val="single" w:color="auto" w:sz="4" w:space="0"/>
              <w:right w:val="single" w:color="auto" w:sz="4" w:space="0"/>
            </w:tcBorders>
            <w:vAlign w:val="center"/>
          </w:tcPr>
          <w:p w14:paraId="08334574">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采样工作的实施</w:t>
            </w:r>
          </w:p>
        </w:tc>
        <w:tc>
          <w:tcPr>
            <w:tcW w:w="3851" w:type="pct"/>
            <w:tcBorders>
              <w:top w:val="single" w:color="auto" w:sz="4" w:space="0"/>
              <w:left w:val="single" w:color="auto" w:sz="4" w:space="0"/>
              <w:bottom w:val="single" w:color="auto" w:sz="4" w:space="0"/>
              <w:right w:val="single" w:color="auto" w:sz="4" w:space="0"/>
            </w:tcBorders>
            <w:vAlign w:val="center"/>
          </w:tcPr>
          <w:p w14:paraId="0B059A53">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采样地点：空港新城范围内，由采购人指定地点。</w:t>
            </w:r>
          </w:p>
        </w:tc>
      </w:tr>
      <w:tr w14:paraId="2F0C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65B96E62">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773A430C">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2B71C469">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采样人员：每次采样中标人安排2名以上工作人员共同参与，并提供采样相片及采样全过程视频。</w:t>
            </w:r>
          </w:p>
        </w:tc>
      </w:tr>
      <w:tr w14:paraId="6688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77EB5D4B">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08EBC6AE">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2ED138F3">
            <w:pPr>
              <w:spacing w:line="360" w:lineRule="auto"/>
              <w:ind w:left="120" w:leftChars="50" w:right="120" w:rightChars="50"/>
              <w:rPr>
                <w:rFonts w:hint="eastAsia" w:ascii="仿宋" w:hAnsi="仿宋" w:eastAsia="仿宋" w:cs="仿宋"/>
                <w:bCs/>
                <w:szCs w:val="24"/>
              </w:rPr>
            </w:pPr>
            <w:r>
              <w:rPr>
                <w:rFonts w:hint="eastAsia" w:ascii="仿宋" w:hAnsi="仿宋" w:eastAsia="仿宋" w:cs="仿宋"/>
                <w:bCs/>
                <w:szCs w:val="24"/>
              </w:rPr>
              <w:t>交通工具：由中标人负责提供。</w:t>
            </w:r>
          </w:p>
        </w:tc>
      </w:tr>
      <w:tr w14:paraId="28D9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322A3E11">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4AC2A5D8">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738F0392">
            <w:pPr>
              <w:spacing w:line="360" w:lineRule="auto"/>
              <w:ind w:left="120" w:leftChars="50" w:right="120" w:rightChars="50"/>
              <w:rPr>
                <w:rFonts w:hint="eastAsia" w:ascii="仿宋" w:hAnsi="仿宋" w:eastAsia="仿宋" w:cs="仿宋"/>
                <w:bCs/>
                <w:szCs w:val="24"/>
              </w:rPr>
            </w:pPr>
            <w:r>
              <w:rPr>
                <w:rFonts w:hint="eastAsia" w:ascii="仿宋" w:hAnsi="仿宋" w:eastAsia="仿宋" w:cs="仿宋"/>
                <w:szCs w:val="24"/>
              </w:rPr>
              <w:t>需备份样品：样品须1式2份。一份由中标人带回监测机构，另一份封存在采购人指定地点。如对监测结果有异议的，在样品的保存期内，可对封存的样品进行复检，监测出的结果为最终结论。</w:t>
            </w:r>
          </w:p>
        </w:tc>
      </w:tr>
      <w:tr w14:paraId="6BB6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62C13E22">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481EF399">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30C9825B">
            <w:pPr>
              <w:spacing w:line="360" w:lineRule="auto"/>
              <w:ind w:left="120" w:leftChars="50" w:right="120" w:rightChars="50"/>
              <w:rPr>
                <w:rFonts w:hint="eastAsia" w:ascii="仿宋" w:hAnsi="仿宋" w:eastAsia="仿宋" w:cs="仿宋"/>
                <w:bCs/>
                <w:szCs w:val="24"/>
              </w:rPr>
            </w:pPr>
            <w:r>
              <w:rPr>
                <w:rFonts w:hint="eastAsia" w:ascii="仿宋" w:hAnsi="仿宋" w:eastAsia="仿宋" w:cs="仿宋"/>
                <w:bCs/>
                <w:szCs w:val="24"/>
              </w:rPr>
              <w:t>样品运输：中标人负责每次样品的采样与运送工作，保证运送安全。</w:t>
            </w:r>
          </w:p>
        </w:tc>
      </w:tr>
      <w:tr w14:paraId="771A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7F9C4CAC">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0475317A">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07B9758D">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采样方案：由中标人提供具体的实施方案，经采购人审核通过后实施。</w:t>
            </w:r>
          </w:p>
        </w:tc>
      </w:tr>
      <w:tr w14:paraId="7980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14:paraId="16ED2AFA">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4</w:t>
            </w:r>
          </w:p>
        </w:tc>
        <w:tc>
          <w:tcPr>
            <w:tcW w:w="615" w:type="pct"/>
            <w:vMerge w:val="restart"/>
            <w:tcBorders>
              <w:top w:val="single" w:color="auto" w:sz="4" w:space="0"/>
              <w:left w:val="single" w:color="auto" w:sz="4" w:space="0"/>
              <w:bottom w:val="single" w:color="auto" w:sz="4" w:space="0"/>
              <w:right w:val="single" w:color="auto" w:sz="4" w:space="0"/>
            </w:tcBorders>
            <w:vAlign w:val="center"/>
          </w:tcPr>
          <w:p w14:paraId="773AEB3F">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监测结果的处理</w:t>
            </w:r>
          </w:p>
        </w:tc>
        <w:tc>
          <w:tcPr>
            <w:tcW w:w="3851" w:type="pct"/>
            <w:tcBorders>
              <w:top w:val="single" w:color="auto" w:sz="4" w:space="0"/>
              <w:left w:val="single" w:color="auto" w:sz="4" w:space="0"/>
              <w:bottom w:val="single" w:color="auto" w:sz="4" w:space="0"/>
              <w:right w:val="single" w:color="auto" w:sz="4" w:space="0"/>
            </w:tcBorders>
            <w:vAlign w:val="center"/>
          </w:tcPr>
          <w:p w14:paraId="075286A8">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监测结果：中标人现场监测工作结束后，应于7个工作日内将监测结果和相关文件报送并通知采购人（土壤和固体废物监测项目除外）,中标人出具监测报告4份。中标人应保存邮件详情单，以备查询。</w:t>
            </w:r>
          </w:p>
        </w:tc>
      </w:tr>
      <w:tr w14:paraId="5CDA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799F2770">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36249CFA">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72AE740E">
            <w:pPr>
              <w:spacing w:line="360" w:lineRule="auto"/>
              <w:ind w:left="120" w:leftChars="50" w:right="120" w:rightChars="50"/>
              <w:rPr>
                <w:rFonts w:hint="eastAsia" w:ascii="仿宋" w:hAnsi="仿宋" w:eastAsia="仿宋" w:cs="仿宋"/>
                <w:bCs/>
                <w:szCs w:val="24"/>
              </w:rPr>
            </w:pPr>
            <w:r>
              <w:rPr>
                <w:rFonts w:hint="eastAsia" w:ascii="仿宋" w:hAnsi="仿宋" w:eastAsia="仿宋" w:cs="仿宋"/>
                <w:bCs/>
                <w:szCs w:val="24"/>
              </w:rPr>
              <w:t>对监测结果异议的处理</w:t>
            </w:r>
          </w:p>
          <w:p w14:paraId="3CCD69D5">
            <w:pPr>
              <w:spacing w:line="360" w:lineRule="auto"/>
              <w:ind w:left="120" w:leftChars="50" w:right="120" w:rightChars="50"/>
              <w:rPr>
                <w:rFonts w:hint="eastAsia" w:ascii="仿宋" w:hAnsi="仿宋" w:eastAsia="仿宋" w:cs="仿宋"/>
                <w:bCs/>
                <w:szCs w:val="24"/>
              </w:rPr>
            </w:pPr>
            <w:r>
              <w:rPr>
                <w:rFonts w:hint="eastAsia" w:ascii="仿宋" w:hAnsi="仿宋" w:eastAsia="仿宋" w:cs="仿宋"/>
                <w:bCs/>
                <w:szCs w:val="24"/>
              </w:rPr>
              <w:t>若采购人对监测结果有异议的，应自收到监测报告后在法定时间内向中标人提交，中标人应在5个日历日内作出书面答复。</w:t>
            </w:r>
          </w:p>
          <w:p w14:paraId="2AFA53D8">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若中标人答复后仍不能解决的，采购人有权在5个工作日内向中标人提出复检申请，并说明复检理由。复检单位由采购人在入库名单中自行选择，复检单位与初检单位不得为同一机构，复检结果为最终结果。若复检结果与初检结果相符的，采购人按规定支付该次初检和复检的费用；若复检结果与初检结果不相符的，复检费用由初检单位承担，采购人不支付该次监测的所有费用。</w:t>
            </w:r>
          </w:p>
        </w:tc>
      </w:tr>
      <w:tr w14:paraId="3BDB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14:paraId="3AEB6F31">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5</w:t>
            </w:r>
          </w:p>
        </w:tc>
        <w:tc>
          <w:tcPr>
            <w:tcW w:w="615" w:type="pct"/>
            <w:tcBorders>
              <w:top w:val="single" w:color="auto" w:sz="4" w:space="0"/>
              <w:left w:val="single" w:color="auto" w:sz="4" w:space="0"/>
              <w:bottom w:val="single" w:color="auto" w:sz="4" w:space="0"/>
              <w:right w:val="single" w:color="auto" w:sz="4" w:space="0"/>
            </w:tcBorders>
            <w:vAlign w:val="center"/>
          </w:tcPr>
          <w:p w14:paraId="237EA8D1">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应急工作的实施</w:t>
            </w:r>
          </w:p>
        </w:tc>
        <w:tc>
          <w:tcPr>
            <w:tcW w:w="3851" w:type="pct"/>
            <w:tcBorders>
              <w:top w:val="single" w:color="auto" w:sz="4" w:space="0"/>
              <w:left w:val="single" w:color="auto" w:sz="4" w:space="0"/>
              <w:bottom w:val="single" w:color="auto" w:sz="4" w:space="0"/>
              <w:right w:val="single" w:color="auto" w:sz="4" w:space="0"/>
            </w:tcBorders>
            <w:vAlign w:val="center"/>
          </w:tcPr>
          <w:p w14:paraId="740CAD13">
            <w:pPr>
              <w:spacing w:line="560" w:lineRule="exact"/>
              <w:ind w:firstLine="480" w:firstLineChars="200"/>
              <w:rPr>
                <w:rFonts w:hint="eastAsia" w:ascii="仿宋" w:hAnsi="仿宋" w:eastAsia="仿宋" w:cs="仿宋"/>
                <w:szCs w:val="24"/>
              </w:rPr>
            </w:pPr>
            <w:r>
              <w:rPr>
                <w:rFonts w:hint="eastAsia" w:ascii="仿宋" w:hAnsi="仿宋" w:eastAsia="仿宋" w:cs="仿宋"/>
                <w:bCs/>
                <w:szCs w:val="24"/>
              </w:rPr>
              <w:t>根据采购人需求，</w:t>
            </w:r>
            <w:bookmarkStart w:id="0" w:name="_GoBack"/>
            <w:bookmarkEnd w:id="0"/>
            <w:r>
              <w:rPr>
                <w:rFonts w:hint="eastAsia" w:ascii="仿宋" w:hAnsi="仿宋" w:eastAsia="仿宋" w:cs="仿宋"/>
                <w:bCs/>
                <w:szCs w:val="24"/>
              </w:rPr>
              <w:t>在应急监测处理情况下，由双方主要负责人协商临时监测方案，中标人应积极配合（在工作时间内1小时内到达现场，在非工作时间内2小时内到达现场）采购人开展应急情况监测。同时，视情况需要，如采购人要对外发布有关信息，或处理有关事宜时，中标人必须提供专家予以支持。中标人需自备监测的相关设备，不得以工作安排已满等理由推迟监测时间，或提出各种原因拒不到场等。</w:t>
            </w:r>
          </w:p>
        </w:tc>
      </w:tr>
      <w:tr w14:paraId="5493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14:paraId="7EA0C6A3">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6</w:t>
            </w:r>
          </w:p>
        </w:tc>
        <w:tc>
          <w:tcPr>
            <w:tcW w:w="615" w:type="pct"/>
            <w:tcBorders>
              <w:top w:val="single" w:color="auto" w:sz="4" w:space="0"/>
              <w:left w:val="single" w:color="auto" w:sz="4" w:space="0"/>
              <w:bottom w:val="single" w:color="auto" w:sz="4" w:space="0"/>
              <w:right w:val="single" w:color="auto" w:sz="4" w:space="0"/>
            </w:tcBorders>
            <w:vAlign w:val="center"/>
          </w:tcPr>
          <w:p w14:paraId="63714014">
            <w:pPr>
              <w:spacing w:line="360" w:lineRule="auto"/>
              <w:ind w:left="120" w:leftChars="50" w:right="120" w:rightChars="50"/>
              <w:jc w:val="center"/>
              <w:rPr>
                <w:rFonts w:hint="eastAsia" w:ascii="仿宋" w:hAnsi="仿宋" w:eastAsia="仿宋" w:cs="仿宋"/>
                <w:b/>
                <w:szCs w:val="24"/>
              </w:rPr>
            </w:pPr>
            <w:r>
              <w:rPr>
                <w:rFonts w:hint="eastAsia" w:ascii="仿宋" w:hAnsi="仿宋" w:eastAsia="仿宋" w:cs="仿宋"/>
                <w:b/>
                <w:szCs w:val="24"/>
              </w:rPr>
              <w:t>其它</w:t>
            </w:r>
          </w:p>
        </w:tc>
        <w:tc>
          <w:tcPr>
            <w:tcW w:w="3851" w:type="pct"/>
            <w:tcBorders>
              <w:top w:val="single" w:color="auto" w:sz="4" w:space="0"/>
              <w:left w:val="single" w:color="auto" w:sz="4" w:space="0"/>
              <w:bottom w:val="single" w:color="auto" w:sz="4" w:space="0"/>
              <w:right w:val="single" w:color="auto" w:sz="4" w:space="0"/>
            </w:tcBorders>
            <w:vAlign w:val="center"/>
          </w:tcPr>
          <w:p w14:paraId="546F516B">
            <w:pPr>
              <w:pStyle w:val="3"/>
              <w:spacing w:line="360" w:lineRule="auto"/>
              <w:ind w:firstLine="0" w:firstLineChars="0"/>
              <w:rPr>
                <w:rFonts w:hint="eastAsia" w:ascii="仿宋" w:hAnsi="仿宋" w:eastAsia="仿宋" w:cs="仿宋"/>
                <w:bCs/>
                <w:sz w:val="24"/>
              </w:rPr>
            </w:pPr>
            <w:r>
              <w:rPr>
                <w:rFonts w:hint="eastAsia" w:ascii="仿宋" w:hAnsi="仿宋" w:eastAsia="仿宋" w:cs="仿宋"/>
                <w:bCs/>
                <w:sz w:val="24"/>
              </w:rPr>
              <w:t>监测任务必须由中标人自行完成，由于监测任务工作量过大或人员不足以开展该项监测任务的情况下，可将监测任务分包给本项目其他中标人，不得将监测任务外包或分包给其他监测机构监测，否则视为违约，立即取消其分包合同和中标资格。</w:t>
            </w:r>
          </w:p>
          <w:p w14:paraId="77C9C721">
            <w:pPr>
              <w:pStyle w:val="3"/>
              <w:spacing w:line="360" w:lineRule="auto"/>
              <w:ind w:firstLine="0" w:firstLineChars="0"/>
              <w:rPr>
                <w:rFonts w:hint="eastAsia" w:ascii="仿宋" w:hAnsi="仿宋" w:eastAsia="仿宋" w:cs="仿宋"/>
                <w:sz w:val="24"/>
              </w:rPr>
            </w:pPr>
            <w:r>
              <w:rPr>
                <w:rFonts w:hint="eastAsia" w:ascii="仿宋" w:hAnsi="仿宋" w:eastAsia="仿宋" w:cs="仿宋"/>
                <w:bCs/>
                <w:sz w:val="24"/>
              </w:rPr>
              <w:t>中标人接到监测任务后，拒绝接受任务或者接受任务后不及时开展工作的，发生一次将被警告一次，发生两次则取消中标资格。</w:t>
            </w:r>
          </w:p>
        </w:tc>
      </w:tr>
      <w:tr w14:paraId="5A15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14:paraId="78F6CBA0">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7</w:t>
            </w:r>
          </w:p>
        </w:tc>
        <w:tc>
          <w:tcPr>
            <w:tcW w:w="615" w:type="pct"/>
            <w:tcBorders>
              <w:top w:val="single" w:color="auto" w:sz="4" w:space="0"/>
              <w:left w:val="single" w:color="auto" w:sz="4" w:space="0"/>
              <w:bottom w:val="single" w:color="auto" w:sz="4" w:space="0"/>
              <w:right w:val="single" w:color="auto" w:sz="4" w:space="0"/>
            </w:tcBorders>
            <w:vAlign w:val="center"/>
          </w:tcPr>
          <w:p w14:paraId="739E771E">
            <w:pPr>
              <w:spacing w:before="93" w:beforeLines="30" w:line="360" w:lineRule="auto"/>
              <w:rPr>
                <w:rFonts w:hint="eastAsia" w:ascii="仿宋" w:hAnsi="仿宋" w:eastAsia="仿宋" w:cs="仿宋"/>
                <w:b/>
                <w:szCs w:val="24"/>
              </w:rPr>
            </w:pPr>
            <w:r>
              <w:rPr>
                <w:rFonts w:hint="eastAsia" w:ascii="仿宋" w:hAnsi="仿宋" w:eastAsia="仿宋" w:cs="仿宋"/>
                <w:b/>
                <w:szCs w:val="24"/>
              </w:rPr>
              <w:t>不可抗力</w:t>
            </w:r>
          </w:p>
        </w:tc>
        <w:tc>
          <w:tcPr>
            <w:tcW w:w="3851" w:type="pct"/>
            <w:tcBorders>
              <w:top w:val="single" w:color="auto" w:sz="4" w:space="0"/>
              <w:left w:val="single" w:color="auto" w:sz="4" w:space="0"/>
              <w:bottom w:val="single" w:color="auto" w:sz="4" w:space="0"/>
              <w:right w:val="single" w:color="auto" w:sz="4" w:space="0"/>
            </w:tcBorders>
            <w:vAlign w:val="center"/>
          </w:tcPr>
          <w:p w14:paraId="558D0140">
            <w:pPr>
              <w:pStyle w:val="3"/>
              <w:spacing w:line="360" w:lineRule="auto"/>
              <w:ind w:firstLine="0" w:firstLineChars="0"/>
              <w:rPr>
                <w:rFonts w:hint="eastAsia" w:ascii="仿宋" w:hAnsi="仿宋" w:eastAsia="仿宋" w:cs="仿宋"/>
                <w:bCs/>
                <w:sz w:val="24"/>
              </w:rPr>
            </w:pPr>
            <w:r>
              <w:rPr>
                <w:rFonts w:hint="eastAsia" w:ascii="仿宋" w:hAnsi="仿宋" w:eastAsia="仿宋" w:cs="仿宋"/>
                <w:bCs/>
                <w:sz w:val="24"/>
              </w:rPr>
              <w:t>不可抗力系指正常情况下，经努力仍不可预见、无法控制、不可避免的事件，且直接影响一方履行合同义务的事件，比如战争、台风、地震、严重的火灾或水灾等。</w:t>
            </w:r>
          </w:p>
          <w:p w14:paraId="72134F58">
            <w:pPr>
              <w:pStyle w:val="3"/>
              <w:spacing w:line="360" w:lineRule="auto"/>
              <w:ind w:firstLine="0" w:firstLineChars="0"/>
              <w:rPr>
                <w:rFonts w:hint="eastAsia" w:ascii="仿宋" w:hAnsi="仿宋" w:eastAsia="仿宋" w:cs="仿宋"/>
                <w:bCs/>
                <w:sz w:val="24"/>
              </w:rPr>
            </w:pPr>
            <w:r>
              <w:rPr>
                <w:rFonts w:hint="eastAsia" w:ascii="仿宋" w:hAnsi="仿宋" w:eastAsia="仿宋" w:cs="仿宋"/>
                <w:bCs/>
                <w:sz w:val="24"/>
              </w:rPr>
              <w:t>由于不可抗力事件不能履行合同时，履行合同的期限应予以延长，具体由供需双方协商确定。</w:t>
            </w:r>
          </w:p>
        </w:tc>
      </w:tr>
    </w:tbl>
    <w:p w14:paraId="063C0F49">
      <w:pPr>
        <w:spacing w:line="360" w:lineRule="auto"/>
        <w:jc w:val="left"/>
        <w:rPr>
          <w:rFonts w:hint="eastAsia" w:ascii="仿宋" w:hAnsi="仿宋" w:eastAsia="仿宋" w:cs="仿宋"/>
          <w:b/>
        </w:rPr>
      </w:pPr>
      <w:r>
        <w:rPr>
          <w:rFonts w:hint="eastAsia" w:ascii="仿宋" w:hAnsi="仿宋" w:eastAsia="仿宋" w:cs="仿宋"/>
          <w:b/>
        </w:rPr>
        <w:t>三、其他要求</w:t>
      </w:r>
    </w:p>
    <w:p w14:paraId="4AB84EC0">
      <w:pPr>
        <w:spacing w:line="360" w:lineRule="auto"/>
        <w:ind w:firstLine="480" w:firstLineChars="200"/>
        <w:jc w:val="left"/>
        <w:rPr>
          <w:rFonts w:hint="eastAsia" w:ascii="仿宋" w:hAnsi="仿宋" w:eastAsia="仿宋" w:cs="仿宋"/>
          <w:bCs/>
          <w:highlight w:val="none"/>
        </w:rPr>
      </w:pPr>
      <w:r>
        <w:rPr>
          <w:rFonts w:hint="eastAsia" w:ascii="仿宋" w:hAnsi="仿宋" w:eastAsia="仿宋" w:cs="仿宋"/>
          <w:bCs/>
          <w:highlight w:val="none"/>
        </w:rPr>
        <w:t>1.服务期：自合同签订之日起不超过12个月或采购预算全部执行完毕为止；</w:t>
      </w:r>
    </w:p>
    <w:p w14:paraId="45137B13">
      <w:pPr>
        <w:spacing w:line="360" w:lineRule="auto"/>
        <w:ind w:firstLine="480" w:firstLineChars="200"/>
        <w:jc w:val="left"/>
        <w:rPr>
          <w:rFonts w:hint="eastAsia" w:ascii="仿宋" w:hAnsi="仿宋" w:eastAsia="仿宋" w:cs="仿宋"/>
          <w:bCs/>
          <w:highlight w:val="none"/>
        </w:rPr>
      </w:pPr>
      <w:r>
        <w:rPr>
          <w:rFonts w:hint="eastAsia" w:ascii="仿宋" w:hAnsi="仿宋" w:eastAsia="仿宋" w:cs="仿宋"/>
          <w:bCs/>
          <w:highlight w:val="none"/>
        </w:rPr>
        <w:t>2.供应商应于每个季度首月10号前向采购人提交上季度</w:t>
      </w:r>
      <w:r>
        <w:rPr>
          <w:rFonts w:hint="eastAsia" w:ascii="仿宋" w:hAnsi="仿宋" w:eastAsia="仿宋" w:cs="仿宋"/>
          <w:bCs/>
          <w:highlight w:val="none"/>
          <w:lang w:val="en-US" w:eastAsia="zh-CN"/>
        </w:rPr>
        <w:t>成果文件</w:t>
      </w:r>
    </w:p>
    <w:p w14:paraId="6660B2F0">
      <w:pPr>
        <w:numPr>
          <w:ilvl w:val="0"/>
          <w:numId w:val="0"/>
        </w:numPr>
        <w:spacing w:line="360" w:lineRule="auto"/>
        <w:jc w:val="left"/>
        <w:rPr>
          <w:rFonts w:hint="eastAsia" w:ascii="仿宋" w:hAnsi="仿宋" w:eastAsia="仿宋" w:cs="仿宋"/>
          <w:b/>
          <w:bCs w:val="0"/>
          <w:highlight w:val="none"/>
          <w:lang w:val="en-US" w:eastAsia="zh-CN"/>
        </w:rPr>
      </w:pPr>
      <w:r>
        <w:rPr>
          <w:rFonts w:hint="eastAsia" w:ascii="仿宋" w:hAnsi="仿宋" w:eastAsia="仿宋" w:cs="仿宋"/>
          <w:b/>
          <w:bCs w:val="0"/>
          <w:highlight w:val="none"/>
          <w:lang w:val="en-US" w:eastAsia="zh-CN"/>
        </w:rPr>
        <w:t>第三包：</w:t>
      </w:r>
    </w:p>
    <w:p w14:paraId="6FA3951E">
      <w:pPr>
        <w:spacing w:line="360" w:lineRule="auto"/>
        <w:ind w:firstLine="480" w:firstLineChars="200"/>
        <w:jc w:val="left"/>
        <w:rPr>
          <w:rFonts w:hint="default" w:ascii="仿宋" w:hAnsi="仿宋" w:eastAsia="仿宋" w:cs="仿宋"/>
          <w:bCs/>
          <w:highlight w:val="none"/>
          <w:lang w:val="en-US" w:eastAsia="zh-CN"/>
        </w:rPr>
      </w:pPr>
      <w:r>
        <w:rPr>
          <w:rFonts w:hint="eastAsia" w:ascii="仿宋" w:hAnsi="仿宋" w:eastAsia="仿宋" w:cs="仿宋"/>
          <w:bCs/>
          <w:highlight w:val="none"/>
          <w:lang w:val="en-US" w:eastAsia="zh-CN"/>
        </w:rPr>
        <w:t>（1）生态环境监测：具有CMA认证的监测报告，包括盖章纸质版(1正3副)、盖章扫描版及电子版Word。</w:t>
      </w:r>
    </w:p>
    <w:p w14:paraId="6F23AE4B">
      <w:pPr>
        <w:pStyle w:val="4"/>
        <w:spacing w:after="0" w:line="360" w:lineRule="auto"/>
        <w:ind w:firstLine="480" w:firstLineChars="200"/>
        <w:rPr>
          <w:rFonts w:hint="eastAsia" w:ascii="仿宋" w:hAnsi="仿宋" w:eastAsia="仿宋" w:cs="仿宋"/>
          <w:bCs/>
          <w:kern w:val="0"/>
          <w:sz w:val="24"/>
          <w:szCs w:val="22"/>
        </w:rPr>
      </w:pPr>
      <w:r>
        <w:rPr>
          <w:rFonts w:hint="eastAsia" w:ascii="仿宋" w:hAnsi="仿宋" w:eastAsia="仿宋" w:cs="仿宋"/>
          <w:bCs/>
          <w:kern w:val="0"/>
          <w:sz w:val="24"/>
          <w:szCs w:val="22"/>
        </w:rPr>
        <w:t>3.监测单位开展监测项目监测时，选用分析方法应符合国家环境污染物监测标准、排污许可证、项目环评等文件要求。</w:t>
      </w:r>
    </w:p>
    <w:p w14:paraId="5541BEA9">
      <w:pPr>
        <w:spacing w:line="360" w:lineRule="auto"/>
        <w:ind w:firstLine="480" w:firstLineChars="200"/>
        <w:jc w:val="left"/>
        <w:rPr>
          <w:rFonts w:hint="eastAsia" w:ascii="仿宋" w:hAnsi="仿宋" w:eastAsia="仿宋" w:cs="仿宋"/>
          <w:bCs/>
        </w:rPr>
      </w:pPr>
      <w:r>
        <w:rPr>
          <w:rFonts w:hint="eastAsia" w:ascii="仿宋" w:hAnsi="仿宋" w:eastAsia="仿宋" w:cs="仿宋"/>
          <w:bCs/>
        </w:rPr>
        <w:t>3.车辆、监测人员配备情况供应商自拟。</w:t>
      </w:r>
    </w:p>
    <w:p w14:paraId="75A1B865">
      <w:pPr>
        <w:pStyle w:val="5"/>
        <w:spacing w:line="360" w:lineRule="auto"/>
        <w:rPr>
          <w:rFonts w:hint="eastAsia" w:ascii="仿宋" w:hAnsi="仿宋" w:eastAsia="仿宋" w:cs="仿宋"/>
          <w:b/>
          <w:bCs/>
          <w:sz w:val="24"/>
          <w:szCs w:val="24"/>
        </w:rPr>
      </w:pPr>
      <w:r>
        <w:rPr>
          <w:rFonts w:hint="eastAsia" w:ascii="仿宋" w:hAnsi="仿宋" w:eastAsia="仿宋" w:cs="仿宋"/>
          <w:b/>
          <w:bCs/>
          <w:sz w:val="24"/>
          <w:szCs w:val="24"/>
        </w:rPr>
        <w:t>四、其他要求</w:t>
      </w:r>
    </w:p>
    <w:p w14:paraId="11C0911E">
      <w:pPr>
        <w:pStyle w:val="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1.如因供应商无法完成监测工作或监测人员不充足，造成监测工作拖延，不能按时提交成果报告的，采购人有权解除合同，重新选择供应商。</w:t>
      </w:r>
    </w:p>
    <w:p w14:paraId="344D5A04">
      <w:pPr>
        <w:pStyle w:val="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2.供应商提交的监测成果报告须接受第三方监测机构复检，若复检结果与成果报告误差较大，采购人有权解除合同，重新选择供应商。</w:t>
      </w:r>
    </w:p>
    <w:p w14:paraId="2B57B4F3">
      <w:pPr>
        <w:pStyle w:val="5"/>
        <w:spacing w:line="360" w:lineRule="auto"/>
        <w:ind w:firstLine="480" w:firstLineChars="200"/>
      </w:pPr>
      <w:r>
        <w:rPr>
          <w:rFonts w:hint="eastAsia" w:ascii="仿宋" w:hAnsi="仿宋" w:eastAsia="仿宋" w:cs="仿宋"/>
          <w:sz w:val="24"/>
          <w:szCs w:val="24"/>
        </w:rPr>
        <w:t>3.供应商不能按时交通成果报告，采购人延期支付费用。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A9C1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A7CE">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D39A7CE">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803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pt;height:144pt;width:144pt;mso-position-horizontal:outside;mso-position-horizontal-relative:margin;mso-wrap-style:none;z-index:251659264;mso-width-relative:page;mso-height-relative:page;" filled="f" stroked="f" coordsize="21600,21600" o:gfxdata="UEsDBAoAAAAAAIdO4kAAAAAAAAAAAAAAAAAEAAAAZHJzL1BLAwQUAAAACACHTuJA1i8HGdMAAAAI&#10;AQAADwAAAGRycy9kb3ducmV2LnhtbE2PwU7DMBBE70j8g7VI3Fq7JUJRiFOJinBEouHA0Y2XJG28&#10;jmw3DX/PcoLbW81odqbcLW4UM4Y4eNKwWSsQSK23A3UaPpp6lYOIyZA1oyfU8I0RdtXtTWkK66/0&#10;jvMhdYJDKBZGQ5/SVEgZ2x6diWs/IbH25YMzic/QSRvMlcPdKLdKPUpnBuIPvZlw32N7Plychn3d&#10;NGHGGMZPfK0fTm/PGb4sWt/fbdQTiIRL+jPDb32uDhV3OvoL2ShGDTwkaVhlioHlbZ4zHBkyBlmV&#10;8v+A6gdQSwMEFAAAAAgAh07iQPWLh2QyAgAAY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WLwcZ0wAAAAgBAAAPAAAAAAAAAAEAIAAAACIAAABkcnMvZG93bnJldi54bWxQSwEC&#10;FAAUAAAACACHTuJA9YuHZDICAABhBAAADgAAAAAAAAABACAAAAAiAQAAZHJzL2Uyb0RvYy54bWxQ&#10;SwUGAAAAAAYABgBZAQAAxgUAAAAA&#10;">
              <v:fill on="f" focussize="0,0"/>
              <v:stroke on="f" weight="0.5pt"/>
              <v:imagedata o:title=""/>
              <o:lock v:ext="edit" aspectratio="f"/>
              <v:textbox inset="0mm,0mm,0mm,0mm" style="mso-fit-shape-to-text:t;">
                <w:txbxContent>
                  <w:p w14:paraId="118F803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5048">
    <w:pPr>
      <w:pStyle w:val="6"/>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84F95"/>
    <w:rsid w:val="19684F95"/>
    <w:rsid w:val="200B0D98"/>
    <w:rsid w:val="49DB37BB"/>
    <w:rsid w:val="7605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Times New Roman" w:eastAsia="宋体" w:cstheme="minorBidi"/>
      <w:sz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hAnsi="宋体" w:cs="Times New Roman"/>
      <w:b/>
      <w:bCs/>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00" w:lineRule="auto"/>
      <w:ind w:firstLine="420" w:firstLineChars="200"/>
    </w:pPr>
    <w:rPr>
      <w:rFonts w:ascii="Times New Roman"/>
      <w:kern w:val="2"/>
      <w:sz w:val="21"/>
      <w:szCs w:val="24"/>
    </w:rPr>
  </w:style>
  <w:style w:type="paragraph" w:styleId="4">
    <w:name w:val="Body Text"/>
    <w:basedOn w:val="1"/>
    <w:next w:val="1"/>
    <w:qFormat/>
    <w:uiPriority w:val="0"/>
    <w:pPr>
      <w:spacing w:after="120"/>
    </w:pPr>
    <w:rPr>
      <w:rFonts w:ascii="Times New Roman"/>
      <w:kern w:val="2"/>
      <w:sz w:val="21"/>
    </w:r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000000" w:sz="6" w:space="1"/>
      </w:pBdr>
      <w:tabs>
        <w:tab w:val="center" w:pos="4153"/>
        <w:tab w:val="right" w:pos="8306"/>
      </w:tabs>
      <w:snapToGrid w:val="0"/>
      <w:jc w:val="center"/>
    </w:pPr>
    <w:rPr>
      <w:rFonts w:ascii="Times New Roman"/>
      <w:kern w:val="2"/>
      <w:sz w:val="18"/>
      <w:szCs w:val="18"/>
    </w:rPr>
  </w:style>
  <w:style w:type="character" w:customStyle="1" w:styleId="9">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2007</Words>
  <Characters>2055</Characters>
  <Lines>0</Lines>
  <Paragraphs>0</Paragraphs>
  <TotalTime>0</TotalTime>
  <ScaleCrop>false</ScaleCrop>
  <LinksUpToDate>false</LinksUpToDate>
  <CharactersWithSpaces>2056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2025-07-31T08:51:00Z</dcterms:created>
  <dc:creator>echo</dc:creator>
  <cp:lastModifiedBy>echo</cp:lastModifiedBy>
  <dcterms:modified xsi:type="dcterms:W3CDTF">2025-08-01T07:52:19Z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EF8B63910CF044DABD68B3C9EF8B9879_11</vt:lpwstr>
  </property>
  <property fmtid="{D5CDD505-2E9C-101B-9397-08002B2CF9AE}" pid="4" name="KSOTemplateDocerSaveRecord">
    <vt:lpwstr>eyJoZGlkIjoiMTU1MjA4MDE1M2UyNDQ5OTZmNTY2MzZkYzY2NjJiOTQiLCJ1c2VySWQiOiIyNDg2NTg2NDAifQ==</vt:lpwstr>
  </property>
</Properties>
</file>