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
        <w:gridCol w:w="641"/>
        <w:gridCol w:w="7466"/>
      </w:tblGrid>
      <w:tr w14:paraId="48CE5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7A9BDB">
            <w:pPr>
              <w:pStyle w:val="4"/>
            </w:pPr>
            <w:r>
              <w:rPr>
                <w:rFonts w:ascii="仿宋_GB2312" w:hAnsi="仿宋_GB2312" w:eastAsia="仿宋_GB2312" w:cs="仿宋_GB2312"/>
              </w:rPr>
              <w:t>序号</w:t>
            </w:r>
          </w:p>
        </w:tc>
        <w:tc>
          <w:tcPr>
            <w:tcW w:w="641" w:type="dxa"/>
          </w:tcPr>
          <w:p w14:paraId="7991D32B">
            <w:pPr>
              <w:pStyle w:val="4"/>
            </w:pPr>
            <w:r>
              <w:rPr>
                <w:rFonts w:ascii="仿宋_GB2312" w:hAnsi="仿宋_GB2312" w:eastAsia="仿宋_GB2312" w:cs="仿宋_GB2312"/>
              </w:rPr>
              <w:t>参数性质</w:t>
            </w:r>
          </w:p>
        </w:tc>
        <w:tc>
          <w:tcPr>
            <w:tcW w:w="7466" w:type="dxa"/>
          </w:tcPr>
          <w:p w14:paraId="3D0A0341">
            <w:pPr>
              <w:pStyle w:val="4"/>
            </w:pPr>
            <w:r>
              <w:rPr>
                <w:rFonts w:ascii="仿宋_GB2312" w:hAnsi="仿宋_GB2312" w:eastAsia="仿宋_GB2312" w:cs="仿宋_GB2312"/>
              </w:rPr>
              <w:t xml:space="preserve"> 技术参数与性能指标</w:t>
            </w:r>
          </w:p>
        </w:tc>
      </w:tr>
      <w:tr w14:paraId="232DF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8EAD2E">
            <w:pPr>
              <w:pStyle w:val="4"/>
            </w:pPr>
            <w:r>
              <w:rPr>
                <w:rFonts w:ascii="仿宋_GB2312" w:hAnsi="仿宋_GB2312" w:eastAsia="仿宋_GB2312" w:cs="仿宋_GB2312"/>
              </w:rPr>
              <w:t>1</w:t>
            </w:r>
          </w:p>
        </w:tc>
        <w:tc>
          <w:tcPr>
            <w:tcW w:w="641" w:type="dxa"/>
          </w:tcPr>
          <w:p w14:paraId="361A3A79"/>
        </w:tc>
        <w:tc>
          <w:tcPr>
            <w:tcW w:w="7466" w:type="dxa"/>
          </w:tcPr>
          <w:p w14:paraId="0CA781A4">
            <w:pPr>
              <w:pStyle w:val="4"/>
              <w:jc w:val="both"/>
            </w:pPr>
            <w:r>
              <w:rPr>
                <w:rFonts w:ascii="仿宋_GB2312" w:hAnsi="仿宋_GB2312" w:eastAsia="仿宋_GB2312" w:cs="仿宋_GB2312"/>
                <w:b/>
                <w:color w:val="000000"/>
                <w:sz w:val="24"/>
              </w:rPr>
              <w:t>一、项目概述</w:t>
            </w:r>
          </w:p>
          <w:p w14:paraId="28C00F97">
            <w:pPr>
              <w:pStyle w:val="4"/>
              <w:jc w:val="both"/>
            </w:pPr>
            <w:r>
              <w:rPr>
                <w:rFonts w:ascii="仿宋_GB2312" w:hAnsi="仿宋_GB2312" w:eastAsia="仿宋_GB2312" w:cs="仿宋_GB2312"/>
                <w:color w:val="000000"/>
                <w:sz w:val="24"/>
              </w:rPr>
              <w:t>1、项目名称：西安邮电大学中文纸质图书采购项目</w:t>
            </w:r>
          </w:p>
          <w:p w14:paraId="43659FE9">
            <w:pPr>
              <w:pStyle w:val="4"/>
              <w:jc w:val="both"/>
            </w:pPr>
            <w:r>
              <w:rPr>
                <w:rFonts w:ascii="仿宋_GB2312" w:hAnsi="仿宋_GB2312" w:eastAsia="仿宋_GB2312" w:cs="仿宋_GB2312"/>
                <w:color w:val="000000"/>
                <w:sz w:val="24"/>
              </w:rPr>
              <w:t>2、采购内容：本采购包1主要采购语言文字、文学、艺术、历史地理、综合性图书等纸质图书[H-K、Z]。</w:t>
            </w:r>
          </w:p>
          <w:p w14:paraId="6B660B7D">
            <w:pPr>
              <w:pStyle w:val="4"/>
              <w:jc w:val="both"/>
            </w:pPr>
            <w:r>
              <w:rPr>
                <w:rFonts w:ascii="仿宋_GB2312" w:hAnsi="仿宋_GB2312" w:eastAsia="仿宋_GB2312" w:cs="仿宋_GB2312"/>
                <w:color w:val="000000"/>
                <w:sz w:val="24"/>
              </w:rPr>
              <w:t>3、报价方式：投标人须综合考虑各种因素、客观合理的报出给予采购方的供货价格折扣率。</w:t>
            </w:r>
          </w:p>
          <w:p w14:paraId="02F405AC">
            <w:pPr>
              <w:pStyle w:val="4"/>
              <w:jc w:val="both"/>
            </w:pPr>
            <w:r>
              <w:rPr>
                <w:rFonts w:ascii="仿宋_GB2312" w:hAnsi="仿宋_GB2312" w:eastAsia="仿宋_GB2312" w:cs="仿宋_GB2312"/>
                <w:color w:val="000000"/>
                <w:sz w:val="24"/>
              </w:rPr>
              <w:t>4、采购方式：主要通过书目采购、现场采购两种方式进行。</w:t>
            </w:r>
          </w:p>
          <w:p w14:paraId="3F52F550">
            <w:pPr>
              <w:pStyle w:val="4"/>
              <w:jc w:val="both"/>
            </w:pPr>
            <w:r>
              <w:rPr>
                <w:rFonts w:ascii="仿宋_GB2312" w:hAnsi="仿宋_GB2312" w:eastAsia="仿宋_GB2312" w:cs="仿宋_GB2312"/>
                <w:color w:val="000000"/>
                <w:sz w:val="24"/>
              </w:rPr>
              <w:t>5、验收方式：采购方以实际发出的订单为准，按订单批次进行信息化精准验收，出具初验报告；国资处于项目执行结束时进行项目总体验收。</w:t>
            </w:r>
          </w:p>
          <w:p w14:paraId="7582F2FA">
            <w:pPr>
              <w:pStyle w:val="4"/>
            </w:pPr>
            <w:r>
              <w:rPr>
                <w:rFonts w:ascii="仿宋_GB2312" w:hAnsi="仿宋_GB2312" w:eastAsia="仿宋_GB2312" w:cs="仿宋_GB2312"/>
                <w:color w:val="000000"/>
                <w:sz w:val="24"/>
              </w:rPr>
              <w:t>6、结算方式：采购方进行分批验收后，按实际验收图书的实洋与中标人进行分批结算。</w:t>
            </w:r>
          </w:p>
        </w:tc>
      </w:tr>
      <w:tr w14:paraId="4D56F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884518">
            <w:pPr>
              <w:pStyle w:val="4"/>
            </w:pPr>
            <w:r>
              <w:rPr>
                <w:rFonts w:ascii="仿宋_GB2312" w:hAnsi="仿宋_GB2312" w:eastAsia="仿宋_GB2312" w:cs="仿宋_GB2312"/>
              </w:rPr>
              <w:t>2</w:t>
            </w:r>
          </w:p>
        </w:tc>
        <w:tc>
          <w:tcPr>
            <w:tcW w:w="641" w:type="dxa"/>
          </w:tcPr>
          <w:p w14:paraId="62D0173A"/>
        </w:tc>
        <w:tc>
          <w:tcPr>
            <w:tcW w:w="7466" w:type="dxa"/>
          </w:tcPr>
          <w:p w14:paraId="22FA8FEA">
            <w:pPr>
              <w:pStyle w:val="4"/>
              <w:jc w:val="both"/>
            </w:pPr>
            <w:r>
              <w:rPr>
                <w:rFonts w:ascii="仿宋_GB2312" w:hAnsi="仿宋_GB2312" w:eastAsia="仿宋_GB2312" w:cs="仿宋_GB2312"/>
                <w:b/>
                <w:color w:val="000000"/>
                <w:sz w:val="24"/>
              </w:rPr>
              <w:t>二、具体采购内容及方式</w:t>
            </w:r>
          </w:p>
          <w:p w14:paraId="0F49ADBE">
            <w:pPr>
              <w:pStyle w:val="4"/>
              <w:jc w:val="both"/>
            </w:pPr>
            <w:r>
              <w:rPr>
                <w:rFonts w:ascii="仿宋_GB2312" w:hAnsi="仿宋_GB2312" w:eastAsia="仿宋_GB2312" w:cs="仿宋_GB2312"/>
                <w:color w:val="000000"/>
                <w:sz w:val="24"/>
              </w:rPr>
              <w:t>1、采购内容：符合采购人专业设置及学科建设要求，以2024年8月以后出版的图书为主，其他时间出版的图书不超过20%。</w:t>
            </w:r>
          </w:p>
          <w:p w14:paraId="4C88EB6E">
            <w:pPr>
              <w:pStyle w:val="4"/>
              <w:ind w:firstLine="480"/>
              <w:jc w:val="center"/>
            </w:pPr>
            <w:r>
              <w:rPr>
                <w:rFonts w:ascii="仿宋_GB2312" w:hAnsi="仿宋_GB2312" w:eastAsia="仿宋_GB2312" w:cs="仿宋_GB2312"/>
                <w:b/>
                <w:color w:val="000000"/>
                <w:sz w:val="24"/>
              </w:rPr>
              <w:t>采购人专业设置</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70"/>
              <w:gridCol w:w="5879"/>
            </w:tblGrid>
            <w:tr w14:paraId="532E9B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E552EA">
                  <w:pPr>
                    <w:pStyle w:val="4"/>
                    <w:jc w:val="center"/>
                  </w:pPr>
                  <w:r>
                    <w:rPr>
                      <w:rFonts w:ascii="仿宋_GB2312" w:hAnsi="仿宋_GB2312" w:eastAsia="仿宋_GB2312" w:cs="仿宋_GB2312"/>
                      <w:color w:val="000000"/>
                      <w:sz w:val="24"/>
                    </w:rPr>
                    <w:t>学院</w:t>
                  </w:r>
                </w:p>
              </w:tc>
              <w:tc>
                <w:tcPr>
                  <w:tcW w:w="405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81BC9CB">
                  <w:pPr>
                    <w:pStyle w:val="4"/>
                    <w:jc w:val="center"/>
                  </w:pPr>
                  <w:r>
                    <w:rPr>
                      <w:rFonts w:ascii="仿宋_GB2312" w:hAnsi="仿宋_GB2312" w:eastAsia="仿宋_GB2312" w:cs="仿宋_GB2312"/>
                      <w:color w:val="000000"/>
                      <w:sz w:val="24"/>
                    </w:rPr>
                    <w:t>专业</w:t>
                  </w:r>
                </w:p>
              </w:tc>
            </w:tr>
            <w:tr w14:paraId="1C7E2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644678">
                  <w:pPr>
                    <w:pStyle w:val="4"/>
                  </w:pPr>
                  <w:r>
                    <w:rPr>
                      <w:rFonts w:ascii="仿宋_GB2312" w:hAnsi="仿宋_GB2312" w:eastAsia="仿宋_GB2312" w:cs="仿宋_GB2312"/>
                      <w:color w:val="000000"/>
                      <w:sz w:val="24"/>
                    </w:rPr>
                    <w:t>人文与外国语学院</w:t>
                  </w:r>
                </w:p>
              </w:tc>
              <w:tc>
                <w:tcPr>
                  <w:tcW w:w="405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306538">
                  <w:pPr>
                    <w:pStyle w:val="4"/>
                  </w:pPr>
                  <w:r>
                    <w:rPr>
                      <w:rFonts w:ascii="仿宋_GB2312" w:hAnsi="仿宋_GB2312" w:eastAsia="仿宋_GB2312" w:cs="仿宋_GB2312"/>
                      <w:color w:val="000000"/>
                      <w:sz w:val="24"/>
                    </w:rPr>
                    <w:t>英语、商务英语、公共事业管理、行政管理</w:t>
                  </w:r>
                </w:p>
              </w:tc>
            </w:tr>
            <w:tr w14:paraId="27448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2C7E8">
                  <w:pPr>
                    <w:pStyle w:val="4"/>
                  </w:pPr>
                  <w:r>
                    <w:rPr>
                      <w:rFonts w:ascii="仿宋_GB2312" w:hAnsi="仿宋_GB2312" w:eastAsia="仿宋_GB2312" w:cs="仿宋_GB2312"/>
                      <w:color w:val="000000"/>
                      <w:sz w:val="24"/>
                    </w:rPr>
                    <w:t>数字艺术学院</w:t>
                  </w:r>
                </w:p>
              </w:tc>
              <w:tc>
                <w:tcPr>
                  <w:tcW w:w="405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FAB7E">
                  <w:pPr>
                    <w:pStyle w:val="4"/>
                  </w:pPr>
                  <w:r>
                    <w:rPr>
                      <w:rFonts w:ascii="仿宋_GB2312" w:hAnsi="仿宋_GB2312" w:eastAsia="仿宋_GB2312" w:cs="仿宋_GB2312"/>
                      <w:color w:val="000000"/>
                      <w:sz w:val="24"/>
                    </w:rPr>
                    <w:t>网络与新媒体、数字媒体艺术</w:t>
                  </w:r>
                </w:p>
              </w:tc>
            </w:tr>
          </w:tbl>
          <w:p w14:paraId="1C32FBA6"/>
        </w:tc>
      </w:tr>
      <w:tr w14:paraId="5FECE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FBBA55">
            <w:pPr>
              <w:pStyle w:val="4"/>
            </w:pPr>
            <w:r>
              <w:rPr>
                <w:rFonts w:ascii="仿宋_GB2312" w:hAnsi="仿宋_GB2312" w:eastAsia="仿宋_GB2312" w:cs="仿宋_GB2312"/>
              </w:rPr>
              <w:t>3</w:t>
            </w:r>
          </w:p>
        </w:tc>
        <w:tc>
          <w:tcPr>
            <w:tcW w:w="641" w:type="dxa"/>
          </w:tcPr>
          <w:p w14:paraId="000CEF42"/>
        </w:tc>
        <w:tc>
          <w:tcPr>
            <w:tcW w:w="7466" w:type="dxa"/>
          </w:tcPr>
          <w:p w14:paraId="352E2AFF">
            <w:pPr>
              <w:pStyle w:val="4"/>
              <w:jc w:val="both"/>
            </w:pPr>
            <w:r>
              <w:rPr>
                <w:rFonts w:ascii="仿宋_GB2312" w:hAnsi="仿宋_GB2312" w:eastAsia="仿宋_GB2312" w:cs="仿宋_GB2312"/>
                <w:color w:val="000000"/>
                <w:sz w:val="24"/>
              </w:rPr>
              <w:t>2、书目采购要求：中标人须根据采购人的专业、学科设置及具体要求，定期提供适合高校图书馆文献资源建设的新书书目，同时配有当期书目数据说明，包括书目总量、各核心出版社书目数据量；采访书目应剔除小开本、无书脊、袋装、散页、高职高专、中小学教辅、青少年读物等明显不符合高校图书馆入藏要求的图书。</w:t>
            </w:r>
          </w:p>
          <w:p w14:paraId="4651D855">
            <w:pPr>
              <w:pStyle w:val="4"/>
              <w:jc w:val="both"/>
            </w:pPr>
            <w:r>
              <w:rPr>
                <w:rFonts w:ascii="仿宋_GB2312" w:hAnsi="仿宋_GB2312" w:eastAsia="仿宋_GB2312" w:cs="仿宋_GB2312"/>
                <w:color w:val="000000"/>
                <w:sz w:val="24"/>
              </w:rPr>
              <w:t>书目样式如下：</w:t>
            </w:r>
          </w:p>
          <w:tbl>
            <w:tblPr>
              <w:tblStyle w:val="2"/>
              <w:tblW w:w="7471"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1135"/>
              <w:gridCol w:w="547"/>
              <w:gridCol w:w="900"/>
              <w:gridCol w:w="750"/>
              <w:gridCol w:w="1093"/>
              <w:gridCol w:w="450"/>
              <w:gridCol w:w="884"/>
              <w:gridCol w:w="429"/>
              <w:gridCol w:w="430"/>
            </w:tblGrid>
            <w:tr w14:paraId="60B961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E007AD">
                  <w:pPr>
                    <w:pStyle w:val="4"/>
                    <w:jc w:val="center"/>
                  </w:pPr>
                  <w:r>
                    <w:rPr>
                      <w:rFonts w:ascii="仿宋_GB2312" w:hAnsi="仿宋_GB2312" w:eastAsia="仿宋_GB2312" w:cs="仿宋_GB2312"/>
                      <w:color w:val="000000"/>
                      <w:sz w:val="22"/>
                    </w:rPr>
                    <w:t>ISBN</w:t>
                  </w:r>
                </w:p>
              </w:tc>
              <w:tc>
                <w:tcPr>
                  <w:tcW w:w="11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1F482F">
                  <w:pPr>
                    <w:pStyle w:val="4"/>
                    <w:jc w:val="center"/>
                  </w:pPr>
                  <w:r>
                    <w:rPr>
                      <w:rFonts w:ascii="仿宋_GB2312" w:hAnsi="仿宋_GB2312" w:eastAsia="仿宋_GB2312" w:cs="仿宋_GB2312"/>
                      <w:color w:val="000000"/>
                      <w:sz w:val="22"/>
                    </w:rPr>
                    <w:t>书名</w:t>
                  </w:r>
                  <w:bookmarkStart w:id="0" w:name="_GoBack"/>
                  <w:bookmarkEnd w:id="0"/>
                </w:p>
              </w:tc>
              <w:tc>
                <w:tcPr>
                  <w:tcW w:w="5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6110D3">
                  <w:pPr>
                    <w:pStyle w:val="4"/>
                    <w:jc w:val="center"/>
                  </w:pPr>
                  <w:r>
                    <w:rPr>
                      <w:rFonts w:ascii="仿宋_GB2312" w:hAnsi="仿宋_GB2312" w:eastAsia="仿宋_GB2312" w:cs="仿宋_GB2312"/>
                      <w:color w:val="000000"/>
                      <w:sz w:val="22"/>
                    </w:rPr>
                    <w:t>定价</w:t>
                  </w:r>
                </w:p>
              </w:tc>
              <w:tc>
                <w:tcPr>
                  <w:tcW w:w="9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B5E820">
                  <w:pPr>
                    <w:pStyle w:val="4"/>
                    <w:jc w:val="center"/>
                  </w:pPr>
                  <w:r>
                    <w:rPr>
                      <w:rFonts w:ascii="仿宋_GB2312" w:hAnsi="仿宋_GB2312" w:eastAsia="仿宋_GB2312" w:cs="仿宋_GB2312"/>
                      <w:color w:val="000000"/>
                      <w:sz w:val="22"/>
                    </w:rPr>
                    <w:t>出版社</w:t>
                  </w:r>
                </w:p>
              </w:tc>
              <w:tc>
                <w:tcPr>
                  <w:tcW w:w="7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7D03AAD">
                  <w:pPr>
                    <w:pStyle w:val="4"/>
                    <w:jc w:val="center"/>
                  </w:pPr>
                  <w:r>
                    <w:rPr>
                      <w:rFonts w:ascii="仿宋_GB2312" w:hAnsi="仿宋_GB2312" w:eastAsia="仿宋_GB2312" w:cs="仿宋_GB2312"/>
                      <w:color w:val="000000"/>
                      <w:sz w:val="22"/>
                    </w:rPr>
                    <w:t>出版</w:t>
                  </w:r>
                </w:p>
                <w:p w14:paraId="74A0EF52">
                  <w:pPr>
                    <w:pStyle w:val="4"/>
                    <w:jc w:val="center"/>
                  </w:pPr>
                  <w:r>
                    <w:rPr>
                      <w:rFonts w:ascii="仿宋_GB2312" w:hAnsi="仿宋_GB2312" w:eastAsia="仿宋_GB2312" w:cs="仿宋_GB2312"/>
                      <w:color w:val="000000"/>
                      <w:sz w:val="22"/>
                    </w:rPr>
                    <w:t>日期</w:t>
                  </w:r>
                </w:p>
              </w:tc>
              <w:tc>
                <w:tcPr>
                  <w:tcW w:w="10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7A6BEC">
                  <w:pPr>
                    <w:pStyle w:val="4"/>
                    <w:jc w:val="center"/>
                  </w:pPr>
                  <w:r>
                    <w:rPr>
                      <w:rFonts w:ascii="仿宋_GB2312" w:hAnsi="仿宋_GB2312" w:eastAsia="仿宋_GB2312" w:cs="仿宋_GB2312"/>
                      <w:color w:val="000000"/>
                      <w:sz w:val="22"/>
                    </w:rPr>
                    <w:t>作者</w:t>
                  </w:r>
                </w:p>
              </w:tc>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7AB994">
                  <w:pPr>
                    <w:pStyle w:val="4"/>
                    <w:jc w:val="center"/>
                  </w:pPr>
                  <w:r>
                    <w:rPr>
                      <w:rFonts w:ascii="仿宋_GB2312" w:hAnsi="仿宋_GB2312" w:eastAsia="仿宋_GB2312" w:cs="仿宋_GB2312"/>
                      <w:color w:val="000000"/>
                      <w:sz w:val="22"/>
                    </w:rPr>
                    <w:t>开本</w:t>
                  </w:r>
                </w:p>
              </w:tc>
              <w:tc>
                <w:tcPr>
                  <w:tcW w:w="88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484ACB">
                  <w:pPr>
                    <w:pStyle w:val="4"/>
                    <w:jc w:val="center"/>
                  </w:pPr>
                  <w:r>
                    <w:rPr>
                      <w:rFonts w:ascii="仿宋_GB2312" w:hAnsi="仿宋_GB2312" w:eastAsia="仿宋_GB2312" w:cs="仿宋_GB2312"/>
                      <w:color w:val="000000"/>
                      <w:sz w:val="22"/>
                    </w:rPr>
                    <w:t>分类号</w:t>
                  </w:r>
                </w:p>
              </w:tc>
              <w:tc>
                <w:tcPr>
                  <w:tcW w:w="4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18F00C">
                  <w:pPr>
                    <w:pStyle w:val="4"/>
                    <w:jc w:val="center"/>
                  </w:pPr>
                  <w:r>
                    <w:rPr>
                      <w:rFonts w:ascii="仿宋_GB2312" w:hAnsi="仿宋_GB2312" w:eastAsia="仿宋_GB2312" w:cs="仿宋_GB2312"/>
                      <w:color w:val="000000"/>
                      <w:sz w:val="22"/>
                    </w:rPr>
                    <w:t>类别</w:t>
                  </w:r>
                </w:p>
              </w:tc>
              <w:tc>
                <w:tcPr>
                  <w:tcW w:w="4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8C4AAF">
                  <w:pPr>
                    <w:pStyle w:val="4"/>
                    <w:jc w:val="center"/>
                  </w:pPr>
                  <w:r>
                    <w:rPr>
                      <w:rFonts w:ascii="仿宋_GB2312" w:hAnsi="仿宋_GB2312" w:eastAsia="仿宋_GB2312" w:cs="仿宋_GB2312"/>
                      <w:color w:val="000000"/>
                      <w:sz w:val="22"/>
                    </w:rPr>
                    <w:t>版次</w:t>
                  </w:r>
                </w:p>
              </w:tc>
            </w:tr>
            <w:tr w14:paraId="071348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BFB17">
                  <w:pPr>
                    <w:pStyle w:val="4"/>
                    <w:jc w:val="center"/>
                  </w:pPr>
                  <w:r>
                    <w:rPr>
                      <w:rFonts w:ascii="仿宋_GB2312" w:hAnsi="仿宋_GB2312" w:eastAsia="仿宋_GB2312" w:cs="仿宋_GB2312"/>
                      <w:color w:val="000000"/>
                      <w:sz w:val="22"/>
                    </w:rPr>
                    <w:t>9787122326478</w:t>
                  </w:r>
                </w:p>
              </w:tc>
              <w:tc>
                <w:tcPr>
                  <w:tcW w:w="1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9B5870">
                  <w:pPr>
                    <w:pStyle w:val="4"/>
                    <w:jc w:val="center"/>
                  </w:pPr>
                  <w:r>
                    <w:rPr>
                      <w:rFonts w:ascii="仿宋_GB2312" w:hAnsi="仿宋_GB2312" w:eastAsia="仿宋_GB2312" w:cs="仿宋_GB2312"/>
                      <w:color w:val="000000"/>
                      <w:sz w:val="22"/>
                    </w:rPr>
                    <w:t>光通信用半导体激光器</w:t>
                  </w:r>
                </w:p>
              </w:tc>
              <w:tc>
                <w:tcPr>
                  <w:tcW w:w="5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977DB2">
                  <w:pPr>
                    <w:pStyle w:val="4"/>
                    <w:jc w:val="center"/>
                  </w:pPr>
                  <w:r>
                    <w:rPr>
                      <w:rFonts w:ascii="仿宋_GB2312" w:hAnsi="仿宋_GB2312" w:eastAsia="仿宋_GB2312" w:cs="仿宋_GB2312"/>
                      <w:color w:val="000000"/>
                      <w:sz w:val="22"/>
                    </w:rPr>
                    <w:t>99.00</w:t>
                  </w:r>
                </w:p>
              </w:tc>
              <w:tc>
                <w:tcPr>
                  <w:tcW w:w="9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E1E289">
                  <w:pPr>
                    <w:pStyle w:val="4"/>
                    <w:jc w:val="center"/>
                  </w:pPr>
                  <w:r>
                    <w:rPr>
                      <w:rFonts w:ascii="仿宋_GB2312" w:hAnsi="仿宋_GB2312" w:eastAsia="仿宋_GB2312" w:cs="仿宋_GB2312"/>
                      <w:color w:val="000000"/>
                      <w:sz w:val="22"/>
                    </w:rPr>
                    <w:t>人民邮电出版社</w:t>
                  </w:r>
                </w:p>
              </w:tc>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12E4E8">
                  <w:pPr>
                    <w:pStyle w:val="4"/>
                    <w:jc w:val="center"/>
                  </w:pPr>
                  <w:r>
                    <w:rPr>
                      <w:rFonts w:ascii="仿宋_GB2312" w:hAnsi="仿宋_GB2312" w:eastAsia="仿宋_GB2312" w:cs="仿宋_GB2312"/>
                      <w:color w:val="000000"/>
                      <w:sz w:val="22"/>
                    </w:rPr>
                    <w:t>201905</w:t>
                  </w:r>
                </w:p>
              </w:tc>
              <w:tc>
                <w:tcPr>
                  <w:tcW w:w="10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58AAA">
                  <w:pPr>
                    <w:pStyle w:val="4"/>
                    <w:jc w:val="center"/>
                  </w:pPr>
                  <w:r>
                    <w:rPr>
                      <w:rFonts w:ascii="仿宋_GB2312" w:hAnsi="仿宋_GB2312" w:eastAsia="仿宋_GB2312" w:cs="仿宋_GB2312"/>
                      <w:color w:val="000000"/>
                      <w:sz w:val="22"/>
                    </w:rPr>
                    <w:t>David J. Klotzkin</w:t>
                  </w:r>
                </w:p>
              </w:tc>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4C389B">
                  <w:pPr>
                    <w:pStyle w:val="4"/>
                    <w:jc w:val="center"/>
                  </w:pPr>
                  <w:r>
                    <w:rPr>
                      <w:rFonts w:ascii="仿宋_GB2312" w:hAnsi="仿宋_GB2312" w:eastAsia="仿宋_GB2312" w:cs="仿宋_GB2312"/>
                      <w:color w:val="000000"/>
                      <w:sz w:val="22"/>
                    </w:rPr>
                    <w:t>24</w:t>
                  </w:r>
                </w:p>
                <w:p w14:paraId="75F8921C">
                  <w:pPr>
                    <w:pStyle w:val="4"/>
                    <w:jc w:val="center"/>
                  </w:pPr>
                  <w:r>
                    <w:rPr>
                      <w:rFonts w:ascii="仿宋_GB2312" w:hAnsi="仿宋_GB2312" w:eastAsia="仿宋_GB2312" w:cs="仿宋_GB2312"/>
                      <w:color w:val="000000"/>
                      <w:sz w:val="22"/>
                    </w:rPr>
                    <w:t>cm</w:t>
                  </w:r>
                </w:p>
              </w:tc>
              <w:tc>
                <w:tcPr>
                  <w:tcW w:w="8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BF8EB">
                  <w:pPr>
                    <w:pStyle w:val="4"/>
                    <w:jc w:val="center"/>
                  </w:pPr>
                  <w:r>
                    <w:rPr>
                      <w:rFonts w:ascii="仿宋_GB2312" w:hAnsi="仿宋_GB2312" w:eastAsia="仿宋_GB2312" w:cs="仿宋_GB2312"/>
                      <w:color w:val="000000"/>
                      <w:sz w:val="22"/>
                    </w:rPr>
                    <w:t>TN248.4</w:t>
                  </w:r>
                </w:p>
              </w:tc>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5CC382">
                  <w:pPr>
                    <w:pStyle w:val="4"/>
                    <w:jc w:val="center"/>
                  </w:pPr>
                  <w:r>
                    <w:rPr>
                      <w:rFonts w:ascii="仿宋_GB2312" w:hAnsi="仿宋_GB2312" w:eastAsia="仿宋_GB2312" w:cs="仿宋_GB2312"/>
                      <w:color w:val="000000"/>
                      <w:sz w:val="22"/>
                    </w:rPr>
                    <w:t>光通信</w:t>
                  </w:r>
                </w:p>
              </w:tc>
              <w:tc>
                <w:tcPr>
                  <w:tcW w:w="4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CAB6AB">
                  <w:pPr>
                    <w:pStyle w:val="4"/>
                    <w:jc w:val="center"/>
                  </w:pPr>
                  <w:r>
                    <w:rPr>
                      <w:rFonts w:ascii="仿宋_GB2312" w:hAnsi="仿宋_GB2312" w:eastAsia="仿宋_GB2312" w:cs="仿宋_GB2312"/>
                      <w:color w:val="000000"/>
                      <w:sz w:val="22"/>
                    </w:rPr>
                    <w:t>初版</w:t>
                  </w:r>
                </w:p>
              </w:tc>
            </w:tr>
          </w:tbl>
          <w:p w14:paraId="17BA3DFC"/>
        </w:tc>
      </w:tr>
      <w:tr w14:paraId="76CC5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CFF568">
            <w:pPr>
              <w:pStyle w:val="4"/>
            </w:pPr>
            <w:r>
              <w:rPr>
                <w:rFonts w:ascii="仿宋_GB2312" w:hAnsi="仿宋_GB2312" w:eastAsia="仿宋_GB2312" w:cs="仿宋_GB2312"/>
              </w:rPr>
              <w:t>4</w:t>
            </w:r>
          </w:p>
        </w:tc>
        <w:tc>
          <w:tcPr>
            <w:tcW w:w="641" w:type="dxa"/>
          </w:tcPr>
          <w:p w14:paraId="621F07CB"/>
        </w:tc>
        <w:tc>
          <w:tcPr>
            <w:tcW w:w="7466" w:type="dxa"/>
          </w:tcPr>
          <w:p w14:paraId="64BF7FE3">
            <w:pPr>
              <w:pStyle w:val="4"/>
            </w:pPr>
            <w:r>
              <w:rPr>
                <w:rFonts w:ascii="仿宋_GB2312" w:hAnsi="仿宋_GB2312" w:eastAsia="仿宋_GB2312" w:cs="仿宋_GB2312"/>
                <w:color w:val="000000"/>
                <w:sz w:val="24"/>
              </w:rPr>
              <w:t>3、现场采购：中标人应及时通报全国性大型图书展销会、投标人、出版社举办的现场订货会等信息。</w:t>
            </w:r>
          </w:p>
        </w:tc>
      </w:tr>
      <w:tr w14:paraId="39130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BCF9BF">
            <w:pPr>
              <w:pStyle w:val="4"/>
            </w:pPr>
            <w:r>
              <w:rPr>
                <w:rFonts w:ascii="仿宋_GB2312" w:hAnsi="仿宋_GB2312" w:eastAsia="仿宋_GB2312" w:cs="仿宋_GB2312"/>
              </w:rPr>
              <w:t>5</w:t>
            </w:r>
          </w:p>
        </w:tc>
        <w:tc>
          <w:tcPr>
            <w:tcW w:w="641" w:type="dxa"/>
          </w:tcPr>
          <w:p w14:paraId="60CE2EEB"/>
        </w:tc>
        <w:tc>
          <w:tcPr>
            <w:tcW w:w="7466" w:type="dxa"/>
          </w:tcPr>
          <w:p w14:paraId="5794A426">
            <w:pPr>
              <w:pStyle w:val="4"/>
              <w:jc w:val="both"/>
            </w:pPr>
            <w:r>
              <w:rPr>
                <w:rFonts w:ascii="仿宋_GB2312" w:hAnsi="仿宋_GB2312" w:eastAsia="仿宋_GB2312" w:cs="仿宋_GB2312"/>
                <w:b/>
                <w:color w:val="000000"/>
                <w:sz w:val="24"/>
              </w:rPr>
              <w:t>三、图书配送要求</w:t>
            </w:r>
          </w:p>
          <w:p w14:paraId="49B9537A">
            <w:pPr>
              <w:pStyle w:val="4"/>
              <w:jc w:val="both"/>
            </w:pPr>
            <w:r>
              <w:rPr>
                <w:rFonts w:ascii="仿宋_GB2312" w:hAnsi="仿宋_GB2312" w:eastAsia="仿宋_GB2312" w:cs="仿宋_GB2312"/>
                <w:color w:val="000000"/>
                <w:sz w:val="24"/>
              </w:rPr>
              <w:t>1、中标人须按采购人确认的订单及时间要求配送图书，并免费送至指定地点。</w:t>
            </w:r>
          </w:p>
          <w:p w14:paraId="47FB5B98">
            <w:pPr>
              <w:pStyle w:val="4"/>
              <w:jc w:val="both"/>
            </w:pPr>
            <w:r>
              <w:rPr>
                <w:rFonts w:ascii="仿宋_GB2312" w:hAnsi="仿宋_GB2312" w:eastAsia="仿宋_GB2312" w:cs="仿宋_GB2312"/>
                <w:color w:val="000000"/>
                <w:sz w:val="24"/>
              </w:rPr>
              <w:t>2、中标人须对每批图书提供发货清单、分包清单，发货清单一式二份、内容一致，不得涂改；清单内包括：包号、ISBN、书名、单价、册数、出版时间，多卷书要分开，一包一单；每包有小计，整批图书有合计，合计内容为该批图书的种数、册数和总金额。</w:t>
            </w:r>
          </w:p>
          <w:p w14:paraId="7640D2A7">
            <w:pPr>
              <w:pStyle w:val="4"/>
              <w:jc w:val="both"/>
            </w:pPr>
            <w:r>
              <w:rPr>
                <w:rFonts w:ascii="仿宋_GB2312" w:hAnsi="仿宋_GB2312" w:eastAsia="仿宋_GB2312" w:cs="仿宋_GB2312"/>
                <w:color w:val="000000"/>
                <w:sz w:val="24"/>
              </w:rPr>
              <w:t>3、中标人须在收到订单3个工作日内向采购人反馈订单匹配信息，按采购人要求调整订单数据；</w:t>
            </w:r>
          </w:p>
          <w:p w14:paraId="6F528007">
            <w:pPr>
              <w:pStyle w:val="4"/>
              <w:jc w:val="both"/>
            </w:pPr>
            <w:r>
              <w:rPr>
                <w:rFonts w:ascii="仿宋_GB2312" w:hAnsi="仿宋_GB2312" w:eastAsia="仿宋_GB2312" w:cs="仿宋_GB2312"/>
                <w:color w:val="000000"/>
                <w:sz w:val="24"/>
              </w:rPr>
              <w:t>4、现采图书经采购人确认书单后，中标人应当在10个工作日内完成图书配送，到货率不低于95%；</w:t>
            </w:r>
          </w:p>
          <w:p w14:paraId="4DDCA24F">
            <w:pPr>
              <w:pStyle w:val="4"/>
              <w:jc w:val="both"/>
            </w:pPr>
            <w:r>
              <w:rPr>
                <w:rFonts w:ascii="仿宋_GB2312" w:hAnsi="仿宋_GB2312" w:eastAsia="仿宋_GB2312" w:cs="仿宋_GB2312"/>
                <w:color w:val="000000"/>
                <w:sz w:val="24"/>
              </w:rPr>
              <w:t>5、预定图书（订单配书）自中标人确认收到订单后，20个工作日内应当完成送货，到货率不低于90%；</w:t>
            </w:r>
          </w:p>
          <w:p w14:paraId="01214716">
            <w:pPr>
              <w:pStyle w:val="4"/>
              <w:jc w:val="both"/>
            </w:pPr>
            <w:r>
              <w:rPr>
                <w:rFonts w:ascii="仿宋_GB2312" w:hAnsi="仿宋_GB2312" w:eastAsia="仿宋_GB2312" w:cs="仿宋_GB2312"/>
                <w:color w:val="000000"/>
                <w:sz w:val="24"/>
              </w:rPr>
              <w:t>6、中标人超过其承诺与本标书规定时间送货、但数量和质量与订单相符的，视为下一批次订单；</w:t>
            </w:r>
          </w:p>
          <w:p w14:paraId="534F0A4C">
            <w:pPr>
              <w:pStyle w:val="4"/>
              <w:jc w:val="both"/>
            </w:pPr>
            <w:r>
              <w:rPr>
                <w:rFonts w:ascii="仿宋_GB2312" w:hAnsi="仿宋_GB2312" w:eastAsia="仿宋_GB2312" w:cs="仿宋_GB2312"/>
                <w:b/>
                <w:color w:val="000000"/>
                <w:sz w:val="24"/>
              </w:rPr>
              <w:t>7、本批次到书品种与订单不一致超过5%、或存在严重质量问题的，采购人有权拒绝接受，并视情况决定是否继续采购；</w:t>
            </w:r>
          </w:p>
          <w:p w14:paraId="21079829">
            <w:pPr>
              <w:pStyle w:val="4"/>
              <w:jc w:val="both"/>
            </w:pPr>
            <w:r>
              <w:rPr>
                <w:rFonts w:ascii="仿宋_GB2312" w:hAnsi="仿宋_GB2312" w:eastAsia="仿宋_GB2312" w:cs="仿宋_GB2312"/>
                <w:b/>
                <w:color w:val="000000"/>
                <w:sz w:val="24"/>
              </w:rPr>
              <w:t>8、中标人连续两次没有按时间要求送货的，采购人不再向中标人发单或组织采购；</w:t>
            </w:r>
          </w:p>
          <w:p w14:paraId="47715C34">
            <w:pPr>
              <w:pStyle w:val="4"/>
              <w:jc w:val="both"/>
            </w:pPr>
            <w:r>
              <w:rPr>
                <w:rFonts w:ascii="仿宋_GB2312" w:hAnsi="仿宋_GB2312" w:eastAsia="仿宋_GB2312" w:cs="仿宋_GB2312"/>
                <w:color w:val="000000"/>
                <w:sz w:val="24"/>
              </w:rPr>
              <w:t>9、采购人按批次统计到书率，时间从中标人收到订单次日起算，至5～6条规定的配送期限为止，到书率连续两次低于最终订单90%的，采购人不再向中标人发单或组织采购；</w:t>
            </w:r>
          </w:p>
          <w:p w14:paraId="61FB352E">
            <w:pPr>
              <w:pStyle w:val="4"/>
            </w:pPr>
            <w:r>
              <w:rPr>
                <w:rFonts w:ascii="仿宋_GB2312" w:hAnsi="仿宋_GB2312" w:eastAsia="仿宋_GB2312" w:cs="仿宋_GB2312"/>
                <w:color w:val="000000"/>
                <w:sz w:val="24"/>
              </w:rPr>
              <w:t>10、订单验收结束时，中标人须及时提供未到品种情况说明。</w:t>
            </w:r>
          </w:p>
        </w:tc>
      </w:tr>
      <w:tr w14:paraId="1245E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C1222F">
            <w:pPr>
              <w:pStyle w:val="4"/>
            </w:pPr>
            <w:r>
              <w:rPr>
                <w:rFonts w:ascii="仿宋_GB2312" w:hAnsi="仿宋_GB2312" w:eastAsia="仿宋_GB2312" w:cs="仿宋_GB2312"/>
              </w:rPr>
              <w:t>6</w:t>
            </w:r>
          </w:p>
        </w:tc>
        <w:tc>
          <w:tcPr>
            <w:tcW w:w="641" w:type="dxa"/>
          </w:tcPr>
          <w:p w14:paraId="6FCFE50A"/>
        </w:tc>
        <w:tc>
          <w:tcPr>
            <w:tcW w:w="7466" w:type="dxa"/>
          </w:tcPr>
          <w:p w14:paraId="6DFA7839">
            <w:pPr>
              <w:pStyle w:val="4"/>
              <w:jc w:val="both"/>
            </w:pPr>
            <w:r>
              <w:rPr>
                <w:rFonts w:ascii="仿宋_GB2312" w:hAnsi="仿宋_GB2312" w:eastAsia="仿宋_GB2312" w:cs="仿宋_GB2312"/>
                <w:b/>
                <w:color w:val="000000"/>
                <w:sz w:val="24"/>
              </w:rPr>
              <w:t>四、图书质量与验收</w:t>
            </w:r>
          </w:p>
          <w:p w14:paraId="2EBEFAB4">
            <w:pPr>
              <w:pStyle w:val="4"/>
              <w:jc w:val="both"/>
            </w:pPr>
            <w:r>
              <w:rPr>
                <w:rFonts w:ascii="仿宋_GB2312" w:hAnsi="仿宋_GB2312" w:eastAsia="仿宋_GB2312" w:cs="仿宋_GB2312"/>
                <w:color w:val="000000"/>
                <w:sz w:val="24"/>
              </w:rPr>
              <w:t>1、中标人所供图书必须是合法出版物，一旦发现有盗版图书，立即取消供书资格，并承担因此而因起的一切损失和法律责任。</w:t>
            </w:r>
          </w:p>
          <w:p w14:paraId="1935BB40">
            <w:pPr>
              <w:pStyle w:val="4"/>
              <w:jc w:val="both"/>
            </w:pPr>
            <w:r>
              <w:rPr>
                <w:rFonts w:ascii="仿宋_GB2312" w:hAnsi="仿宋_GB2312" w:eastAsia="仿宋_GB2312" w:cs="仿宋_GB2312"/>
                <w:color w:val="000000"/>
                <w:sz w:val="24"/>
              </w:rPr>
              <w:t>2、中标人须保证所配送图书是采购人选订的，且没有污染、图文不清、缺页、倒页、缺附件等质量问题；不合格的图书，无论编目加工与否，采购人均可无条件退回。</w:t>
            </w:r>
          </w:p>
          <w:p w14:paraId="28836840">
            <w:pPr>
              <w:pStyle w:val="4"/>
              <w:jc w:val="both"/>
            </w:pPr>
            <w:r>
              <w:rPr>
                <w:rFonts w:ascii="仿宋_GB2312" w:hAnsi="仿宋_GB2312" w:eastAsia="仿宋_GB2312" w:cs="仿宋_GB2312"/>
                <w:color w:val="000000"/>
                <w:sz w:val="24"/>
              </w:rPr>
              <w:t>3、对单册码洋200元以上、开本小于14cm的图书以及散页、线装、挂图、练习册、实验报告册和非当年出版的考试用书，以及分册三册以上的套书，必须经采购人二次确认方可供书；否则，采购人可以视为中标人自行配书。</w:t>
            </w:r>
          </w:p>
          <w:p w14:paraId="0CFEDA51">
            <w:pPr>
              <w:pStyle w:val="4"/>
              <w:jc w:val="both"/>
            </w:pPr>
            <w:r>
              <w:rPr>
                <w:rFonts w:ascii="仿宋_GB2312" w:hAnsi="仿宋_GB2312" w:eastAsia="仿宋_GB2312" w:cs="仿宋_GB2312"/>
                <w:color w:val="000000"/>
                <w:sz w:val="24"/>
              </w:rPr>
              <w:t>4、所供图书必须在64开本以上、8开以下，且不得散页或活页装订。</w:t>
            </w:r>
          </w:p>
          <w:p w14:paraId="605D2A7E">
            <w:pPr>
              <w:pStyle w:val="4"/>
            </w:pPr>
            <w:r>
              <w:rPr>
                <w:rFonts w:ascii="仿宋_GB2312" w:hAnsi="仿宋_GB2312" w:eastAsia="仿宋_GB2312" w:cs="仿宋_GB2312"/>
                <w:color w:val="000000"/>
                <w:sz w:val="24"/>
              </w:rPr>
              <w:t>5、图书配送到馆后，采购人组织人员按实际发出订单对到书进行信息化精准验收、并对到书内容、装帧等进行复审，对不适合馆藏的图书，中标人须免费提供退回、调换服务。</w:t>
            </w:r>
          </w:p>
        </w:tc>
      </w:tr>
      <w:tr w14:paraId="5CF9E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85BB11">
            <w:pPr>
              <w:pStyle w:val="4"/>
            </w:pPr>
            <w:r>
              <w:rPr>
                <w:rFonts w:ascii="仿宋_GB2312" w:hAnsi="仿宋_GB2312" w:eastAsia="仿宋_GB2312" w:cs="仿宋_GB2312"/>
              </w:rPr>
              <w:t>7</w:t>
            </w:r>
          </w:p>
        </w:tc>
        <w:tc>
          <w:tcPr>
            <w:tcW w:w="641" w:type="dxa"/>
          </w:tcPr>
          <w:p w14:paraId="53F3A32F"/>
        </w:tc>
        <w:tc>
          <w:tcPr>
            <w:tcW w:w="7466" w:type="dxa"/>
          </w:tcPr>
          <w:p w14:paraId="4E6C7BE9">
            <w:pPr>
              <w:pStyle w:val="4"/>
            </w:pPr>
            <w:r>
              <w:rPr>
                <w:rFonts w:ascii="仿宋_GB2312" w:hAnsi="仿宋_GB2312" w:eastAsia="仿宋_GB2312" w:cs="仿宋_GB2312"/>
                <w:b/>
                <w:color w:val="000000"/>
                <w:sz w:val="24"/>
              </w:rPr>
              <w:t>五、采访、编目数据要求</w:t>
            </w:r>
          </w:p>
          <w:p w14:paraId="38092AF0">
            <w:pPr>
              <w:pStyle w:val="4"/>
              <w:ind w:firstLine="480"/>
            </w:pPr>
            <w:r>
              <w:rPr>
                <w:rFonts w:ascii="仿宋_GB2312" w:hAnsi="仿宋_GB2312" w:eastAsia="仿宋_GB2312" w:cs="仿宋_GB2312"/>
                <w:color w:val="000000"/>
                <w:sz w:val="24"/>
              </w:rPr>
              <w:t>1、中标人须为采购人免费提供规范、标准的MARC编目数据，数据以国家图书馆的编目数据为标准。</w:t>
            </w:r>
          </w:p>
          <w:p w14:paraId="11276895">
            <w:pPr>
              <w:pStyle w:val="4"/>
              <w:ind w:firstLine="480"/>
            </w:pPr>
            <w:r>
              <w:rPr>
                <w:rFonts w:ascii="仿宋_GB2312" w:hAnsi="仿宋_GB2312" w:eastAsia="仿宋_GB2312" w:cs="仿宋_GB2312"/>
                <w:color w:val="000000"/>
                <w:sz w:val="24"/>
              </w:rPr>
              <w:t>2、送书同时须发送编目数据，采购人如有发现有缺少或不符合标准MARC编目的数据，中标人应及时补发。</w:t>
            </w:r>
          </w:p>
          <w:p w14:paraId="4ACFA2B9">
            <w:pPr>
              <w:pStyle w:val="4"/>
              <w:ind w:firstLine="480"/>
            </w:pPr>
            <w:r>
              <w:rPr>
                <w:rFonts w:ascii="仿宋_GB2312" w:hAnsi="仿宋_GB2312" w:eastAsia="仿宋_GB2312" w:cs="仿宋_GB2312"/>
                <w:color w:val="000000"/>
                <w:sz w:val="24"/>
              </w:rPr>
              <w:t>3、MARC格式的价格部分需为纯数字；</w:t>
            </w:r>
          </w:p>
          <w:p w14:paraId="372F97E2">
            <w:pPr>
              <w:pStyle w:val="4"/>
              <w:ind w:firstLine="480"/>
            </w:pPr>
            <w:r>
              <w:rPr>
                <w:rFonts w:ascii="仿宋_GB2312" w:hAnsi="仿宋_GB2312" w:eastAsia="仿宋_GB2312" w:cs="仿宋_GB2312"/>
                <w:color w:val="000000"/>
                <w:sz w:val="24"/>
              </w:rPr>
              <w:t>4、对于分为上下册、中英文分册对照的，应将按实际分册单列，并将分册信息加入书名字段部分，多卷书须分别标明整套价和单册价。</w:t>
            </w:r>
          </w:p>
          <w:p w14:paraId="194DD616">
            <w:pPr>
              <w:pStyle w:val="4"/>
              <w:ind w:left="360"/>
              <w:jc w:val="center"/>
            </w:pPr>
            <w:r>
              <w:rPr>
                <w:rFonts w:ascii="仿宋_GB2312" w:hAnsi="仿宋_GB2312" w:eastAsia="仿宋_GB2312" w:cs="仿宋_GB2312"/>
                <w:b/>
                <w:color w:val="000000"/>
                <w:sz w:val="24"/>
              </w:rPr>
              <w:t>中文图书MARC数据格式</w:t>
            </w:r>
          </w:p>
          <w:p w14:paraId="6065EC7C">
            <w:pPr>
              <w:pStyle w:val="4"/>
              <w:ind w:left="360"/>
            </w:pPr>
            <w:r>
              <w:rPr>
                <w:rFonts w:ascii="仿宋_GB2312" w:hAnsi="仿宋_GB2312" w:eastAsia="仿宋_GB2312" w:cs="仿宋_GB2312"/>
                <w:color w:val="000000"/>
                <w:sz w:val="24"/>
              </w:rPr>
              <w:t>001      书目控制号</w:t>
            </w:r>
          </w:p>
          <w:p w14:paraId="76C4843A">
            <w:pPr>
              <w:pStyle w:val="4"/>
              <w:ind w:left="360"/>
            </w:pPr>
            <w:r>
              <w:rPr>
                <w:rFonts w:ascii="仿宋_GB2312" w:hAnsi="仿宋_GB2312" w:eastAsia="仿宋_GB2312" w:cs="仿宋_GB2312"/>
                <w:color w:val="000000"/>
                <w:sz w:val="24"/>
              </w:rPr>
              <w:t xml:space="preserve">005      </w:t>
            </w:r>
          </w:p>
          <w:p w14:paraId="4D8D7A28">
            <w:pPr>
              <w:pStyle w:val="4"/>
              <w:ind w:left="360"/>
            </w:pPr>
            <w:r>
              <w:rPr>
                <w:rFonts w:ascii="仿宋_GB2312" w:hAnsi="仿宋_GB2312" w:eastAsia="仿宋_GB2312" w:cs="仿宋_GB2312"/>
                <w:color w:val="000000"/>
                <w:sz w:val="24"/>
              </w:rPr>
              <w:t>010      @aISBN@z错误的ISBN@dCNY@b装帧</w:t>
            </w:r>
          </w:p>
          <w:p w14:paraId="6DC1D973">
            <w:pPr>
              <w:pStyle w:val="4"/>
              <w:ind w:left="360"/>
            </w:pPr>
            <w:r>
              <w:rPr>
                <w:rFonts w:ascii="仿宋_GB2312" w:hAnsi="仿宋_GB2312" w:eastAsia="仿宋_GB2312" w:cs="仿宋_GB2312"/>
                <w:color w:val="000000"/>
                <w:sz w:val="24"/>
              </w:rPr>
              <w:t>100</w:t>
            </w:r>
          </w:p>
          <w:p w14:paraId="348CF78D">
            <w:pPr>
              <w:pStyle w:val="4"/>
              <w:ind w:left="360"/>
            </w:pPr>
            <w:r>
              <w:rPr>
                <w:rFonts w:ascii="仿宋_GB2312" w:hAnsi="仿宋_GB2312" w:eastAsia="仿宋_GB2312" w:cs="仿宋_GB2312"/>
                <w:color w:val="000000"/>
                <w:sz w:val="24"/>
              </w:rPr>
              <w:t>101  0   @achi(作品为译文时，指示符为1)</w:t>
            </w:r>
          </w:p>
          <w:p w14:paraId="17BDA4CF">
            <w:pPr>
              <w:pStyle w:val="4"/>
              <w:ind w:left="360"/>
            </w:pPr>
            <w:r>
              <w:rPr>
                <w:rFonts w:ascii="仿宋_GB2312" w:hAnsi="仿宋_GB2312" w:eastAsia="仿宋_GB2312" w:cs="仿宋_GB2312"/>
                <w:color w:val="000000"/>
                <w:sz w:val="24"/>
              </w:rPr>
              <w:t>102      @a出版国代码@b出版地代码</w:t>
            </w:r>
          </w:p>
          <w:p w14:paraId="69C24FFD">
            <w:pPr>
              <w:pStyle w:val="4"/>
              <w:ind w:left="360"/>
            </w:pPr>
            <w:r>
              <w:rPr>
                <w:rFonts w:ascii="仿宋_GB2312" w:hAnsi="仿宋_GB2312" w:eastAsia="仿宋_GB2312" w:cs="仿宋_GB2312"/>
                <w:color w:val="000000"/>
                <w:sz w:val="24"/>
              </w:rPr>
              <w:t>105      编码数据字段</w:t>
            </w:r>
          </w:p>
          <w:p w14:paraId="4AADC33E">
            <w:pPr>
              <w:pStyle w:val="4"/>
              <w:ind w:left="360"/>
            </w:pPr>
            <w:r>
              <w:rPr>
                <w:rFonts w:ascii="仿宋_GB2312" w:hAnsi="仿宋_GB2312" w:eastAsia="仿宋_GB2312" w:cs="仿宋_GB2312"/>
                <w:color w:val="000000"/>
                <w:sz w:val="24"/>
              </w:rPr>
              <w:t>106      @a文字资料形态</w:t>
            </w:r>
          </w:p>
          <w:p w14:paraId="364EA154">
            <w:pPr>
              <w:pStyle w:val="4"/>
              <w:ind w:left="360"/>
            </w:pPr>
            <w:r>
              <w:rPr>
                <w:rFonts w:ascii="仿宋_GB2312" w:hAnsi="仿宋_GB2312" w:eastAsia="仿宋_GB2312" w:cs="仿宋_GB2312"/>
                <w:color w:val="000000"/>
                <w:sz w:val="24"/>
              </w:rPr>
              <w:t>200  10  @a正题名@d并列正题名@e副题名@h分卷号@i分卷名</w:t>
            </w:r>
          </w:p>
          <w:p w14:paraId="76D7984C">
            <w:pPr>
              <w:pStyle w:val="4"/>
              <w:ind w:left="360"/>
            </w:pPr>
            <w:r>
              <w:rPr>
                <w:rFonts w:ascii="仿宋_GB2312" w:hAnsi="仿宋_GB2312" w:eastAsia="仿宋_GB2312" w:cs="仿宋_GB2312"/>
                <w:color w:val="000000"/>
                <w:sz w:val="24"/>
              </w:rPr>
              <w:t>205      @a版次@b影印本</w:t>
            </w:r>
          </w:p>
          <w:p w14:paraId="10B7B2BC">
            <w:pPr>
              <w:pStyle w:val="4"/>
              <w:ind w:left="360"/>
            </w:pPr>
            <w:r>
              <w:rPr>
                <w:rFonts w:ascii="仿宋_GB2312" w:hAnsi="仿宋_GB2312" w:eastAsia="仿宋_GB2312" w:cs="仿宋_GB2312"/>
                <w:color w:val="000000"/>
                <w:sz w:val="24"/>
              </w:rPr>
              <w:t>210      @a出版地@c出版社@d出版年月@h重印年月</w:t>
            </w:r>
          </w:p>
          <w:p w14:paraId="7125858B">
            <w:pPr>
              <w:pStyle w:val="4"/>
              <w:ind w:left="360"/>
            </w:pPr>
            <w:r>
              <w:rPr>
                <w:rFonts w:ascii="仿宋_GB2312" w:hAnsi="仿宋_GB2312" w:eastAsia="仿宋_GB2312" w:cs="仿宋_GB2312"/>
                <w:color w:val="000000"/>
                <w:sz w:val="24"/>
              </w:rPr>
              <w:t>215      @a页码@c图@d尺寸@e附件</w:t>
            </w:r>
          </w:p>
          <w:p w14:paraId="0466E1E1">
            <w:pPr>
              <w:pStyle w:val="4"/>
              <w:ind w:left="360"/>
            </w:pPr>
            <w:r>
              <w:rPr>
                <w:rFonts w:ascii="仿宋_GB2312" w:hAnsi="仿宋_GB2312" w:eastAsia="仿宋_GB2312" w:cs="仿宋_GB2312"/>
                <w:color w:val="000000"/>
                <w:sz w:val="24"/>
              </w:rPr>
              <w:t>225  2#  @a丛书名@h分丛书号@i分丛书名@f丛书编者</w:t>
            </w:r>
          </w:p>
          <w:p w14:paraId="014E698D">
            <w:pPr>
              <w:pStyle w:val="4"/>
              <w:ind w:left="360"/>
            </w:pPr>
            <w:r>
              <w:rPr>
                <w:rFonts w:ascii="仿宋_GB2312" w:hAnsi="仿宋_GB2312" w:eastAsia="仿宋_GB2312" w:cs="仿宋_GB2312"/>
                <w:color w:val="000000"/>
                <w:sz w:val="24"/>
              </w:rPr>
              <w:t>300      @a附注项</w:t>
            </w:r>
          </w:p>
          <w:p w14:paraId="16B7B59C">
            <w:pPr>
              <w:pStyle w:val="4"/>
              <w:ind w:left="360"/>
            </w:pPr>
            <w:r>
              <w:rPr>
                <w:rFonts w:ascii="仿宋_GB2312" w:hAnsi="仿宋_GB2312" w:eastAsia="仿宋_GB2312" w:cs="仿宋_GB2312"/>
                <w:color w:val="000000"/>
                <w:sz w:val="24"/>
              </w:rPr>
              <w:t>517      @a其他题名</w:t>
            </w:r>
          </w:p>
          <w:p w14:paraId="0553DD6C">
            <w:pPr>
              <w:pStyle w:val="4"/>
              <w:ind w:left="360"/>
            </w:pPr>
            <w:r>
              <w:rPr>
                <w:rFonts w:ascii="仿宋_GB2312" w:hAnsi="仿宋_GB2312" w:eastAsia="仿宋_GB2312" w:cs="仿宋_GB2312"/>
                <w:color w:val="000000"/>
                <w:sz w:val="24"/>
              </w:rPr>
              <w:t>606      @a普通主题@x复分主题@y地区主题@z时代主题</w:t>
            </w:r>
          </w:p>
          <w:p w14:paraId="46880EF3">
            <w:pPr>
              <w:pStyle w:val="4"/>
              <w:ind w:left="360"/>
            </w:pPr>
            <w:r>
              <w:rPr>
                <w:rFonts w:ascii="仿宋_GB2312" w:hAnsi="仿宋_GB2312" w:eastAsia="仿宋_GB2312" w:cs="仿宋_GB2312"/>
                <w:color w:val="000000"/>
                <w:sz w:val="24"/>
              </w:rPr>
              <w:t>690      @a中图分类号@v5</w:t>
            </w:r>
          </w:p>
          <w:p w14:paraId="1F5CFC4D">
            <w:pPr>
              <w:pStyle w:val="4"/>
              <w:ind w:left="360"/>
            </w:pPr>
            <w:r>
              <w:rPr>
                <w:rFonts w:ascii="仿宋_GB2312" w:hAnsi="仿宋_GB2312" w:eastAsia="仿宋_GB2312" w:cs="仿宋_GB2312"/>
                <w:color w:val="000000"/>
                <w:sz w:val="24"/>
              </w:rPr>
              <w:t>701  #0  @a第一作者名@e国别@4责任方式（西方作者指示符为#1）</w:t>
            </w:r>
          </w:p>
          <w:p w14:paraId="5B3A8FBD">
            <w:pPr>
              <w:pStyle w:val="4"/>
              <w:ind w:left="360"/>
            </w:pPr>
            <w:r>
              <w:rPr>
                <w:rFonts w:ascii="仿宋_GB2312" w:hAnsi="仿宋_GB2312" w:eastAsia="仿宋_GB2312" w:cs="仿宋_GB2312"/>
                <w:color w:val="000000"/>
                <w:sz w:val="24"/>
              </w:rPr>
              <w:t>702  #0  @a第二作者名@e国别@4责任方式（西方作者指示符为#1）</w:t>
            </w:r>
          </w:p>
          <w:p w14:paraId="5AD9B2C9">
            <w:pPr>
              <w:pStyle w:val="4"/>
              <w:ind w:left="360"/>
            </w:pPr>
            <w:r>
              <w:rPr>
                <w:rFonts w:ascii="仿宋_GB2312" w:hAnsi="仿宋_GB2312" w:eastAsia="仿宋_GB2312" w:cs="仿宋_GB2312"/>
                <w:color w:val="000000"/>
                <w:sz w:val="24"/>
              </w:rPr>
              <w:t>711  01  @a团体责任者@4责任方式（会议责任者指示符为02）</w:t>
            </w:r>
          </w:p>
          <w:p w14:paraId="1C3E7A5A">
            <w:pPr>
              <w:pStyle w:val="4"/>
              <w:ind w:left="360"/>
            </w:pPr>
            <w:r>
              <w:rPr>
                <w:rFonts w:ascii="仿宋_GB2312" w:hAnsi="仿宋_GB2312" w:eastAsia="仿宋_GB2312" w:cs="仿宋_GB2312"/>
                <w:color w:val="000000"/>
                <w:sz w:val="24"/>
              </w:rPr>
              <w:t>712  01  @a第二团体责任者@4责任方式（会议责任者指示符为02）</w:t>
            </w:r>
          </w:p>
          <w:p w14:paraId="47A6FE84">
            <w:pPr>
              <w:pStyle w:val="4"/>
            </w:pPr>
            <w:r>
              <w:rPr>
                <w:rFonts w:ascii="仿宋_GB2312" w:hAnsi="仿宋_GB2312" w:eastAsia="仿宋_GB2312" w:cs="仿宋_GB2312"/>
                <w:b/>
                <w:color w:val="000000"/>
                <w:sz w:val="24"/>
              </w:rPr>
              <w:t>注：以上著录字段为基本大项，编目员可根据图书情况灵活掌握。对于系统自动生成的字段，请保留。</w:t>
            </w:r>
          </w:p>
        </w:tc>
      </w:tr>
      <w:tr w14:paraId="2B421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5A97D4">
            <w:pPr>
              <w:pStyle w:val="4"/>
            </w:pPr>
            <w:r>
              <w:rPr>
                <w:rFonts w:ascii="仿宋_GB2312" w:hAnsi="仿宋_GB2312" w:eastAsia="仿宋_GB2312" w:cs="仿宋_GB2312"/>
              </w:rPr>
              <w:t>8</w:t>
            </w:r>
          </w:p>
        </w:tc>
        <w:tc>
          <w:tcPr>
            <w:tcW w:w="641" w:type="dxa"/>
          </w:tcPr>
          <w:p w14:paraId="06E48F5E"/>
        </w:tc>
        <w:tc>
          <w:tcPr>
            <w:tcW w:w="7466" w:type="dxa"/>
          </w:tcPr>
          <w:p w14:paraId="3D6E6EC7">
            <w:pPr>
              <w:pStyle w:val="4"/>
              <w:jc w:val="both"/>
            </w:pPr>
            <w:r>
              <w:rPr>
                <w:rFonts w:ascii="仿宋_GB2312" w:hAnsi="仿宋_GB2312" w:eastAsia="仿宋_GB2312" w:cs="仿宋_GB2312"/>
                <w:b/>
                <w:color w:val="000000"/>
                <w:sz w:val="24"/>
              </w:rPr>
              <w:t>六、图书物理加工要求</w:t>
            </w:r>
          </w:p>
          <w:p w14:paraId="1B8F63A9">
            <w:pPr>
              <w:pStyle w:val="4"/>
              <w:ind w:firstLine="480"/>
              <w:jc w:val="both"/>
            </w:pPr>
            <w:r>
              <w:rPr>
                <w:rFonts w:ascii="仿宋_GB2312" w:hAnsi="仿宋_GB2312" w:eastAsia="仿宋_GB2312" w:cs="仿宋_GB2312"/>
                <w:color w:val="000000"/>
                <w:sz w:val="24"/>
              </w:rPr>
              <w:t>中标人须免费提供到馆编目、加工服务，具体要求如下：</w:t>
            </w:r>
          </w:p>
          <w:p w14:paraId="633ECCAC">
            <w:pPr>
              <w:pStyle w:val="4"/>
              <w:jc w:val="both"/>
            </w:pPr>
            <w:r>
              <w:rPr>
                <w:rFonts w:ascii="仿宋_GB2312" w:hAnsi="仿宋_GB2312" w:eastAsia="仿宋_GB2312" w:cs="仿宋_GB2312"/>
                <w:color w:val="000000"/>
                <w:sz w:val="24"/>
              </w:rPr>
              <w:t>1、中标人须对其所供的每册图书粘贴条形码，条形码一码二张，一张贴在图书扉页下三分之一内，另一张贴在图书最末有效文字页眉上正中空白处。条形码式样由采购人确定，保证能够被识别。</w:t>
            </w:r>
          </w:p>
          <w:p w14:paraId="3B234A7A">
            <w:pPr>
              <w:pStyle w:val="4"/>
              <w:jc w:val="both"/>
            </w:pPr>
            <w:r>
              <w:rPr>
                <w:rFonts w:ascii="仿宋_GB2312" w:hAnsi="仿宋_GB2312" w:eastAsia="仿宋_GB2312" w:cs="仿宋_GB2312"/>
                <w:color w:val="000000"/>
                <w:sz w:val="24"/>
              </w:rPr>
              <w:t>2、中标人须对其所供的每册图书粘贴钴基复合可充消磁磁条，300页以上和精装图书须装2根磁条，磁条长度应在16cm±0.5cm。</w:t>
            </w:r>
          </w:p>
          <w:p w14:paraId="2D7AD4FF">
            <w:pPr>
              <w:pStyle w:val="4"/>
              <w:jc w:val="both"/>
            </w:pPr>
            <w:r>
              <w:rPr>
                <w:rFonts w:ascii="仿宋_GB2312" w:hAnsi="仿宋_GB2312" w:eastAsia="仿宋_GB2312" w:cs="仿宋_GB2312"/>
                <w:color w:val="000000"/>
                <w:sz w:val="24"/>
              </w:rPr>
              <w:t>3、中标人须对其所供的每册图书加盖馆藏章，要求：①每一本图书盖2个馆藏章，第一个章盖在书名页上（版权页），第二个章盖在图书书籍正对面的书边上；②盖章应当工整，不得倒印或竖印。</w:t>
            </w:r>
          </w:p>
          <w:p w14:paraId="198093C7">
            <w:pPr>
              <w:pStyle w:val="4"/>
              <w:jc w:val="both"/>
            </w:pPr>
            <w:r>
              <w:rPr>
                <w:rFonts w:ascii="仿宋_GB2312" w:hAnsi="仿宋_GB2312" w:eastAsia="仿宋_GB2312" w:cs="仿宋_GB2312"/>
                <w:color w:val="000000"/>
                <w:sz w:val="24"/>
              </w:rPr>
              <w:t>4、中标人须对其所供的每册图书粘贴色标，每册书在书脊上端加贴色标一枚。</w:t>
            </w:r>
          </w:p>
          <w:p w14:paraId="225CC9D1">
            <w:pPr>
              <w:pStyle w:val="4"/>
              <w:jc w:val="both"/>
            </w:pPr>
            <w:r>
              <w:rPr>
                <w:rFonts w:ascii="仿宋_GB2312" w:hAnsi="仿宋_GB2312" w:eastAsia="仿宋_GB2312" w:cs="仿宋_GB2312"/>
                <w:color w:val="000000"/>
                <w:sz w:val="24"/>
              </w:rPr>
              <w:t>5、随书配送的光盘、录音带等非书资料：中标人必须进行非书资料编目（增加215等相关字段），编目数据要独立打包，随图书编目数据一起免费配送。</w:t>
            </w:r>
          </w:p>
          <w:p w14:paraId="63CF1CF2">
            <w:pPr>
              <w:pStyle w:val="4"/>
            </w:pPr>
            <w:r>
              <w:rPr>
                <w:rFonts w:ascii="仿宋_GB2312" w:hAnsi="仿宋_GB2312" w:eastAsia="仿宋_GB2312" w:cs="仿宋_GB2312"/>
                <w:color w:val="000000"/>
                <w:sz w:val="24"/>
              </w:rPr>
              <w:t>6、中标人须保证每册图书按采购人的要求提供免费到馆加工、著录等服务。</w:t>
            </w:r>
          </w:p>
        </w:tc>
      </w:tr>
      <w:tr w14:paraId="59078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5F5017">
            <w:pPr>
              <w:pStyle w:val="4"/>
            </w:pPr>
            <w:r>
              <w:rPr>
                <w:rFonts w:ascii="仿宋_GB2312" w:hAnsi="仿宋_GB2312" w:eastAsia="仿宋_GB2312" w:cs="仿宋_GB2312"/>
              </w:rPr>
              <w:t>9</w:t>
            </w:r>
          </w:p>
        </w:tc>
        <w:tc>
          <w:tcPr>
            <w:tcW w:w="641" w:type="dxa"/>
          </w:tcPr>
          <w:p w14:paraId="1A60A54E"/>
        </w:tc>
        <w:tc>
          <w:tcPr>
            <w:tcW w:w="7466" w:type="dxa"/>
          </w:tcPr>
          <w:p w14:paraId="00A2CFC7">
            <w:pPr>
              <w:pStyle w:val="4"/>
              <w:jc w:val="both"/>
            </w:pPr>
            <w:r>
              <w:rPr>
                <w:rFonts w:ascii="仿宋_GB2312" w:hAnsi="仿宋_GB2312" w:eastAsia="仿宋_GB2312" w:cs="仿宋_GB2312"/>
                <w:b/>
                <w:color w:val="000000"/>
                <w:sz w:val="24"/>
              </w:rPr>
              <w:t>七、其他要求</w:t>
            </w:r>
          </w:p>
          <w:p w14:paraId="210AA8BC">
            <w:pPr>
              <w:pStyle w:val="4"/>
            </w:pPr>
            <w:r>
              <w:rPr>
                <w:rFonts w:ascii="仿宋_GB2312" w:hAnsi="仿宋_GB2312" w:eastAsia="仿宋_GB2312" w:cs="仿宋_GB2312"/>
                <w:color w:val="000000"/>
                <w:sz w:val="24"/>
              </w:rPr>
              <w:t>采购人向中标人发出零采订单，中标人不得以各种理由推脱；零采订单按实时市场价进行结算，中标人应当在10个工作日内完成图书配送。</w:t>
            </w:r>
          </w:p>
        </w:tc>
      </w:tr>
      <w:tr w14:paraId="08554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219780">
            <w:pPr>
              <w:pStyle w:val="4"/>
            </w:pPr>
            <w:r>
              <w:rPr>
                <w:rFonts w:ascii="仿宋_GB2312" w:hAnsi="仿宋_GB2312" w:eastAsia="仿宋_GB2312" w:cs="仿宋_GB2312"/>
              </w:rPr>
              <w:t>10</w:t>
            </w:r>
          </w:p>
        </w:tc>
        <w:tc>
          <w:tcPr>
            <w:tcW w:w="641" w:type="dxa"/>
          </w:tcPr>
          <w:p w14:paraId="3D622CD3"/>
        </w:tc>
        <w:tc>
          <w:tcPr>
            <w:tcW w:w="7466" w:type="dxa"/>
          </w:tcPr>
          <w:p w14:paraId="4E5CB73A">
            <w:pPr>
              <w:pStyle w:val="4"/>
              <w:jc w:val="both"/>
            </w:pPr>
            <w:r>
              <w:rPr>
                <w:rFonts w:ascii="仿宋_GB2312" w:hAnsi="仿宋_GB2312" w:eastAsia="仿宋_GB2312" w:cs="仿宋_GB2312"/>
                <w:b/>
                <w:color w:val="000000"/>
                <w:sz w:val="24"/>
              </w:rPr>
              <w:t>八、结算方式</w:t>
            </w:r>
          </w:p>
          <w:p w14:paraId="6DAB9A88">
            <w:pPr>
              <w:pStyle w:val="4"/>
              <w:ind w:firstLine="480"/>
              <w:jc w:val="both"/>
            </w:pPr>
            <w:r>
              <w:rPr>
                <w:rFonts w:ascii="仿宋_GB2312" w:hAnsi="仿宋_GB2312" w:eastAsia="仿宋_GB2312" w:cs="仿宋_GB2312"/>
                <w:color w:val="000000"/>
                <w:sz w:val="24"/>
              </w:rPr>
              <w:t>1、本项目采用“先送货，后结算”的结算方式，中标人随书提供标准格式的送书清单，经采购人验收无误、办妥差、错、退换手续、经双方确认验收结果后，方可结算；</w:t>
            </w:r>
          </w:p>
          <w:p w14:paraId="016799B3">
            <w:pPr>
              <w:pStyle w:val="4"/>
              <w:ind w:firstLine="480"/>
              <w:jc w:val="both"/>
            </w:pPr>
            <w:r>
              <w:rPr>
                <w:rFonts w:ascii="仿宋_GB2312" w:hAnsi="仿宋_GB2312" w:eastAsia="仿宋_GB2312" w:cs="仿宋_GB2312"/>
                <w:color w:val="000000"/>
                <w:sz w:val="24"/>
              </w:rPr>
              <w:t>2、结算价格=图书标价*（1-折扣率）；</w:t>
            </w:r>
          </w:p>
          <w:p w14:paraId="123C6E9E">
            <w:pPr>
              <w:pStyle w:val="4"/>
              <w:ind w:firstLine="480"/>
              <w:jc w:val="both"/>
            </w:pPr>
            <w:r>
              <w:rPr>
                <w:rFonts w:ascii="仿宋_GB2312" w:hAnsi="仿宋_GB2312" w:eastAsia="仿宋_GB2312" w:cs="仿宋_GB2312"/>
                <w:color w:val="000000"/>
                <w:sz w:val="24"/>
              </w:rPr>
              <w:t>3、中标人必须提供国家税务部门监制的正式发票、中标人的账户信息（包括中标人全称、开户银行、账户等）</w:t>
            </w:r>
          </w:p>
          <w:p w14:paraId="04B6A82A">
            <w:pPr>
              <w:pStyle w:val="4"/>
              <w:ind w:firstLine="480"/>
              <w:jc w:val="both"/>
            </w:pPr>
            <w:r>
              <w:rPr>
                <w:rFonts w:ascii="仿宋_GB2312" w:hAnsi="仿宋_GB2312" w:eastAsia="仿宋_GB2312" w:cs="仿宋_GB2312"/>
                <w:color w:val="000000"/>
                <w:sz w:val="24"/>
              </w:rPr>
              <w:t>4、结算单位：采购人结算。在付款前，中标人须开具等额发票给采购人。</w:t>
            </w:r>
          </w:p>
          <w:p w14:paraId="24370AFE">
            <w:pPr>
              <w:pStyle w:val="4"/>
              <w:ind w:firstLine="480"/>
              <w:jc w:val="both"/>
            </w:pPr>
            <w:r>
              <w:rPr>
                <w:rFonts w:ascii="仿宋_GB2312" w:hAnsi="仿宋_GB2312" w:eastAsia="仿宋_GB2312" w:cs="仿宋_GB2312"/>
                <w:color w:val="000000"/>
                <w:sz w:val="24"/>
              </w:rPr>
              <w:t>5、付款方式：</w:t>
            </w:r>
          </w:p>
          <w:p w14:paraId="74F8E63C">
            <w:pPr>
              <w:pStyle w:val="4"/>
              <w:ind w:firstLine="480"/>
              <w:jc w:val="both"/>
            </w:pPr>
            <w:r>
              <w:rPr>
                <w:rFonts w:ascii="仿宋_GB2312" w:hAnsi="仿宋_GB2312" w:eastAsia="仿宋_GB2312" w:cs="仿宋_GB2312"/>
                <w:color w:val="000000"/>
                <w:sz w:val="24"/>
              </w:rPr>
              <w:t>5.1以实际供书实洋核算；</w:t>
            </w:r>
          </w:p>
          <w:p w14:paraId="792B5D16">
            <w:pPr>
              <w:pStyle w:val="4"/>
              <w:ind w:firstLine="480"/>
              <w:jc w:val="both"/>
            </w:pPr>
            <w:r>
              <w:rPr>
                <w:rFonts w:ascii="仿宋_GB2312" w:hAnsi="仿宋_GB2312" w:eastAsia="仿宋_GB2312" w:cs="仿宋_GB2312"/>
                <w:color w:val="000000"/>
                <w:sz w:val="24"/>
              </w:rPr>
              <w:t>5.2遇到寒暑假及年底冻结资金，付款顺延。遇到学校因特殊情况资金紧张时，中标人有垫付半年的能力。采购人所订书籍到馆后，经开包验收合格、完成加工入库后，达到付款条件起30日内，支付合同总价款的20%。</w:t>
            </w:r>
          </w:p>
          <w:p w14:paraId="6F96157A">
            <w:pPr>
              <w:pStyle w:val="4"/>
              <w:ind w:firstLine="480"/>
              <w:jc w:val="both"/>
            </w:pPr>
            <w:r>
              <w:rPr>
                <w:rFonts w:ascii="仿宋_GB2312" w:hAnsi="仿宋_GB2312" w:eastAsia="仿宋_GB2312" w:cs="仿宋_GB2312"/>
                <w:color w:val="000000"/>
                <w:sz w:val="24"/>
              </w:rPr>
              <w:t>采购人所订书籍到馆后，经开包验收合格、完成加工入库后，达到付款条件起30日内，支付合同总价款的20%。</w:t>
            </w:r>
          </w:p>
          <w:p w14:paraId="4C322FD4">
            <w:pPr>
              <w:pStyle w:val="4"/>
              <w:ind w:firstLine="480"/>
              <w:jc w:val="both"/>
            </w:pPr>
            <w:r>
              <w:rPr>
                <w:rFonts w:ascii="仿宋_GB2312" w:hAnsi="仿宋_GB2312" w:eastAsia="仿宋_GB2312" w:cs="仿宋_GB2312"/>
                <w:color w:val="000000"/>
                <w:sz w:val="24"/>
              </w:rPr>
              <w:t>采购人所订书籍到馆后，经开包验收合格、完成加工入库后，达到付款条件起30日内，支付合同总价款的20%。</w:t>
            </w:r>
          </w:p>
          <w:p w14:paraId="203F6615">
            <w:pPr>
              <w:pStyle w:val="4"/>
              <w:ind w:firstLine="480"/>
              <w:jc w:val="both"/>
            </w:pPr>
            <w:r>
              <w:rPr>
                <w:rFonts w:ascii="仿宋_GB2312" w:hAnsi="仿宋_GB2312" w:eastAsia="仿宋_GB2312" w:cs="仿宋_GB2312"/>
                <w:color w:val="000000"/>
                <w:sz w:val="24"/>
              </w:rPr>
              <w:t>采购人所订书籍到馆后，经开包验收合格、完成加工入库后，达到付款条件起30日内，支付合同总价款的20%。</w:t>
            </w:r>
          </w:p>
          <w:p w14:paraId="3366F4BF">
            <w:pPr>
              <w:pStyle w:val="4"/>
            </w:pPr>
            <w:r>
              <w:rPr>
                <w:rFonts w:ascii="仿宋_GB2312" w:hAnsi="仿宋_GB2312" w:eastAsia="仿宋_GB2312" w:cs="仿宋_GB2312"/>
                <w:color w:val="000000"/>
                <w:sz w:val="24"/>
              </w:rPr>
              <w:t>采购人所订书籍到馆后，经开包验收合格、完成加工入库后，达到付款条件起30日内，支付合同总价款的20%。</w:t>
            </w:r>
          </w:p>
        </w:tc>
      </w:tr>
      <w:tr w14:paraId="143CF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EDA568">
            <w:pPr>
              <w:pStyle w:val="4"/>
            </w:pPr>
            <w:r>
              <w:rPr>
                <w:rFonts w:ascii="仿宋_GB2312" w:hAnsi="仿宋_GB2312" w:eastAsia="仿宋_GB2312" w:cs="仿宋_GB2312"/>
              </w:rPr>
              <w:t>11</w:t>
            </w:r>
          </w:p>
        </w:tc>
        <w:tc>
          <w:tcPr>
            <w:tcW w:w="641" w:type="dxa"/>
          </w:tcPr>
          <w:p w14:paraId="4061A8D5"/>
        </w:tc>
        <w:tc>
          <w:tcPr>
            <w:tcW w:w="7466" w:type="dxa"/>
          </w:tcPr>
          <w:p w14:paraId="47F5503E">
            <w:pPr>
              <w:pStyle w:val="4"/>
              <w:jc w:val="both"/>
            </w:pPr>
            <w:r>
              <w:rPr>
                <w:rFonts w:ascii="仿宋_GB2312" w:hAnsi="仿宋_GB2312" w:eastAsia="仿宋_GB2312" w:cs="仿宋_GB2312"/>
                <w:b/>
                <w:color w:val="000000"/>
                <w:sz w:val="24"/>
              </w:rPr>
              <w:t>九、违规、违约赔偿规定</w:t>
            </w:r>
          </w:p>
          <w:p w14:paraId="7CD6A1D5">
            <w:pPr>
              <w:pStyle w:val="4"/>
              <w:ind w:firstLine="480"/>
              <w:jc w:val="both"/>
            </w:pPr>
            <w:r>
              <w:rPr>
                <w:rFonts w:ascii="仿宋_GB2312" w:hAnsi="仿宋_GB2312" w:eastAsia="仿宋_GB2312" w:cs="仿宋_GB2312"/>
                <w:color w:val="000000"/>
                <w:sz w:val="24"/>
              </w:rPr>
              <w:t>1、中标人在服务过程中，发现产品质量问题，应在规定时间内无条件调换，调换不能解决的应无条件退货，由此造成的损失由投标人负责，若投标人拒绝配合，采购人有权单方面终止合同。</w:t>
            </w:r>
          </w:p>
          <w:p w14:paraId="24A5DD8E">
            <w:pPr>
              <w:pStyle w:val="4"/>
              <w:ind w:firstLine="480"/>
              <w:jc w:val="both"/>
            </w:pPr>
            <w:r>
              <w:rPr>
                <w:rFonts w:ascii="仿宋_GB2312" w:hAnsi="仿宋_GB2312" w:eastAsia="仿宋_GB2312" w:cs="仿宋_GB2312"/>
                <w:color w:val="000000"/>
                <w:sz w:val="24"/>
              </w:rPr>
              <w:t>2、中标人单批到馆图书（种数）的不合格率不得高于1%；年供书中，批图书的不合格率超过2批以上的，采购人可将中标人视为故意挟带其他图书或无供书能力而单方终止合同，并视情况严重程度从履约保证金中扣除一定金额（注：此处“不合格图书”指非我馆订购的图书和重复发送的图书）。</w:t>
            </w:r>
          </w:p>
          <w:p w14:paraId="630D2073">
            <w:pPr>
              <w:pStyle w:val="4"/>
              <w:ind w:firstLine="480"/>
              <w:jc w:val="both"/>
            </w:pPr>
            <w:r>
              <w:rPr>
                <w:rFonts w:ascii="仿宋_GB2312" w:hAnsi="仿宋_GB2312" w:eastAsia="仿宋_GB2312" w:cs="仿宋_GB2312"/>
                <w:color w:val="000000"/>
                <w:sz w:val="24"/>
              </w:rPr>
              <w:t>3、中标人不得擅自配书，采购人将严格按照采购订单进行验收，对所有非预定的图书一律退还中标人，造成的经济损失由中标人承担。如需采购人代办邮寄业务，中标人须支付交通运输费、误工费人民币200元，邮寄费按实际金额支付。</w:t>
            </w:r>
          </w:p>
          <w:p w14:paraId="362D7428">
            <w:pPr>
              <w:pStyle w:val="4"/>
              <w:ind w:firstLine="480"/>
              <w:jc w:val="both"/>
            </w:pPr>
            <w:r>
              <w:rPr>
                <w:rFonts w:ascii="仿宋_GB2312" w:hAnsi="仿宋_GB2312" w:eastAsia="仿宋_GB2312" w:cs="仿宋_GB2312"/>
                <w:color w:val="000000"/>
                <w:sz w:val="24"/>
              </w:rPr>
              <w:t>4、如果中标人提供有盗版图书，采购人有权单方终止购书合同、扣除履约保证金，所引发的法律责任全部由中标人承担。如印刷、装订有问题的图书（无论是否盖章、加工），中标人必须给予调换，并承担由此造成的采购人经济损失。</w:t>
            </w:r>
          </w:p>
          <w:p w14:paraId="31EB0A97">
            <w:pPr>
              <w:pStyle w:val="4"/>
              <w:ind w:firstLine="480"/>
              <w:jc w:val="both"/>
            </w:pPr>
            <w:r>
              <w:rPr>
                <w:rFonts w:ascii="仿宋_GB2312" w:hAnsi="仿宋_GB2312" w:eastAsia="仿宋_GB2312" w:cs="仿宋_GB2312"/>
                <w:color w:val="000000"/>
                <w:sz w:val="24"/>
              </w:rPr>
              <w:t>5、中标人在合同期内不得以任何理由（不可抗力除外）单方终止服务合同，否则，采购人将扣留未支付书款的50%作为违约金。</w:t>
            </w:r>
          </w:p>
          <w:p w14:paraId="7EA968E8">
            <w:pPr>
              <w:pStyle w:val="4"/>
            </w:pPr>
            <w:r>
              <w:rPr>
                <w:rFonts w:ascii="仿宋_GB2312" w:hAnsi="仿宋_GB2312" w:eastAsia="仿宋_GB2312" w:cs="仿宋_GB2312"/>
                <w:color w:val="000000"/>
                <w:sz w:val="24"/>
              </w:rPr>
              <w:t>6、中标人在履行协议过程中，如有违反国家法律的其他行为并引发法律责任，采购人将立即终止合同，所有责任及损失由中标人承担。</w:t>
            </w:r>
          </w:p>
        </w:tc>
      </w:tr>
    </w:tbl>
    <w:p w14:paraId="4A5DB9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26841"/>
    <w:rsid w:val="73E2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2025-08-01T08:43:00Z</dcterms:created>
  <dc:creator>-7</dc:creator>
  <cp:lastModifiedBy>-7</cp:lastModifiedBy>
  <dcterms:modified xsi:type="dcterms:W3CDTF">2025-08-01T08:45:01Z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C3F25872CD2C4660A75762AA0097B313_11</vt:lpwstr>
  </property>
  <property fmtid="{D5CDD505-2E9C-101B-9397-08002B2CF9AE}" pid="4" name="KSOTemplateDocerSaveRecord">
    <vt:lpwstr>eyJoZGlkIjoiYzA1MTFjMGE5NjMwY2U1ODU1MGFhN2UxMjk1NDdlZjEiLCJ1c2VySWQiOiI0MDcxMjAzOTgifQ==</vt:lpwstr>
  </property>
</Properties>
</file>