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HXCT-ZFCG-2025-036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2025年富平县老庙镇笃祜村食乐牛羊定点屠宰项目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2025年富平县老庙镇笃祜村食乐牛羊定点屠宰项目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预算金额：2,000,000.00元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1,988,726.21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6BE8FF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2025年富平县老庙镇笃祜村食乐牛羊定点屠宰项目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2,000,000.00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1,988,726.21  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21B42EC7"/>
    <w:rsid w:val="4B306B1D"/>
    <w:rsid w:val="691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292</Characters>
  <Lines>0</Lines>
  <Paragraphs>0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MoSes</cp:lastModifiedBy>
  <dcterms:modified xsi:type="dcterms:W3CDTF">2025-08-05T09:46:17Z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eyJoZGlkIjoiOGEyNWM2YzAxNGM0MTY4NmJkNzdkYzk5NzNkZTZjNDkiLCJ1c2VySWQiOiIyNjcyNjI5ODQifQ==</vt:lpwstr>
  </property>
  <property fmtid="{D5CDD505-2E9C-101B-9397-08002B2CF9AE}" pid="4" name="ICV">
    <vt:lpwstr>3241CCCD9EB84796AE6A0A0D6F0479AC_12</vt:lpwstr>
  </property>
</Properties>
</file>