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8D09">
      <w:pPr>
        <w:spacing w:line="360" w:lineRule="auto"/>
        <w:jc w:val="both"/>
        <w:rPr>
          <w:rStyle w:val="24"/>
          <w:rFonts w:hint="eastAsia" w:ascii="宋体" w:hAnsi="宋体" w:eastAsia="宋体" w:cs="宋体"/>
          <w:b/>
          <w:bCs/>
          <w:color w:val="auto"/>
          <w:sz w:val="28"/>
          <w:szCs w:val="28"/>
          <w:highlight w:val="none"/>
          <w:lang w:val="en-US" w:eastAsia="zh-CN"/>
        </w:rPr>
      </w:pPr>
      <w:r>
        <w:rPr>
          <w:rFonts w:hint="eastAsia" w:ascii="宋体" w:hAnsi="宋体" w:cs="宋体"/>
          <w:b/>
          <w:color w:val="auto"/>
          <w:sz w:val="72"/>
          <w:szCs w:val="72"/>
        </w:rPr>
        <w:drawing>
          <wp:anchor distT="0" distB="0" distL="114300" distR="114300" simplePos="0" relativeHeight="251663360" behindDoc="0" locked="0" layoutInCell="1" allowOverlap="1">
            <wp:simplePos x="0" y="0"/>
            <wp:positionH relativeFrom="column">
              <wp:posOffset>4848860</wp:posOffset>
            </wp:positionH>
            <wp:positionV relativeFrom="paragraph">
              <wp:posOffset>-27305</wp:posOffset>
            </wp:positionV>
            <wp:extent cx="1141730" cy="1047115"/>
            <wp:effectExtent l="0" t="0" r="0" b="0"/>
            <wp:wrapNone/>
            <wp:docPr id="6" name="图片 1" descr="9f552dd3d36ee532f037825e3cf1c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9f552dd3d36ee532f037825e3cf1c0c"/>
                    <pic:cNvPicPr>
                      <a:picLocks noChangeAspect="1"/>
                    </pic:cNvPicPr>
                  </pic:nvPicPr>
                  <pic:blipFill>
                    <a:blip r:embed="rId11"/>
                    <a:stretch>
                      <a:fillRect/>
                    </a:stretch>
                  </pic:blipFill>
                  <pic:spPr>
                    <a:xfrm>
                      <a:off x="0" y="0"/>
                      <a:ext cx="1141730" cy="1047115"/>
                    </a:xfrm>
                    <a:prstGeom prst="rect">
                      <a:avLst/>
                    </a:prstGeom>
                    <a:noFill/>
                    <a:ln>
                      <a:noFill/>
                    </a:ln>
                  </pic:spPr>
                </pic:pic>
              </a:graphicData>
            </a:graphic>
          </wp:anchor>
        </w:drawing>
      </w:r>
    </w:p>
    <w:p w14:paraId="7786E101">
      <w:pPr>
        <w:spacing w:line="360" w:lineRule="auto"/>
        <w:jc w:val="both"/>
        <w:rPr>
          <w:rStyle w:val="24"/>
          <w:rFonts w:hint="eastAsia" w:ascii="宋体" w:hAnsi="宋体" w:eastAsia="宋体" w:cs="宋体"/>
          <w:b/>
          <w:bCs/>
          <w:color w:val="auto"/>
          <w:sz w:val="28"/>
          <w:szCs w:val="28"/>
          <w:highlight w:val="none"/>
          <w:lang w:val="en-US" w:eastAsia="zh-CN"/>
        </w:rPr>
      </w:pPr>
      <w:r>
        <w:rPr>
          <w:rStyle w:val="24"/>
          <w:rFonts w:hint="eastAsia" w:ascii="宋体" w:hAnsi="宋体" w:eastAsia="宋体" w:cs="宋体"/>
          <w:b/>
          <w:bCs/>
          <w:color w:val="auto"/>
          <w:sz w:val="28"/>
          <w:szCs w:val="28"/>
          <w:highlight w:val="none"/>
          <w:lang w:val="en-US" w:eastAsia="zh-CN"/>
        </w:rPr>
        <w:t>项目编号</w:t>
      </w:r>
      <w:r>
        <w:rPr>
          <w:rStyle w:val="24"/>
          <w:rFonts w:hint="eastAsia" w:ascii="宋体" w:hAnsi="宋体" w:eastAsia="宋体" w:cs="宋体"/>
          <w:b/>
          <w:bCs/>
          <w:color w:val="auto"/>
          <w:sz w:val="28"/>
          <w:szCs w:val="28"/>
          <w:highlight w:val="none"/>
          <w:lang w:eastAsia="zh-CN"/>
        </w:rPr>
        <w:t>：</w:t>
      </w:r>
      <w:r>
        <w:rPr>
          <w:rStyle w:val="24"/>
          <w:rFonts w:hint="eastAsia" w:ascii="宋体" w:hAnsi="宋体" w:cs="宋体"/>
          <w:b/>
          <w:bCs/>
          <w:color w:val="auto"/>
          <w:sz w:val="28"/>
          <w:szCs w:val="28"/>
          <w:highlight w:val="none"/>
          <w:lang w:eastAsia="zh-CN"/>
        </w:rPr>
        <w:t>HHZY-2025-26</w:t>
      </w:r>
    </w:p>
    <w:p w14:paraId="789A2DC9">
      <w:pPr>
        <w:spacing w:line="800" w:lineRule="exact"/>
        <w:rPr>
          <w:rStyle w:val="24"/>
          <w:rFonts w:hint="eastAsia" w:ascii="宋体" w:hAnsi="宋体" w:eastAsia="宋体" w:cs="宋体"/>
          <w:b/>
          <w:color w:val="auto"/>
          <w:kern w:val="0"/>
          <w:sz w:val="48"/>
          <w:szCs w:val="4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2" o:spid="_x0000_s1026" o:spt="100" style="position:absolute;left:0pt;margin-left:0pt;margin-top:0pt;height:50pt;width:50pt;visibility:hidden;z-index:251662336;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Y/denPAAAABQEAAA8AAAAAAAAAAQAgAAAAIgAAAGRycy9kb3ducmV2LnhtbFBLAQIUABQA&#10;AAAIAIdO4kD3H7wLwAEAAIsDAAAOAAAAAAAAAAEAIAAAAB4BAABkcnMvZTJvRG9jLnhtbFBLBQYA&#10;AAAABgAGAFkBAABQBQAAAAA=&#10;">
                <v:fill on="f" focussize="0,0"/>
                <v:stroke on="f"/>
                <v:imagedata o:title=""/>
                <o:lock v:ext="edit" selection="t" aspectratio="f"/>
              </v:shape>
            </w:pict>
          </mc:Fallback>
        </mc:AlternateContent>
      </w:r>
    </w:p>
    <w:p w14:paraId="52C6F3A0">
      <w:pPr>
        <w:spacing w:line="360" w:lineRule="auto"/>
        <w:jc w:val="center"/>
        <w:rPr>
          <w:rStyle w:val="24"/>
          <w:rFonts w:hint="eastAsia" w:ascii="宋体" w:hAnsi="宋体" w:eastAsia="宋体" w:cs="宋体"/>
          <w:b/>
          <w:color w:val="auto"/>
          <w:sz w:val="48"/>
          <w:szCs w:val="48"/>
          <w:highlight w:val="none"/>
        </w:rPr>
      </w:pPr>
    </w:p>
    <w:p w14:paraId="23CEC33F">
      <w:pPr>
        <w:spacing w:line="360" w:lineRule="auto"/>
        <w:jc w:val="center"/>
        <w:rPr>
          <w:rStyle w:val="24"/>
          <w:rFonts w:hint="eastAsia" w:ascii="宋体" w:hAnsi="宋体" w:eastAsia="宋体" w:cs="宋体"/>
          <w:b/>
          <w:color w:val="auto"/>
          <w:sz w:val="60"/>
          <w:szCs w:val="60"/>
          <w:highlight w:val="none"/>
        </w:rPr>
      </w:pPr>
      <w:r>
        <w:rPr>
          <w:rStyle w:val="24"/>
          <w:rFonts w:hint="eastAsia" w:ascii="宋体" w:hAnsi="宋体" w:cs="宋体"/>
          <w:b/>
          <w:color w:val="auto"/>
          <w:sz w:val="60"/>
          <w:szCs w:val="60"/>
          <w:highlight w:val="none"/>
          <w:lang w:eastAsia="zh-CN"/>
        </w:rPr>
        <w:t>儿科采购专业设备一批</w:t>
      </w:r>
    </w:p>
    <w:p w14:paraId="55E8E289">
      <w:pPr>
        <w:spacing w:line="360" w:lineRule="auto"/>
        <w:jc w:val="center"/>
        <w:rPr>
          <w:rStyle w:val="24"/>
          <w:rFonts w:hint="eastAsia" w:ascii="宋体" w:hAnsi="宋体" w:eastAsia="宋体" w:cs="宋体"/>
          <w:b/>
          <w:color w:val="auto"/>
          <w:sz w:val="72"/>
          <w:szCs w:val="72"/>
          <w:highlight w:val="none"/>
        </w:rPr>
      </w:pPr>
    </w:p>
    <w:p w14:paraId="0C6CF6A1">
      <w:pPr>
        <w:spacing w:line="360" w:lineRule="auto"/>
        <w:jc w:val="center"/>
        <w:rPr>
          <w:rStyle w:val="24"/>
          <w:rFonts w:hint="eastAsia" w:ascii="宋体" w:hAnsi="宋体" w:eastAsia="宋体" w:cs="宋体"/>
          <w:b/>
          <w:color w:val="auto"/>
          <w:sz w:val="72"/>
          <w:szCs w:val="72"/>
          <w:highlight w:val="none"/>
        </w:rPr>
      </w:pPr>
      <w:r>
        <w:rPr>
          <w:rStyle w:val="24"/>
          <w:rFonts w:hint="eastAsia" w:ascii="宋体" w:hAnsi="宋体" w:eastAsia="宋体" w:cs="宋体"/>
          <w:b/>
          <w:color w:val="auto"/>
          <w:sz w:val="72"/>
          <w:szCs w:val="72"/>
          <w:highlight w:val="none"/>
        </w:rPr>
        <w:t>招标文件</w:t>
      </w:r>
    </w:p>
    <w:p w14:paraId="1366FE25">
      <w:pPr>
        <w:spacing w:line="360" w:lineRule="auto"/>
        <w:rPr>
          <w:rStyle w:val="24"/>
          <w:rFonts w:hint="eastAsia" w:ascii="宋体" w:hAnsi="宋体" w:eastAsia="宋体" w:cs="宋体"/>
          <w:b/>
          <w:color w:val="auto"/>
          <w:sz w:val="44"/>
          <w:szCs w:val="44"/>
          <w:highlight w:val="none"/>
        </w:rPr>
      </w:pPr>
    </w:p>
    <w:p w14:paraId="73DCF88E">
      <w:pPr>
        <w:spacing w:line="360" w:lineRule="auto"/>
        <w:jc w:val="left"/>
        <w:rPr>
          <w:rStyle w:val="24"/>
          <w:rFonts w:hint="eastAsia" w:ascii="宋体" w:hAnsi="宋体" w:eastAsia="宋体" w:cs="宋体"/>
          <w:b/>
          <w:color w:val="auto"/>
          <w:sz w:val="32"/>
          <w:szCs w:val="32"/>
          <w:highlight w:val="none"/>
        </w:rPr>
      </w:pPr>
    </w:p>
    <w:p w14:paraId="3E119DBC">
      <w:pPr>
        <w:spacing w:line="360" w:lineRule="auto"/>
        <w:jc w:val="left"/>
        <w:rPr>
          <w:rStyle w:val="24"/>
          <w:rFonts w:hint="eastAsia" w:ascii="宋体" w:hAnsi="宋体" w:eastAsia="宋体" w:cs="宋体"/>
          <w:b/>
          <w:color w:val="auto"/>
          <w:sz w:val="32"/>
          <w:szCs w:val="32"/>
          <w:highlight w:val="none"/>
        </w:rPr>
      </w:pPr>
    </w:p>
    <w:p w14:paraId="209611CC">
      <w:pPr>
        <w:rPr>
          <w:rStyle w:val="24"/>
          <w:rFonts w:hint="eastAsia" w:ascii="宋体" w:hAnsi="宋体" w:eastAsia="宋体" w:cs="宋体"/>
          <w:b/>
          <w:color w:val="auto"/>
          <w:sz w:val="32"/>
          <w:szCs w:val="32"/>
          <w:highlight w:val="none"/>
        </w:rPr>
      </w:pPr>
    </w:p>
    <w:p w14:paraId="5569E181">
      <w:pPr>
        <w:pStyle w:val="22"/>
        <w:rPr>
          <w:rFonts w:hint="eastAsia"/>
          <w:color w:val="auto"/>
        </w:rPr>
      </w:pPr>
    </w:p>
    <w:p w14:paraId="475B8145">
      <w:pPr>
        <w:ind w:leftChars="400"/>
        <w:rPr>
          <w:rStyle w:val="24"/>
          <w:rFonts w:hint="eastAsia" w:ascii="宋体" w:hAnsi="宋体" w:eastAsia="宋体" w:cs="宋体"/>
          <w:b/>
          <w:color w:val="auto"/>
          <w:sz w:val="32"/>
          <w:szCs w:val="32"/>
          <w:highlight w:val="none"/>
        </w:rPr>
      </w:pPr>
    </w:p>
    <w:p w14:paraId="7FD14427">
      <w:pPr>
        <w:spacing w:line="480" w:lineRule="auto"/>
        <w:ind w:leftChars="400"/>
        <w:jc w:val="both"/>
        <w:rPr>
          <w:rStyle w:val="24"/>
          <w:rFonts w:hint="eastAsia" w:ascii="宋体" w:hAnsi="宋体" w:eastAsia="宋体" w:cs="宋体"/>
          <w:b/>
          <w:color w:val="auto"/>
          <w:sz w:val="32"/>
          <w:szCs w:val="32"/>
          <w:highlight w:val="none"/>
          <w:lang w:eastAsia="zh-CN"/>
        </w:rPr>
      </w:pPr>
      <w:r>
        <w:rPr>
          <w:rStyle w:val="24"/>
          <w:rFonts w:hint="eastAsia" w:ascii="宋体" w:hAnsi="宋体" w:eastAsia="宋体" w:cs="宋体"/>
          <w:b/>
          <w:color w:val="auto"/>
          <w:sz w:val="32"/>
          <w:szCs w:val="32"/>
          <w:highlight w:val="none"/>
        </w:rPr>
        <w:t>采</w:t>
      </w:r>
      <w:r>
        <w:rPr>
          <w:rStyle w:val="24"/>
          <w:rFonts w:hint="eastAsia" w:ascii="宋体" w:hAnsi="宋体" w:eastAsia="宋体" w:cs="宋体"/>
          <w:b/>
          <w:color w:val="auto"/>
          <w:sz w:val="32"/>
          <w:szCs w:val="32"/>
          <w:highlight w:val="none"/>
          <w:lang w:val="en-US" w:eastAsia="zh-CN"/>
        </w:rPr>
        <w:t xml:space="preserve"> </w:t>
      </w:r>
      <w:r>
        <w:rPr>
          <w:rStyle w:val="24"/>
          <w:rFonts w:hint="eastAsia" w:ascii="宋体" w:hAnsi="宋体" w:eastAsia="宋体" w:cs="宋体"/>
          <w:b/>
          <w:color w:val="auto"/>
          <w:sz w:val="32"/>
          <w:szCs w:val="32"/>
          <w:highlight w:val="none"/>
        </w:rPr>
        <w:t>购</w:t>
      </w:r>
      <w:r>
        <w:rPr>
          <w:rStyle w:val="24"/>
          <w:rFonts w:hint="eastAsia" w:ascii="宋体" w:hAnsi="宋体" w:eastAsia="宋体" w:cs="宋体"/>
          <w:b/>
          <w:color w:val="auto"/>
          <w:sz w:val="32"/>
          <w:szCs w:val="32"/>
          <w:highlight w:val="none"/>
          <w:lang w:val="en-US" w:eastAsia="zh-CN"/>
        </w:rPr>
        <w:t xml:space="preserve"> </w:t>
      </w:r>
      <w:r>
        <w:rPr>
          <w:rStyle w:val="24"/>
          <w:rFonts w:hint="eastAsia" w:ascii="宋体" w:hAnsi="宋体" w:eastAsia="宋体" w:cs="宋体"/>
          <w:b/>
          <w:color w:val="auto"/>
          <w:sz w:val="32"/>
          <w:szCs w:val="32"/>
          <w:highlight w:val="none"/>
        </w:rPr>
        <w:t>单</w:t>
      </w:r>
      <w:r>
        <w:rPr>
          <w:rStyle w:val="24"/>
          <w:rFonts w:hint="eastAsia" w:ascii="宋体" w:hAnsi="宋体" w:eastAsia="宋体" w:cs="宋体"/>
          <w:b/>
          <w:color w:val="auto"/>
          <w:sz w:val="32"/>
          <w:szCs w:val="32"/>
          <w:highlight w:val="none"/>
          <w:lang w:val="en-US" w:eastAsia="zh-CN"/>
        </w:rPr>
        <w:t xml:space="preserve"> </w:t>
      </w:r>
      <w:r>
        <w:rPr>
          <w:rStyle w:val="24"/>
          <w:rFonts w:hint="eastAsia" w:ascii="宋体" w:hAnsi="宋体" w:eastAsia="宋体" w:cs="宋体"/>
          <w:b/>
          <w:color w:val="auto"/>
          <w:sz w:val="32"/>
          <w:szCs w:val="32"/>
          <w:highlight w:val="none"/>
        </w:rPr>
        <w:t>位：</w:t>
      </w:r>
      <w:r>
        <w:rPr>
          <w:rStyle w:val="24"/>
          <w:rFonts w:hint="eastAsia" w:ascii="宋体" w:hAnsi="宋体" w:cs="宋体"/>
          <w:b/>
          <w:color w:val="auto"/>
          <w:sz w:val="32"/>
          <w:szCs w:val="32"/>
          <w:highlight w:val="none"/>
          <w:lang w:eastAsia="zh-CN"/>
        </w:rPr>
        <w:t>白河县人民医院</w:t>
      </w:r>
    </w:p>
    <w:p w14:paraId="40A1FA58">
      <w:pPr>
        <w:spacing w:line="480" w:lineRule="auto"/>
        <w:ind w:leftChars="400"/>
        <w:jc w:val="both"/>
        <w:rPr>
          <w:rStyle w:val="24"/>
          <w:rFonts w:hint="eastAsia" w:ascii="宋体" w:hAnsi="宋体" w:eastAsia="宋体" w:cs="宋体"/>
          <w:b/>
          <w:color w:val="auto"/>
          <w:sz w:val="32"/>
          <w:szCs w:val="32"/>
          <w:highlight w:val="none"/>
          <w:lang w:eastAsia="zh-CN"/>
        </w:rPr>
      </w:pPr>
      <w:r>
        <w:rPr>
          <w:rStyle w:val="24"/>
          <w:rFonts w:hint="eastAsia" w:ascii="宋体" w:hAnsi="宋体" w:eastAsia="宋体" w:cs="宋体"/>
          <w:b/>
          <w:color w:val="auto"/>
          <w:sz w:val="32"/>
          <w:szCs w:val="32"/>
          <w:highlight w:val="none"/>
        </w:rPr>
        <w:t>采购代理机构：</w:t>
      </w:r>
      <w:r>
        <w:rPr>
          <w:rStyle w:val="24"/>
          <w:rFonts w:hint="eastAsia" w:ascii="宋体" w:hAnsi="宋体" w:eastAsia="宋体" w:cs="宋体"/>
          <w:b/>
          <w:color w:val="auto"/>
          <w:sz w:val="32"/>
          <w:szCs w:val="32"/>
          <w:highlight w:val="none"/>
          <w:lang w:eastAsia="zh-CN"/>
        </w:rPr>
        <w:t>安康华昊智远项目管理有限公司</w:t>
      </w:r>
    </w:p>
    <w:p w14:paraId="0FE79002">
      <w:pPr>
        <w:spacing w:line="480" w:lineRule="auto"/>
        <w:jc w:val="center"/>
        <w:rPr>
          <w:rStyle w:val="24"/>
          <w:rFonts w:hint="eastAsia" w:ascii="宋体" w:hAnsi="宋体" w:eastAsia="宋体" w:cs="宋体"/>
          <w:b/>
          <w:color w:val="auto"/>
          <w:sz w:val="48"/>
          <w:szCs w:val="48"/>
          <w:highlight w:val="none"/>
        </w:rPr>
      </w:pPr>
      <w:r>
        <w:rPr>
          <w:rStyle w:val="24"/>
          <w:rFonts w:hint="eastAsia" w:ascii="宋体" w:hAnsi="宋体" w:eastAsia="宋体" w:cs="宋体"/>
          <w:b/>
          <w:color w:val="auto"/>
          <w:sz w:val="32"/>
          <w:szCs w:val="32"/>
          <w:highlight w:val="none"/>
          <w:lang w:eastAsia="zh-CN"/>
        </w:rPr>
        <w:t>二○二</w:t>
      </w:r>
      <w:r>
        <w:rPr>
          <w:rStyle w:val="24"/>
          <w:rFonts w:hint="eastAsia" w:ascii="宋体" w:hAnsi="宋体" w:cs="宋体"/>
          <w:b/>
          <w:color w:val="auto"/>
          <w:sz w:val="32"/>
          <w:szCs w:val="32"/>
          <w:highlight w:val="none"/>
          <w:lang w:val="en-US" w:eastAsia="zh-CN"/>
        </w:rPr>
        <w:t>五</w:t>
      </w:r>
      <w:r>
        <w:rPr>
          <w:rStyle w:val="24"/>
          <w:rFonts w:hint="eastAsia" w:ascii="宋体" w:hAnsi="宋体" w:eastAsia="宋体" w:cs="宋体"/>
          <w:b/>
          <w:color w:val="auto"/>
          <w:sz w:val="32"/>
          <w:szCs w:val="32"/>
          <w:highlight w:val="none"/>
        </w:rPr>
        <w:t>年</w:t>
      </w:r>
      <w:r>
        <w:rPr>
          <w:rStyle w:val="24"/>
          <w:rFonts w:hint="eastAsia" w:ascii="宋体" w:hAnsi="宋体" w:cs="宋体"/>
          <w:b/>
          <w:color w:val="auto"/>
          <w:sz w:val="32"/>
          <w:szCs w:val="32"/>
          <w:highlight w:val="none"/>
          <w:lang w:val="en-US" w:eastAsia="zh-CN"/>
        </w:rPr>
        <w:t>七</w:t>
      </w:r>
      <w:r>
        <w:rPr>
          <w:rStyle w:val="24"/>
          <w:rFonts w:hint="eastAsia" w:ascii="宋体" w:hAnsi="宋体" w:eastAsia="宋体" w:cs="宋体"/>
          <w:b/>
          <w:color w:val="auto"/>
          <w:sz w:val="32"/>
          <w:szCs w:val="32"/>
          <w:highlight w:val="none"/>
        </w:rPr>
        <w:t>月</w:t>
      </w:r>
    </w:p>
    <w:p w14:paraId="1F5EF1E1">
      <w:pPr>
        <w:spacing w:line="360" w:lineRule="auto"/>
        <w:jc w:val="center"/>
        <w:rPr>
          <w:rFonts w:hint="eastAsia" w:ascii="宋体" w:hAnsi="宋体" w:eastAsia="宋体" w:cs="宋体"/>
          <w:b/>
          <w:bCs/>
          <w:color w:val="auto"/>
          <w:sz w:val="44"/>
          <w:szCs w:val="44"/>
          <w:highlight w:val="none"/>
        </w:rPr>
        <w:sectPr>
          <w:headerReference r:id="rId3" w:type="default"/>
          <w:pgSz w:w="11905" w:h="16840"/>
          <w:pgMar w:top="1385" w:right="1361" w:bottom="1361" w:left="1474" w:header="0" w:footer="850" w:gutter="0"/>
          <w:pgNumType w:fmt="decimal"/>
          <w:cols w:space="720" w:num="1"/>
        </w:sectPr>
      </w:pPr>
    </w:p>
    <w:p w14:paraId="5D41D802">
      <w:pPr>
        <w:pStyle w:val="10"/>
        <w:rPr>
          <w:rFonts w:hint="eastAsia"/>
          <w:color w:val="auto"/>
        </w:rPr>
      </w:pPr>
    </w:p>
    <w:p w14:paraId="11B0161E">
      <w:pPr>
        <w:spacing w:line="360" w:lineRule="auto"/>
        <w:jc w:val="center"/>
        <w:rPr>
          <w:rFonts w:hint="eastAsia" w:ascii="宋体" w:hAnsi="宋体" w:eastAsia="宋体" w:cs="宋体"/>
          <w:b/>
          <w:bCs/>
          <w:color w:val="auto"/>
          <w:sz w:val="44"/>
          <w:szCs w:val="44"/>
          <w:highlight w:val="none"/>
        </w:rPr>
      </w:pPr>
    </w:p>
    <w:p w14:paraId="0440E5FC">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659F9652">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auto"/>
          <w:sz w:val="32"/>
          <w:szCs w:val="32"/>
          <w:highlight w:val="none"/>
        </w:rPr>
      </w:pPr>
    </w:p>
    <w:p w14:paraId="3C331BD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auto"/>
          <w:sz w:val="32"/>
          <w:szCs w:val="32"/>
          <w:highlight w:val="none"/>
        </w:rPr>
      </w:pPr>
    </w:p>
    <w:p w14:paraId="25E1D0C8">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招标公告</w:t>
      </w:r>
    </w:p>
    <w:p w14:paraId="4A98E5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60" w:leftChars="0" w:firstLine="0" w:firstLineChars="0"/>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kern w:val="2"/>
          <w:sz w:val="32"/>
          <w:szCs w:val="32"/>
          <w:lang w:val="en-US" w:eastAsia="zh-CN" w:bidi="ar-SA"/>
        </w:rPr>
        <w:t>第二部分</w:t>
      </w: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投标须知前附表</w:t>
      </w:r>
    </w:p>
    <w:p w14:paraId="6653AF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60" w:leftChars="0" w:firstLine="0" w:firstLineChars="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第三部分    投标须知</w:t>
      </w:r>
    </w:p>
    <w:p w14:paraId="350D285C">
      <w:pPr>
        <w:keepNext w:val="0"/>
        <w:keepLines w:val="0"/>
        <w:pageBreakBefore w:val="0"/>
        <w:widowControl w:val="0"/>
        <w:kinsoku/>
        <w:wordWrap/>
        <w:overflowPunct/>
        <w:topLinePunct w:val="0"/>
        <w:autoSpaceDE/>
        <w:autoSpaceDN/>
        <w:bidi w:val="0"/>
        <w:adjustRightInd w:val="0"/>
        <w:snapToGrid w:val="0"/>
        <w:spacing w:line="360" w:lineRule="auto"/>
        <w:ind w:firstLine="1063" w:firstLineChars="331"/>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第四部分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采购内容及要求</w:t>
      </w:r>
    </w:p>
    <w:p w14:paraId="7DA20D02">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合同主要条款</w:t>
      </w:r>
    </w:p>
    <w:p w14:paraId="4FB9DE1D">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部分    投标文件格式</w:t>
      </w:r>
    </w:p>
    <w:p w14:paraId="4168BC55">
      <w:pP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br w:type="page"/>
      </w:r>
    </w:p>
    <w:p w14:paraId="047A63BD">
      <w:pPr>
        <w:pStyle w:val="2"/>
        <w:bidi w:val="0"/>
        <w:spacing w:line="240" w:lineRule="auto"/>
        <w:jc w:val="center"/>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第一部分  招标公告</w:t>
      </w:r>
    </w:p>
    <w:p w14:paraId="7CB1BCC9">
      <w:pPr>
        <w:bidi w:val="0"/>
        <w:rPr>
          <w:rFonts w:hint="eastAsia" w:ascii="宋体" w:hAnsi="宋体" w:eastAsia="宋体" w:cs="宋体"/>
          <w:b w:val="0"/>
          <w:bCs w:val="0"/>
          <w:color w:val="auto"/>
          <w:sz w:val="24"/>
          <w:szCs w:val="24"/>
        </w:rPr>
      </w:pPr>
      <w:r>
        <w:rPr>
          <w:rStyle w:val="18"/>
          <w:rFonts w:hint="eastAsia" w:ascii="宋体" w:hAnsi="宋体" w:eastAsia="宋体" w:cs="宋体"/>
          <w:b/>
          <w:bCs/>
          <w:i w:val="0"/>
          <w:iCs w:val="0"/>
          <w:caps w:val="0"/>
          <w:color w:val="auto"/>
          <w:spacing w:val="0"/>
          <w:sz w:val="24"/>
          <w:szCs w:val="24"/>
          <w:shd w:val="clear" w:color="auto" w:fill="FFFFFF"/>
        </w:rPr>
        <w:t>项目概况</w:t>
      </w:r>
    </w:p>
    <w:p w14:paraId="6B62038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儿科采购专业设备一批招标项目的潜在投标人应在全国公共资源交易中心平台 (陕西省.安康市)获取招标文件，并于 2025年08月06日 09时00分（北京时间）前递交投标文件。</w:t>
      </w:r>
    </w:p>
    <w:p w14:paraId="652D27C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一、项目基本情况</w:t>
      </w:r>
    </w:p>
    <w:p w14:paraId="78AFCF5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cs="宋体"/>
          <w:i w:val="0"/>
          <w:iCs w:val="0"/>
          <w:caps w:val="0"/>
          <w:color w:val="auto"/>
          <w:spacing w:val="0"/>
          <w:sz w:val="24"/>
          <w:szCs w:val="24"/>
          <w:shd w:val="clear" w:color="auto" w:fill="FFFFFF"/>
          <w:lang w:eastAsia="zh-CN"/>
        </w:rPr>
        <w:t>HHZY-2025-26</w:t>
      </w:r>
    </w:p>
    <w:p w14:paraId="31D498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儿科采购专业设备一批</w:t>
      </w:r>
    </w:p>
    <w:p w14:paraId="0873DB5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采购方式：公开招标</w:t>
      </w:r>
    </w:p>
    <w:p w14:paraId="3701C76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预算金额：</w:t>
      </w:r>
      <w:r>
        <w:rPr>
          <w:rFonts w:hint="eastAsia" w:cs="宋体"/>
          <w:i w:val="0"/>
          <w:iCs w:val="0"/>
          <w:caps w:val="0"/>
          <w:color w:val="auto"/>
          <w:spacing w:val="0"/>
          <w:sz w:val="24"/>
          <w:szCs w:val="24"/>
          <w:shd w:val="clear" w:color="auto" w:fill="FFFFFF"/>
          <w:lang w:val="en-US" w:eastAsia="zh-CN"/>
        </w:rPr>
        <w:t>300,000.00</w:t>
      </w:r>
      <w:r>
        <w:rPr>
          <w:rFonts w:hint="eastAsia" w:ascii="宋体" w:hAnsi="宋体" w:eastAsia="宋体" w:cs="宋体"/>
          <w:i w:val="0"/>
          <w:iCs w:val="0"/>
          <w:caps w:val="0"/>
          <w:color w:val="auto"/>
          <w:spacing w:val="0"/>
          <w:sz w:val="24"/>
          <w:szCs w:val="24"/>
          <w:shd w:val="clear" w:color="auto" w:fill="FFFFFF"/>
        </w:rPr>
        <w:t>元</w:t>
      </w:r>
    </w:p>
    <w:p w14:paraId="4D2297B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采购需求：</w:t>
      </w:r>
    </w:p>
    <w:p w14:paraId="408BD64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儿科采购专业设备一批</w:t>
      </w:r>
      <w:r>
        <w:rPr>
          <w:rFonts w:hint="eastAsia" w:ascii="宋体" w:hAnsi="宋体" w:eastAsia="宋体" w:cs="宋体"/>
          <w:i w:val="0"/>
          <w:iCs w:val="0"/>
          <w:caps w:val="0"/>
          <w:color w:val="auto"/>
          <w:spacing w:val="0"/>
          <w:sz w:val="24"/>
          <w:szCs w:val="24"/>
          <w:shd w:val="clear" w:color="auto" w:fill="FFFFFF"/>
        </w:rPr>
        <w:t>):</w:t>
      </w:r>
    </w:p>
    <w:p w14:paraId="208DF0C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eastAsia="zh-CN"/>
        </w:rPr>
        <w:t>300,000.00</w:t>
      </w:r>
      <w:r>
        <w:rPr>
          <w:rFonts w:hint="eastAsia" w:ascii="宋体" w:hAnsi="宋体" w:eastAsia="宋体" w:cs="宋体"/>
          <w:i w:val="0"/>
          <w:iCs w:val="0"/>
          <w:caps w:val="0"/>
          <w:color w:val="auto"/>
          <w:spacing w:val="0"/>
          <w:sz w:val="24"/>
          <w:szCs w:val="24"/>
          <w:shd w:val="clear" w:color="auto" w:fill="FFFFFF"/>
        </w:rPr>
        <w:t>元</w:t>
      </w:r>
    </w:p>
    <w:p w14:paraId="0C5AA2A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 合同包最高限价：</w:t>
      </w:r>
      <w:r>
        <w:rPr>
          <w:rFonts w:hint="eastAsia" w:cs="宋体"/>
          <w:i w:val="0"/>
          <w:iCs w:val="0"/>
          <w:caps w:val="0"/>
          <w:color w:val="auto"/>
          <w:spacing w:val="0"/>
          <w:sz w:val="24"/>
          <w:szCs w:val="24"/>
          <w:shd w:val="clear" w:color="auto" w:fill="FFFFFF"/>
          <w:lang w:eastAsia="zh-CN"/>
        </w:rPr>
        <w:t>300,000.00</w:t>
      </w:r>
      <w:r>
        <w:rPr>
          <w:rFonts w:hint="eastAsia" w:ascii="宋体" w:hAnsi="宋体" w:eastAsia="宋体" w:cs="宋体"/>
          <w:i w:val="0"/>
          <w:iCs w:val="0"/>
          <w:caps w:val="0"/>
          <w:color w:val="auto"/>
          <w:spacing w:val="0"/>
          <w:sz w:val="24"/>
          <w:szCs w:val="24"/>
          <w:shd w:val="clear" w:color="auto" w:fill="FFFFFF"/>
        </w:rPr>
        <w:t>元</w:t>
      </w:r>
    </w:p>
    <w:tbl>
      <w:tblPr>
        <w:tblStyle w:val="15"/>
        <w:tblW w:w="93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92"/>
        <w:gridCol w:w="1787"/>
        <w:gridCol w:w="2160"/>
        <w:gridCol w:w="1460"/>
        <w:gridCol w:w="1960"/>
        <w:gridCol w:w="1299"/>
      </w:tblGrid>
      <w:tr w14:paraId="682D07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49" w:hRule="atLeast"/>
          <w:tblHeader/>
        </w:trPr>
        <w:tc>
          <w:tcPr>
            <w:tcW w:w="692"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27E5460">
            <w:pPr>
              <w:keepNext w:val="0"/>
              <w:keepLines w:val="0"/>
              <w:widowControl/>
              <w:suppressLineNumbers w:val="0"/>
              <w:wordWrap w:val="0"/>
              <w:spacing w:before="0" w:beforeAutospacing="0" w:after="0" w:afterAutospacing="0" w:line="288" w:lineRule="atLeast"/>
              <w:ind w:left="0" w:right="0"/>
              <w:jc w:val="center"/>
              <w:rPr>
                <w:rFonts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品目号</w:t>
            </w:r>
          </w:p>
        </w:tc>
        <w:tc>
          <w:tcPr>
            <w:tcW w:w="1787"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2A489358">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品目名称</w:t>
            </w:r>
          </w:p>
        </w:tc>
        <w:tc>
          <w:tcPr>
            <w:tcW w:w="2160"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0C270B94">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采购标的</w:t>
            </w:r>
          </w:p>
        </w:tc>
        <w:tc>
          <w:tcPr>
            <w:tcW w:w="1460"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F105314">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数量（单位）</w:t>
            </w:r>
          </w:p>
        </w:tc>
        <w:tc>
          <w:tcPr>
            <w:tcW w:w="1960"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797FF4F">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技术规格、参数及要求</w:t>
            </w:r>
          </w:p>
        </w:tc>
        <w:tc>
          <w:tcPr>
            <w:tcW w:w="1299"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90F203F">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品目预算(元)</w:t>
            </w:r>
          </w:p>
        </w:tc>
      </w:tr>
      <w:tr w14:paraId="66B755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9" w:hRule="atLeast"/>
        </w:trPr>
        <w:tc>
          <w:tcPr>
            <w:tcW w:w="0" w:type="auto"/>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FAE28B9">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1-1</w:t>
            </w:r>
          </w:p>
        </w:tc>
        <w:tc>
          <w:tcPr>
            <w:tcW w:w="1787"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2EC9E21E">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普通诊察器械</w:t>
            </w:r>
          </w:p>
        </w:tc>
        <w:tc>
          <w:tcPr>
            <w:tcW w:w="2160"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0E6649E">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婴儿辐射保暖台</w:t>
            </w:r>
          </w:p>
        </w:tc>
        <w:tc>
          <w:tcPr>
            <w:tcW w:w="1460"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28449D15">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1(台)</w:t>
            </w:r>
          </w:p>
        </w:tc>
        <w:tc>
          <w:tcPr>
            <w:tcW w:w="1960"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D9B4D75">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详见采购文件</w:t>
            </w:r>
          </w:p>
        </w:tc>
        <w:tc>
          <w:tcPr>
            <w:tcW w:w="1299"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3FCFE02">
            <w:pPr>
              <w:keepNext w:val="0"/>
              <w:keepLines w:val="0"/>
              <w:widowControl/>
              <w:suppressLineNumbers w:val="0"/>
              <w:wordWrap/>
              <w:spacing w:before="0" w:beforeAutospacing="0" w:after="0" w:afterAutospacing="0" w:line="288" w:lineRule="atLeast"/>
              <w:ind w:left="0" w:right="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200,000.00</w:t>
            </w:r>
          </w:p>
        </w:tc>
      </w:tr>
      <w:tr w14:paraId="505037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9" w:hRule="atLeast"/>
        </w:trPr>
        <w:tc>
          <w:tcPr>
            <w:tcW w:w="0" w:type="auto"/>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5C90EA0">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1-2</w:t>
            </w:r>
          </w:p>
        </w:tc>
        <w:tc>
          <w:tcPr>
            <w:tcW w:w="1787"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47926E1">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急救和生命支持设备</w:t>
            </w:r>
          </w:p>
        </w:tc>
        <w:tc>
          <w:tcPr>
            <w:tcW w:w="2160"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02B5ED53">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新生儿无创呼吸机</w:t>
            </w:r>
          </w:p>
        </w:tc>
        <w:tc>
          <w:tcPr>
            <w:tcW w:w="1460"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396899D">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1(台)</w:t>
            </w:r>
          </w:p>
        </w:tc>
        <w:tc>
          <w:tcPr>
            <w:tcW w:w="1960"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14B3FF4">
            <w:pPr>
              <w:keepNext w:val="0"/>
              <w:keepLines w:val="0"/>
              <w:widowControl/>
              <w:suppressLineNumbers w:val="0"/>
              <w:wordWrap w:val="0"/>
              <w:spacing w:before="0" w:beforeAutospacing="0" w:after="0" w:afterAutospacing="0" w:line="288"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详见采购文件</w:t>
            </w:r>
          </w:p>
        </w:tc>
        <w:tc>
          <w:tcPr>
            <w:tcW w:w="1299"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C6D3B65">
            <w:pPr>
              <w:keepNext w:val="0"/>
              <w:keepLines w:val="0"/>
              <w:widowControl/>
              <w:suppressLineNumbers w:val="0"/>
              <w:wordWrap/>
              <w:spacing w:before="0" w:beforeAutospacing="0" w:after="0" w:afterAutospacing="0" w:line="288" w:lineRule="atLeast"/>
              <w:ind w:left="0" w:right="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100,000.00</w:t>
            </w:r>
          </w:p>
        </w:tc>
      </w:tr>
    </w:tbl>
    <w:p w14:paraId="1AD5ED4B">
      <w:pPr>
        <w:keepNext w:val="0"/>
        <w:keepLines w:val="0"/>
        <w:widowControl/>
        <w:suppressLineNumbers w:val="0"/>
        <w:jc w:val="left"/>
      </w:pPr>
    </w:p>
    <w:p w14:paraId="1A1AE0C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 本合同包不接受联合体投标</w:t>
      </w:r>
    </w:p>
    <w:p w14:paraId="70F7BB9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rPr>
        <w:t xml:space="preserve"> 合同履行期限：</w:t>
      </w:r>
      <w:r>
        <w:rPr>
          <w:rFonts w:hint="eastAsia" w:ascii="宋体" w:hAnsi="宋体" w:eastAsia="宋体" w:cs="宋体"/>
          <w:b/>
          <w:bCs/>
          <w:i w:val="0"/>
          <w:iCs w:val="0"/>
          <w:caps w:val="0"/>
          <w:color w:val="auto"/>
          <w:spacing w:val="0"/>
          <w:sz w:val="24"/>
          <w:szCs w:val="24"/>
          <w:shd w:val="clear" w:color="auto" w:fill="FFFFFF"/>
          <w:lang w:eastAsia="zh-CN"/>
        </w:rPr>
        <w:t>自签订合同后</w:t>
      </w:r>
      <w:r>
        <w:rPr>
          <w:rFonts w:hint="eastAsia" w:cs="宋体"/>
          <w:b/>
          <w:bCs/>
          <w:i w:val="0"/>
          <w:iCs w:val="0"/>
          <w:caps w:val="0"/>
          <w:color w:val="auto"/>
          <w:spacing w:val="0"/>
          <w:sz w:val="24"/>
          <w:szCs w:val="24"/>
          <w:shd w:val="clear" w:color="auto" w:fill="FFFFFF"/>
          <w:lang w:val="en-US" w:eastAsia="zh-CN"/>
        </w:rPr>
        <w:t>30</w:t>
      </w:r>
      <w:r>
        <w:rPr>
          <w:rFonts w:hint="eastAsia" w:ascii="宋体" w:hAnsi="宋体" w:eastAsia="宋体" w:cs="宋体"/>
          <w:b/>
          <w:bCs/>
          <w:i w:val="0"/>
          <w:iCs w:val="0"/>
          <w:caps w:val="0"/>
          <w:color w:val="auto"/>
          <w:spacing w:val="0"/>
          <w:sz w:val="24"/>
          <w:szCs w:val="24"/>
          <w:shd w:val="clear" w:color="auto" w:fill="FFFFFF"/>
          <w:lang w:eastAsia="zh-CN"/>
        </w:rPr>
        <w:t>个日历日内完成全部货物的配送、安装调试工作</w:t>
      </w:r>
    </w:p>
    <w:p w14:paraId="7E211B3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二、申请人的资格要求：</w:t>
      </w:r>
    </w:p>
    <w:p w14:paraId="4AEE175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7D9E4AB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03C18D0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儿科采购专业设备一批</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0D0A74C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（1）《政府采购促进中小企业发展管理办法》（财库﹝2020﹞46号）</w:t>
      </w:r>
      <w:r>
        <w:rPr>
          <w:rFonts w:hint="eastAsia"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陕西省财政厅关于进一步落实政府采购支持中小企业相关政策的通知</w:t>
      </w:r>
      <w:r>
        <w:rPr>
          <w:rFonts w:hint="eastAsia"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陕财办采〔2023〕</w:t>
      </w:r>
      <w:r>
        <w:rPr>
          <w:rFonts w:ascii="宋体" w:hAnsi="宋体" w:eastAsia="宋体" w:cs="宋体"/>
          <w:b w:val="0"/>
          <w:bCs/>
          <w:color w:val="auto"/>
          <w:kern w:val="0"/>
          <w:sz w:val="24"/>
          <w:szCs w:val="24"/>
          <w:u w:val="none"/>
          <w:lang w:val="en-US" w:eastAsia="zh-CN" w:bidi="ar"/>
        </w:rPr>
        <w:t>3号</w:t>
      </w:r>
      <w:r>
        <w:rPr>
          <w:rFonts w:hint="eastAsia" w:cs="宋体"/>
          <w:b w:val="0"/>
          <w:bCs w:val="0"/>
          <w:i w:val="0"/>
          <w:iCs w:val="0"/>
          <w:caps w:val="0"/>
          <w:color w:val="auto"/>
          <w:spacing w:val="0"/>
          <w:sz w:val="24"/>
          <w:szCs w:val="24"/>
          <w:shd w:val="clear" w:color="auto" w:fill="FFFFFF"/>
          <w:lang w:val="en-US" w:eastAsia="zh-CN"/>
        </w:rPr>
        <w:t>）</w:t>
      </w:r>
      <w:r>
        <w:rPr>
          <w:rFonts w:hint="eastAsia" w:ascii="宋体" w:hAnsi="宋体" w:eastAsia="宋体" w:cs="宋体"/>
          <w:b w:val="0"/>
          <w:bCs w:val="0"/>
          <w:i w:val="0"/>
          <w:iCs w:val="0"/>
          <w:caps w:val="0"/>
          <w:color w:val="auto"/>
          <w:spacing w:val="0"/>
          <w:sz w:val="24"/>
          <w:szCs w:val="24"/>
          <w:shd w:val="clear" w:color="auto" w:fill="FFFFFF"/>
        </w:rPr>
        <w:t>；（2）《财政部司法部关于政府采购支持监狱企业发展有关问题的通知》（财库〔2014〕68号）；（3）《国务院办公厅关于建立政府强制采购节能产品制度的通知》（国办发〔2007〕51号）；（4）《关于调整优化节能产品、环境标志产品政府采购执行机制的通知》（财库〔2019〕9号）；（5）《关于印发环境标志产品政府采购品目清单的通知》（财库〔2019〕18号）；（6）《关于印发节能产品政府采购品目清单的通知》（财库〔2019〕19号）；（7）《三部门联合发布关于促进残疾人就业政府采购政策的通知》（财库〔2017〕141号）；（8）《财政部发展改革委生态环境部市场监管总局关于调整优化节能产品、环境标志产品政府采购执行机制的通知》（财库〔2019〕9号）；（9）《关于运用政府采购政策支持脱贫攻坚的通知》财库〔2019〕27号；（10）《陕西省财政厅关于加快推进我省中小企业政府采购信用融资工作的通知》（陕财办采〔2020〕15号）；（11）《陕西省中小企业政府采购信用融资办法》（陕财办采〔2018〕23号）；（12）《财政部农业农村部国家乡村振兴局关于运用政府采购政策支持乡村产业振兴的通知》（财库〔2021〕19号）</w:t>
      </w:r>
      <w:r>
        <w:rPr>
          <w:rFonts w:hint="eastAsia" w:cs="宋体"/>
          <w:b w:val="0"/>
          <w:bCs w:val="0"/>
          <w:i w:val="0"/>
          <w:iCs w:val="0"/>
          <w:caps w:val="0"/>
          <w:color w:val="auto"/>
          <w:spacing w:val="0"/>
          <w:sz w:val="24"/>
          <w:szCs w:val="24"/>
          <w:shd w:val="clear" w:color="auto" w:fill="FFFFFF"/>
          <w:lang w:eastAsia="zh-CN"/>
        </w:rPr>
        <w:t>；（</w:t>
      </w:r>
      <w:r>
        <w:rPr>
          <w:rFonts w:hint="eastAsia" w:cs="宋体"/>
          <w:b w:val="0"/>
          <w:bCs w:val="0"/>
          <w:i w:val="0"/>
          <w:iCs w:val="0"/>
          <w:caps w:val="0"/>
          <w:color w:val="auto"/>
          <w:spacing w:val="0"/>
          <w:sz w:val="24"/>
          <w:szCs w:val="24"/>
          <w:shd w:val="clear" w:color="auto" w:fill="FFFFFF"/>
          <w:lang w:val="en-US" w:eastAsia="zh-CN"/>
        </w:rPr>
        <w:t>13</w:t>
      </w:r>
      <w:r>
        <w:rPr>
          <w:rFonts w:hint="eastAsia" w:cs="宋体"/>
          <w:b w:val="0"/>
          <w:bCs w:val="0"/>
          <w:i w:val="0"/>
          <w:iCs w:val="0"/>
          <w:caps w:val="0"/>
          <w:color w:val="auto"/>
          <w:spacing w:val="0"/>
          <w:sz w:val="24"/>
          <w:szCs w:val="24"/>
          <w:shd w:val="clear" w:color="auto" w:fill="FFFFFF"/>
          <w:lang w:eastAsia="zh-CN"/>
        </w:rPr>
        <w:t>）</w:t>
      </w:r>
      <w:r>
        <w:rPr>
          <w:rFonts w:hint="eastAsia" w:cs="宋体"/>
          <w:b w:val="0"/>
          <w:bCs w:val="0"/>
          <w:i w:val="0"/>
          <w:iCs w:val="0"/>
          <w:caps w:val="0"/>
          <w:color w:val="auto"/>
          <w:spacing w:val="0"/>
          <w:sz w:val="24"/>
          <w:szCs w:val="24"/>
          <w:shd w:val="clear" w:color="auto" w:fill="FFFFFF"/>
          <w:lang w:val="en-US" w:eastAsia="zh-CN"/>
        </w:rPr>
        <w:t>陕西省财政厅关于进一步优化政府采购营商环境有关事项的通知-陕财办采〔2023〕4号</w:t>
      </w:r>
      <w:r>
        <w:rPr>
          <w:rFonts w:hint="eastAsia" w:cs="宋体"/>
          <w:b w:val="0"/>
          <w:bCs w:val="0"/>
          <w:i w:val="0"/>
          <w:iCs w:val="0"/>
          <w:caps w:val="0"/>
          <w:color w:val="auto"/>
          <w:spacing w:val="0"/>
          <w:sz w:val="24"/>
          <w:szCs w:val="24"/>
          <w:shd w:val="clear" w:color="auto" w:fill="FFFFFF"/>
          <w:lang w:eastAsia="zh-CN"/>
        </w:rPr>
        <w:t>；（</w:t>
      </w:r>
      <w:r>
        <w:rPr>
          <w:rFonts w:hint="eastAsia" w:cs="宋体"/>
          <w:b w:val="0"/>
          <w:bCs w:val="0"/>
          <w:i w:val="0"/>
          <w:iCs w:val="0"/>
          <w:caps w:val="0"/>
          <w:color w:val="auto"/>
          <w:spacing w:val="0"/>
          <w:sz w:val="24"/>
          <w:szCs w:val="24"/>
          <w:shd w:val="clear" w:color="auto" w:fill="FFFFFF"/>
          <w:lang w:val="en-US" w:eastAsia="zh-CN"/>
        </w:rPr>
        <w:t>14</w:t>
      </w:r>
      <w:r>
        <w:rPr>
          <w:rFonts w:hint="eastAsia" w:cs="宋体"/>
          <w:b w:val="0"/>
          <w:bCs w:val="0"/>
          <w:i w:val="0"/>
          <w:iCs w:val="0"/>
          <w:caps w:val="0"/>
          <w:color w:val="auto"/>
          <w:spacing w:val="0"/>
          <w:sz w:val="24"/>
          <w:szCs w:val="24"/>
          <w:shd w:val="clear" w:color="auto" w:fill="FFFFFF"/>
          <w:lang w:eastAsia="zh-CN"/>
        </w:rPr>
        <w:t>）</w:t>
      </w:r>
      <w:r>
        <w:rPr>
          <w:rFonts w:hint="eastAsia" w:ascii="宋体" w:hAnsi="宋体" w:eastAsia="宋体" w:cs="宋体"/>
          <w:b w:val="0"/>
          <w:bCs w:val="0"/>
          <w:i w:val="0"/>
          <w:iCs w:val="0"/>
          <w:caps w:val="0"/>
          <w:color w:val="auto"/>
          <w:spacing w:val="0"/>
          <w:sz w:val="24"/>
          <w:szCs w:val="24"/>
          <w:shd w:val="clear" w:color="auto" w:fill="FFFFFF"/>
        </w:rPr>
        <w:t>其他需要落实的政府采购政策。</w:t>
      </w:r>
    </w:p>
    <w:p w14:paraId="44C4C25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3.本项目的特定资格要求：</w:t>
      </w:r>
    </w:p>
    <w:p w14:paraId="7FEFBAC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儿科采购专业设备一批</w:t>
      </w:r>
      <w:r>
        <w:rPr>
          <w:rFonts w:hint="eastAsia" w:ascii="宋体" w:hAnsi="宋体" w:eastAsia="宋体" w:cs="宋体"/>
          <w:i w:val="0"/>
          <w:iCs w:val="0"/>
          <w:caps w:val="0"/>
          <w:color w:val="auto"/>
          <w:spacing w:val="0"/>
          <w:sz w:val="24"/>
          <w:szCs w:val="24"/>
          <w:shd w:val="clear" w:color="auto" w:fill="FFFFFF"/>
        </w:rPr>
        <w:t>)特定资格要求如下:</w:t>
      </w:r>
    </w:p>
    <w:p w14:paraId="52FD228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239" w:leftChars="114" w:right="0" w:firstLine="307" w:firstLineChars="128"/>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1）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auto"/>
          <w:spacing w:val="0"/>
          <w:sz w:val="24"/>
          <w:szCs w:val="24"/>
          <w:shd w:val="clear" w:color="auto" w:fill="FFFFFF"/>
          <w:lang w:val="en-US" w:eastAsia="zh-CN"/>
        </w:rPr>
        <w:br w:type="textWrapping"/>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（2）提供法定代表人授权书（附法定代表人身份证复印件）及被授权代表身份证复印件（法定代表人直接参加只须提供法定代表人身份证复印件）；</w:t>
      </w:r>
      <w:r>
        <w:rPr>
          <w:rFonts w:hint="eastAsia" w:ascii="宋体" w:hAnsi="宋体" w:eastAsia="宋体" w:cs="宋体"/>
          <w:i w:val="0"/>
          <w:iCs w:val="0"/>
          <w:caps w:val="0"/>
          <w:color w:val="auto"/>
          <w:spacing w:val="0"/>
          <w:sz w:val="24"/>
          <w:szCs w:val="24"/>
          <w:shd w:val="clear" w:color="auto" w:fill="FFFFFF"/>
          <w:lang w:val="en-US" w:eastAsia="zh-CN"/>
        </w:rPr>
        <w:br w:type="textWrapping"/>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（3）财务状况报告：近三年（2022-2024 年）来任意年度财务审计报告(至少应包含资产负债表、利润表和现金流量表)或其基本存款账户开户银行出具的资信证明及基本存款账户开户许可证。(成立时间至提交响应文件截止时间不足三个月的提供公司财务会计制度并加盖供应商鲜章即可)；</w:t>
      </w:r>
      <w:r>
        <w:rPr>
          <w:rFonts w:hint="eastAsia" w:ascii="宋体" w:hAnsi="宋体" w:eastAsia="宋体" w:cs="宋体"/>
          <w:i w:val="0"/>
          <w:iCs w:val="0"/>
          <w:caps w:val="0"/>
          <w:color w:val="auto"/>
          <w:spacing w:val="0"/>
          <w:sz w:val="24"/>
          <w:szCs w:val="24"/>
          <w:shd w:val="clear" w:color="auto" w:fill="FFFFFF"/>
          <w:lang w:val="en-US" w:eastAsia="zh-CN"/>
        </w:rPr>
        <w:br w:type="textWrapping"/>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4）税收缴纳证明：自2024年7月1日以来不少于3个月的纳税证明或完税证明(提供增值税、企业所得税至少一种),纳税证明或完税证明上应有代收机构或税务机关的公章或业务专用章。依法免税的供应商应提供相关文件证明；</w:t>
      </w:r>
      <w:r>
        <w:rPr>
          <w:rFonts w:hint="eastAsia" w:ascii="宋体" w:hAnsi="宋体" w:eastAsia="宋体" w:cs="宋体"/>
          <w:i w:val="0"/>
          <w:iCs w:val="0"/>
          <w:caps w:val="0"/>
          <w:color w:val="auto"/>
          <w:spacing w:val="0"/>
          <w:sz w:val="24"/>
          <w:szCs w:val="24"/>
          <w:shd w:val="clear" w:color="auto" w:fill="FFFFFF"/>
          <w:lang w:val="en-US" w:eastAsia="zh-CN"/>
        </w:rPr>
        <w:br w:type="textWrapping"/>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5）社会保障资金缴纳证明：自2024年7月1日以来已缴存的至少3个月的社会保障资金缴存单据或社保机构开具的社会保险参保缴费情况证明，单据或证明上应有社保机构或代收机构的印章。依法不需要缴纳社会保障资金的供应商应提供相关文件证明；</w:t>
      </w:r>
      <w:r>
        <w:rPr>
          <w:rFonts w:hint="eastAsia" w:ascii="宋体" w:hAnsi="宋体" w:eastAsia="宋体" w:cs="宋体"/>
          <w:i w:val="0"/>
          <w:iCs w:val="0"/>
          <w:caps w:val="0"/>
          <w:color w:val="auto"/>
          <w:spacing w:val="0"/>
          <w:sz w:val="24"/>
          <w:szCs w:val="24"/>
          <w:shd w:val="clear" w:color="auto" w:fill="FFFFFF"/>
          <w:lang w:val="en-US" w:eastAsia="zh-CN"/>
        </w:rPr>
        <w:br w:type="textWrapping"/>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（6）参加政府采购活动前三年内（2022年1月至今），在经营活动中没有重大违法记录的书面声明；</w:t>
      </w:r>
      <w:r>
        <w:rPr>
          <w:rFonts w:hint="eastAsia" w:ascii="宋体" w:hAnsi="宋体" w:eastAsia="宋体" w:cs="宋体"/>
          <w:i w:val="0"/>
          <w:iCs w:val="0"/>
          <w:caps w:val="0"/>
          <w:color w:val="auto"/>
          <w:spacing w:val="0"/>
          <w:sz w:val="24"/>
          <w:szCs w:val="24"/>
          <w:shd w:val="clear" w:color="auto" w:fill="FFFFFF"/>
          <w:lang w:val="en-US" w:eastAsia="zh-CN"/>
        </w:rPr>
        <w:br w:type="textWrapping"/>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（7）投标人具备履行合同所必需的设备和专业技术能力的书面声明（格式自拟）；</w:t>
      </w:r>
      <w:r>
        <w:rPr>
          <w:rFonts w:hint="eastAsia" w:ascii="宋体" w:hAnsi="宋体" w:eastAsia="宋体" w:cs="宋体"/>
          <w:i w:val="0"/>
          <w:iCs w:val="0"/>
          <w:caps w:val="0"/>
          <w:color w:val="auto"/>
          <w:spacing w:val="0"/>
          <w:sz w:val="24"/>
          <w:szCs w:val="24"/>
          <w:shd w:val="clear" w:color="auto" w:fill="FFFFFF"/>
          <w:lang w:val="en-US" w:eastAsia="zh-CN"/>
        </w:rPr>
        <w:br w:type="textWrapping"/>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（8）投标人通过“信用中国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i w:val="0"/>
          <w:iCs w:val="0"/>
          <w:caps w:val="0"/>
          <w:color w:val="auto"/>
          <w:spacing w:val="0"/>
          <w:sz w:val="24"/>
          <w:szCs w:val="24"/>
          <w:shd w:val="clear" w:color="auto" w:fill="FFFFFF"/>
          <w:lang w:val="en-US" w:eastAsia="zh-CN"/>
        </w:rPr>
        <w:br w:type="textWrapping"/>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9）投标人为经销商的应出具医疗器械经营许可证或二类医疗器械备案凭证(投标产品须在其经营范围内)、投标产品属于医疗器械管理的提供医疗器械注册证;投标人为制造厂家应出具医疗器械生产许可证(投标产品须在其生产范围内)及医疗器械经营许可证或二类医疗器械备案凭证(投标产品须在其经营范围内)、投标产品属于医疗器械管理的提供医疗器械注册证；</w:t>
      </w:r>
      <w:r>
        <w:rPr>
          <w:rFonts w:hint="eastAsia" w:ascii="宋体" w:hAnsi="宋体" w:eastAsia="宋体" w:cs="宋体"/>
          <w:i w:val="0"/>
          <w:iCs w:val="0"/>
          <w:caps w:val="0"/>
          <w:color w:val="auto"/>
          <w:spacing w:val="0"/>
          <w:sz w:val="24"/>
          <w:szCs w:val="24"/>
          <w:shd w:val="clear" w:color="auto" w:fill="FFFFFF"/>
          <w:lang w:val="en-US" w:eastAsia="zh-CN"/>
        </w:rPr>
        <w:br w:type="textWrapping"/>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（10）本项目不接受联合体投标。</w:t>
      </w:r>
    </w:p>
    <w:p w14:paraId="079B31B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三、获取招标文件</w:t>
      </w:r>
    </w:p>
    <w:p w14:paraId="535817D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default" w:cs="宋体"/>
          <w:i w:val="0"/>
          <w:iCs w:val="0"/>
          <w:caps w:val="0"/>
          <w:color w:val="auto"/>
          <w:spacing w:val="0"/>
          <w:sz w:val="24"/>
          <w:szCs w:val="24"/>
          <w:shd w:val="clear" w:color="auto" w:fill="FFFFFF"/>
        </w:rPr>
        <w:t xml:space="preserve"> </w:t>
      </w:r>
      <w:r>
        <w:rPr>
          <w:rFonts w:hint="eastAsia" w:ascii="宋体" w:hAnsi="宋体" w:eastAsia="宋体" w:cs="宋体"/>
          <w:i w:val="0"/>
          <w:iCs w:val="0"/>
          <w:caps w:val="0"/>
          <w:color w:val="auto"/>
          <w:spacing w:val="0"/>
          <w:sz w:val="24"/>
          <w:szCs w:val="24"/>
          <w:shd w:val="clear" w:color="auto" w:fill="FFFFFF"/>
        </w:rPr>
        <w:t>2025年07月15日 至 2025年07月21日 ，每天上午 08:00:00 至 12:00:00 ，下午 12:00:00 至 18:00:00 （北京时间）</w:t>
      </w:r>
    </w:p>
    <w:p w14:paraId="291CE8B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途径：全国公共资源交易中心平台 (陕西省.安康市)</w:t>
      </w:r>
    </w:p>
    <w:p w14:paraId="1129E37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方式：在线获取</w:t>
      </w:r>
    </w:p>
    <w:p w14:paraId="5E78306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售价：0元</w:t>
      </w:r>
    </w:p>
    <w:p w14:paraId="4DA3B1B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四、提交投标文件截止时间、开标时间和地点</w:t>
      </w:r>
    </w:p>
    <w:p w14:paraId="4137A71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 2025年08月06日 09时00分00秒 （北京时间）</w:t>
      </w:r>
    </w:p>
    <w:p w14:paraId="6D0D0DF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提交投标文件地点：全国公共资源交易中心平台 (陕西省.安康市)</w:t>
      </w:r>
    </w:p>
    <w:p w14:paraId="3E34779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开标地点：全国公共资源交易中心平台 (陕西省.安康市) 不见面开标大厅</w:t>
      </w:r>
    </w:p>
    <w:p w14:paraId="5B14A8D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五、公告期限</w:t>
      </w:r>
    </w:p>
    <w:p w14:paraId="0A28E69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785CBF7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六、其他补充事宜</w:t>
      </w:r>
    </w:p>
    <w:p w14:paraId="207577E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投标供应商使用捆绑CA证书登录安康市公共资源交易中心（http://ak.sxggzyjy.cn/），选择电子交易平台中的陕西政府采购交易系统（http://www.sxggzyjy.cn:9002/TPBidder）进行登录，登录后选择“交易乙方”身份进入供应商界面进行报名。</w:t>
      </w:r>
    </w:p>
    <w:p w14:paraId="7D76493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(2)投标供应商未完成网上投标成功的或未按规定时间在网站上下载招标文件的，无法完成后续流程，后果自负。</w:t>
      </w:r>
    </w:p>
    <w:p w14:paraId="463A9C3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本项目采用电子化投标的方式，相关操作流程详见全国公共资源交易平台（陕西省）网站[服务指南-下载专区]中的《陕西省公共资源交易中心政府采购项目投标指南》，电子投标文件技术支持：4009280095、4009980000；</w:t>
      </w:r>
    </w:p>
    <w:p w14:paraId="4FAEE14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(4)本项目采用远程不见面开标，相关操作流程详见全国公共资源交易平台（陕西省）网站〖首页〉服务指南〉下载专区〗中的《安康市公共资源交易不见面开标大厅政府采购供应商操作手册（202206）》，如遇困难，请拨打系统平台技术支持电话：4009980000。</w:t>
      </w:r>
    </w:p>
    <w:p w14:paraId="04BA169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(5)请各供应商下载文件后，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0C99710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七、对本次招标提出询问，请按以下方式联系。</w:t>
      </w:r>
    </w:p>
    <w:p w14:paraId="38DB8C7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1.采购人信息</w:t>
      </w:r>
    </w:p>
    <w:p w14:paraId="47FEC15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color="auto" w:fill="FFFFFF"/>
          <w:lang w:eastAsia="zh-CN"/>
        </w:rPr>
        <w:t>白河县人民医院</w:t>
      </w:r>
    </w:p>
    <w:p w14:paraId="007185F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cs="宋体"/>
          <w:i w:val="0"/>
          <w:iCs w:val="0"/>
          <w:caps w:val="0"/>
          <w:color w:val="auto"/>
          <w:spacing w:val="0"/>
          <w:sz w:val="24"/>
          <w:szCs w:val="24"/>
          <w:shd w:val="clear" w:color="auto" w:fill="FFFFFF"/>
          <w:lang w:eastAsia="zh-CN"/>
        </w:rPr>
        <w:t>安康市白河县城关镇书院北路18号</w:t>
      </w:r>
    </w:p>
    <w:p w14:paraId="43D1E30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联系方式：0915-7822258</w:t>
      </w:r>
    </w:p>
    <w:p w14:paraId="4A80B5B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2.采购代理机构信息</w:t>
      </w:r>
    </w:p>
    <w:p w14:paraId="209E957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名称：安康华昊智远项目管理有限公司</w:t>
      </w:r>
    </w:p>
    <w:p w14:paraId="3342D44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地址：安康市汉滨区大桥南路1号御公馆小区2号楼2单元1001室</w:t>
      </w:r>
    </w:p>
    <w:p w14:paraId="5477CC6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联系方式：0915-3197229</w:t>
      </w:r>
    </w:p>
    <w:p w14:paraId="6AEF077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3.项目联系方式</w:t>
      </w:r>
    </w:p>
    <w:p w14:paraId="425D2A6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项目联系人：唐明明</w:t>
      </w:r>
    </w:p>
    <w:p w14:paraId="7E7FECF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电话：0915-3197229</w:t>
      </w:r>
    </w:p>
    <w:p w14:paraId="51ED716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102" w:firstLineChars="2126"/>
        <w:jc w:val="righ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安康华昊智远项目管理有限公司</w:t>
      </w:r>
    </w:p>
    <w:p w14:paraId="3E3CEE15">
      <w:pPr>
        <w:keepNext w:val="0"/>
        <w:keepLines w:val="0"/>
        <w:pageBreakBefore w:val="0"/>
        <w:kinsoku/>
        <w:overflowPunct/>
        <w:topLinePunct w:val="0"/>
        <w:autoSpaceDE/>
        <w:autoSpaceDN/>
        <w:bidi w:val="0"/>
        <w:adjustRightInd/>
        <w:snapToGrid/>
        <w:spacing w:line="500" w:lineRule="exact"/>
        <w:ind w:firstLine="6480" w:firstLineChars="2700"/>
        <w:jc w:val="right"/>
        <w:textAlignment w:val="auto"/>
        <w:rPr>
          <w:rFonts w:hint="eastAsia" w:ascii="宋体" w:hAnsi="宋体" w:eastAsia="宋体" w:cs="宋体"/>
          <w:b/>
          <w:color w:val="auto"/>
          <w:sz w:val="36"/>
          <w:szCs w:val="20"/>
          <w:highlight w:val="none"/>
        </w:rPr>
      </w:pPr>
      <w:r>
        <w:rPr>
          <w:rFonts w:hint="eastAsia" w:ascii="宋体" w:hAnsi="宋体" w:eastAsia="宋体" w:cs="宋体"/>
          <w:i w:val="0"/>
          <w:iCs w:val="0"/>
          <w:caps w:val="0"/>
          <w:color w:val="auto"/>
          <w:spacing w:val="0"/>
          <w:sz w:val="24"/>
          <w:szCs w:val="24"/>
          <w:shd w:val="clear" w:color="auto" w:fill="FFFFFF"/>
          <w:lang w:val="en-US" w:eastAsia="zh-CN"/>
        </w:rPr>
        <w:t>202</w:t>
      </w:r>
      <w:r>
        <w:rPr>
          <w:rFonts w:hint="eastAsia" w:ascii="宋体" w:hAnsi="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val="en-US" w:eastAsia="zh-CN"/>
        </w:rPr>
        <w:t>年</w:t>
      </w:r>
      <w:r>
        <w:rPr>
          <w:rFonts w:hint="eastAsia" w:ascii="宋体" w:hAnsi="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lang w:val="en-US" w:eastAsia="zh-CN"/>
        </w:rPr>
        <w:t>月</w:t>
      </w:r>
      <w:r>
        <w:rPr>
          <w:rFonts w:hint="eastAsia" w:ascii="宋体" w:hAnsi="宋体" w:cs="宋体"/>
          <w:i w:val="0"/>
          <w:iCs w:val="0"/>
          <w:caps w:val="0"/>
          <w:color w:val="auto"/>
          <w:spacing w:val="0"/>
          <w:sz w:val="24"/>
          <w:szCs w:val="24"/>
          <w:shd w:val="clear" w:color="auto" w:fill="FFFFFF"/>
          <w:lang w:val="en-US" w:eastAsia="zh-CN"/>
        </w:rPr>
        <w:t xml:space="preserve">14 </w:t>
      </w:r>
      <w:r>
        <w:rPr>
          <w:rFonts w:hint="eastAsia" w:ascii="宋体" w:hAnsi="宋体" w:eastAsia="宋体" w:cs="宋体"/>
          <w:i w:val="0"/>
          <w:iCs w:val="0"/>
          <w:caps w:val="0"/>
          <w:color w:val="auto"/>
          <w:spacing w:val="0"/>
          <w:sz w:val="24"/>
          <w:szCs w:val="24"/>
          <w:shd w:val="clear" w:color="auto" w:fill="FFFFFF"/>
          <w:lang w:val="en-US" w:eastAsia="zh-CN"/>
        </w:rPr>
        <w:t>日</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b/>
          <w:color w:val="auto"/>
          <w:sz w:val="36"/>
          <w:szCs w:val="20"/>
          <w:highlight w:val="none"/>
        </w:rPr>
        <w:br w:type="page"/>
      </w:r>
    </w:p>
    <w:p w14:paraId="16ECE5E4">
      <w:pPr>
        <w:pStyle w:val="2"/>
        <w:bidi w:val="0"/>
        <w:spacing w:line="240" w:lineRule="auto"/>
        <w:jc w:val="center"/>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第二部分  投标须知前附表</w:t>
      </w:r>
    </w:p>
    <w:tbl>
      <w:tblPr>
        <w:tblStyle w:val="15"/>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748"/>
        <w:gridCol w:w="7111"/>
      </w:tblGrid>
      <w:tr w14:paraId="6E9A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76" w:type="dxa"/>
            <w:vAlign w:val="center"/>
          </w:tcPr>
          <w:p w14:paraId="30480204">
            <w:pPr>
              <w:keepNext w:val="0"/>
              <w:keepLines w:val="0"/>
              <w:pageBreakBefore w:val="0"/>
              <w:kinsoku/>
              <w:wordWrap/>
              <w:overflowPunct/>
              <w:topLinePunct w:val="0"/>
              <w:autoSpaceDE/>
              <w:autoSpaceDN/>
              <w:bidi w:val="0"/>
              <w:adjustRightInd/>
              <w:snapToGrid/>
              <w:spacing w:line="500" w:lineRule="exact"/>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748" w:type="dxa"/>
            <w:vAlign w:val="center"/>
          </w:tcPr>
          <w:p w14:paraId="77E8B462">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内容</w:t>
            </w:r>
          </w:p>
        </w:tc>
        <w:tc>
          <w:tcPr>
            <w:tcW w:w="7111" w:type="dxa"/>
            <w:vAlign w:val="center"/>
          </w:tcPr>
          <w:p w14:paraId="005233D9">
            <w:pPr>
              <w:keepNext w:val="0"/>
              <w:keepLines w:val="0"/>
              <w:pageBreakBefore w:val="0"/>
              <w:tabs>
                <w:tab w:val="left" w:pos="1180"/>
              </w:tabs>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说明与要求</w:t>
            </w:r>
          </w:p>
        </w:tc>
      </w:tr>
      <w:tr w14:paraId="2DCE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576" w:type="dxa"/>
            <w:vAlign w:val="top"/>
          </w:tcPr>
          <w:p w14:paraId="05543B7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748" w:type="dxa"/>
            <w:vAlign w:val="top"/>
          </w:tcPr>
          <w:p w14:paraId="1A1EF18F">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w:t>
            </w:r>
          </w:p>
        </w:tc>
        <w:tc>
          <w:tcPr>
            <w:tcW w:w="7111" w:type="dxa"/>
            <w:vAlign w:val="top"/>
          </w:tcPr>
          <w:p w14:paraId="3393DDCE">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白河县人民医院</w:t>
            </w:r>
          </w:p>
        </w:tc>
      </w:tr>
      <w:tr w14:paraId="5DE2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6" w:type="dxa"/>
            <w:vAlign w:val="top"/>
          </w:tcPr>
          <w:p w14:paraId="2687D77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748" w:type="dxa"/>
            <w:vAlign w:val="top"/>
          </w:tcPr>
          <w:p w14:paraId="053579A6">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采购代理机构</w:t>
            </w:r>
          </w:p>
        </w:tc>
        <w:tc>
          <w:tcPr>
            <w:tcW w:w="7111" w:type="dxa"/>
            <w:vAlign w:val="top"/>
          </w:tcPr>
          <w:p w14:paraId="1BFEDD16">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aps w:val="0"/>
                <w:color w:val="auto"/>
                <w:spacing w:val="0"/>
                <w:sz w:val="24"/>
                <w:szCs w:val="24"/>
                <w:shd w:val="clear" w:color="auto" w:fill="FFFFFF"/>
              </w:rPr>
              <w:t>安康华昊智远项目管理有限公司</w:t>
            </w:r>
          </w:p>
        </w:tc>
      </w:tr>
      <w:tr w14:paraId="3A65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576" w:type="dxa"/>
            <w:vAlign w:val="top"/>
          </w:tcPr>
          <w:p w14:paraId="4C05C40F">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748" w:type="dxa"/>
            <w:vAlign w:val="top"/>
          </w:tcPr>
          <w:p w14:paraId="03546A66">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7111" w:type="dxa"/>
            <w:vAlign w:val="top"/>
          </w:tcPr>
          <w:p w14:paraId="601C1AD3">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i w:val="0"/>
                <w:iCs w:val="0"/>
                <w:caps w:val="0"/>
                <w:color w:val="auto"/>
                <w:spacing w:val="0"/>
                <w:sz w:val="24"/>
                <w:szCs w:val="24"/>
                <w:shd w:val="clear" w:color="auto" w:fill="FFFFFF"/>
                <w:lang w:eastAsia="zh-CN"/>
              </w:rPr>
              <w:t>儿科采购专业设备一批</w:t>
            </w:r>
          </w:p>
        </w:tc>
      </w:tr>
      <w:tr w14:paraId="560F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6" w:type="dxa"/>
            <w:vAlign w:val="top"/>
          </w:tcPr>
          <w:p w14:paraId="1C21B30C">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748" w:type="dxa"/>
            <w:vAlign w:val="top"/>
          </w:tcPr>
          <w:p w14:paraId="4E419D5A">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项目编号</w:t>
            </w:r>
          </w:p>
        </w:tc>
        <w:tc>
          <w:tcPr>
            <w:tcW w:w="7111" w:type="dxa"/>
            <w:vAlign w:val="top"/>
          </w:tcPr>
          <w:p w14:paraId="0982FC0C">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i w:val="0"/>
                <w:iCs w:val="0"/>
                <w:caps w:val="0"/>
                <w:color w:val="auto"/>
                <w:spacing w:val="0"/>
                <w:sz w:val="24"/>
                <w:szCs w:val="24"/>
                <w:shd w:val="clear" w:color="auto" w:fill="FFFFFF"/>
                <w:lang w:eastAsia="zh-CN"/>
              </w:rPr>
              <w:t>HHZY-2025-26</w:t>
            </w:r>
          </w:p>
        </w:tc>
      </w:tr>
      <w:tr w14:paraId="29A5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exact"/>
        </w:trPr>
        <w:tc>
          <w:tcPr>
            <w:tcW w:w="576" w:type="dxa"/>
            <w:shd w:val="clear" w:color="auto" w:fill="auto"/>
            <w:vAlign w:val="top"/>
          </w:tcPr>
          <w:p w14:paraId="18348742">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p>
          <w:p w14:paraId="41C51584">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748" w:type="dxa"/>
            <w:shd w:val="clear" w:color="auto" w:fill="auto"/>
            <w:vAlign w:val="top"/>
          </w:tcPr>
          <w:p w14:paraId="52D4A5EF">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p>
          <w:p w14:paraId="50F4EA83">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w:t>
            </w:r>
          </w:p>
        </w:tc>
        <w:tc>
          <w:tcPr>
            <w:tcW w:w="7111" w:type="dxa"/>
            <w:shd w:val="clear" w:color="auto" w:fill="auto"/>
            <w:vAlign w:val="center"/>
          </w:tcPr>
          <w:p w14:paraId="7F2F42BE">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1.投标人所报的价格应考虑到可能发生的所有与完成本项目相关服务及履行合同义务有关的一切费用。</w:t>
            </w:r>
          </w:p>
          <w:p w14:paraId="48276EC4">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2.投标人必须对所投项目进行完整报价，不接受（将拒绝）只对部分服务进行报价的投标。</w:t>
            </w:r>
          </w:p>
        </w:tc>
      </w:tr>
      <w:tr w14:paraId="7397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576" w:type="dxa"/>
            <w:vAlign w:val="center"/>
          </w:tcPr>
          <w:p w14:paraId="70C3065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748" w:type="dxa"/>
            <w:shd w:val="clear" w:color="auto" w:fill="auto"/>
            <w:vAlign w:val="center"/>
          </w:tcPr>
          <w:p w14:paraId="70CDC0A8">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合同履行</w:t>
            </w:r>
            <w:r>
              <w:rPr>
                <w:rFonts w:hint="eastAsia" w:ascii="宋体" w:hAnsi="宋体" w:cs="宋体"/>
                <w:b w:val="0"/>
                <w:bCs w:val="0"/>
                <w:color w:val="auto"/>
                <w:sz w:val="24"/>
                <w:szCs w:val="24"/>
                <w:highlight w:val="none"/>
                <w:lang w:val="en-US" w:eastAsia="zh-CN"/>
              </w:rPr>
              <w:t>期限</w:t>
            </w:r>
          </w:p>
        </w:tc>
        <w:tc>
          <w:tcPr>
            <w:tcW w:w="7111" w:type="dxa"/>
            <w:shd w:val="clear" w:color="auto" w:fill="auto"/>
            <w:vAlign w:val="center"/>
          </w:tcPr>
          <w:p w14:paraId="07DB45D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i w:val="0"/>
                <w:iCs w:val="0"/>
                <w:caps w:val="0"/>
                <w:color w:val="auto"/>
                <w:spacing w:val="0"/>
                <w:sz w:val="24"/>
                <w:szCs w:val="24"/>
                <w:shd w:val="clear" w:color="auto" w:fill="FFFFFF"/>
                <w:lang w:eastAsia="zh-CN"/>
              </w:rPr>
              <w:t>自签订合同后</w:t>
            </w:r>
            <w:r>
              <w:rPr>
                <w:rFonts w:hint="eastAsia" w:cs="宋体"/>
                <w:i w:val="0"/>
                <w:iCs w:val="0"/>
                <w:caps w:val="0"/>
                <w:color w:val="auto"/>
                <w:spacing w:val="0"/>
                <w:sz w:val="24"/>
                <w:szCs w:val="24"/>
                <w:shd w:val="clear" w:color="auto" w:fill="FFFFFF"/>
                <w:lang w:eastAsia="zh-CN"/>
              </w:rPr>
              <w:t>30个日历日</w:t>
            </w:r>
            <w:r>
              <w:rPr>
                <w:rFonts w:hint="eastAsia" w:ascii="宋体" w:hAnsi="宋体" w:eastAsia="宋体" w:cs="宋体"/>
                <w:i w:val="0"/>
                <w:iCs w:val="0"/>
                <w:caps w:val="0"/>
                <w:color w:val="auto"/>
                <w:spacing w:val="0"/>
                <w:sz w:val="24"/>
                <w:szCs w:val="24"/>
                <w:shd w:val="clear" w:color="auto" w:fill="FFFFFF"/>
                <w:lang w:eastAsia="zh-CN"/>
              </w:rPr>
              <w:t>内完成全部货物的配送、安装调试工作。</w:t>
            </w:r>
          </w:p>
        </w:tc>
      </w:tr>
      <w:tr w14:paraId="3735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576" w:type="dxa"/>
            <w:vAlign w:val="center"/>
          </w:tcPr>
          <w:p w14:paraId="582D39B0">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1748" w:type="dxa"/>
            <w:shd w:val="clear" w:color="auto" w:fill="auto"/>
            <w:vAlign w:val="center"/>
          </w:tcPr>
          <w:p w14:paraId="465CC126">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付款方式</w:t>
            </w:r>
          </w:p>
        </w:tc>
        <w:tc>
          <w:tcPr>
            <w:tcW w:w="7111" w:type="dxa"/>
            <w:shd w:val="clear" w:color="auto" w:fill="auto"/>
            <w:vAlign w:val="center"/>
          </w:tcPr>
          <w:p w14:paraId="3BAF17E6">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合同签订后支付合同总金额的30%，设备安装调试培训验收合格后支付合同总金额的60%，剩余的10%使用满-年后一次性无息支付。</w:t>
            </w:r>
          </w:p>
        </w:tc>
      </w:tr>
      <w:tr w14:paraId="5BC9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6" w:type="dxa"/>
            <w:vAlign w:val="top"/>
          </w:tcPr>
          <w:p w14:paraId="0E0EF7AA">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1748" w:type="dxa"/>
            <w:shd w:val="clear" w:color="auto" w:fill="auto"/>
            <w:vAlign w:val="top"/>
          </w:tcPr>
          <w:p w14:paraId="6EFFDB8A">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投标保证金</w:t>
            </w:r>
          </w:p>
        </w:tc>
        <w:tc>
          <w:tcPr>
            <w:tcW w:w="7111" w:type="dxa"/>
            <w:shd w:val="clear" w:color="auto" w:fill="auto"/>
            <w:vAlign w:val="top"/>
          </w:tcPr>
          <w:p w14:paraId="446C484F">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本项目不设置投标保证金</w:t>
            </w:r>
          </w:p>
        </w:tc>
      </w:tr>
      <w:tr w14:paraId="55B4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76" w:type="dxa"/>
            <w:vAlign w:val="top"/>
          </w:tcPr>
          <w:p w14:paraId="7058395E">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1748" w:type="dxa"/>
            <w:shd w:val="clear" w:color="auto" w:fill="auto"/>
            <w:vAlign w:val="top"/>
          </w:tcPr>
          <w:p w14:paraId="24DAABB9">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投标有效期</w:t>
            </w:r>
          </w:p>
        </w:tc>
        <w:tc>
          <w:tcPr>
            <w:tcW w:w="7111" w:type="dxa"/>
            <w:shd w:val="clear" w:color="auto" w:fill="auto"/>
            <w:vAlign w:val="top"/>
          </w:tcPr>
          <w:p w14:paraId="2F7A401F">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投标文件递交截止时间起算，投标有效期为 90 日历天</w:t>
            </w:r>
          </w:p>
        </w:tc>
      </w:tr>
      <w:tr w14:paraId="0947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tcBorders>
              <w:top w:val="single" w:color="auto" w:sz="4" w:space="0"/>
              <w:left w:val="single" w:color="auto" w:sz="4" w:space="0"/>
              <w:bottom w:val="single" w:color="auto" w:sz="4" w:space="0"/>
              <w:right w:val="single" w:color="auto" w:sz="4" w:space="0"/>
            </w:tcBorders>
            <w:vAlign w:val="center"/>
          </w:tcPr>
          <w:p w14:paraId="412ECEF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2262F7F3">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资格证明文件</w:t>
            </w:r>
          </w:p>
        </w:tc>
        <w:tc>
          <w:tcPr>
            <w:tcW w:w="7111" w:type="dxa"/>
            <w:tcBorders>
              <w:top w:val="single" w:color="auto" w:sz="4" w:space="0"/>
              <w:left w:val="single" w:color="auto" w:sz="4" w:space="0"/>
              <w:bottom w:val="single" w:color="auto" w:sz="4" w:space="0"/>
              <w:right w:val="single" w:color="auto" w:sz="4" w:space="0"/>
            </w:tcBorders>
            <w:shd w:val="clear" w:color="auto" w:fill="auto"/>
            <w:vAlign w:val="top"/>
          </w:tcPr>
          <w:p w14:paraId="2EC124C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2A3A230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eastAsia="zh-CN"/>
              </w:rPr>
              <w:t>提供法定代表人授权书（附法定代表人身份证复印件）及被授权代表身份证复印件（法定代表人直接参加只须提供法定代表人身份证复印件）；</w:t>
            </w:r>
          </w:p>
          <w:p w14:paraId="1DB6594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eastAsia="zh-CN"/>
              </w:rPr>
              <w:t>财务状况报告：近三年（2022-2024 年）来任意年度财务审计报告(至少应包含资产负债表、利润表和现金流量表)或其基本存款账户开户银行出具的资信证明及基本存款账户开户许可证。(成立时间至提交响应文件截止时间不足三个月的提供公司财务会计制度并加盖供应商鲜章即可)；</w:t>
            </w:r>
          </w:p>
          <w:p w14:paraId="0029CEB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税收缴纳证明：</w:t>
            </w:r>
            <w:r>
              <w:rPr>
                <w:rFonts w:hint="eastAsia" w:cs="宋体"/>
                <w:i w:val="0"/>
                <w:iCs w:val="0"/>
                <w:caps w:val="0"/>
                <w:color w:val="auto"/>
                <w:spacing w:val="0"/>
                <w:sz w:val="24"/>
                <w:szCs w:val="24"/>
                <w:shd w:val="clear" w:color="auto" w:fill="FFFFFF"/>
                <w:lang w:eastAsia="zh-CN"/>
              </w:rPr>
              <w:t>自2024年7月1日以来</w:t>
            </w:r>
            <w:r>
              <w:rPr>
                <w:rFonts w:hint="eastAsia" w:ascii="宋体" w:hAnsi="宋体" w:eastAsia="宋体" w:cs="宋体"/>
                <w:i w:val="0"/>
                <w:iCs w:val="0"/>
                <w:caps w:val="0"/>
                <w:color w:val="auto"/>
                <w:spacing w:val="0"/>
                <w:sz w:val="24"/>
                <w:szCs w:val="24"/>
                <w:shd w:val="clear" w:color="auto" w:fill="FFFFFF"/>
              </w:rPr>
              <w:t>不少于3个月的纳税证明或完税证明(提供增值税、企业所得税至少一种),纳税证明或完税证明上应有代收机构或税务机关的公章或业务专用章。依法免税的供应商应提供相关文件证明；</w:t>
            </w:r>
          </w:p>
          <w:p w14:paraId="3DCC246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社会保障资金缴纳证明：</w:t>
            </w:r>
            <w:r>
              <w:rPr>
                <w:rFonts w:hint="eastAsia" w:cs="宋体"/>
                <w:i w:val="0"/>
                <w:iCs w:val="0"/>
                <w:caps w:val="0"/>
                <w:color w:val="auto"/>
                <w:spacing w:val="0"/>
                <w:sz w:val="24"/>
                <w:szCs w:val="24"/>
                <w:shd w:val="clear" w:color="auto" w:fill="FFFFFF"/>
                <w:lang w:eastAsia="zh-CN"/>
              </w:rPr>
              <w:t>自2024年7月1日以来</w:t>
            </w:r>
            <w:r>
              <w:rPr>
                <w:rFonts w:hint="eastAsia" w:ascii="宋体" w:hAnsi="宋体" w:eastAsia="宋体" w:cs="宋体"/>
                <w:i w:val="0"/>
                <w:iCs w:val="0"/>
                <w:caps w:val="0"/>
                <w:color w:val="auto"/>
                <w:spacing w:val="0"/>
                <w:sz w:val="24"/>
                <w:szCs w:val="24"/>
                <w:shd w:val="clear" w:color="auto" w:fill="FFFFFF"/>
              </w:rPr>
              <w:t>已缴存的至少3个月的社会保障资金缴存单据或社保机构开具的社会保险参保缴费情况证明，单据或证明上应有社保机构或代收机构的印章。依法不需要缴纳社会保障资金的供应商应提供相关文件证明；</w:t>
            </w:r>
          </w:p>
          <w:p w14:paraId="3853133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参加政府采购活动前三年内</w:t>
            </w:r>
            <w:r>
              <w:rPr>
                <w:rFonts w:hint="eastAsia" w:cs="宋体"/>
                <w:i w:val="0"/>
                <w:iCs w:val="0"/>
                <w:caps w:val="0"/>
                <w:color w:val="auto"/>
                <w:spacing w:val="0"/>
                <w:sz w:val="24"/>
                <w:szCs w:val="24"/>
                <w:shd w:val="clear" w:color="auto" w:fill="FFFFFF"/>
                <w:lang w:eastAsia="zh-CN"/>
              </w:rPr>
              <w:t>（2022年1月至今）</w:t>
            </w:r>
            <w:r>
              <w:rPr>
                <w:rFonts w:hint="eastAsia" w:ascii="宋体" w:hAnsi="宋体" w:eastAsia="宋体" w:cs="宋体"/>
                <w:i w:val="0"/>
                <w:iCs w:val="0"/>
                <w:caps w:val="0"/>
                <w:color w:val="auto"/>
                <w:spacing w:val="0"/>
                <w:sz w:val="24"/>
                <w:szCs w:val="24"/>
                <w:shd w:val="clear" w:color="auto" w:fill="FFFFFF"/>
              </w:rPr>
              <w:t>，在经营活动中没有重大违法记录的书面声明；</w:t>
            </w:r>
          </w:p>
          <w:p w14:paraId="6A836F4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投标人具备履行合同所必需的设备和专业技术能力的书面声明（格式自拟）；</w:t>
            </w:r>
          </w:p>
          <w:p w14:paraId="59376FA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lang w:eastAsia="zh-CN"/>
              </w:rPr>
              <w:t>）投标人通过“信用中国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i w:val="0"/>
                <w:iCs w:val="0"/>
                <w:caps w:val="0"/>
                <w:color w:val="auto"/>
                <w:spacing w:val="0"/>
                <w:sz w:val="24"/>
                <w:szCs w:val="24"/>
                <w:shd w:val="clear" w:color="auto" w:fill="FFFFFF"/>
              </w:rPr>
              <w:t>；</w:t>
            </w:r>
          </w:p>
          <w:p w14:paraId="6E827F4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投标人为经销商的应出具医疗器械经营许可证或二类医疗器械备案凭证(投标产品须在其经营范围内)、投标产品属于医疗器械管理的提供医疗器械注册证;投标人为制造厂家应出具医疗器械生产许可证(投标产品须在其生产范围内)及医疗器械经营许可证或二类医疗器械备案凭证(投标产品须在其经营范围内)、投标产品属于医疗器械管理的提供医疗器械注册证</w:t>
            </w:r>
            <w:r>
              <w:rPr>
                <w:rFonts w:hint="eastAsia" w:ascii="宋体" w:hAnsi="宋体" w:eastAsia="宋体" w:cs="宋体"/>
                <w:i w:val="0"/>
                <w:iCs w:val="0"/>
                <w:caps w:val="0"/>
                <w:color w:val="auto"/>
                <w:spacing w:val="0"/>
                <w:sz w:val="24"/>
                <w:szCs w:val="24"/>
                <w:shd w:val="clear" w:color="auto" w:fill="FFFFFF"/>
                <w:lang w:val="en-US" w:eastAsia="zh-CN"/>
              </w:rPr>
              <w:t>；</w:t>
            </w:r>
          </w:p>
          <w:p w14:paraId="55746AB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eastAsia="zh-CN"/>
              </w:rPr>
              <w:t>本项目不接受联合体投标。</w:t>
            </w:r>
          </w:p>
        </w:tc>
      </w:tr>
      <w:tr w14:paraId="6CC3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top"/>
          </w:tcPr>
          <w:p w14:paraId="22ED220B">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top"/>
          </w:tcPr>
          <w:p w14:paraId="349CCB2F">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采购方式</w:t>
            </w:r>
          </w:p>
        </w:tc>
        <w:tc>
          <w:tcPr>
            <w:tcW w:w="7111" w:type="dxa"/>
            <w:tcBorders>
              <w:top w:val="single" w:color="auto" w:sz="4" w:space="0"/>
              <w:left w:val="single" w:color="auto" w:sz="4" w:space="0"/>
              <w:bottom w:val="single" w:color="auto" w:sz="4" w:space="0"/>
              <w:right w:val="single" w:color="auto" w:sz="4" w:space="0"/>
            </w:tcBorders>
            <w:shd w:val="clear" w:color="auto" w:fill="auto"/>
            <w:vAlign w:val="top"/>
          </w:tcPr>
          <w:p w14:paraId="603C745E">
            <w:pPr>
              <w:keepNext w:val="0"/>
              <w:keepLines w:val="0"/>
              <w:pageBreakBefore w:val="0"/>
              <w:kinsoku/>
              <w:wordWrap/>
              <w:overflowPunct/>
              <w:topLinePunct w:val="0"/>
              <w:autoSpaceDE/>
              <w:autoSpaceDN/>
              <w:bidi w:val="0"/>
              <w:adjustRightInd/>
              <w:snapToGrid/>
              <w:spacing w:line="500" w:lineRule="exact"/>
              <w:ind w:left="0" w:leftChars="0" w:right="0" w:rightChars="0" w:firstLine="2640" w:firstLineChars="1100"/>
              <w:jc w:val="left"/>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公开招标</w:t>
            </w:r>
          </w:p>
        </w:tc>
      </w:tr>
      <w:tr w14:paraId="7BED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top"/>
          </w:tcPr>
          <w:p w14:paraId="5F50A672">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2</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top"/>
          </w:tcPr>
          <w:p w14:paraId="00DD6F4D">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zh-CN"/>
              </w:rPr>
              <w:t>评标办法</w:t>
            </w:r>
          </w:p>
        </w:tc>
        <w:tc>
          <w:tcPr>
            <w:tcW w:w="7111" w:type="dxa"/>
            <w:tcBorders>
              <w:top w:val="single" w:color="auto" w:sz="4" w:space="0"/>
              <w:left w:val="single" w:color="auto" w:sz="4" w:space="0"/>
              <w:bottom w:val="single" w:color="auto" w:sz="4" w:space="0"/>
              <w:right w:val="single" w:color="auto" w:sz="4" w:space="0"/>
            </w:tcBorders>
            <w:shd w:val="clear" w:color="auto" w:fill="auto"/>
            <w:vAlign w:val="top"/>
          </w:tcPr>
          <w:p w14:paraId="65B44587">
            <w:pPr>
              <w:keepNext w:val="0"/>
              <w:keepLines w:val="0"/>
              <w:pageBreakBefore w:val="0"/>
              <w:kinsoku/>
              <w:wordWrap/>
              <w:overflowPunct/>
              <w:topLinePunct w:val="0"/>
              <w:autoSpaceDE/>
              <w:autoSpaceDN/>
              <w:bidi w:val="0"/>
              <w:adjustRightInd/>
              <w:snapToGrid/>
              <w:spacing w:line="500" w:lineRule="exact"/>
              <w:ind w:right="0" w:rightChars="0" w:firstLine="2640" w:firstLineChars="1100"/>
              <w:jc w:val="both"/>
              <w:textAlignment w:val="auto"/>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zh-CN"/>
              </w:rPr>
              <w:t>综合评分法</w:t>
            </w:r>
          </w:p>
        </w:tc>
      </w:tr>
      <w:tr w14:paraId="5971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top"/>
          </w:tcPr>
          <w:p w14:paraId="389823FC">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p>
          <w:p w14:paraId="6DDACB34">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3</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top"/>
          </w:tcPr>
          <w:p w14:paraId="4856DCC4">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p>
          <w:p w14:paraId="7399BFF6">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开标时间、 地点</w:t>
            </w:r>
          </w:p>
        </w:tc>
        <w:tc>
          <w:tcPr>
            <w:tcW w:w="7111" w:type="dxa"/>
            <w:tcBorders>
              <w:top w:val="single" w:color="auto" w:sz="4" w:space="0"/>
              <w:left w:val="single" w:color="auto" w:sz="4" w:space="0"/>
              <w:bottom w:val="single" w:color="auto" w:sz="4" w:space="0"/>
              <w:right w:val="single" w:color="auto" w:sz="4" w:space="0"/>
            </w:tcBorders>
            <w:shd w:val="clear" w:color="auto" w:fill="auto"/>
            <w:vAlign w:val="top"/>
          </w:tcPr>
          <w:p w14:paraId="3679B4A2">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开标时间：</w:t>
            </w:r>
            <w:r>
              <w:rPr>
                <w:rFonts w:hint="eastAsia" w:ascii="宋体" w:hAnsi="宋体" w:eastAsia="宋体" w:cs="宋体"/>
                <w:i w:val="0"/>
                <w:iCs w:val="0"/>
                <w:caps w:val="0"/>
                <w:color w:val="auto"/>
                <w:spacing w:val="0"/>
                <w:sz w:val="24"/>
                <w:szCs w:val="24"/>
                <w:shd w:val="clear" w:color="auto" w:fill="FFFFFF"/>
              </w:rPr>
              <w:t>2025年08月06日 09时00分00秒</w:t>
            </w:r>
          </w:p>
          <w:p w14:paraId="5CE63DF9">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开标地点：安康不见面开标大厅系统（采用电子化投标及远程不见面开标方式）（如有变动，另行通知）。</w:t>
            </w:r>
          </w:p>
        </w:tc>
      </w:tr>
      <w:tr w14:paraId="50BD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4E61FE1">
            <w:pPr>
              <w:keepNext w:val="0"/>
              <w:keepLines w:val="0"/>
              <w:pageBreakBefore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4</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2A92C50E">
            <w:pPr>
              <w:keepNext w:val="0"/>
              <w:keepLines w:val="0"/>
              <w:pageBreakBefore w:val="0"/>
              <w:kinsoku/>
              <w:wordWrap/>
              <w:overflowPunct/>
              <w:topLinePunct w:val="0"/>
              <w:autoSpaceDE/>
              <w:autoSpaceDN/>
              <w:bidi w:val="0"/>
              <w:adjustRightInd/>
              <w:snapToGrid/>
              <w:spacing w:line="500" w:lineRule="exact"/>
              <w:ind w:left="0" w:right="0"/>
              <w:jc w:val="both"/>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招标文件递交截止时间</w:t>
            </w:r>
          </w:p>
        </w:tc>
        <w:tc>
          <w:tcPr>
            <w:tcW w:w="7111" w:type="dxa"/>
            <w:tcBorders>
              <w:top w:val="single" w:color="auto" w:sz="4" w:space="0"/>
              <w:left w:val="single" w:color="auto" w:sz="4" w:space="0"/>
              <w:bottom w:val="single" w:color="auto" w:sz="4" w:space="0"/>
              <w:right w:val="single" w:color="auto" w:sz="4" w:space="0"/>
            </w:tcBorders>
            <w:shd w:val="clear" w:color="auto" w:fill="auto"/>
            <w:vAlign w:val="center"/>
          </w:tcPr>
          <w:p w14:paraId="41F17EC6">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i w:val="0"/>
                <w:iCs w:val="0"/>
                <w:caps w:val="0"/>
                <w:color w:val="auto"/>
                <w:spacing w:val="0"/>
                <w:sz w:val="24"/>
                <w:szCs w:val="24"/>
                <w:shd w:val="clear" w:color="auto" w:fill="FFFFFF"/>
              </w:rPr>
              <w:t>2025年08月06日 09时00分</w:t>
            </w:r>
            <w:r>
              <w:rPr>
                <w:rFonts w:hint="eastAsia" w:ascii="宋体" w:hAnsi="宋体" w:eastAsia="宋体" w:cs="宋体"/>
                <w:b w:val="0"/>
                <w:bCs w:val="0"/>
                <w:color w:val="auto"/>
                <w:sz w:val="24"/>
                <w:szCs w:val="24"/>
                <w:highlight w:val="none"/>
                <w:lang w:val="en-US" w:eastAsia="zh-CN"/>
              </w:rPr>
              <w:t>止</w:t>
            </w:r>
          </w:p>
        </w:tc>
      </w:tr>
      <w:tr w14:paraId="54E4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top"/>
          </w:tcPr>
          <w:p w14:paraId="6212D768">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p>
          <w:p w14:paraId="55290B04">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5</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top"/>
          </w:tcPr>
          <w:p w14:paraId="095EB3F0">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p>
          <w:p w14:paraId="1DE3AF1E">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评标小组构成</w:t>
            </w:r>
          </w:p>
        </w:tc>
        <w:tc>
          <w:tcPr>
            <w:tcW w:w="7111" w:type="dxa"/>
            <w:tcBorders>
              <w:top w:val="single" w:color="auto" w:sz="4" w:space="0"/>
              <w:left w:val="single" w:color="auto" w:sz="4" w:space="0"/>
              <w:bottom w:val="single" w:color="auto" w:sz="4" w:space="0"/>
              <w:right w:val="single" w:color="auto" w:sz="4" w:space="0"/>
            </w:tcBorders>
            <w:shd w:val="clear" w:color="auto" w:fill="auto"/>
            <w:vAlign w:val="top"/>
          </w:tcPr>
          <w:p w14:paraId="0AD7DAEC">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根据《中华人民共和国政府采购法》《中华人民共和国政府采购法实 施条例》等有关法律规定组建评标小组。</w:t>
            </w:r>
          </w:p>
        </w:tc>
      </w:tr>
      <w:tr w14:paraId="2BFA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top"/>
          </w:tcPr>
          <w:p w14:paraId="7FE4C27D">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p>
          <w:p w14:paraId="1505FDC5">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6</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top"/>
          </w:tcPr>
          <w:p w14:paraId="697B5E6D">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p>
          <w:p w14:paraId="52B81009">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现场勘察</w:t>
            </w:r>
          </w:p>
        </w:tc>
        <w:tc>
          <w:tcPr>
            <w:tcW w:w="7111" w:type="dxa"/>
            <w:tcBorders>
              <w:top w:val="single" w:color="auto" w:sz="4" w:space="0"/>
              <w:left w:val="single" w:color="auto" w:sz="4" w:space="0"/>
              <w:bottom w:val="single" w:color="auto" w:sz="4" w:space="0"/>
              <w:right w:val="single" w:color="auto" w:sz="4" w:space="0"/>
            </w:tcBorders>
            <w:shd w:val="clear" w:color="auto" w:fill="auto"/>
            <w:vAlign w:val="top"/>
          </w:tcPr>
          <w:p w14:paraId="2BFB5196">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1.采购代理机构不组织统一现场勘察，由供应商自行安排。</w:t>
            </w:r>
          </w:p>
          <w:p w14:paraId="5661A3C7">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2.供应商勘察现场发生的一切费用自理，并自行负责在勘查现场发 生的人员伤亡和财产损失。</w:t>
            </w:r>
          </w:p>
        </w:tc>
      </w:tr>
      <w:tr w14:paraId="5CB5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top"/>
          </w:tcPr>
          <w:p w14:paraId="2FD739F3">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7</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top"/>
          </w:tcPr>
          <w:p w14:paraId="050A3018">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答疑</w:t>
            </w:r>
          </w:p>
        </w:tc>
        <w:tc>
          <w:tcPr>
            <w:tcW w:w="7111" w:type="dxa"/>
            <w:tcBorders>
              <w:top w:val="single" w:color="auto" w:sz="4" w:space="0"/>
              <w:left w:val="single" w:color="auto" w:sz="4" w:space="0"/>
              <w:bottom w:val="single" w:color="auto" w:sz="4" w:space="0"/>
              <w:right w:val="single" w:color="auto" w:sz="4" w:space="0"/>
            </w:tcBorders>
            <w:shd w:val="clear" w:color="auto" w:fill="auto"/>
            <w:vAlign w:val="top"/>
          </w:tcPr>
          <w:p w14:paraId="77BF1137">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如有疑问，投标人需书面提出，经采购人收集问题后，统一答疑。</w:t>
            </w:r>
          </w:p>
        </w:tc>
      </w:tr>
      <w:tr w14:paraId="51DF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1C5E09C">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18</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7E22E829">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zh-CN"/>
              </w:rPr>
              <w:t>其他说明事项</w:t>
            </w:r>
          </w:p>
        </w:tc>
        <w:tc>
          <w:tcPr>
            <w:tcW w:w="7111" w:type="dxa"/>
            <w:tcBorders>
              <w:top w:val="single" w:color="auto" w:sz="4" w:space="0"/>
              <w:left w:val="single" w:color="auto" w:sz="4" w:space="0"/>
              <w:bottom w:val="single" w:color="auto" w:sz="4" w:space="0"/>
              <w:right w:val="single" w:color="auto" w:sz="4" w:space="0"/>
            </w:tcBorders>
            <w:shd w:val="clear" w:color="auto" w:fill="auto"/>
            <w:vAlign w:val="top"/>
          </w:tcPr>
          <w:p w14:paraId="67418018">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本项目非专门面向中小企业采购</w:t>
            </w:r>
          </w:p>
          <w:p w14:paraId="3E9A330B">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采购标的对应的中小企业划分标准所属行业为工业。</w:t>
            </w:r>
          </w:p>
          <w:p w14:paraId="1FBB9EA4">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zh-CN"/>
              </w:rPr>
              <w:t>工业的划型标准为：从业人员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bl>
    <w:p w14:paraId="45F6C794">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7A7DDE8">
      <w:pPr>
        <w:pStyle w:val="2"/>
        <w:bidi w:val="0"/>
        <w:spacing w:line="240" w:lineRule="auto"/>
        <w:jc w:val="center"/>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第三部分  投标须知</w:t>
      </w:r>
    </w:p>
    <w:p w14:paraId="22C4A1CA">
      <w:pPr>
        <w:pStyle w:val="3"/>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一、名词解释</w:t>
      </w:r>
    </w:p>
    <w:p w14:paraId="5C4F9126">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  购 单 位：</w:t>
      </w:r>
      <w:r>
        <w:rPr>
          <w:rFonts w:hint="eastAsia" w:ascii="宋体" w:hAnsi="宋体" w:cs="宋体"/>
          <w:color w:val="auto"/>
          <w:sz w:val="24"/>
          <w:szCs w:val="24"/>
          <w:highlight w:val="none"/>
          <w:lang w:eastAsia="zh-CN"/>
        </w:rPr>
        <w:t>白河县人民医院</w:t>
      </w:r>
    </w:p>
    <w:p w14:paraId="72374843">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  督 机 构：</w:t>
      </w:r>
      <w:r>
        <w:rPr>
          <w:rFonts w:hint="eastAsia" w:ascii="宋体" w:hAnsi="宋体" w:cs="宋体"/>
          <w:bCs/>
          <w:color w:val="auto"/>
          <w:sz w:val="24"/>
          <w:szCs w:val="24"/>
          <w:highlight w:val="none"/>
          <w:lang w:val="en-US" w:eastAsia="zh-CN"/>
        </w:rPr>
        <w:t>白河县</w:t>
      </w:r>
      <w:r>
        <w:rPr>
          <w:rFonts w:hint="eastAsia" w:ascii="宋体" w:hAnsi="宋体" w:eastAsia="宋体" w:cs="宋体"/>
          <w:bCs/>
          <w:color w:val="auto"/>
          <w:sz w:val="24"/>
          <w:szCs w:val="24"/>
          <w:highlight w:val="none"/>
          <w:lang w:val="en-US" w:eastAsia="zh-CN"/>
        </w:rPr>
        <w:t>财政局</w:t>
      </w:r>
    </w:p>
    <w:p w14:paraId="0E0165DD">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3、招标代理机构：</w:t>
      </w:r>
      <w:r>
        <w:rPr>
          <w:rFonts w:hint="eastAsia" w:ascii="宋体" w:hAnsi="宋体" w:eastAsia="宋体" w:cs="宋体"/>
          <w:color w:val="auto"/>
          <w:sz w:val="24"/>
          <w:szCs w:val="24"/>
          <w:highlight w:val="none"/>
          <w:lang w:eastAsia="zh-CN"/>
        </w:rPr>
        <w:t>安康华昊智远项目管理有限公司</w:t>
      </w:r>
    </w:p>
    <w:p w14:paraId="5A2A725F">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4、标        书：招标文件与投标文件的统称</w:t>
      </w:r>
    </w:p>
    <w:p w14:paraId="53EC0581">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   应   商：参加本次招标活动的的制造商或代理商</w:t>
      </w:r>
    </w:p>
    <w:p w14:paraId="5CD9DB17">
      <w:pPr>
        <w:pStyle w:val="3"/>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w:t>
      </w:r>
    </w:p>
    <w:p w14:paraId="3908C618">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1、招标文件包括目录中所列的六部分。</w:t>
      </w:r>
    </w:p>
    <w:p w14:paraId="6504CB59">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2、投标人应仔细阅读招标文件中所有的事项、格式、条款和规范要求，在投标文件中对招标文件的各方面都作出实质性的响应，按照招标文件的要求提交全部资料。</w:t>
      </w:r>
    </w:p>
    <w:p w14:paraId="240CD87C">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3、招标文件的澄清及修改</w:t>
      </w:r>
    </w:p>
    <w:p w14:paraId="7FA109DC">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可对已发出的招标文件进行必要的澄清或者修改，澄清或者修改的内容作为招标文件的组成部分。澄清和修改的内容可能影响投标文件编制的，采购代理机构应当在投标文件截止时间至少十五日前，以书面形式通知所有获取招标文件的潜在投标人</w:t>
      </w:r>
      <w:r>
        <w:rPr>
          <w:rFonts w:hint="eastAsia" w:ascii="宋体" w:hAnsi="宋体" w:eastAsia="宋体" w:cs="宋体"/>
          <w:color w:val="auto"/>
          <w:sz w:val="24"/>
          <w:szCs w:val="24"/>
          <w:highlight w:val="none"/>
          <w:lang w:val="zh-CN"/>
        </w:rPr>
        <w:t>，并对投标人具有约束力。投标人在收到上述通知后，</w:t>
      </w:r>
      <w:r>
        <w:rPr>
          <w:rFonts w:hint="eastAsia" w:ascii="宋体" w:hAnsi="宋体" w:eastAsia="宋体" w:cs="宋体"/>
          <w:color w:val="auto"/>
          <w:sz w:val="24"/>
          <w:szCs w:val="24"/>
          <w:highlight w:val="none"/>
        </w:rPr>
        <w:t>应当立即以书面形式向采购代理机构确认；不足十五日的，采购代理机构应当顺延提交投标文件的截止时间。</w:t>
      </w:r>
    </w:p>
    <w:p w14:paraId="3EB7E9AC">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4、质疑提出与答复</w:t>
      </w:r>
    </w:p>
    <w:p w14:paraId="5CA181D8">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27587F3A">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（2）提出质疑的供应商应当是参与本项目采购活动的供应商。</w:t>
      </w:r>
    </w:p>
    <w:p w14:paraId="16CCC2B3">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（3）潜在供应商已依法获取其可质疑的采购文件的，可以对该文件提出质疑。对采购文件提出质疑的，应当在获取采购文件（以供应商填写报名登记表的时间为准）起7个工作日内提出。</w:t>
      </w:r>
    </w:p>
    <w:p w14:paraId="18AB7355">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（4）供应商提出质疑应当提交质疑函和必要的证明材料，质疑函应包括下列内容：</w:t>
      </w:r>
    </w:p>
    <w:p w14:paraId="5AA4D392">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供应商的姓名或者名称、地址、邮编、联系人及联系电话；</w:t>
      </w:r>
    </w:p>
    <w:p w14:paraId="04B32CC5">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质疑项目的名称、编号；</w:t>
      </w:r>
    </w:p>
    <w:p w14:paraId="5CC6DECF">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具体、明确的质疑事项和与质疑事项相关的请求；</w:t>
      </w:r>
    </w:p>
    <w:p w14:paraId="23301DCB">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事实依据；</w:t>
      </w:r>
    </w:p>
    <w:p w14:paraId="2EA1273A">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必要的法律依据；</w:t>
      </w:r>
    </w:p>
    <w:p w14:paraId="3C6E7B52">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提出质疑的日期。</w:t>
      </w:r>
    </w:p>
    <w:p w14:paraId="70D81F1A">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（5）供应商为自然人的，应当由本人签字；供应商为法人或者其他组织的，应当由法定代表人、主要负责人，或者其授权代表签字或者盖章并加盖公章。</w:t>
      </w:r>
    </w:p>
    <w:p w14:paraId="1BE60D38">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742C9E6">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（7）采购人负责供应商质疑答复。采购人委托采购代理机构采购的，采购代理机构在委托授权范围内作出答复。</w:t>
      </w:r>
    </w:p>
    <w:p w14:paraId="4A4EA443">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（8）接收质疑函的方式和联系方式：</w:t>
      </w:r>
    </w:p>
    <w:p w14:paraId="2644A55B">
      <w:pPr>
        <w:pageBreakBefore w:val="0"/>
        <w:kinsoku/>
        <w:overflowPunct/>
        <w:topLinePunct w:val="0"/>
        <w:autoSpaceDE/>
        <w:autoSpaceDN/>
        <w:bidi w:val="0"/>
        <w:spacing w:line="5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 接收质疑函的方式：书面递交质疑函纸质版（当面递交）或PDF格式扫描件（发至电子邮箱），业务受理时间为工作日的08:30至17:30。</w:t>
      </w:r>
    </w:p>
    <w:p w14:paraId="71173946">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联系方式</w:t>
      </w:r>
    </w:p>
    <w:p w14:paraId="453D27B7">
      <w:pPr>
        <w:pStyle w:val="14"/>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名称：</w:t>
      </w:r>
      <w:r>
        <w:rPr>
          <w:rFonts w:hint="eastAsia" w:cs="宋体"/>
          <w:color w:val="auto"/>
          <w:kern w:val="2"/>
          <w:sz w:val="24"/>
          <w:szCs w:val="24"/>
          <w:highlight w:val="none"/>
          <w:lang w:eastAsia="zh-CN"/>
        </w:rPr>
        <w:t>白河县人民医院</w:t>
      </w:r>
    </w:p>
    <w:p w14:paraId="5C42762E">
      <w:pPr>
        <w:pStyle w:val="14"/>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地址：</w:t>
      </w:r>
      <w:r>
        <w:rPr>
          <w:rFonts w:hint="eastAsia" w:cs="宋体"/>
          <w:i w:val="0"/>
          <w:iCs w:val="0"/>
          <w:caps w:val="0"/>
          <w:color w:val="auto"/>
          <w:spacing w:val="0"/>
          <w:sz w:val="24"/>
          <w:szCs w:val="24"/>
          <w:shd w:val="clear" w:color="auto" w:fill="FFFFFF"/>
          <w:lang w:eastAsia="zh-CN"/>
        </w:rPr>
        <w:t>安康市白河县城关镇书院北路18号</w:t>
      </w:r>
    </w:p>
    <w:p w14:paraId="2C661A5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联系方式：</w:t>
      </w:r>
      <w:r>
        <w:rPr>
          <w:rFonts w:hint="eastAsia" w:ascii="宋体" w:hAnsi="宋体" w:eastAsia="宋体" w:cs="宋体"/>
          <w:i w:val="0"/>
          <w:iCs w:val="0"/>
          <w:caps w:val="0"/>
          <w:color w:val="auto"/>
          <w:spacing w:val="0"/>
          <w:sz w:val="24"/>
          <w:szCs w:val="24"/>
          <w:shd w:val="clear" w:color="auto" w:fill="FFFFFF"/>
        </w:rPr>
        <w:t>0915-7822258</w:t>
      </w:r>
    </w:p>
    <w:p w14:paraId="2B792BE0">
      <w:pPr>
        <w:pStyle w:val="14"/>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采购代理机构：</w:t>
      </w:r>
      <w:r>
        <w:rPr>
          <w:rFonts w:hint="eastAsia" w:ascii="宋体" w:hAnsi="宋体" w:eastAsia="宋体" w:cs="宋体"/>
          <w:color w:val="auto"/>
          <w:kern w:val="2"/>
          <w:sz w:val="24"/>
          <w:szCs w:val="24"/>
          <w:highlight w:val="none"/>
          <w:lang w:eastAsia="zh-CN"/>
        </w:rPr>
        <w:t>安康华昊智远项目管理有限公司</w:t>
      </w:r>
    </w:p>
    <w:p w14:paraId="5A7028A2">
      <w:pPr>
        <w:pStyle w:val="14"/>
        <w:pageBreakBefore w:val="0"/>
        <w:tabs>
          <w:tab w:val="left" w:pos="6954"/>
        </w:tabs>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kern w:val="2"/>
          <w:sz w:val="24"/>
          <w:szCs w:val="24"/>
          <w:highlight w:val="none"/>
          <w:lang w:eastAsia="zh-CN"/>
        </w:rPr>
        <w:t>安康市汉滨区大桥南路1号御公馆小区2号楼2单元1001室</w:t>
      </w:r>
      <w:r>
        <w:rPr>
          <w:rFonts w:hint="eastAsia" w:ascii="宋体" w:hAnsi="宋体" w:eastAsia="宋体" w:cs="宋体"/>
          <w:color w:val="auto"/>
          <w:kern w:val="2"/>
          <w:sz w:val="24"/>
          <w:szCs w:val="24"/>
          <w:highlight w:val="none"/>
          <w:lang w:eastAsia="zh-CN"/>
        </w:rPr>
        <w:tab/>
      </w:r>
    </w:p>
    <w:p w14:paraId="25E989DF">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联系方式：</w:t>
      </w:r>
      <w:r>
        <w:rPr>
          <w:rFonts w:hint="eastAsia" w:ascii="宋体" w:hAnsi="宋体" w:eastAsia="宋体" w:cs="宋体"/>
          <w:color w:val="auto"/>
          <w:kern w:val="2"/>
          <w:sz w:val="24"/>
          <w:szCs w:val="24"/>
          <w:highlight w:val="none"/>
          <w:lang w:eastAsia="zh-CN"/>
        </w:rPr>
        <w:t>0915-3197229</w:t>
      </w:r>
    </w:p>
    <w:p w14:paraId="0C985AF9">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箱：</w:t>
      </w:r>
      <w:r>
        <w:rPr>
          <w:rFonts w:hint="eastAsia" w:ascii="宋体" w:hAnsi="宋体" w:cs="宋体"/>
          <w:color w:val="auto"/>
          <w:sz w:val="24"/>
          <w:szCs w:val="24"/>
          <w:highlight w:val="none"/>
          <w:lang w:val="en-US" w:eastAsia="zh-CN"/>
        </w:rPr>
        <w:t>840192520</w:t>
      </w:r>
      <w:r>
        <w:rPr>
          <w:rFonts w:hint="eastAsia" w:ascii="宋体" w:hAnsi="宋体" w:eastAsia="宋体" w:cs="宋体"/>
          <w:color w:val="auto"/>
          <w:sz w:val="24"/>
          <w:szCs w:val="24"/>
          <w:highlight w:val="none"/>
          <w:lang w:eastAsia="zh-CN"/>
        </w:rPr>
        <w:t>@qq.com</w:t>
      </w:r>
    </w:p>
    <w:p w14:paraId="5295087B">
      <w:pPr>
        <w:pageBreakBefore w:val="0"/>
        <w:kinsoku/>
        <w:overflowPunct/>
        <w:topLinePunct w:val="0"/>
        <w:autoSpaceDE/>
        <w:autoSpaceDN/>
        <w:bidi w:val="0"/>
        <w:spacing w:line="50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5、投诉：</w:t>
      </w:r>
    </w:p>
    <w:p w14:paraId="73207EFA">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（1）质疑供应商对采购人、采购代理机构的答复不满意，或者采购人、采购代理机构未在规定时间内作出答复的，可以在答复期满后15个工作日内向同级财政部门提起投诉。</w:t>
      </w:r>
    </w:p>
    <w:p w14:paraId="15ECD606">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（2）投诉人投诉时,应当提交投诉书和必要的证明材料，并按照被投诉采购人、采购代理机构（以下简称被投诉人）和与投诉事项有关的供应商数量提供投诉书的副本。投诉书应当包括下列内容：</w:t>
      </w:r>
    </w:p>
    <w:p w14:paraId="256A0C6D">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投诉人和被投诉人的姓名或者名称、通讯地址、邮编、联系人及联系电话；</w:t>
      </w:r>
    </w:p>
    <w:p w14:paraId="5DE1B20E">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质疑和质疑答复情况说明及相关证明材料；</w:t>
      </w:r>
    </w:p>
    <w:p w14:paraId="6E84BB20">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具体、明确的投诉事项和与投诉事项相关的投诉请求；</w:t>
      </w:r>
    </w:p>
    <w:p w14:paraId="293E7032">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事实依据；</w:t>
      </w:r>
    </w:p>
    <w:p w14:paraId="1BD9BE39">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法律依据；</w:t>
      </w:r>
    </w:p>
    <w:p w14:paraId="159BB5FF">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提起投诉的日期。</w:t>
      </w:r>
    </w:p>
    <w:p w14:paraId="6609AED3">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（3）投诉人为自然人的，应当由本人签字；投诉人为法人或者其他组织的，应当由法定代表人、主要负责人，或者其授权代表签字或者盖章，并加盖公章。</w:t>
      </w:r>
    </w:p>
    <w:p w14:paraId="670A454E">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（4）投诉人提起投诉应当符合下列条件：</w:t>
      </w:r>
    </w:p>
    <w:p w14:paraId="713C997B">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提起投诉前已依法进行质疑；</w:t>
      </w:r>
    </w:p>
    <w:p w14:paraId="36B654C2">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投诉书内容符合《政府采购质疑和投诉办法》（财政部令第94号令）的规定；</w:t>
      </w:r>
    </w:p>
    <w:p w14:paraId="46500A3D">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在投诉有效期限内提起投诉；</w:t>
      </w:r>
    </w:p>
    <w:p w14:paraId="186B016A">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同一投诉事项未经财政部门投诉处理；</w:t>
      </w:r>
    </w:p>
    <w:p w14:paraId="4C4AA886">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财政部规定的其他条件。</w:t>
      </w:r>
    </w:p>
    <w:p w14:paraId="6E7932BD">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（5）供应商投诉的事项不得超出已质疑事项的范围，但基于质疑答复内容提出的投诉事项除外。</w:t>
      </w:r>
    </w:p>
    <w:p w14:paraId="78E724C8">
      <w:pPr>
        <w:pageBreakBefore w:val="0"/>
        <w:kinsoku/>
        <w:overflowPunct/>
        <w:topLinePunct w:val="0"/>
        <w:autoSpaceDE/>
        <w:autoSpaceDN/>
        <w:bidi w:val="0"/>
        <w:adjustRightInd w:val="0"/>
        <w:snapToGrid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6、各投标人应认真仔细研读招标文件，如有问题或异议及时函告。否则，视为同意招标文件的一切条款和要求并承担由此引起的一切法律责任。</w:t>
      </w:r>
    </w:p>
    <w:p w14:paraId="3751C0E1">
      <w:pPr>
        <w:pageBreakBefore w:val="0"/>
        <w:kinsoku/>
        <w:overflowPunct/>
        <w:topLinePunct w:val="0"/>
        <w:autoSpaceDE/>
        <w:autoSpaceDN/>
        <w:bidi w:val="0"/>
        <w:adjustRightInd w:val="0"/>
        <w:snapToGrid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的解释权归招标代理机构。</w:t>
      </w:r>
    </w:p>
    <w:p w14:paraId="3EDB330B">
      <w:pPr>
        <w:pStyle w:val="3"/>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三、投标要求</w:t>
      </w:r>
    </w:p>
    <w:p w14:paraId="408EEAB5">
      <w:pPr>
        <w:pageBreakBefore w:val="0"/>
        <w:kinsoku/>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1、投标内容：</w:t>
      </w:r>
    </w:p>
    <w:p w14:paraId="3B92B24D">
      <w:pPr>
        <w:pageBreakBefore w:val="0"/>
        <w:kinsoku/>
        <w:overflowPunct/>
        <w:topLinePunct w:val="0"/>
        <w:autoSpaceDE/>
        <w:autoSpaceDN/>
        <w:bidi w:val="0"/>
        <w:spacing w:line="500" w:lineRule="exact"/>
        <w:ind w:firstLine="56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本次投标内容为</w:t>
      </w:r>
      <w:r>
        <w:rPr>
          <w:rFonts w:hint="eastAsia" w:ascii="宋体" w:hAnsi="宋体" w:cs="宋体"/>
          <w:color w:val="auto"/>
          <w:kern w:val="0"/>
          <w:sz w:val="24"/>
          <w:szCs w:val="24"/>
          <w:highlight w:val="none"/>
          <w:lang w:eastAsia="zh-CN"/>
        </w:rPr>
        <w:t>儿科采购专业设备一批</w:t>
      </w:r>
      <w:r>
        <w:rPr>
          <w:rFonts w:hint="eastAsia" w:ascii="宋体" w:hAnsi="宋体" w:eastAsia="宋体" w:cs="宋体"/>
          <w:color w:val="auto"/>
          <w:kern w:val="0"/>
          <w:sz w:val="24"/>
          <w:szCs w:val="24"/>
          <w:highlight w:val="none"/>
          <w:lang w:val="en-US" w:eastAsia="zh-CN"/>
        </w:rPr>
        <w:t>。</w:t>
      </w:r>
    </w:p>
    <w:p w14:paraId="387C6BF3">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要求：</w:t>
      </w:r>
    </w:p>
    <w:p w14:paraId="641141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1DB968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cs="宋体"/>
          <w:color w:val="auto"/>
          <w:sz w:val="24"/>
          <w:szCs w:val="24"/>
          <w:highlight w:val="none"/>
        </w:rPr>
        <w:t>提供法定代表人授权书（附法定代表人身份证复印件）及被授权代表身份证复印件（法定代表人直接参加只须提供法定代表人身份证复印件）；</w:t>
      </w:r>
    </w:p>
    <w:p w14:paraId="6FC2600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财务状况报告：近三年（2022-2024 年）来任意年度财务审计报告(至少应包含资产负债表、利润表和现金流量表)或其基本存款账户开户银行出具的资信证明及基本存款账户开户许可证。(成立时间至提交响应文件截止时间不足三个月的提供公司财务会计制度并加盖供应商鲜章即可)；</w:t>
      </w:r>
    </w:p>
    <w:p w14:paraId="5ED665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）税收缴纳证明：</w:t>
      </w:r>
      <w:r>
        <w:rPr>
          <w:rFonts w:hint="eastAsia" w:ascii="宋体" w:hAnsi="宋体" w:cs="宋体"/>
          <w:color w:val="auto"/>
          <w:sz w:val="24"/>
          <w:szCs w:val="24"/>
          <w:highlight w:val="none"/>
          <w:lang w:eastAsia="zh-CN"/>
        </w:rPr>
        <w:t>自2024年7月1日以来</w:t>
      </w:r>
      <w:r>
        <w:rPr>
          <w:rFonts w:hint="eastAsia" w:ascii="宋体" w:hAnsi="宋体" w:eastAsia="宋体" w:cs="宋体"/>
          <w:color w:val="auto"/>
          <w:sz w:val="24"/>
          <w:szCs w:val="24"/>
          <w:highlight w:val="none"/>
        </w:rPr>
        <w:t>不少于3个月的纳税证明或完税证明(提供增值税、企业所得税至少一种),纳税证明或完税证明上应有代收机构或税务机关的公章或业务专用章。依法免税的供应商应提供相关文件证明；</w:t>
      </w:r>
    </w:p>
    <w:p w14:paraId="733390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）社会保障资金缴纳证明：</w:t>
      </w:r>
      <w:r>
        <w:rPr>
          <w:rFonts w:hint="eastAsia" w:ascii="宋体" w:hAnsi="宋体" w:cs="宋体"/>
          <w:color w:val="auto"/>
          <w:sz w:val="24"/>
          <w:szCs w:val="24"/>
          <w:highlight w:val="none"/>
          <w:lang w:eastAsia="zh-CN"/>
        </w:rPr>
        <w:t>自2024年7月1日以来</w:t>
      </w:r>
      <w:r>
        <w:rPr>
          <w:rFonts w:hint="eastAsia" w:ascii="宋体" w:hAnsi="宋体" w:eastAsia="宋体" w:cs="宋体"/>
          <w:color w:val="auto"/>
          <w:sz w:val="24"/>
          <w:szCs w:val="24"/>
          <w:highlight w:val="none"/>
        </w:rPr>
        <w:t>已缴存的至少3个月的社会保障资金缴存单据或社保机构开具的社会保险参保缴费情况证明，单据或证明上应有社保机构或代收机构的印章。依法不需要缴纳社会保障资金的供应商应提供相关文件证明；</w:t>
      </w:r>
    </w:p>
    <w:p w14:paraId="4F9A86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）参加政府采购活动前三年内</w:t>
      </w:r>
      <w:r>
        <w:rPr>
          <w:rFonts w:hint="eastAsia" w:ascii="宋体" w:hAnsi="宋体" w:cs="宋体"/>
          <w:color w:val="auto"/>
          <w:sz w:val="24"/>
          <w:szCs w:val="24"/>
          <w:highlight w:val="none"/>
          <w:lang w:eastAsia="zh-CN"/>
        </w:rPr>
        <w:t>（2022年1月至今）</w:t>
      </w:r>
      <w:r>
        <w:rPr>
          <w:rFonts w:hint="eastAsia" w:ascii="宋体" w:hAnsi="宋体" w:eastAsia="宋体" w:cs="宋体"/>
          <w:color w:val="auto"/>
          <w:sz w:val="24"/>
          <w:szCs w:val="24"/>
          <w:highlight w:val="none"/>
        </w:rPr>
        <w:t>，在经营活动中没有重大违法记录的书面声明；</w:t>
      </w:r>
    </w:p>
    <w:p w14:paraId="3622C6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）投标人具备履行合同所必需的设备和专业技术能力的书面声明（格式自拟）；</w:t>
      </w:r>
    </w:p>
    <w:p w14:paraId="068FED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color w:val="auto"/>
          <w:sz w:val="24"/>
          <w:szCs w:val="24"/>
          <w:highlight w:val="none"/>
        </w:rPr>
        <w:t>；</w:t>
      </w:r>
    </w:p>
    <w:p w14:paraId="597B9AB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投标人为经销商的应出具医疗器械经营许可证或二类医疗器械备案凭证(投标产品须在其经营范围内)、投标产品属于医疗器械管理的提供医疗器械注册证;投标人为制造厂家应出具医疗器械生产许可证(投标产品须在其生产范围内)及医疗器械经营许可证或二类医疗器械备案凭证(投标产品须在其经营范围内)、投标产品属于医疗器械管理的提供医疗器械注册证</w:t>
      </w:r>
      <w:r>
        <w:rPr>
          <w:rFonts w:hint="eastAsia" w:ascii="宋体" w:hAnsi="宋体" w:eastAsia="宋体" w:cs="宋体"/>
          <w:i w:val="0"/>
          <w:iCs w:val="0"/>
          <w:caps w:val="0"/>
          <w:color w:val="auto"/>
          <w:spacing w:val="0"/>
          <w:sz w:val="24"/>
          <w:szCs w:val="24"/>
          <w:shd w:val="clear" w:color="auto" w:fill="FFFFFF"/>
          <w:lang w:val="en-US" w:eastAsia="zh-CN"/>
        </w:rPr>
        <w:t>；</w:t>
      </w:r>
    </w:p>
    <w:p w14:paraId="5D7531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ascii="宋体" w:hAnsi="宋体" w:eastAsia="宋体" w:cs="宋体"/>
          <w:color w:val="auto"/>
          <w:sz w:val="24"/>
          <w:szCs w:val="24"/>
          <w:highlight w:val="none"/>
          <w:lang w:eastAsia="zh-CN"/>
        </w:rPr>
        <w:t>本项目不接受联合体投标。</w:t>
      </w:r>
    </w:p>
    <w:p w14:paraId="215C9A60">
      <w:pPr>
        <w:pageBreakBefore w:val="0"/>
        <w:widowControl/>
        <w:kinsoku/>
        <w:overflowPunct/>
        <w:topLinePunct w:val="0"/>
        <w:autoSpaceDE/>
        <w:autoSpaceDN/>
        <w:bidi w:val="0"/>
        <w:spacing w:line="50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供应商要保证在投标文件中有上述资质</w:t>
      </w:r>
      <w:r>
        <w:rPr>
          <w:rFonts w:hint="eastAsia" w:ascii="宋体" w:hAnsi="宋体" w:eastAsia="宋体" w:cs="宋体"/>
          <w:b/>
          <w:bCs/>
          <w:color w:val="auto"/>
          <w:kern w:val="0"/>
          <w:sz w:val="24"/>
          <w:szCs w:val="24"/>
          <w:highlight w:val="none"/>
          <w:lang w:val="en-US" w:eastAsia="zh-CN"/>
        </w:rPr>
        <w:t>扫描</w:t>
      </w:r>
      <w:r>
        <w:rPr>
          <w:rFonts w:hint="eastAsia" w:ascii="宋体" w:hAnsi="宋体" w:eastAsia="宋体" w:cs="宋体"/>
          <w:b/>
          <w:bCs/>
          <w:color w:val="auto"/>
          <w:kern w:val="0"/>
          <w:sz w:val="24"/>
          <w:szCs w:val="24"/>
          <w:highlight w:val="none"/>
        </w:rPr>
        <w:t>件并加盖公章。经审查不合格的供应商，其响应文件按</w:t>
      </w:r>
      <w:r>
        <w:rPr>
          <w:rFonts w:hint="eastAsia" w:ascii="宋体" w:hAnsi="宋体" w:eastAsia="宋体" w:cs="宋体"/>
          <w:b/>
          <w:bCs/>
          <w:color w:val="auto"/>
          <w:kern w:val="0"/>
          <w:sz w:val="24"/>
          <w:szCs w:val="24"/>
          <w:highlight w:val="none"/>
          <w:lang w:val="en-US" w:eastAsia="zh-CN"/>
        </w:rPr>
        <w:t>无效文件</w:t>
      </w:r>
      <w:r>
        <w:rPr>
          <w:rFonts w:hint="eastAsia" w:ascii="宋体" w:hAnsi="宋体" w:eastAsia="宋体" w:cs="宋体"/>
          <w:b/>
          <w:bCs/>
          <w:color w:val="auto"/>
          <w:kern w:val="0"/>
          <w:sz w:val="24"/>
          <w:szCs w:val="24"/>
          <w:highlight w:val="none"/>
        </w:rPr>
        <w:t>处理。</w:t>
      </w:r>
    </w:p>
    <w:p w14:paraId="4B92E6AD">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3、投标文件的编制</w:t>
      </w:r>
    </w:p>
    <w:p w14:paraId="37B7B5DB">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投标文件必须根据招标文件提供的内容及格式编制，并对招标文件做出实质性响应。具体内容（包括但不限于）：</w:t>
      </w:r>
    </w:p>
    <w:p w14:paraId="4C0E0602">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投标响应函</w:t>
      </w:r>
    </w:p>
    <w:p w14:paraId="46D694DE">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开标一览表</w:t>
      </w:r>
    </w:p>
    <w:p w14:paraId="2B6DB13F">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投标人资格证明文件 </w:t>
      </w:r>
    </w:p>
    <w:p w14:paraId="230DE315">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供应商概况</w:t>
      </w:r>
    </w:p>
    <w:p w14:paraId="2D818BC9">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招标文件确认书</w:t>
      </w:r>
    </w:p>
    <w:p w14:paraId="716BA6D7">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响应偏离表</w:t>
      </w:r>
    </w:p>
    <w:p w14:paraId="3CE90767">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商务条款偏离表</w:t>
      </w:r>
    </w:p>
    <w:p w14:paraId="78037C57">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方案</w:t>
      </w:r>
    </w:p>
    <w:p w14:paraId="7B87EF6A">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拟投入项目人员情况表</w:t>
      </w:r>
    </w:p>
    <w:p w14:paraId="77973CF5">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投标人类似项目业绩表</w:t>
      </w:r>
    </w:p>
    <w:p w14:paraId="42B709E0">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供应商拒绝政府采购领域商业贿赂承诺</w:t>
      </w:r>
    </w:p>
    <w:p w14:paraId="5B1C111B">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其他证明资料</w:t>
      </w:r>
    </w:p>
    <w:p w14:paraId="1115663C">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投标报价：</w:t>
      </w:r>
    </w:p>
    <w:p w14:paraId="6BB122E4">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3.2.1</w:t>
      </w:r>
      <w:r>
        <w:rPr>
          <w:rFonts w:hint="eastAsia" w:ascii="宋体" w:hAnsi="宋体" w:eastAsia="宋体" w:cs="宋体"/>
          <w:color w:val="auto"/>
          <w:sz w:val="24"/>
          <w:szCs w:val="24"/>
          <w:highlight w:val="none"/>
        </w:rPr>
        <w:t>投标报价为完成本项目所要求</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服务的全部内容、中标服务费</w:t>
      </w:r>
      <w:r>
        <w:rPr>
          <w:rFonts w:hint="eastAsia" w:ascii="宋体" w:hAnsi="宋体" w:eastAsia="宋体" w:cs="宋体"/>
          <w:color w:val="auto"/>
          <w:sz w:val="24"/>
          <w:szCs w:val="24"/>
          <w:highlight w:val="none"/>
          <w:lang w:val="zh-CN"/>
        </w:rPr>
        <w:t>及</w:t>
      </w:r>
      <w:r>
        <w:rPr>
          <w:rFonts w:hint="eastAsia" w:ascii="宋体" w:hAnsi="宋体" w:eastAsia="宋体" w:cs="宋体"/>
          <w:color w:val="auto"/>
          <w:sz w:val="24"/>
          <w:szCs w:val="24"/>
          <w:highlight w:val="none"/>
        </w:rPr>
        <w:t>国家按现行税收政策征收的一切税费。</w:t>
      </w:r>
    </w:p>
    <w:p w14:paraId="0060B81B">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 xml:space="preserve"> 投标人须对</w:t>
      </w:r>
      <w:r>
        <w:rPr>
          <w:rFonts w:hint="eastAsia" w:ascii="宋体" w:hAnsi="宋体" w:eastAsia="宋体" w:cs="宋体"/>
          <w:color w:val="auto"/>
          <w:sz w:val="24"/>
          <w:szCs w:val="24"/>
          <w:highlight w:val="none"/>
          <w:lang w:val="en-US" w:eastAsia="zh-CN"/>
        </w:rPr>
        <w:t>采购内容</w:t>
      </w:r>
      <w:r>
        <w:rPr>
          <w:rFonts w:hint="eastAsia" w:ascii="宋体" w:hAnsi="宋体" w:eastAsia="宋体" w:cs="宋体"/>
          <w:color w:val="auto"/>
          <w:sz w:val="24"/>
          <w:szCs w:val="24"/>
          <w:highlight w:val="none"/>
        </w:rPr>
        <w:t>要求进行完整报价。采购人拒绝只对部分</w:t>
      </w:r>
      <w:r>
        <w:rPr>
          <w:rFonts w:hint="eastAsia" w:ascii="宋体" w:hAnsi="宋体" w:eastAsia="宋体" w:cs="宋体"/>
          <w:color w:val="auto"/>
          <w:sz w:val="24"/>
          <w:szCs w:val="24"/>
          <w:highlight w:val="none"/>
          <w:lang w:val="en-US" w:eastAsia="zh-CN"/>
        </w:rPr>
        <w:t>采购内容</w:t>
      </w:r>
      <w:r>
        <w:rPr>
          <w:rFonts w:hint="eastAsia" w:ascii="宋体" w:hAnsi="宋体" w:eastAsia="宋体" w:cs="宋体"/>
          <w:color w:val="auto"/>
          <w:sz w:val="24"/>
          <w:szCs w:val="24"/>
          <w:highlight w:val="none"/>
        </w:rPr>
        <w:t>要求进行报价的投标。投标人应在投标文件中的投标分项报价表上标明对本次</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拟提供</w:t>
      </w:r>
      <w:r>
        <w:rPr>
          <w:rFonts w:hint="eastAsia" w:ascii="宋体" w:hAnsi="宋体" w:eastAsia="宋体" w:cs="宋体"/>
          <w:color w:val="auto"/>
          <w:sz w:val="24"/>
          <w:szCs w:val="24"/>
          <w:highlight w:val="none"/>
          <w:lang w:val="en-US" w:eastAsia="zh-CN"/>
        </w:rPr>
        <w:t>货物、服务</w:t>
      </w:r>
      <w:r>
        <w:rPr>
          <w:rFonts w:hint="eastAsia" w:ascii="宋体" w:hAnsi="宋体" w:eastAsia="宋体" w:cs="宋体"/>
          <w:color w:val="auto"/>
          <w:sz w:val="24"/>
          <w:szCs w:val="24"/>
          <w:highlight w:val="none"/>
        </w:rPr>
        <w:t>的单价和总价，任何有选择的报价将不予接受。</w:t>
      </w:r>
    </w:p>
    <w:p w14:paraId="3B061F28">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 xml:space="preserve"> 投标分项报价表上的的价格应按下列要求分项填写：</w:t>
      </w:r>
    </w:p>
    <w:p w14:paraId="508A9523">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.3.1 所供</w:t>
      </w:r>
      <w:r>
        <w:rPr>
          <w:rFonts w:hint="eastAsia" w:ascii="宋体" w:hAnsi="宋体" w:eastAsia="宋体" w:cs="宋体"/>
          <w:color w:val="auto"/>
          <w:sz w:val="24"/>
          <w:szCs w:val="24"/>
          <w:highlight w:val="none"/>
          <w:lang w:val="en-US" w:eastAsia="zh-CN"/>
        </w:rPr>
        <w:t>货物、服务</w:t>
      </w:r>
      <w:r>
        <w:rPr>
          <w:rFonts w:hint="eastAsia" w:ascii="宋体" w:hAnsi="宋体" w:eastAsia="宋体" w:cs="宋体"/>
          <w:color w:val="auto"/>
          <w:sz w:val="24"/>
          <w:szCs w:val="24"/>
          <w:highlight w:val="none"/>
        </w:rPr>
        <w:t>的分项报价</w:t>
      </w:r>
    </w:p>
    <w:p w14:paraId="3B951F10">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所有根据合同或其它原因应由投标人支付的税款和其它应交纳的费用都要包括在投标人提交的投标报价中。</w:t>
      </w:r>
    </w:p>
    <w:p w14:paraId="4424B6DC">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.4 本项目采购</w:t>
      </w:r>
      <w:r>
        <w:rPr>
          <w:rFonts w:hint="eastAsia" w:ascii="宋体" w:hAnsi="宋体" w:cs="宋体"/>
          <w:b/>
          <w:bCs/>
          <w:color w:val="auto"/>
          <w:sz w:val="24"/>
          <w:szCs w:val="24"/>
          <w:highlight w:val="none"/>
          <w:lang w:val="en-US" w:eastAsia="zh-CN"/>
        </w:rPr>
        <w:t>最高</w:t>
      </w:r>
      <w:r>
        <w:rPr>
          <w:rFonts w:hint="eastAsia" w:ascii="宋体" w:hAnsi="宋体" w:eastAsia="宋体" w:cs="宋体"/>
          <w:b/>
          <w:bCs/>
          <w:color w:val="auto"/>
          <w:sz w:val="24"/>
          <w:szCs w:val="24"/>
          <w:highlight w:val="none"/>
          <w:lang w:val="en-US" w:eastAsia="zh-CN"/>
        </w:rPr>
        <w:t>限价</w:t>
      </w:r>
      <w:r>
        <w:rPr>
          <w:rFonts w:hint="eastAsia" w:ascii="宋体" w:hAnsi="宋体" w:eastAsia="宋体" w:cs="宋体"/>
          <w:b/>
          <w:bCs/>
          <w:color w:val="auto"/>
          <w:sz w:val="24"/>
          <w:szCs w:val="24"/>
          <w:highlight w:val="none"/>
        </w:rPr>
        <w:t>为：</w:t>
      </w:r>
      <w:r>
        <w:rPr>
          <w:rFonts w:hint="eastAsia" w:ascii="宋体" w:hAnsi="宋体" w:cs="宋体"/>
          <w:b/>
          <w:bCs/>
          <w:color w:val="auto"/>
          <w:sz w:val="24"/>
          <w:szCs w:val="24"/>
          <w:highlight w:val="none"/>
          <w:lang w:val="en-US" w:eastAsia="zh-CN"/>
        </w:rPr>
        <w:t>300,00</w:t>
      </w:r>
      <w:r>
        <w:rPr>
          <w:rFonts w:hint="eastAsia" w:ascii="宋体" w:hAnsi="宋体" w:eastAsia="宋体" w:cs="宋体"/>
          <w:b/>
          <w:bCs/>
          <w:color w:val="auto"/>
          <w:sz w:val="24"/>
          <w:szCs w:val="24"/>
          <w:highlight w:val="none"/>
          <w:lang w:val="en-US" w:eastAsia="zh-CN"/>
        </w:rPr>
        <w:t>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婴儿辐射保暖台：200000.00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新生儿无创呼吸机：100000.00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报价大于或等于采购</w:t>
      </w:r>
      <w:r>
        <w:rPr>
          <w:rFonts w:hint="eastAsia" w:ascii="宋体" w:hAnsi="宋体" w:eastAsia="宋体" w:cs="宋体"/>
          <w:b/>
          <w:bCs/>
          <w:color w:val="auto"/>
          <w:sz w:val="24"/>
          <w:szCs w:val="24"/>
          <w:highlight w:val="none"/>
          <w:lang w:val="en-US" w:eastAsia="zh-CN"/>
        </w:rPr>
        <w:t>限价</w:t>
      </w:r>
      <w:r>
        <w:rPr>
          <w:rFonts w:hint="eastAsia" w:ascii="宋体" w:hAnsi="宋体" w:eastAsia="宋体" w:cs="宋体"/>
          <w:b/>
          <w:bCs/>
          <w:color w:val="auto"/>
          <w:sz w:val="24"/>
          <w:szCs w:val="24"/>
          <w:highlight w:val="none"/>
        </w:rPr>
        <w:t>的则视为废标。</w:t>
      </w:r>
    </w:p>
    <w:p w14:paraId="1683E747">
      <w:pPr>
        <w:pageBreakBefore w:val="0"/>
        <w:kinsoku/>
        <w:overflowPunct/>
        <w:topLinePunct w:val="0"/>
        <w:autoSpaceDE/>
        <w:autoSpaceDN/>
        <w:bidi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3.5</w:t>
      </w:r>
      <w:r>
        <w:rPr>
          <w:rFonts w:hint="eastAsia" w:ascii="宋体" w:hAnsi="宋体" w:eastAsia="宋体" w:cs="宋体"/>
          <w:b/>
          <w:color w:val="auto"/>
          <w:sz w:val="24"/>
          <w:szCs w:val="24"/>
          <w:highlight w:val="none"/>
        </w:rPr>
        <w:t xml:space="preserve"> 供应商不得以低于成本的报价参加投标，供应商的投标报价明显低于其他投标供应商的报价，经评审委员会质询后不能在规定时间内说明理由，或说明理由经评审委员会认为不成立，则按无效标处理。）</w:t>
      </w:r>
    </w:p>
    <w:p w14:paraId="6D594E80">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4、投标费用自理。</w:t>
      </w:r>
    </w:p>
    <w:p w14:paraId="54A559A4">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5、投标响应文件有效期为自投标之日起九十个日历天，中标供应商的投标响应文件有效期延长至合同执行完毕。</w:t>
      </w:r>
    </w:p>
    <w:p w14:paraId="3B4E8C40">
      <w:pPr>
        <w:pStyle w:val="3"/>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p>
    <w:p w14:paraId="70C5B55C">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1、招标代理机构组织招标、开标、评标工作，招标整个过程接受监督机构的监督。</w:t>
      </w:r>
    </w:p>
    <w:p w14:paraId="4D9E5652">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2、评标委员会的组成及要求</w:t>
      </w:r>
    </w:p>
    <w:p w14:paraId="40D2937A">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评标工作公平、公正，依法成立评标委员会。评标委员会由采购人及有关专家组成，专家比例不少于评委总数的三分之二。专家名单由有关方面在政府采购专家库中随机抽取。评标委员会成员应当遵守并履行下列职责义务：</w:t>
      </w:r>
    </w:p>
    <w:p w14:paraId="49B7BEA7">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2-1遵纪守法，客观、公正、认真负责地履行职责，审查投标文件是否符合招标文件的要求，并做出评价；</w:t>
      </w:r>
    </w:p>
    <w:p w14:paraId="4DC10C64">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2-2要求投标人对投标文件有关事项作出解释或澄清；</w:t>
      </w:r>
    </w:p>
    <w:p w14:paraId="65CC3CB1">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2-3按照招标文件的要求和评标标准进行评标，推荐中标候选单位名单，对评审意见承担个人责任；</w:t>
      </w:r>
    </w:p>
    <w:p w14:paraId="58F038E6">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2-4对评标过程和结果以及投标人的商业秘密保密；</w:t>
      </w:r>
    </w:p>
    <w:p w14:paraId="574DB744">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2-5参与评标结果报告的起草；</w:t>
      </w:r>
    </w:p>
    <w:p w14:paraId="6AECA72D">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2-6配合招标人、招标代理机构答复投标人提出的质疑；</w:t>
      </w:r>
    </w:p>
    <w:p w14:paraId="0E39668D">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2-7配合有关部门处理投诉工作；</w:t>
      </w:r>
    </w:p>
    <w:p w14:paraId="4AD43E27">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3、招标代理机构在规定的时间和地点组织公开开标，投标人须委派代表参加，并签名报到以证明其出席。</w:t>
      </w:r>
    </w:p>
    <w:p w14:paraId="1C9EE95A">
      <w:pPr>
        <w:pageBreakBefore w:val="0"/>
        <w:kinsoku/>
        <w:overflowPunct/>
        <w:topLinePunct w:val="0"/>
        <w:autoSpaceDE/>
        <w:autoSpaceDN/>
        <w:bidi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4、开标时，招标代理机构以公开唱标的形式将投标报价表的内容公布。</w:t>
      </w:r>
    </w:p>
    <w:p w14:paraId="3B21AC62">
      <w:pPr>
        <w:pageBreakBefore w:val="0"/>
        <w:kinsoku/>
        <w:overflowPunct/>
        <w:topLinePunct w:val="0"/>
        <w:autoSpaceDE/>
        <w:autoSpaceDN/>
        <w:bidi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5、开标结束到向中标单位授予合同期间，凡与审查、澄清、评价和比较评标的有关资料及评审意见等内容，评标委员会均不得向投标人及与评标无关的其他人透露。</w:t>
      </w:r>
    </w:p>
    <w:p w14:paraId="3EEE482E">
      <w:pPr>
        <w:pageBreakBefore w:val="0"/>
        <w:kinsoku/>
        <w:overflowPunct/>
        <w:topLinePunct w:val="0"/>
        <w:autoSpaceDE/>
        <w:autoSpaceDN/>
        <w:bidi w:val="0"/>
        <w:spacing w:line="500" w:lineRule="exact"/>
        <w:ind w:firstLine="64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6、最低报价不作为唯一中标原则。</w:t>
      </w:r>
    </w:p>
    <w:p w14:paraId="4768BFD0">
      <w:pPr>
        <w:pStyle w:val="3"/>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五、安康市公共资源交易平台全流程电子化政府采购项目内容（此项内容请着重阅读）</w:t>
      </w:r>
    </w:p>
    <w:p w14:paraId="7005D4B0">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1、关于需要特别提醒供应商的内容</w:t>
      </w:r>
    </w:p>
    <w:p w14:paraId="03CC663B">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项目采用电子化投标的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4119E959">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1.2、制作电子投标文件</w:t>
      </w:r>
    </w:p>
    <w:p w14:paraId="187722F8">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2112CD76">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1.3、递交电子投标文件</w:t>
      </w:r>
    </w:p>
    <w:p w14:paraId="16CFF5DD">
      <w:pPr>
        <w:pageBreakBefore w:val="0"/>
        <w:kinsoku/>
        <w:overflowPunct/>
        <w:topLinePunct w:val="0"/>
        <w:autoSpaceDE/>
        <w:autoSpaceDN/>
        <w:bidi w:val="0"/>
        <w:spacing w:line="500" w:lineRule="exact"/>
        <w:ind w:firstLine="65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23BA5FBB">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2、关于报名</w:t>
      </w:r>
    </w:p>
    <w:p w14:paraId="5DAB5F23">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2.1投标供应商使用捆绑陕西省公共资源交易平台的CA锁登录电子交易平台，通过政府采购系统企业端进入，点击“我要投标”并完善相关投标信息；</w:t>
      </w:r>
    </w:p>
    <w:p w14:paraId="3DFC76D6">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投标供应商须在招标文件发售截止前登录电子交易平台下载电子招标文件，未完成网上投标成功的或未提供授权信息或未在规定时间内在平台上下载文件，导致无法完成后续流程的责任自负；</w:t>
      </w:r>
    </w:p>
    <w:p w14:paraId="4CA2F797">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本项目采用电子化投标的方式，相关操作流程详见全国公共资源交易平台（陕西省）网站[服务指南-下载专区]中的《陕西省公共资源交易中心政府采购项目投标指南》</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12023E6D">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电子招标文件技术支持：4009280095、4009980000。</w:t>
      </w:r>
    </w:p>
    <w:p w14:paraId="59F91C81">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3、关于文件的制作和签名</w:t>
      </w:r>
    </w:p>
    <w:p w14:paraId="6E0FB5E9">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编制电子投标文件时，应使用最新发布的电子招标文件及专用制作工具进行编制。并使用数字认证证书（CA）对电子投标文件进行签署、加密、递交及开标时解密等相关操作。</w:t>
      </w:r>
    </w:p>
    <w:p w14:paraId="635496B5">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（1）电子招标文件下载</w:t>
      </w:r>
    </w:p>
    <w:p w14:paraId="61D70252">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供应商登录全国公共资源交易平台（陕西省）网站[电子交易平台-企业端]后，在[我的项目]中点击“项目流程-交易文件下载”下载电子招标文件（*.SXSZF）;</w:t>
      </w:r>
    </w:p>
    <w:p w14:paraId="2D2DD320">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注意：该项目如有变更文件，则应点击“项目流程&gt;答疑文件下载”下载更新后的电子招标文件（*.SXSCF），使用旧版电子招标文件制作的电子投标文件，系统将拒绝接收。</w:t>
      </w:r>
    </w:p>
    <w:p w14:paraId="6A902EFE">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（2）电子招标文件需要使用专用软件打开、浏览</w:t>
      </w:r>
    </w:p>
    <w:p w14:paraId="2F4B4BB5">
      <w:pPr>
        <w:pageBreakBefore w:val="0"/>
        <w:kinsoku/>
        <w:overflowPunct/>
        <w:topLinePunct w:val="0"/>
        <w:autoSpaceDE/>
        <w:autoSpaceDN/>
        <w:bidi w:val="0"/>
        <w:spacing w:line="500" w:lineRule="exact"/>
        <w:ind w:firstLine="65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下载网址：</w:t>
      </w:r>
    </w:p>
    <w:p w14:paraId="7362EB3F">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http://www.sxggzyjy.cn/fwzn/004003/20170821/c3afa05b-f5e6-4e64-9fb0-e397ef73413d.html；</w:t>
      </w:r>
    </w:p>
    <w:p w14:paraId="1A1CDF47">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（3）制作电子投标文件</w:t>
      </w:r>
    </w:p>
    <w:p w14:paraId="3B2B7F40">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电子投标文件同样需要使用上述软件进行编制。在编制过程中，如有技术性问题，请先翻阅操作手册或致电软件开发商，技术支持热线：4009280095、4009980000。</w:t>
      </w:r>
    </w:p>
    <w:p w14:paraId="0946219C">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4、关于响应文件递交与解密</w:t>
      </w:r>
    </w:p>
    <w:p w14:paraId="17F38D86">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4.1.文件递交</w:t>
      </w:r>
    </w:p>
    <w:p w14:paraId="33CE769D">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47F642F9">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4.2.文件开启与解密</w:t>
      </w:r>
    </w:p>
    <w:p w14:paraId="5372C313">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w:t>
      </w:r>
      <w:r>
        <w:rPr>
          <w:rFonts w:hint="eastAsia" w:ascii="宋体" w:hAnsi="宋体" w:eastAsia="宋体" w:cs="宋体"/>
          <w:color w:val="auto"/>
          <w:sz w:val="24"/>
          <w:szCs w:val="24"/>
          <w:highlight w:val="none"/>
        </w:rPr>
        <w:t>采购代理机构组织</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、文件开启、评审工作，</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整个过程接受监督部门的监督。</w:t>
      </w:r>
    </w:p>
    <w:p w14:paraId="38796216">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4.2.2</w:t>
      </w:r>
      <w:r>
        <w:rPr>
          <w:rFonts w:hint="eastAsia" w:ascii="宋体" w:hAnsi="宋体" w:eastAsia="宋体" w:cs="宋体"/>
          <w:color w:val="auto"/>
          <w:sz w:val="24"/>
          <w:szCs w:val="24"/>
          <w:highlight w:val="none"/>
        </w:rPr>
        <w:t>采购代理机构在规定的时间和地点组织</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，响应供应商须委派代参加,参加谈判的授权代表在不见面开标大厅签名报到以证明其出席。</w:t>
      </w:r>
    </w:p>
    <w:p w14:paraId="7C683866">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5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不见面开标系统：打开页面网址</w:t>
      </w:r>
    </w:p>
    <w:p w14:paraId="1484037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http://219.145.206.209/BidOpeningHall/bidopeninghallaction/hall/login</w:t>
      </w:r>
      <w:r>
        <w:rPr>
          <w:rFonts w:hint="eastAsia" w:ascii="宋体" w:hAnsi="宋体" w:eastAsia="宋体" w:cs="宋体"/>
          <w:color w:val="auto"/>
          <w:sz w:val="24"/>
          <w:szCs w:val="24"/>
          <w:highlight w:val="none"/>
        </w:rPr>
        <w:t>选择点击右上角“登录”，在左侧选择“投标人”身份，登录地区选择“安康市不见面开标”插入CA锁登录，输入密码后，点击“登录”，投标人登录之后可以看到当前投标人今日开标项目：1、选择要开标的项目，点击进入，页面首先阅读开标流程，点击“我已阅读”进入开标大厅，点击“取消”返回项目列表页面。</w:t>
      </w:r>
    </w:p>
    <w:p w14:paraId="7F65B483">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开标签到：投标人等待开标时需要签到，等候开标。请在开标前完成签到，开标 时间到了之后就不能签到；点击页面上“签到”按钮进行签到，开标前60分钟可以签到。签到成功之后，按钮灰化，无需再次签到，同时第一个座位图右下角出现绿色√。</w:t>
      </w:r>
    </w:p>
    <w:p w14:paraId="42252098">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开标时，供应商须使用电子响应文件加密时所用的数字认证证书（CA锁）自行解密电子响应文件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系统默认解密时长为</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0分钟，供应商需在解密时间规定内完成文件解密。</w:t>
      </w:r>
    </w:p>
    <w:p w14:paraId="32AC7E11">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（4）解密成功后，依次导入投标企业电子投标文件。</w:t>
      </w:r>
      <w:r>
        <w:rPr>
          <w:rFonts w:hint="eastAsia" w:ascii="宋体" w:hAnsi="宋体" w:eastAsia="宋体" w:cs="宋体"/>
          <w:color w:val="auto"/>
          <w:sz w:val="24"/>
          <w:szCs w:val="24"/>
          <w:highlight w:val="none"/>
        </w:rPr>
        <w:t xml:space="preserve"> </w:t>
      </w:r>
    </w:p>
    <w:p w14:paraId="2CA80064">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（5）采购代理机构将在开标会议现场做会议记录，会议记录包括按本项目开标会议的全部内容。</w:t>
      </w:r>
    </w:p>
    <w:p w14:paraId="55B78A5B">
      <w:pPr>
        <w:pageBreakBefore w:val="0"/>
        <w:kinsoku/>
        <w:overflowPunct/>
        <w:topLinePunct w:val="0"/>
        <w:autoSpaceDE/>
        <w:autoSpaceDN/>
        <w:bidi w:val="0"/>
        <w:spacing w:line="5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4.2.3</w:t>
      </w:r>
      <w:r>
        <w:rPr>
          <w:rFonts w:hint="eastAsia" w:ascii="宋体" w:hAnsi="宋体" w:eastAsia="宋体" w:cs="宋体"/>
          <w:color w:val="auto"/>
          <w:sz w:val="24"/>
          <w:szCs w:val="24"/>
          <w:highlight w:val="none"/>
        </w:rPr>
        <w:t>在开标环节出现下列情况之一的，其电子投标文件视为无效文件：</w:t>
      </w:r>
    </w:p>
    <w:p w14:paraId="0D0DD8C0">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（1）供应商拒绝对电子投标文件进行解密的；</w:t>
      </w:r>
    </w:p>
    <w:p w14:paraId="514B565F">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（2）因供应商自身原因（如未带CA锁、或所带CA锁与制作电子投标文件使用的CA锁不一致、或沿用旧版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文件编制投标文件等情形），导致在规定时间内无法解密投标文件的；</w:t>
      </w:r>
    </w:p>
    <w:p w14:paraId="087B3516">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（3）上传的电子投标文件无法打开的；</w:t>
      </w:r>
    </w:p>
    <w:p w14:paraId="3DB03D49">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（4）政府采购法律法规规定的其他无效情形。</w:t>
      </w:r>
    </w:p>
    <w:p w14:paraId="38002FFB">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4.2.4</w:t>
      </w:r>
      <w:r>
        <w:rPr>
          <w:rFonts w:hint="eastAsia" w:ascii="宋体" w:hAnsi="宋体" w:eastAsia="宋体" w:cs="宋体"/>
          <w:color w:val="auto"/>
          <w:sz w:val="24"/>
          <w:szCs w:val="24"/>
          <w:highlight w:val="none"/>
        </w:rPr>
        <w:t>特殊情形下的应急处置</w:t>
      </w:r>
    </w:p>
    <w:p w14:paraId="39AEFA2A">
      <w:pPr>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标、评审过程中，如因停电、断网、电子化系统故障等特殊原因导致电子化开、评标无法正常进行时，代理机构应及时与公共资源交易中心工作人员联系，故障在2小时内可修复的，可延续电子开标评标流程；2小时内无法修复的，由采购人根据《安康市公共资源交易平台电子化交易应急处置管理办法（试行）》的通知选择处理方法。</w:t>
      </w:r>
    </w:p>
    <w:p w14:paraId="51D5419C">
      <w:pPr>
        <w:pStyle w:val="3"/>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六、评标</w:t>
      </w:r>
    </w:p>
    <w:p w14:paraId="1B3AE22D">
      <w:pPr>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采购人将审查资格证明文件是否齐全有效。</w:t>
      </w:r>
    </w:p>
    <w:tbl>
      <w:tblPr>
        <w:tblStyle w:val="15"/>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40"/>
        <w:gridCol w:w="818"/>
        <w:gridCol w:w="1614"/>
        <w:gridCol w:w="5672"/>
      </w:tblGrid>
      <w:tr w14:paraId="040A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9" w:hRule="exact"/>
          <w:jc w:val="center"/>
        </w:trPr>
        <w:tc>
          <w:tcPr>
            <w:tcW w:w="640" w:type="dxa"/>
            <w:vMerge w:val="restart"/>
            <w:tcBorders>
              <w:top w:val="single" w:color="auto" w:sz="4" w:space="0"/>
              <w:left w:val="single" w:color="auto" w:sz="4" w:space="0"/>
              <w:right w:val="single" w:color="auto" w:sz="4" w:space="0"/>
            </w:tcBorders>
            <w:vAlign w:val="center"/>
          </w:tcPr>
          <w:p w14:paraId="55CC622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14:paraId="0B05B2E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14:paraId="3F70854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p>
          <w:p w14:paraId="2E60015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4115274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tc>
        <w:tc>
          <w:tcPr>
            <w:tcW w:w="818" w:type="dxa"/>
            <w:tcBorders>
              <w:top w:val="single" w:color="auto" w:sz="4" w:space="0"/>
              <w:left w:val="single" w:color="auto" w:sz="4" w:space="0"/>
              <w:bottom w:val="single" w:color="auto" w:sz="4" w:space="0"/>
              <w:right w:val="single" w:color="auto" w:sz="4" w:space="0"/>
            </w:tcBorders>
            <w:vAlign w:val="center"/>
          </w:tcPr>
          <w:p w14:paraId="60FAB3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14" w:type="dxa"/>
            <w:tcBorders>
              <w:top w:val="single" w:color="auto" w:sz="4" w:space="0"/>
              <w:left w:val="single" w:color="auto" w:sz="4" w:space="0"/>
              <w:bottom w:val="single" w:color="auto" w:sz="4" w:space="0"/>
              <w:right w:val="single" w:color="auto" w:sz="4" w:space="0"/>
            </w:tcBorders>
            <w:vAlign w:val="center"/>
          </w:tcPr>
          <w:p w14:paraId="095C71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5672" w:type="dxa"/>
            <w:tcBorders>
              <w:top w:val="single" w:color="auto" w:sz="4" w:space="0"/>
              <w:left w:val="single" w:color="auto" w:sz="4" w:space="0"/>
              <w:bottom w:val="single" w:color="auto" w:sz="4" w:space="0"/>
              <w:right w:val="single" w:color="auto" w:sz="4" w:space="0"/>
            </w:tcBorders>
            <w:vAlign w:val="center"/>
          </w:tcPr>
          <w:p w14:paraId="4D81985A">
            <w:pPr>
              <w:keepNext w:val="0"/>
              <w:keepLines w:val="0"/>
              <w:pageBreakBefore w:val="0"/>
              <w:widowControl w:val="0"/>
              <w:kinsoku/>
              <w:wordWrap/>
              <w:overflowPunct/>
              <w:topLinePunct w:val="0"/>
              <w:autoSpaceDE/>
              <w:autoSpaceDN/>
              <w:bidi w:val="0"/>
              <w:adjustRightInd/>
              <w:snapToGrid w:val="0"/>
              <w:spacing w:line="400" w:lineRule="exact"/>
              <w:ind w:firstLine="5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r>
      <w:tr w14:paraId="6D6D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32" w:hRule="exact"/>
          <w:jc w:val="center"/>
        </w:trPr>
        <w:tc>
          <w:tcPr>
            <w:tcW w:w="640" w:type="dxa"/>
            <w:vMerge w:val="continue"/>
            <w:tcBorders>
              <w:left w:val="single" w:color="auto" w:sz="4" w:space="0"/>
              <w:right w:val="single" w:color="auto" w:sz="4" w:space="0"/>
            </w:tcBorders>
            <w:vAlign w:val="center"/>
          </w:tcPr>
          <w:p w14:paraId="267F7E52">
            <w:pPr>
              <w:snapToGrid w:val="0"/>
              <w:spacing w:line="360" w:lineRule="auto"/>
              <w:ind w:firstLine="580"/>
              <w:rPr>
                <w:rFonts w:hint="eastAsia" w:ascii="宋体" w:hAnsi="宋体" w:eastAsia="宋体" w:cs="宋体"/>
                <w:color w:val="auto"/>
                <w:sz w:val="24"/>
                <w:szCs w:val="24"/>
                <w:highlight w:val="none"/>
              </w:rPr>
            </w:pPr>
          </w:p>
        </w:tc>
        <w:tc>
          <w:tcPr>
            <w:tcW w:w="818" w:type="dxa"/>
            <w:tcBorders>
              <w:top w:val="single" w:color="auto" w:sz="4" w:space="0"/>
              <w:left w:val="single" w:color="auto" w:sz="4" w:space="0"/>
              <w:right w:val="single" w:color="auto" w:sz="4" w:space="0"/>
            </w:tcBorders>
            <w:vAlign w:val="center"/>
          </w:tcPr>
          <w:p w14:paraId="21B593B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4" w:type="dxa"/>
            <w:tcBorders>
              <w:top w:val="single" w:color="auto" w:sz="4" w:space="0"/>
              <w:left w:val="single" w:color="auto" w:sz="4" w:space="0"/>
              <w:bottom w:val="single" w:color="auto" w:sz="4" w:space="0"/>
              <w:right w:val="single" w:color="auto" w:sz="4" w:space="0"/>
            </w:tcBorders>
            <w:vAlign w:val="center"/>
          </w:tcPr>
          <w:p w14:paraId="7EBF66F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有效的主体资格</w:t>
            </w:r>
          </w:p>
        </w:tc>
        <w:tc>
          <w:tcPr>
            <w:tcW w:w="5672" w:type="dxa"/>
            <w:tcBorders>
              <w:top w:val="single" w:color="auto" w:sz="4" w:space="0"/>
              <w:left w:val="single" w:color="auto" w:sz="4" w:space="0"/>
              <w:bottom w:val="single" w:color="auto" w:sz="4" w:space="0"/>
              <w:right w:val="single" w:color="auto" w:sz="4" w:space="0"/>
            </w:tcBorders>
            <w:vAlign w:val="center"/>
          </w:tcPr>
          <w:p w14:paraId="3B7B1C0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tc>
      </w:tr>
      <w:tr w14:paraId="7344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3" w:hRule="atLeast"/>
          <w:jc w:val="center"/>
        </w:trPr>
        <w:tc>
          <w:tcPr>
            <w:tcW w:w="640" w:type="dxa"/>
            <w:vMerge w:val="continue"/>
            <w:tcBorders>
              <w:left w:val="single" w:color="auto" w:sz="4" w:space="0"/>
              <w:right w:val="single" w:color="auto" w:sz="4" w:space="0"/>
            </w:tcBorders>
            <w:vAlign w:val="center"/>
          </w:tcPr>
          <w:p w14:paraId="65AE2F60">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3BB04AB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4" w:type="dxa"/>
            <w:tcBorders>
              <w:top w:val="single" w:color="auto" w:sz="4" w:space="0"/>
              <w:left w:val="single" w:color="auto" w:sz="4" w:space="0"/>
              <w:bottom w:val="single" w:color="auto" w:sz="4" w:space="0"/>
              <w:right w:val="single" w:color="auto" w:sz="4" w:space="0"/>
            </w:tcBorders>
            <w:vAlign w:val="center"/>
          </w:tcPr>
          <w:p w14:paraId="1828DAB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tc>
        <w:tc>
          <w:tcPr>
            <w:tcW w:w="5672" w:type="dxa"/>
            <w:tcBorders>
              <w:top w:val="single" w:color="auto" w:sz="4" w:space="0"/>
              <w:left w:val="single" w:color="auto" w:sz="4" w:space="0"/>
              <w:bottom w:val="single" w:color="auto" w:sz="4" w:space="0"/>
              <w:right w:val="single" w:color="auto" w:sz="4" w:space="0"/>
            </w:tcBorders>
            <w:vAlign w:val="center"/>
          </w:tcPr>
          <w:p w14:paraId="2F78973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提供法定代表人授权书（附法定代表人身份证复印件）及被授权代表身份证复印件（法定代表人直接参加只须提供法定代表人身份证复印件）</w:t>
            </w:r>
            <w:r>
              <w:rPr>
                <w:rFonts w:hint="default" w:ascii="宋体" w:hAnsi="宋体" w:cs="宋体"/>
                <w:color w:val="auto"/>
                <w:sz w:val="24"/>
                <w:szCs w:val="24"/>
                <w:highlight w:val="none"/>
                <w:lang w:eastAsia="zh-CN"/>
              </w:rPr>
              <w:t>；</w:t>
            </w:r>
          </w:p>
        </w:tc>
      </w:tr>
      <w:tr w14:paraId="7F66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93" w:hRule="atLeast"/>
          <w:jc w:val="center"/>
        </w:trPr>
        <w:tc>
          <w:tcPr>
            <w:tcW w:w="640" w:type="dxa"/>
            <w:vMerge w:val="continue"/>
            <w:tcBorders>
              <w:left w:val="single" w:color="auto" w:sz="4" w:space="0"/>
              <w:right w:val="single" w:color="auto" w:sz="4" w:space="0"/>
            </w:tcBorders>
            <w:vAlign w:val="center"/>
          </w:tcPr>
          <w:p w14:paraId="771895D3">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4B92A4A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14" w:type="dxa"/>
            <w:tcBorders>
              <w:top w:val="single" w:color="auto" w:sz="4" w:space="0"/>
              <w:left w:val="single" w:color="auto" w:sz="4" w:space="0"/>
              <w:bottom w:val="single" w:color="auto" w:sz="4" w:space="0"/>
              <w:right w:val="single" w:color="auto" w:sz="4" w:space="0"/>
            </w:tcBorders>
            <w:vAlign w:val="center"/>
          </w:tcPr>
          <w:p w14:paraId="22DBAFA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财务审计报告</w:t>
            </w:r>
          </w:p>
        </w:tc>
        <w:tc>
          <w:tcPr>
            <w:tcW w:w="5672" w:type="dxa"/>
            <w:tcBorders>
              <w:top w:val="single" w:color="auto" w:sz="4" w:space="0"/>
              <w:left w:val="single" w:color="auto" w:sz="4" w:space="0"/>
              <w:bottom w:val="single" w:color="auto" w:sz="4" w:space="0"/>
              <w:right w:val="single" w:color="auto" w:sz="4" w:space="0"/>
            </w:tcBorders>
            <w:vAlign w:val="center"/>
          </w:tcPr>
          <w:p w14:paraId="068A992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近三年（2022-2024年）来任意年度财务审计报告(至少应包含资产负债表、利润表和现金流量表)或其基本存款账户开户银行出具的资信证明及基本存款账户开户许可证。(成立时间至提交响应文件截止时间不足三个月的提供公司财务会计制度并加盖供应商鲜章即可)；</w:t>
            </w:r>
          </w:p>
        </w:tc>
      </w:tr>
      <w:tr w14:paraId="5209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3" w:hRule="atLeast"/>
          <w:jc w:val="center"/>
        </w:trPr>
        <w:tc>
          <w:tcPr>
            <w:tcW w:w="640" w:type="dxa"/>
            <w:vMerge w:val="continue"/>
            <w:tcBorders>
              <w:left w:val="single" w:color="auto" w:sz="4" w:space="0"/>
              <w:right w:val="single" w:color="auto" w:sz="4" w:space="0"/>
            </w:tcBorders>
            <w:vAlign w:val="center"/>
          </w:tcPr>
          <w:p w14:paraId="5FDE3513">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7C76E70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14" w:type="dxa"/>
            <w:tcBorders>
              <w:top w:val="single" w:color="auto" w:sz="4" w:space="0"/>
              <w:left w:val="single" w:color="auto" w:sz="4" w:space="0"/>
              <w:bottom w:val="single" w:color="auto" w:sz="4" w:space="0"/>
              <w:right w:val="single" w:color="auto" w:sz="4" w:space="0"/>
            </w:tcBorders>
            <w:vAlign w:val="center"/>
          </w:tcPr>
          <w:p w14:paraId="64868D7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税收缴纳证明</w:t>
            </w:r>
          </w:p>
        </w:tc>
        <w:tc>
          <w:tcPr>
            <w:tcW w:w="5672" w:type="dxa"/>
            <w:tcBorders>
              <w:top w:val="single" w:color="auto" w:sz="4" w:space="0"/>
              <w:left w:val="single" w:color="auto" w:sz="4" w:space="0"/>
              <w:bottom w:val="single" w:color="auto" w:sz="4" w:space="0"/>
              <w:right w:val="single" w:color="auto" w:sz="4" w:space="0"/>
            </w:tcBorders>
            <w:vAlign w:val="center"/>
          </w:tcPr>
          <w:p w14:paraId="7854992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自2024年7月1日以来</w:t>
            </w:r>
            <w:r>
              <w:rPr>
                <w:rFonts w:hint="eastAsia" w:ascii="宋体" w:hAnsi="宋体" w:eastAsia="宋体" w:cs="宋体"/>
                <w:color w:val="auto"/>
                <w:sz w:val="24"/>
                <w:szCs w:val="24"/>
                <w:highlight w:val="none"/>
              </w:rPr>
              <w:t>不少于3个月的纳税证明或完税证明(提供增值税、企业所得税至少一种),纳税证明或完税证明上应有代收机构或税务机关的公章或业务专用章。依法免税的供应商应提供相关文件证明</w:t>
            </w:r>
            <w:r>
              <w:rPr>
                <w:rFonts w:hint="eastAsia" w:ascii="宋体" w:hAnsi="宋体" w:eastAsia="宋体" w:cs="宋体"/>
                <w:color w:val="auto"/>
                <w:sz w:val="24"/>
                <w:szCs w:val="24"/>
                <w:highlight w:val="none"/>
                <w:lang w:eastAsia="zh-CN"/>
              </w:rPr>
              <w:t>；</w:t>
            </w:r>
          </w:p>
        </w:tc>
      </w:tr>
      <w:tr w14:paraId="3600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82" w:hRule="atLeast"/>
          <w:jc w:val="center"/>
        </w:trPr>
        <w:tc>
          <w:tcPr>
            <w:tcW w:w="640" w:type="dxa"/>
            <w:vMerge w:val="continue"/>
            <w:tcBorders>
              <w:left w:val="single" w:color="auto" w:sz="4" w:space="0"/>
              <w:right w:val="single" w:color="auto" w:sz="4" w:space="0"/>
            </w:tcBorders>
            <w:vAlign w:val="center"/>
          </w:tcPr>
          <w:p w14:paraId="4B940B26">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16A38C2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14" w:type="dxa"/>
            <w:tcBorders>
              <w:top w:val="single" w:color="auto" w:sz="4" w:space="0"/>
              <w:left w:val="single" w:color="auto" w:sz="4" w:space="0"/>
              <w:right w:val="single" w:color="auto" w:sz="4" w:space="0"/>
            </w:tcBorders>
            <w:vAlign w:val="center"/>
          </w:tcPr>
          <w:p w14:paraId="2E97893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社会保障资金缴纳证明</w:t>
            </w:r>
          </w:p>
        </w:tc>
        <w:tc>
          <w:tcPr>
            <w:tcW w:w="5672" w:type="dxa"/>
            <w:tcBorders>
              <w:top w:val="single" w:color="auto" w:sz="4" w:space="0"/>
              <w:left w:val="single" w:color="auto" w:sz="4" w:space="0"/>
              <w:bottom w:val="single" w:color="auto" w:sz="4" w:space="0"/>
              <w:right w:val="single" w:color="auto" w:sz="4" w:space="0"/>
            </w:tcBorders>
            <w:vAlign w:val="center"/>
          </w:tcPr>
          <w:p w14:paraId="457DACB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自2024年7月1日以来</w:t>
            </w:r>
            <w:r>
              <w:rPr>
                <w:rFonts w:hint="eastAsia" w:ascii="宋体" w:hAnsi="宋体" w:eastAsia="宋体" w:cs="宋体"/>
                <w:color w:val="auto"/>
                <w:sz w:val="24"/>
                <w:szCs w:val="24"/>
                <w:highlight w:val="none"/>
              </w:rPr>
              <w:t>已缴存的至少3个月的社会保障资金缴存单据或社保机构开具的社会保险参保缴费情况证明，单据或证明上应有社保机构或代收机构的印章。依法不需要缴纳社会保障资金的供应商应提供相关文件证明</w:t>
            </w:r>
            <w:r>
              <w:rPr>
                <w:rFonts w:hint="eastAsia" w:ascii="宋体" w:hAnsi="宋体" w:eastAsia="宋体" w:cs="宋体"/>
                <w:color w:val="auto"/>
                <w:sz w:val="24"/>
                <w:szCs w:val="24"/>
                <w:highlight w:val="none"/>
                <w:lang w:eastAsia="zh-CN"/>
              </w:rPr>
              <w:t>；</w:t>
            </w:r>
          </w:p>
        </w:tc>
      </w:tr>
      <w:tr w14:paraId="7518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54" w:hRule="atLeast"/>
          <w:jc w:val="center"/>
        </w:trPr>
        <w:tc>
          <w:tcPr>
            <w:tcW w:w="640" w:type="dxa"/>
            <w:vMerge w:val="continue"/>
            <w:tcBorders>
              <w:left w:val="single" w:color="auto" w:sz="4" w:space="0"/>
              <w:right w:val="single" w:color="auto" w:sz="4" w:space="0"/>
            </w:tcBorders>
            <w:vAlign w:val="center"/>
          </w:tcPr>
          <w:p w14:paraId="654AE8D2">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2990B3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614" w:type="dxa"/>
            <w:tcBorders>
              <w:top w:val="single" w:color="auto" w:sz="4" w:space="0"/>
              <w:left w:val="single" w:color="auto" w:sz="4" w:space="0"/>
              <w:bottom w:val="single" w:color="auto" w:sz="4" w:space="0"/>
              <w:right w:val="single" w:color="auto" w:sz="4" w:space="0"/>
            </w:tcBorders>
            <w:vAlign w:val="center"/>
          </w:tcPr>
          <w:p w14:paraId="4EABA2A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无重大违法纪录的书面声明</w:t>
            </w:r>
          </w:p>
        </w:tc>
        <w:tc>
          <w:tcPr>
            <w:tcW w:w="5672" w:type="dxa"/>
            <w:tcBorders>
              <w:top w:val="single" w:color="auto" w:sz="4" w:space="0"/>
              <w:left w:val="single" w:color="auto" w:sz="4" w:space="0"/>
              <w:bottom w:val="single" w:color="auto" w:sz="4" w:space="0"/>
              <w:right w:val="single" w:color="auto" w:sz="4" w:space="0"/>
            </w:tcBorders>
            <w:vAlign w:val="center"/>
          </w:tcPr>
          <w:p w14:paraId="673747B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参加政府采购活动前三年内</w:t>
            </w:r>
            <w:r>
              <w:rPr>
                <w:rFonts w:hint="eastAsia" w:ascii="宋体" w:hAnsi="宋体" w:cs="宋体"/>
                <w:color w:val="auto"/>
                <w:sz w:val="24"/>
                <w:szCs w:val="24"/>
                <w:highlight w:val="none"/>
                <w:lang w:eastAsia="zh-CN"/>
              </w:rPr>
              <w:t>（2022年1月至今）</w:t>
            </w:r>
            <w:r>
              <w:rPr>
                <w:rFonts w:hint="eastAsia" w:ascii="宋体" w:hAnsi="宋体" w:eastAsia="宋体" w:cs="宋体"/>
                <w:color w:val="auto"/>
                <w:sz w:val="24"/>
                <w:szCs w:val="24"/>
                <w:highlight w:val="none"/>
              </w:rPr>
              <w:t>，在经营活动中没有重大违法记录的书面声明</w:t>
            </w:r>
            <w:r>
              <w:rPr>
                <w:rFonts w:hint="eastAsia" w:ascii="宋体" w:hAnsi="宋体" w:eastAsia="宋体" w:cs="宋体"/>
                <w:color w:val="auto"/>
                <w:sz w:val="24"/>
                <w:szCs w:val="24"/>
                <w:highlight w:val="none"/>
                <w:lang w:eastAsia="zh-CN"/>
              </w:rPr>
              <w:t>；</w:t>
            </w:r>
          </w:p>
        </w:tc>
      </w:tr>
      <w:tr w14:paraId="355C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3" w:hRule="atLeast"/>
          <w:jc w:val="center"/>
        </w:trPr>
        <w:tc>
          <w:tcPr>
            <w:tcW w:w="640" w:type="dxa"/>
            <w:vMerge w:val="continue"/>
            <w:tcBorders>
              <w:left w:val="single" w:color="auto" w:sz="4" w:space="0"/>
              <w:right w:val="single" w:color="auto" w:sz="4" w:space="0"/>
            </w:tcBorders>
            <w:vAlign w:val="center"/>
          </w:tcPr>
          <w:p w14:paraId="14B0C1C0">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697D591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14" w:type="dxa"/>
            <w:tcBorders>
              <w:top w:val="single" w:color="auto" w:sz="4" w:space="0"/>
              <w:left w:val="single" w:color="auto" w:sz="4" w:space="0"/>
              <w:bottom w:val="single" w:color="auto" w:sz="4" w:space="0"/>
              <w:right w:val="single" w:color="auto" w:sz="4" w:space="0"/>
            </w:tcBorders>
            <w:vAlign w:val="center"/>
          </w:tcPr>
          <w:p w14:paraId="53A31EC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履约能力声明</w:t>
            </w:r>
          </w:p>
        </w:tc>
        <w:tc>
          <w:tcPr>
            <w:tcW w:w="5672" w:type="dxa"/>
            <w:tcBorders>
              <w:top w:val="single" w:color="auto" w:sz="4" w:space="0"/>
              <w:left w:val="single" w:color="auto" w:sz="4" w:space="0"/>
              <w:bottom w:val="single" w:color="auto" w:sz="4" w:space="0"/>
              <w:right w:val="single" w:color="auto" w:sz="4" w:space="0"/>
            </w:tcBorders>
            <w:vAlign w:val="center"/>
          </w:tcPr>
          <w:p w14:paraId="79D4388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投标人具备履行合同所必需的设备和专业技术能力的书面声明（格式自拟）</w:t>
            </w:r>
            <w:r>
              <w:rPr>
                <w:rFonts w:hint="eastAsia" w:ascii="宋体" w:hAnsi="宋体" w:eastAsia="宋体" w:cs="宋体"/>
                <w:color w:val="auto"/>
                <w:sz w:val="24"/>
                <w:szCs w:val="24"/>
                <w:highlight w:val="none"/>
                <w:lang w:eastAsia="zh-CN"/>
              </w:rPr>
              <w:t>；</w:t>
            </w:r>
          </w:p>
        </w:tc>
      </w:tr>
      <w:tr w14:paraId="2701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04" w:hRule="atLeast"/>
          <w:jc w:val="center"/>
        </w:trPr>
        <w:tc>
          <w:tcPr>
            <w:tcW w:w="640" w:type="dxa"/>
            <w:vMerge w:val="continue"/>
            <w:tcBorders>
              <w:left w:val="single" w:color="auto" w:sz="4" w:space="0"/>
              <w:right w:val="single" w:color="auto" w:sz="4" w:space="0"/>
            </w:tcBorders>
            <w:vAlign w:val="center"/>
          </w:tcPr>
          <w:p w14:paraId="57579157">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34A730A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614" w:type="dxa"/>
            <w:tcBorders>
              <w:top w:val="single" w:color="auto" w:sz="4" w:space="0"/>
              <w:left w:val="single" w:color="auto" w:sz="4" w:space="0"/>
              <w:bottom w:val="single" w:color="auto" w:sz="4" w:space="0"/>
              <w:right w:val="single" w:color="auto" w:sz="4" w:space="0"/>
            </w:tcBorders>
            <w:vAlign w:val="center"/>
          </w:tcPr>
          <w:p w14:paraId="5A9708D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主体信用查询记录</w:t>
            </w:r>
          </w:p>
        </w:tc>
        <w:tc>
          <w:tcPr>
            <w:tcW w:w="5672" w:type="dxa"/>
            <w:tcBorders>
              <w:top w:val="single" w:color="auto" w:sz="4" w:space="0"/>
              <w:left w:val="single" w:color="auto" w:sz="4" w:space="0"/>
              <w:bottom w:val="single" w:color="auto" w:sz="4" w:space="0"/>
              <w:right w:val="single" w:color="auto" w:sz="4" w:space="0"/>
            </w:tcBorders>
            <w:vAlign w:val="center"/>
          </w:tcPr>
          <w:p w14:paraId="166576F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投标人通过“信用中国”网站（www.creditchina.gov.cn）、中国政府采购网（www.ccgp.gov.cn）等渠道查询相关主体无失信记录。对列入失信被执行人、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color w:val="auto"/>
                <w:sz w:val="24"/>
                <w:szCs w:val="24"/>
                <w:highlight w:val="none"/>
              </w:rPr>
              <w:t>；</w:t>
            </w:r>
          </w:p>
        </w:tc>
      </w:tr>
      <w:tr w14:paraId="47E0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13" w:hRule="atLeast"/>
          <w:jc w:val="center"/>
        </w:trPr>
        <w:tc>
          <w:tcPr>
            <w:tcW w:w="640" w:type="dxa"/>
            <w:vMerge w:val="continue"/>
            <w:tcBorders>
              <w:left w:val="single" w:color="auto" w:sz="4" w:space="0"/>
              <w:right w:val="single" w:color="auto" w:sz="4" w:space="0"/>
            </w:tcBorders>
            <w:vAlign w:val="center"/>
          </w:tcPr>
          <w:p w14:paraId="6A6F247A">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5509701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614" w:type="dxa"/>
            <w:tcBorders>
              <w:top w:val="single" w:color="auto" w:sz="4" w:space="0"/>
              <w:left w:val="single" w:color="auto" w:sz="4" w:space="0"/>
              <w:bottom w:val="single" w:color="auto" w:sz="4" w:space="0"/>
              <w:right w:val="single" w:color="auto" w:sz="4" w:space="0"/>
            </w:tcBorders>
            <w:vAlign w:val="center"/>
          </w:tcPr>
          <w:p w14:paraId="72A44A9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资质要求</w:t>
            </w:r>
          </w:p>
        </w:tc>
        <w:tc>
          <w:tcPr>
            <w:tcW w:w="5672" w:type="dxa"/>
            <w:tcBorders>
              <w:top w:val="single" w:color="auto" w:sz="4" w:space="0"/>
              <w:left w:val="single" w:color="auto" w:sz="4" w:space="0"/>
              <w:bottom w:val="single" w:color="auto" w:sz="4" w:space="0"/>
              <w:right w:val="single" w:color="auto" w:sz="4" w:space="0"/>
            </w:tcBorders>
            <w:vAlign w:val="center"/>
          </w:tcPr>
          <w:p w14:paraId="0AF284F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color w:val="auto"/>
                <w:sz w:val="24"/>
                <w:szCs w:val="24"/>
                <w:highlight w:val="none"/>
              </w:rPr>
            </w:pPr>
            <w:r>
              <w:rPr>
                <w:rFonts w:hint="eastAsia" w:cs="宋体"/>
                <w:i w:val="0"/>
                <w:iCs w:val="0"/>
                <w:caps w:val="0"/>
                <w:color w:val="auto"/>
                <w:spacing w:val="0"/>
                <w:sz w:val="24"/>
                <w:szCs w:val="24"/>
                <w:shd w:val="clear" w:color="auto" w:fill="FFFFFF"/>
                <w:lang w:val="en-US" w:eastAsia="zh-CN"/>
              </w:rPr>
              <w:t>投标人为经销商的应出具医疗器械经营许可证或二类医疗器械备案凭证(投标产品须在其经营范围内)、投标产品属于医疗器械管理的提供医疗器械注册证;投标人为制造厂家应出具医疗器械生产许可证(投标产品须在其生产范围内)及医疗器械经营许可证或二类医疗器械备案凭证(投标产品须在其经营范围内)、投标产品属于医疗器械管理的提供医疗器械注册证</w:t>
            </w:r>
            <w:r>
              <w:rPr>
                <w:rFonts w:hint="eastAsia" w:ascii="宋体" w:hAnsi="宋体" w:eastAsia="宋体" w:cs="宋体"/>
                <w:i w:val="0"/>
                <w:iCs w:val="0"/>
                <w:caps w:val="0"/>
                <w:color w:val="auto"/>
                <w:spacing w:val="0"/>
                <w:sz w:val="24"/>
                <w:szCs w:val="24"/>
                <w:shd w:val="clear" w:color="auto" w:fill="FFFFFF"/>
                <w:lang w:val="en-US" w:eastAsia="zh-CN"/>
              </w:rPr>
              <w:t>；</w:t>
            </w:r>
          </w:p>
        </w:tc>
      </w:tr>
      <w:tr w14:paraId="707D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6" w:hRule="atLeast"/>
          <w:jc w:val="center"/>
        </w:trPr>
        <w:tc>
          <w:tcPr>
            <w:tcW w:w="640" w:type="dxa"/>
            <w:vMerge w:val="continue"/>
            <w:tcBorders>
              <w:left w:val="single" w:color="auto" w:sz="4" w:space="0"/>
              <w:right w:val="single" w:color="auto" w:sz="4" w:space="0"/>
            </w:tcBorders>
            <w:vAlign w:val="center"/>
          </w:tcPr>
          <w:p w14:paraId="2E97BA0E">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73F4345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1E210DF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非联合体投标</w:t>
            </w:r>
          </w:p>
        </w:tc>
        <w:tc>
          <w:tcPr>
            <w:tcW w:w="5672" w:type="dxa"/>
            <w:tcBorders>
              <w:top w:val="single" w:color="auto" w:sz="4" w:space="0"/>
              <w:left w:val="single" w:color="auto" w:sz="4" w:space="0"/>
              <w:bottom w:val="single" w:color="auto" w:sz="4" w:space="0"/>
              <w:right w:val="single" w:color="auto" w:sz="4" w:space="0"/>
            </w:tcBorders>
            <w:shd w:val="clear" w:color="auto" w:fill="auto"/>
            <w:vAlign w:val="center"/>
          </w:tcPr>
          <w:p w14:paraId="4E0C214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提供非联合体投标声明。</w:t>
            </w:r>
          </w:p>
        </w:tc>
      </w:tr>
      <w:tr w14:paraId="127F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9" w:hRule="atLeast"/>
          <w:jc w:val="center"/>
        </w:trPr>
        <w:tc>
          <w:tcPr>
            <w:tcW w:w="640" w:type="dxa"/>
            <w:vMerge w:val="continue"/>
            <w:tcBorders>
              <w:left w:val="single" w:color="auto" w:sz="4" w:space="0"/>
              <w:bottom w:val="single" w:color="auto" w:sz="4" w:space="0"/>
              <w:right w:val="single" w:color="auto" w:sz="4" w:space="0"/>
            </w:tcBorders>
            <w:vAlign w:val="center"/>
          </w:tcPr>
          <w:p w14:paraId="5FDFBFDC">
            <w:pPr>
              <w:snapToGrid w:val="0"/>
              <w:spacing w:line="360" w:lineRule="auto"/>
              <w:ind w:firstLine="580"/>
              <w:rPr>
                <w:rFonts w:hint="eastAsia" w:ascii="宋体" w:hAnsi="宋体" w:eastAsia="宋体" w:cs="宋体"/>
                <w:color w:val="auto"/>
                <w:sz w:val="24"/>
                <w:szCs w:val="24"/>
                <w:highlight w:val="none"/>
              </w:rPr>
            </w:pPr>
          </w:p>
        </w:tc>
        <w:tc>
          <w:tcPr>
            <w:tcW w:w="8104" w:type="dxa"/>
            <w:gridSpan w:val="3"/>
            <w:tcBorders>
              <w:left w:val="single" w:color="auto" w:sz="4" w:space="0"/>
              <w:bottom w:val="single" w:color="auto" w:sz="4" w:space="0"/>
              <w:right w:val="single" w:color="auto" w:sz="4" w:space="0"/>
            </w:tcBorders>
            <w:vAlign w:val="center"/>
          </w:tcPr>
          <w:p w14:paraId="4E8F170C">
            <w:pPr>
              <w:keepNext w:val="0"/>
              <w:keepLines w:val="0"/>
              <w:pageBreakBefore w:val="0"/>
              <w:widowControl w:val="0"/>
              <w:kinsoku/>
              <w:wordWrap/>
              <w:overflowPunct/>
              <w:topLinePunct w:val="0"/>
              <w:autoSpaceDE/>
              <w:autoSpaceDN/>
              <w:bidi w:val="0"/>
              <w:adjustRightInd/>
              <w:snapToGrid w:val="0"/>
              <w:spacing w:line="4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注：以上资料审查不合格将视为非响应投标。</w:t>
            </w:r>
          </w:p>
        </w:tc>
      </w:tr>
      <w:tr w14:paraId="0B7A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8" w:hRule="atLeast"/>
          <w:jc w:val="center"/>
        </w:trPr>
        <w:tc>
          <w:tcPr>
            <w:tcW w:w="640" w:type="dxa"/>
            <w:vMerge w:val="restart"/>
            <w:tcBorders>
              <w:top w:val="single" w:color="auto" w:sz="4" w:space="0"/>
              <w:left w:val="single" w:color="auto" w:sz="4" w:space="0"/>
              <w:right w:val="single" w:color="auto" w:sz="4" w:space="0"/>
            </w:tcBorders>
            <w:vAlign w:val="center"/>
          </w:tcPr>
          <w:p w14:paraId="4B55EA1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w:t>
            </w:r>
          </w:p>
          <w:p w14:paraId="286FD03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14:paraId="308109C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p>
          <w:p w14:paraId="20D83D8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566F981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tc>
        <w:tc>
          <w:tcPr>
            <w:tcW w:w="818" w:type="dxa"/>
            <w:tcBorders>
              <w:top w:val="single" w:color="auto" w:sz="4" w:space="0"/>
              <w:left w:val="single" w:color="auto" w:sz="4" w:space="0"/>
              <w:bottom w:val="single" w:color="auto" w:sz="4" w:space="0"/>
              <w:right w:val="single" w:color="auto" w:sz="4" w:space="0"/>
            </w:tcBorders>
            <w:vAlign w:val="center"/>
          </w:tcPr>
          <w:p w14:paraId="5157E6B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4" w:type="dxa"/>
            <w:tcBorders>
              <w:top w:val="single" w:color="auto" w:sz="4" w:space="0"/>
              <w:left w:val="single" w:color="auto" w:sz="4" w:space="0"/>
              <w:right w:val="single" w:color="auto" w:sz="4" w:space="0"/>
            </w:tcBorders>
            <w:vAlign w:val="center"/>
          </w:tcPr>
          <w:p w14:paraId="42A32D5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5672" w:type="dxa"/>
            <w:tcBorders>
              <w:top w:val="single" w:color="auto" w:sz="4" w:space="0"/>
              <w:left w:val="single" w:color="auto" w:sz="4" w:space="0"/>
              <w:right w:val="single" w:color="auto" w:sz="4" w:space="0"/>
            </w:tcBorders>
            <w:vAlign w:val="center"/>
          </w:tcPr>
          <w:p w14:paraId="5C89291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与营业执照、税务登记证和组织机构代码证一致</w:t>
            </w:r>
          </w:p>
        </w:tc>
      </w:tr>
      <w:tr w14:paraId="7365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0" w:hRule="atLeast"/>
          <w:jc w:val="center"/>
        </w:trPr>
        <w:tc>
          <w:tcPr>
            <w:tcW w:w="640" w:type="dxa"/>
            <w:vMerge w:val="continue"/>
            <w:tcBorders>
              <w:left w:val="single" w:color="auto" w:sz="4" w:space="0"/>
              <w:right w:val="single" w:color="auto" w:sz="4" w:space="0"/>
            </w:tcBorders>
            <w:vAlign w:val="center"/>
          </w:tcPr>
          <w:p w14:paraId="124AB9BA">
            <w:pPr>
              <w:snapToGrid w:val="0"/>
              <w:spacing w:line="360" w:lineRule="auto"/>
              <w:ind w:firstLine="580"/>
              <w:rPr>
                <w:rFonts w:hint="eastAsia" w:ascii="宋体" w:hAnsi="宋体" w:eastAsia="宋体" w:cs="宋体"/>
                <w:color w:val="auto"/>
                <w:sz w:val="24"/>
                <w:szCs w:val="24"/>
                <w:highlight w:val="none"/>
              </w:rPr>
            </w:pPr>
          </w:p>
        </w:tc>
        <w:tc>
          <w:tcPr>
            <w:tcW w:w="818" w:type="dxa"/>
            <w:tcBorders>
              <w:top w:val="single" w:color="auto" w:sz="4" w:space="0"/>
              <w:left w:val="single" w:color="auto" w:sz="4" w:space="0"/>
              <w:right w:val="single" w:color="auto" w:sz="4" w:space="0"/>
            </w:tcBorders>
            <w:vAlign w:val="center"/>
          </w:tcPr>
          <w:p w14:paraId="3CAF641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4" w:type="dxa"/>
            <w:tcBorders>
              <w:left w:val="single" w:color="auto" w:sz="4" w:space="0"/>
              <w:right w:val="single" w:color="auto" w:sz="4" w:space="0"/>
            </w:tcBorders>
            <w:vAlign w:val="center"/>
          </w:tcPr>
          <w:p w14:paraId="64F1F12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项目名称、项目编号</w:t>
            </w:r>
          </w:p>
        </w:tc>
        <w:tc>
          <w:tcPr>
            <w:tcW w:w="5672" w:type="dxa"/>
            <w:tcBorders>
              <w:left w:val="single" w:color="auto" w:sz="4" w:space="0"/>
              <w:right w:val="single" w:color="auto" w:sz="4" w:space="0"/>
            </w:tcBorders>
            <w:vAlign w:val="center"/>
          </w:tcPr>
          <w:p w14:paraId="4E485FC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本项目完全一致</w:t>
            </w:r>
          </w:p>
        </w:tc>
      </w:tr>
      <w:tr w14:paraId="50BB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0" w:hRule="atLeast"/>
          <w:jc w:val="center"/>
        </w:trPr>
        <w:tc>
          <w:tcPr>
            <w:tcW w:w="640" w:type="dxa"/>
            <w:vMerge w:val="continue"/>
            <w:tcBorders>
              <w:left w:val="single" w:color="auto" w:sz="4" w:space="0"/>
              <w:right w:val="single" w:color="auto" w:sz="4" w:space="0"/>
            </w:tcBorders>
            <w:vAlign w:val="center"/>
          </w:tcPr>
          <w:p w14:paraId="0CE5373E">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2196927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14" w:type="dxa"/>
            <w:tcBorders>
              <w:left w:val="single" w:color="auto" w:sz="4" w:space="0"/>
              <w:right w:val="single" w:color="auto" w:sz="4" w:space="0"/>
            </w:tcBorders>
            <w:vAlign w:val="center"/>
          </w:tcPr>
          <w:p w14:paraId="35FD092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投标文件的签署、盖章</w:t>
            </w:r>
          </w:p>
        </w:tc>
        <w:tc>
          <w:tcPr>
            <w:tcW w:w="5672" w:type="dxa"/>
            <w:tcBorders>
              <w:left w:val="single" w:color="auto" w:sz="4" w:space="0"/>
              <w:right w:val="single" w:color="auto" w:sz="4" w:space="0"/>
            </w:tcBorders>
            <w:vAlign w:val="center"/>
          </w:tcPr>
          <w:p w14:paraId="1952934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签署、盖章均符合招标文件要求，且无遗漏。</w:t>
            </w:r>
          </w:p>
        </w:tc>
      </w:tr>
      <w:tr w14:paraId="498B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0" w:hRule="atLeast"/>
          <w:jc w:val="center"/>
        </w:trPr>
        <w:tc>
          <w:tcPr>
            <w:tcW w:w="640" w:type="dxa"/>
            <w:vMerge w:val="continue"/>
            <w:tcBorders>
              <w:left w:val="single" w:color="auto" w:sz="4" w:space="0"/>
              <w:right w:val="single" w:color="auto" w:sz="4" w:space="0"/>
            </w:tcBorders>
            <w:vAlign w:val="center"/>
          </w:tcPr>
          <w:p w14:paraId="778354DB">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1D8A59F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14" w:type="dxa"/>
            <w:tcBorders>
              <w:left w:val="single" w:color="auto" w:sz="4" w:space="0"/>
              <w:right w:val="single" w:color="auto" w:sz="4" w:space="0"/>
            </w:tcBorders>
            <w:vAlign w:val="center"/>
          </w:tcPr>
          <w:p w14:paraId="5E0B06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672" w:type="dxa"/>
            <w:tcBorders>
              <w:left w:val="single" w:color="auto" w:sz="4" w:space="0"/>
              <w:right w:val="single" w:color="auto" w:sz="4" w:space="0"/>
            </w:tcBorders>
            <w:vAlign w:val="center"/>
          </w:tcPr>
          <w:p w14:paraId="7E76D5E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w:t>
            </w:r>
          </w:p>
        </w:tc>
      </w:tr>
      <w:tr w14:paraId="6B80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0" w:hRule="atLeast"/>
          <w:jc w:val="center"/>
        </w:trPr>
        <w:tc>
          <w:tcPr>
            <w:tcW w:w="640" w:type="dxa"/>
            <w:vMerge w:val="continue"/>
            <w:tcBorders>
              <w:left w:val="single" w:color="auto" w:sz="4" w:space="0"/>
              <w:right w:val="single" w:color="auto" w:sz="4" w:space="0"/>
            </w:tcBorders>
            <w:vAlign w:val="center"/>
          </w:tcPr>
          <w:p w14:paraId="2FB6BAD7">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6756CCF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14" w:type="dxa"/>
            <w:tcBorders>
              <w:left w:val="single" w:color="auto" w:sz="4" w:space="0"/>
              <w:right w:val="single" w:color="auto" w:sz="4" w:space="0"/>
            </w:tcBorders>
            <w:vAlign w:val="center"/>
          </w:tcPr>
          <w:p w14:paraId="26D1105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672" w:type="dxa"/>
            <w:tcBorders>
              <w:left w:val="single" w:color="auto" w:sz="4" w:space="0"/>
              <w:right w:val="single" w:color="auto" w:sz="4" w:space="0"/>
            </w:tcBorders>
            <w:vAlign w:val="center"/>
          </w:tcPr>
          <w:p w14:paraId="3922088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符合招标文件规定</w:t>
            </w:r>
          </w:p>
        </w:tc>
      </w:tr>
      <w:tr w14:paraId="12AA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2" w:hRule="atLeast"/>
          <w:jc w:val="center"/>
        </w:trPr>
        <w:tc>
          <w:tcPr>
            <w:tcW w:w="640" w:type="dxa"/>
            <w:vMerge w:val="continue"/>
            <w:tcBorders>
              <w:left w:val="single" w:color="auto" w:sz="4" w:space="0"/>
              <w:right w:val="single" w:color="auto" w:sz="4" w:space="0"/>
            </w:tcBorders>
            <w:vAlign w:val="center"/>
          </w:tcPr>
          <w:p w14:paraId="5E1C1ABE">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06B2BF3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14" w:type="dxa"/>
            <w:tcBorders>
              <w:left w:val="single" w:color="auto" w:sz="4" w:space="0"/>
              <w:right w:val="single" w:color="auto" w:sz="4" w:space="0"/>
            </w:tcBorders>
            <w:vAlign w:val="center"/>
          </w:tcPr>
          <w:p w14:paraId="4FCE41A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交货</w:t>
            </w:r>
            <w:r>
              <w:rPr>
                <w:rFonts w:hint="eastAsia" w:ascii="宋体" w:hAnsi="宋体" w:eastAsia="宋体" w:cs="宋体"/>
                <w:color w:val="auto"/>
                <w:sz w:val="24"/>
                <w:szCs w:val="24"/>
                <w:highlight w:val="none"/>
                <w:lang w:val="en-US" w:eastAsia="zh-CN"/>
              </w:rPr>
              <w:t>期</w:t>
            </w:r>
          </w:p>
        </w:tc>
        <w:tc>
          <w:tcPr>
            <w:tcW w:w="5672" w:type="dxa"/>
            <w:tcBorders>
              <w:left w:val="single" w:color="auto" w:sz="4" w:space="0"/>
              <w:right w:val="single" w:color="auto" w:sz="4" w:space="0"/>
            </w:tcBorders>
            <w:vAlign w:val="center"/>
          </w:tcPr>
          <w:p w14:paraId="19A8C66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w:t>
            </w:r>
          </w:p>
        </w:tc>
      </w:tr>
      <w:tr w14:paraId="2DF5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3" w:hRule="atLeast"/>
          <w:jc w:val="center"/>
        </w:trPr>
        <w:tc>
          <w:tcPr>
            <w:tcW w:w="640" w:type="dxa"/>
            <w:vMerge w:val="continue"/>
            <w:tcBorders>
              <w:left w:val="single" w:color="auto" w:sz="4" w:space="0"/>
              <w:right w:val="single" w:color="auto" w:sz="4" w:space="0"/>
            </w:tcBorders>
            <w:vAlign w:val="center"/>
          </w:tcPr>
          <w:p w14:paraId="44C2B45C">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28EC918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14" w:type="dxa"/>
            <w:tcBorders>
              <w:left w:val="single" w:color="auto" w:sz="4" w:space="0"/>
              <w:bottom w:val="single" w:color="auto" w:sz="4" w:space="0"/>
              <w:right w:val="single" w:color="auto" w:sz="4" w:space="0"/>
            </w:tcBorders>
            <w:vAlign w:val="center"/>
          </w:tcPr>
          <w:p w14:paraId="4B2A0A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672" w:type="dxa"/>
            <w:tcBorders>
              <w:left w:val="single" w:color="auto" w:sz="4" w:space="0"/>
              <w:bottom w:val="single" w:color="auto" w:sz="4" w:space="0"/>
              <w:right w:val="single" w:color="auto" w:sz="4" w:space="0"/>
            </w:tcBorders>
            <w:vAlign w:val="center"/>
          </w:tcPr>
          <w:p w14:paraId="64164DE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没有出现法律法规或招标文件明确规定的其他被视为“无效投标”的情形。</w:t>
            </w:r>
          </w:p>
        </w:tc>
      </w:tr>
    </w:tbl>
    <w:p w14:paraId="5281F99C">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评标委员会将审查每份投标文件是否实质上响应了招标文件的要求。实质上响应的投标应该是与招标文件要求的全部条款、条件和规格相符，没有</w:t>
      </w:r>
      <w:r>
        <w:rPr>
          <w:rFonts w:hint="eastAsia" w:ascii="宋体" w:hAnsi="宋体" w:eastAsia="宋体" w:cs="宋体"/>
          <w:color w:val="auto"/>
          <w:sz w:val="24"/>
          <w:szCs w:val="24"/>
          <w:highlight w:val="none"/>
          <w:lang w:val="en-US" w:eastAsia="zh-CN"/>
        </w:rPr>
        <w:t>重大</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val="en-US" w:eastAsia="zh-CN"/>
        </w:rPr>
        <w:t>或保留</w:t>
      </w:r>
      <w:r>
        <w:rPr>
          <w:rFonts w:hint="eastAsia" w:ascii="宋体" w:hAnsi="宋体" w:eastAsia="宋体" w:cs="宋体"/>
          <w:color w:val="auto"/>
          <w:sz w:val="24"/>
          <w:szCs w:val="24"/>
          <w:highlight w:val="none"/>
        </w:rPr>
        <w:t>的投标。对关键条文的偏离、保留或反对将被认为是实质上的偏离。重大偏离或保留是指实质上影响供货范围、质量和性能；或者实质上与招标文件不一致，而且限制了采购人的权利或供应商的义务。纠正这些偏离或保留将会对其他实质上响应要求的供应商的竞争地位产生不公正的影响。对于投标文件中不构成实质性偏差的不正规、不一致或不规则，采购人可以接受，但这种接受将影响供应商的综合得分。评标委员会只根据投标文件本身的内容确定投标文件的响应性，而不寻求外部的证据。</w:t>
      </w:r>
    </w:p>
    <w:p w14:paraId="7D953DA3">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如发现下列情况之一的，将视为非响应：</w:t>
      </w:r>
    </w:p>
    <w:p w14:paraId="51C589D2">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（1）投标文件无供应商公章、无法定代表人签字或签字人无法定代表人有效授权书的；</w:t>
      </w:r>
    </w:p>
    <w:p w14:paraId="433664FF">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（2）提供的必备资格证明文件不全、无效或达不到招标文件规定要求的；</w:t>
      </w:r>
    </w:p>
    <w:p w14:paraId="1C5D2DBA">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（3）投标有效期不足的；</w:t>
      </w:r>
    </w:p>
    <w:p w14:paraId="0D516410">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（4）供应商不接受22.6条规定的或投标文件附有采购人不能接受的条件的；</w:t>
      </w:r>
    </w:p>
    <w:p w14:paraId="5485D08E">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（5）工期或付款支付方式不满足文件要求的；</w:t>
      </w:r>
    </w:p>
    <w:p w14:paraId="30510505">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（6）供应商提供虚假证明资料，除按无效标处理外，还将上报政府采购管理部门按照有关规定进行处罚；</w:t>
      </w:r>
    </w:p>
    <w:p w14:paraId="1569BB79">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如果投标文件实质上没有响应招标文件的要求，评标委员会将予以拒绝，供应商不得通过修正或撤销不合要求的偏离从而使其投标成为实质上响应的投标。</w:t>
      </w:r>
    </w:p>
    <w:p w14:paraId="0537CEEC">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评标委员会将只对确定为实质上响应的投标进行审核，看其是否有计算上和累加上的算术错误，修正错误的原则如下：</w:t>
      </w:r>
    </w:p>
    <w:p w14:paraId="676FAEFB">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1）投标报价表中内容与投标文件投标分项报价表内容不一致的，应以投标报价表为准；</w:t>
      </w:r>
    </w:p>
    <w:p w14:paraId="56007272">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2）投标文件的大写金额和小写金额不一致的，以大写金额为准；总价金额与按单价汇总金额不一致的，以单价金额计算结果为准；单价金额小数点有明显错位的，应以总价为准，并修改单价；</w:t>
      </w:r>
    </w:p>
    <w:p w14:paraId="71DA415B">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评标委员会将按上述修正错误的原则调整投标文件中的投标报价，调整后的价格应对供应商具有约束力。如果供应商不接受修正后的价格，则其投标将被拒绝。</w:t>
      </w:r>
    </w:p>
    <w:p w14:paraId="5F8494F4">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2．投标文件的详细评审</w:t>
      </w:r>
    </w:p>
    <w:p w14:paraId="1F94C2E8">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评标委员会将按照第22条规定只对确定为实质上响应招标文件要求的投标进行详细的评价和比较。</w:t>
      </w:r>
    </w:p>
    <w:p w14:paraId="71B03F52">
      <w:pPr>
        <w:keepNext w:val="0"/>
        <w:keepLines w:val="0"/>
        <w:pageBreakBefore w:val="0"/>
        <w:widowControl w:val="0"/>
        <w:kinsoku/>
        <w:wordWrap/>
        <w:overflowPunct/>
        <w:topLinePunct w:val="0"/>
        <w:autoSpaceDE/>
        <w:autoSpaceDN/>
        <w:bidi w:val="0"/>
        <w:adjustRightInd/>
        <w:spacing w:line="500" w:lineRule="exact"/>
        <w:ind w:left="63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3、评标办法及内容</w:t>
      </w:r>
    </w:p>
    <w:tbl>
      <w:tblPr>
        <w:tblStyle w:val="28"/>
        <w:tblW w:w="88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230"/>
        <w:gridCol w:w="1201"/>
        <w:gridCol w:w="5747"/>
      </w:tblGrid>
      <w:tr w14:paraId="0F333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663" w:type="dxa"/>
            <w:vAlign w:val="center"/>
          </w:tcPr>
          <w:p w14:paraId="13503BA2">
            <w:pPr>
              <w:pStyle w:val="27"/>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14:textOutline w14:w="3797" w14:cap="sq" w14:cmpd="sng" w14:algn="ctr">
                  <w14:solidFill>
                    <w14:srgbClr w14:val="000000"/>
                  </w14:solidFill>
                  <w14:prstDash w14:val="solid"/>
                  <w14:bevel/>
                </w14:textOutline>
              </w:rPr>
              <w:t>序号</w:t>
            </w:r>
          </w:p>
        </w:tc>
        <w:tc>
          <w:tcPr>
            <w:tcW w:w="1230" w:type="dxa"/>
            <w:vAlign w:val="center"/>
          </w:tcPr>
          <w:p w14:paraId="4B0C8399">
            <w:pPr>
              <w:pStyle w:val="27"/>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14:textOutline w14:w="3797" w14:cap="sq" w14:cmpd="sng" w14:algn="ctr">
                  <w14:solidFill>
                    <w14:srgbClr w14:val="000000"/>
                  </w14:solidFill>
                  <w14:prstDash w14:val="solid"/>
                  <w14:bevel/>
                </w14:textOutline>
              </w:rPr>
              <w:t>评审要素</w:t>
            </w:r>
          </w:p>
        </w:tc>
        <w:tc>
          <w:tcPr>
            <w:tcW w:w="1201" w:type="dxa"/>
            <w:vAlign w:val="center"/>
          </w:tcPr>
          <w:p w14:paraId="332C2011">
            <w:pPr>
              <w:pStyle w:val="27"/>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3797" w14:cap="sq" w14:cmpd="sng" w14:algn="ctr">
                  <w14:solidFill>
                    <w14:srgbClr w14:val="000000"/>
                  </w14:solidFill>
                  <w14:prstDash w14:val="solid"/>
                  <w14:bevel/>
                </w14:textOutline>
              </w:rPr>
              <w:t>分值</w:t>
            </w:r>
          </w:p>
        </w:tc>
        <w:tc>
          <w:tcPr>
            <w:tcW w:w="5747" w:type="dxa"/>
            <w:vAlign w:val="center"/>
          </w:tcPr>
          <w:p w14:paraId="7EC60B9B">
            <w:pPr>
              <w:pStyle w:val="27"/>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14:textOutline w14:w="3797" w14:cap="sq" w14:cmpd="sng" w14:algn="ctr">
                  <w14:solidFill>
                    <w14:srgbClr w14:val="000000"/>
                  </w14:solidFill>
                  <w14:prstDash w14:val="solid"/>
                  <w14:bevel/>
                </w14:textOutline>
              </w:rPr>
              <w:t>赋分标准</w:t>
            </w:r>
          </w:p>
        </w:tc>
      </w:tr>
      <w:tr w14:paraId="26AE4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3" w:hRule="atLeast"/>
          <w:jc w:val="center"/>
        </w:trPr>
        <w:tc>
          <w:tcPr>
            <w:tcW w:w="663" w:type="dxa"/>
            <w:vAlign w:val="center"/>
          </w:tcPr>
          <w:p w14:paraId="3BBB504A">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30" w:type="dxa"/>
            <w:vAlign w:val="center"/>
          </w:tcPr>
          <w:p w14:paraId="49161940">
            <w:pPr>
              <w:pStyle w:val="27"/>
              <w:keepNext w:val="0"/>
              <w:keepLines w:val="0"/>
              <w:pageBreakBefore w:val="0"/>
              <w:widowControl w:val="0"/>
              <w:kinsoku/>
              <w:wordWrap/>
              <w:overflowPunct/>
              <w:topLinePunct w:val="0"/>
              <w:autoSpaceDE/>
              <w:autoSpaceDN/>
              <w:bidi w:val="0"/>
              <w:adjustRightInd/>
              <w:snapToGrid/>
              <w:spacing w:line="400" w:lineRule="exact"/>
              <w:ind w:left="0" w:right="0" w:hanging="20" w:hangingChars="8"/>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投标报价</w:t>
            </w:r>
          </w:p>
        </w:tc>
        <w:tc>
          <w:tcPr>
            <w:tcW w:w="1201" w:type="dxa"/>
            <w:vAlign w:val="center"/>
          </w:tcPr>
          <w:p w14:paraId="2E0B5D02">
            <w:pPr>
              <w:pStyle w:val="27"/>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30</w:t>
            </w:r>
            <w:r>
              <w:rPr>
                <w:rFonts w:hint="eastAsia" w:ascii="宋体" w:hAnsi="宋体" w:eastAsia="宋体" w:cs="宋体"/>
                <w:color w:val="auto"/>
                <w:spacing w:val="-1"/>
                <w:sz w:val="24"/>
                <w:szCs w:val="24"/>
              </w:rPr>
              <w:t>分</w:t>
            </w:r>
          </w:p>
        </w:tc>
        <w:tc>
          <w:tcPr>
            <w:tcW w:w="5747" w:type="dxa"/>
          </w:tcPr>
          <w:p w14:paraId="70282424">
            <w:pPr>
              <w:pStyle w:val="27"/>
              <w:keepNext w:val="0"/>
              <w:keepLines w:val="0"/>
              <w:pageBreakBefore w:val="0"/>
              <w:widowControl w:val="0"/>
              <w:kinsoku/>
              <w:wordWrap/>
              <w:overflowPunct/>
              <w:topLinePunct w:val="0"/>
              <w:autoSpaceDE/>
              <w:autoSpaceDN/>
              <w:bidi w:val="0"/>
              <w:adjustRightInd/>
              <w:snapToGrid/>
              <w:spacing w:line="400" w:lineRule="exact"/>
              <w:ind w:right="85" w:firstLine="504"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以满足招标文件要求且投标价格最低的投标报价为评标基准价,其价格分为满分30分,其他供应商的价格分按照下列公式计算：</w:t>
            </w:r>
          </w:p>
          <w:p w14:paraId="0DAE639B">
            <w:pPr>
              <w:pStyle w:val="27"/>
              <w:keepNext w:val="0"/>
              <w:keepLines w:val="0"/>
              <w:pageBreakBefore w:val="0"/>
              <w:widowControl w:val="0"/>
              <w:kinsoku/>
              <w:wordWrap/>
              <w:overflowPunct/>
              <w:topLinePunct w:val="0"/>
              <w:autoSpaceDE/>
              <w:autoSpaceDN/>
              <w:bidi w:val="0"/>
              <w:adjustRightInd/>
              <w:snapToGrid/>
              <w:spacing w:line="400" w:lineRule="exact"/>
              <w:ind w:right="85" w:firstLine="504"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投标报价得分= (评标基准价/投标报价)×30</w:t>
            </w:r>
          </w:p>
          <w:p w14:paraId="011B7D52">
            <w:pPr>
              <w:pStyle w:val="27"/>
              <w:keepNext w:val="0"/>
              <w:keepLines w:val="0"/>
              <w:pageBreakBefore w:val="0"/>
              <w:widowControl w:val="0"/>
              <w:kinsoku/>
              <w:wordWrap/>
              <w:overflowPunct/>
              <w:topLinePunct w:val="0"/>
              <w:autoSpaceDE/>
              <w:autoSpaceDN/>
              <w:bidi w:val="0"/>
              <w:adjustRightInd/>
              <w:snapToGrid/>
              <w:spacing w:line="400" w:lineRule="exact"/>
              <w:ind w:right="85" w:firstLine="504"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6"/>
                <w:kern w:val="2"/>
                <w:sz w:val="24"/>
                <w:szCs w:val="24"/>
                <w:lang w:val="en-US" w:eastAsia="zh-CN" w:bidi="ar-SA"/>
              </w:rPr>
              <w:t>注：投标报价明显低于其他投标人，经评标委员会质询后不能再规定时间内说明理由，或说明理由但评标委员会认为理由不能成立的，客观上形成不良竞争，按无效标处理。</w:t>
            </w:r>
          </w:p>
        </w:tc>
      </w:tr>
      <w:tr w14:paraId="080B4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jc w:val="center"/>
        </w:trPr>
        <w:tc>
          <w:tcPr>
            <w:tcW w:w="663" w:type="dxa"/>
            <w:vAlign w:val="center"/>
          </w:tcPr>
          <w:p w14:paraId="6AB87DFF">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30" w:type="dxa"/>
            <w:vAlign w:val="center"/>
          </w:tcPr>
          <w:p w14:paraId="77C24225">
            <w:pPr>
              <w:pStyle w:val="27"/>
              <w:keepNext w:val="0"/>
              <w:keepLines w:val="0"/>
              <w:pageBreakBefore w:val="0"/>
              <w:widowControl w:val="0"/>
              <w:kinsoku/>
              <w:wordWrap/>
              <w:overflowPunct/>
              <w:topLinePunct w:val="0"/>
              <w:autoSpaceDE/>
              <w:autoSpaceDN/>
              <w:bidi w:val="0"/>
              <w:adjustRightInd/>
              <w:snapToGrid/>
              <w:spacing w:line="400" w:lineRule="exact"/>
              <w:ind w:left="0" w:right="0" w:hanging="20" w:hangingChars="8"/>
              <w:jc w:val="center"/>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商务响应</w:t>
            </w:r>
          </w:p>
        </w:tc>
        <w:tc>
          <w:tcPr>
            <w:tcW w:w="1201" w:type="dxa"/>
            <w:vAlign w:val="center"/>
          </w:tcPr>
          <w:p w14:paraId="5591F527">
            <w:pPr>
              <w:pStyle w:val="27"/>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4分</w:t>
            </w:r>
          </w:p>
        </w:tc>
        <w:tc>
          <w:tcPr>
            <w:tcW w:w="5747" w:type="dxa"/>
          </w:tcPr>
          <w:p w14:paraId="26AF60CE">
            <w:pPr>
              <w:spacing w:line="480" w:lineRule="exact"/>
              <w:ind w:firstLine="504" w:firstLineChars="200"/>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kern w:val="2"/>
                <w:sz w:val="24"/>
                <w:szCs w:val="24"/>
                <w:lang w:val="en-US" w:eastAsia="zh-CN" w:bidi="ar-SA"/>
              </w:rPr>
              <w:t>经过有效性和符合性审核合格的投标人，对付款、交货期、验收等合同主要条款进行响应，完全响应且逐项详细说明的计4分，未做详细响应的，每缺一项扣1分，扣完为止。</w:t>
            </w:r>
          </w:p>
        </w:tc>
      </w:tr>
      <w:tr w14:paraId="7497D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3" w:type="dxa"/>
            <w:vMerge w:val="restart"/>
            <w:vAlign w:val="center"/>
          </w:tcPr>
          <w:p w14:paraId="1D2FF93E">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230" w:type="dxa"/>
            <w:vMerge w:val="restart"/>
            <w:vAlign w:val="center"/>
          </w:tcPr>
          <w:p w14:paraId="77A48F03">
            <w:pPr>
              <w:pStyle w:val="27"/>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技术方案评审</w:t>
            </w:r>
          </w:p>
          <w:p w14:paraId="49BA3236">
            <w:pPr>
              <w:pStyle w:val="27"/>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auto"/>
                <w:sz w:val="24"/>
                <w:szCs w:val="24"/>
                <w:lang w:val="en-US"/>
              </w:rPr>
            </w:pPr>
          </w:p>
        </w:tc>
        <w:tc>
          <w:tcPr>
            <w:tcW w:w="1201" w:type="dxa"/>
            <w:tcBorders>
              <w:bottom w:val="single" w:color="auto" w:sz="4" w:space="0"/>
            </w:tcBorders>
            <w:vAlign w:val="center"/>
          </w:tcPr>
          <w:p w14:paraId="7AD8C8D0">
            <w:pPr>
              <w:pStyle w:val="27"/>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产品性能及指标（30分）</w:t>
            </w:r>
          </w:p>
        </w:tc>
        <w:tc>
          <w:tcPr>
            <w:tcW w:w="5747" w:type="dxa"/>
            <w:tcBorders>
              <w:bottom w:val="single" w:color="auto" w:sz="4" w:space="0"/>
            </w:tcBorders>
          </w:tcPr>
          <w:p w14:paraId="33A49713">
            <w:pPr>
              <w:pStyle w:val="27"/>
              <w:spacing w:before="38" w:line="304" w:lineRule="auto"/>
              <w:ind w:left="114"/>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所投设备选型明确，技术指标清晰，技术资料齐全，技术参数逐条响应且完全响应或优于招标文件得30分，</w:t>
            </w:r>
            <w:r>
              <w:rPr>
                <w:rFonts w:hint="eastAsia" w:cs="宋体"/>
                <w:color w:val="auto"/>
                <w:spacing w:val="7"/>
                <w:sz w:val="24"/>
                <w:szCs w:val="24"/>
                <w:lang w:val="en-US" w:eastAsia="zh-CN"/>
              </w:rPr>
              <w:t>每一项</w:t>
            </w:r>
            <w:r>
              <w:rPr>
                <w:rFonts w:hint="eastAsia" w:ascii="宋体" w:hAnsi="宋体" w:eastAsia="宋体" w:cs="宋体"/>
                <w:color w:val="auto"/>
                <w:spacing w:val="7"/>
                <w:sz w:val="24"/>
                <w:szCs w:val="24"/>
                <w:lang w:val="en-US" w:eastAsia="zh-CN"/>
              </w:rPr>
              <w:t>出现负偏离的扣</w:t>
            </w:r>
            <w:r>
              <w:rPr>
                <w:rFonts w:hint="eastAsia" w:cs="宋体"/>
                <w:color w:val="auto"/>
                <w:spacing w:val="7"/>
                <w:sz w:val="24"/>
                <w:szCs w:val="24"/>
                <w:lang w:val="en-US" w:eastAsia="zh-CN"/>
              </w:rPr>
              <w:t>2</w:t>
            </w:r>
            <w:r>
              <w:rPr>
                <w:rFonts w:hint="eastAsia" w:ascii="宋体" w:hAnsi="宋体" w:eastAsia="宋体" w:cs="宋体"/>
                <w:color w:val="auto"/>
                <w:spacing w:val="7"/>
                <w:sz w:val="24"/>
                <w:szCs w:val="24"/>
                <w:lang w:val="en-US" w:eastAsia="zh-CN"/>
              </w:rPr>
              <w:t>分</w:t>
            </w:r>
            <w:r>
              <w:rPr>
                <w:rFonts w:hint="eastAsia" w:cs="宋体"/>
                <w:color w:val="auto"/>
                <w:spacing w:val="7"/>
                <w:sz w:val="24"/>
                <w:szCs w:val="24"/>
                <w:lang w:val="en-US" w:eastAsia="zh-CN"/>
              </w:rPr>
              <w:t>，</w:t>
            </w:r>
            <w:r>
              <w:rPr>
                <w:rFonts w:hint="eastAsia" w:ascii="宋体" w:hAnsi="宋体" w:eastAsia="宋体" w:cs="宋体"/>
                <w:color w:val="auto"/>
                <w:spacing w:val="7"/>
                <w:sz w:val="24"/>
                <w:szCs w:val="24"/>
                <w:lang w:val="en-US" w:eastAsia="zh-CN"/>
              </w:rPr>
              <w:t>扣完为止。</w:t>
            </w:r>
          </w:p>
          <w:p w14:paraId="6FE3297A">
            <w:pPr>
              <w:pStyle w:val="27"/>
              <w:spacing w:before="38" w:line="304" w:lineRule="auto"/>
              <w:ind w:left="114"/>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注：投标人应提供充足的佐证材料（如：经厂家确认的产品彩页、 检测报告、技术白皮书等证明材料）予以佐证，佐证材料应编制在投标文件中，供应商自行承担因证明材料不全面被视为技术参数偏离的风险。</w:t>
            </w:r>
          </w:p>
        </w:tc>
      </w:tr>
      <w:tr w14:paraId="1FD72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663" w:type="dxa"/>
            <w:vMerge w:val="continue"/>
            <w:vAlign w:val="center"/>
          </w:tcPr>
          <w:p w14:paraId="7CF296C9">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p>
        </w:tc>
        <w:tc>
          <w:tcPr>
            <w:tcW w:w="1230" w:type="dxa"/>
            <w:vMerge w:val="continue"/>
            <w:vAlign w:val="center"/>
          </w:tcPr>
          <w:p w14:paraId="63805966">
            <w:pPr>
              <w:pStyle w:val="27"/>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auto"/>
                <w:sz w:val="24"/>
                <w:szCs w:val="24"/>
                <w:lang w:val="en-US" w:eastAsia="zh-CN"/>
              </w:rPr>
            </w:pPr>
          </w:p>
        </w:tc>
        <w:tc>
          <w:tcPr>
            <w:tcW w:w="1201" w:type="dxa"/>
            <w:tcBorders>
              <w:top w:val="single" w:color="auto" w:sz="4" w:space="0"/>
              <w:bottom w:val="single" w:color="auto" w:sz="4" w:space="0"/>
            </w:tcBorders>
            <w:vAlign w:val="center"/>
          </w:tcPr>
          <w:p w14:paraId="442B7135">
            <w:pPr>
              <w:pStyle w:val="27"/>
              <w:keepNext w:val="0"/>
              <w:keepLines w:val="0"/>
              <w:pageBreakBefore w:val="0"/>
              <w:kinsoku/>
              <w:wordWrap/>
              <w:overflowPunct/>
              <w:topLinePunct w:val="0"/>
              <w:autoSpaceDE/>
              <w:autoSpaceDN/>
              <w:bidi w:val="0"/>
              <w:adjustRightInd/>
              <w:snapToGrid/>
              <w:spacing w:line="400" w:lineRule="exact"/>
              <w:ind w:left="0" w:right="85"/>
              <w:jc w:val="center"/>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z w:val="24"/>
                <w:szCs w:val="24"/>
                <w:lang w:val="en-US" w:eastAsia="zh-CN"/>
              </w:rPr>
              <w:t>质量保证（5分）</w:t>
            </w:r>
          </w:p>
        </w:tc>
        <w:tc>
          <w:tcPr>
            <w:tcW w:w="5747" w:type="dxa"/>
            <w:tcBorders>
              <w:top w:val="single" w:color="auto" w:sz="4" w:space="0"/>
              <w:bottom w:val="single" w:color="auto" w:sz="4" w:space="0"/>
            </w:tcBorders>
          </w:tcPr>
          <w:p w14:paraId="5BC9E546">
            <w:pPr>
              <w:pStyle w:val="27"/>
              <w:keepNext w:val="0"/>
              <w:keepLines w:val="0"/>
              <w:pageBreakBefore w:val="0"/>
              <w:widowControl w:val="0"/>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投标产品性能稳定，质量可靠，所有产品无假货、水货、翻新货且无产权纠纷，来源渠道合法，符合使用需求，提供产品详细的使用说明介绍、技术资料，并能提供相应的功能证明材料（佐证材料包括但不限于：产品说明书、合法渠道来源证明、检测报告、产品认证证书、产品彩页、官网截图、厂家产品授权以及产品售后服务承诺函等）。证明材料充分、有效，能够充分满足项目质量要求得3.1-5分；证明材料较为充分、有效，能够基本满足项目质量要求得：1-3分；不能满足项目质量要求或未提供资料不计分。</w:t>
            </w:r>
          </w:p>
        </w:tc>
      </w:tr>
      <w:tr w14:paraId="53FAF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663" w:type="dxa"/>
            <w:vMerge w:val="continue"/>
            <w:vAlign w:val="center"/>
          </w:tcPr>
          <w:p w14:paraId="0A60FE1C">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p>
        </w:tc>
        <w:tc>
          <w:tcPr>
            <w:tcW w:w="1230" w:type="dxa"/>
            <w:vMerge w:val="continue"/>
            <w:vAlign w:val="center"/>
          </w:tcPr>
          <w:p w14:paraId="4683F0D9">
            <w:pPr>
              <w:pStyle w:val="27"/>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auto"/>
                <w:sz w:val="24"/>
                <w:szCs w:val="24"/>
                <w:lang w:val="en-US" w:eastAsia="zh-CN"/>
              </w:rPr>
            </w:pPr>
          </w:p>
        </w:tc>
        <w:tc>
          <w:tcPr>
            <w:tcW w:w="1201" w:type="dxa"/>
            <w:tcBorders>
              <w:top w:val="single" w:color="auto" w:sz="4" w:space="0"/>
              <w:bottom w:val="single" w:color="auto" w:sz="4" w:space="0"/>
            </w:tcBorders>
            <w:vAlign w:val="center"/>
          </w:tcPr>
          <w:p w14:paraId="7E70191A">
            <w:pPr>
              <w:pStyle w:val="27"/>
              <w:keepNext w:val="0"/>
              <w:keepLines w:val="0"/>
              <w:pageBreakBefore w:val="0"/>
              <w:kinsoku/>
              <w:wordWrap/>
              <w:overflowPunct/>
              <w:topLinePunct w:val="0"/>
              <w:autoSpaceDE/>
              <w:autoSpaceDN/>
              <w:bidi w:val="0"/>
              <w:adjustRightInd/>
              <w:snapToGrid/>
              <w:spacing w:line="400" w:lineRule="exact"/>
              <w:ind w:left="0" w:right="85"/>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rPr>
              <w:t>实施方案（含供货、安装调试</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w:t>
            </w:r>
            <w:bookmarkStart w:id="0" w:name="_GoBack"/>
            <w:bookmarkEnd w:id="0"/>
            <w:r>
              <w:rPr>
                <w:rFonts w:hint="eastAsia" w:ascii="宋体" w:hAnsi="宋体" w:eastAsia="宋体" w:cs="宋体"/>
                <w:b w:val="0"/>
                <w:bCs w:val="0"/>
                <w:color w:val="auto"/>
                <w:sz w:val="24"/>
                <w:szCs w:val="24"/>
                <w:highlight w:val="none"/>
                <w:lang w:val="en-US" w:eastAsia="zh-CN"/>
              </w:rPr>
              <w:t>0分</w:t>
            </w:r>
          </w:p>
        </w:tc>
        <w:tc>
          <w:tcPr>
            <w:tcW w:w="5747" w:type="dxa"/>
            <w:tcBorders>
              <w:top w:val="single" w:color="auto" w:sz="4" w:space="0"/>
              <w:bottom w:val="single" w:color="auto" w:sz="4" w:space="0"/>
            </w:tcBorders>
          </w:tcPr>
          <w:p w14:paraId="0DF57421">
            <w:pPr>
              <w:pStyle w:val="27"/>
              <w:keepNext w:val="0"/>
              <w:keepLines w:val="0"/>
              <w:pageBreakBefore w:val="0"/>
              <w:widowControl w:val="0"/>
              <w:kinsoku/>
              <w:wordWrap/>
              <w:overflowPunct/>
              <w:topLinePunct w:val="0"/>
              <w:autoSpaceDE/>
              <w:autoSpaceDN/>
              <w:bidi w:val="0"/>
              <w:adjustRightInd/>
              <w:snapToGrid/>
              <w:spacing w:line="400" w:lineRule="exact"/>
              <w:ind w:right="85" w:firstLine="508" w:firstLineChars="200"/>
              <w:textAlignment w:val="auto"/>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根据各投标人的整体实施方案（根据采购方的要求，设计合理的安装、调试进度计划及供货方案。包括但不限于：备货、供货进度及保证措施，仓储及运输方案，拟投入本项目的人员安排，管理制度 ，产品安装、检测、调试等方面保证措施等）。</w:t>
            </w:r>
          </w:p>
          <w:p w14:paraId="769A3CF0">
            <w:pPr>
              <w:pStyle w:val="27"/>
              <w:keepNext w:val="0"/>
              <w:keepLines w:val="0"/>
              <w:pageBreakBefore w:val="0"/>
              <w:widowControl w:val="0"/>
              <w:kinsoku/>
              <w:wordWrap/>
              <w:overflowPunct/>
              <w:topLinePunct w:val="0"/>
              <w:autoSpaceDE/>
              <w:autoSpaceDN/>
              <w:bidi w:val="0"/>
              <w:adjustRightInd/>
              <w:snapToGrid/>
              <w:spacing w:line="400" w:lineRule="exact"/>
              <w:ind w:right="85" w:firstLine="508" w:firstLineChars="200"/>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7"/>
                <w:sz w:val="24"/>
                <w:szCs w:val="24"/>
                <w:lang w:val="en-US" w:eastAsia="zh-CN"/>
              </w:rPr>
              <w:t>方案完整可行，针对医院要求设计合理的安装调试与实施方案，满足采购人实际需求，描述条理清晰，有较高针对性，根据响应情况得 5.1-10.0 分；方案较为完整，安装调试与实施方案基本满足实际需求，根据响应情况得 1-5.0 分；方案有明显缺陷，针对性较差，不得分。</w:t>
            </w:r>
          </w:p>
        </w:tc>
      </w:tr>
      <w:tr w14:paraId="727A6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0" w:hRule="atLeast"/>
          <w:jc w:val="center"/>
        </w:trPr>
        <w:tc>
          <w:tcPr>
            <w:tcW w:w="663" w:type="dxa"/>
            <w:vMerge w:val="restart"/>
            <w:vAlign w:val="center"/>
          </w:tcPr>
          <w:p w14:paraId="35442326">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30" w:type="dxa"/>
            <w:vMerge w:val="restart"/>
            <w:vAlign w:val="center"/>
          </w:tcPr>
          <w:p w14:paraId="51D91B1B">
            <w:pPr>
              <w:pStyle w:val="27"/>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售后服务及培训</w:t>
            </w:r>
          </w:p>
        </w:tc>
        <w:tc>
          <w:tcPr>
            <w:tcW w:w="1201" w:type="dxa"/>
            <w:tcBorders>
              <w:top w:val="single" w:color="auto" w:sz="4" w:space="0"/>
              <w:bottom w:val="single" w:color="auto" w:sz="4" w:space="0"/>
            </w:tcBorders>
            <w:vAlign w:val="center"/>
          </w:tcPr>
          <w:p w14:paraId="48B7FFBB">
            <w:pPr>
              <w:pStyle w:val="27"/>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售后服务措施方案（5分）</w:t>
            </w:r>
          </w:p>
        </w:tc>
        <w:tc>
          <w:tcPr>
            <w:tcW w:w="5747" w:type="dxa"/>
            <w:tcBorders>
              <w:top w:val="single" w:color="auto" w:sz="4" w:space="0"/>
              <w:bottom w:val="single" w:color="auto" w:sz="4" w:space="0"/>
            </w:tcBorders>
            <w:vAlign w:val="top"/>
          </w:tcPr>
          <w:p w14:paraId="572C2784">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投标单位针对本项目实际需求提供详细具体可行的售后服务措施方案、应急预案以及对整个项目、备品配件等发生故障后的补救措施，维修服务响应时限措施合理，可靠、针对性强且提供生产厂家开具的针对本项目的售后服务承诺函得</w:t>
            </w:r>
            <w:r>
              <w:rPr>
                <w:rFonts w:hint="eastAsia" w:ascii="宋体" w:hAnsi="宋体" w:eastAsia="宋体" w:cs="宋体"/>
                <w:color w:val="auto"/>
                <w:spacing w:val="15"/>
                <w:sz w:val="24"/>
                <w:szCs w:val="24"/>
                <w:lang w:val="en-US" w:eastAsia="zh-CN"/>
              </w:rPr>
              <w:t>3.1-5</w:t>
            </w:r>
            <w:r>
              <w:rPr>
                <w:rFonts w:hint="eastAsia" w:ascii="宋体" w:hAnsi="宋体" w:eastAsia="宋体" w:cs="宋体"/>
                <w:color w:val="auto"/>
                <w:spacing w:val="6"/>
                <w:sz w:val="24"/>
                <w:szCs w:val="24"/>
                <w:lang w:val="en-US" w:eastAsia="zh-CN"/>
              </w:rPr>
              <w:t>分；措施较合理，可靠、针对性较强得</w:t>
            </w:r>
            <w:r>
              <w:rPr>
                <w:rFonts w:hint="eastAsia" w:ascii="宋体" w:hAnsi="宋体" w:eastAsia="宋体" w:cs="宋体"/>
                <w:color w:val="auto"/>
                <w:spacing w:val="15"/>
                <w:sz w:val="24"/>
                <w:szCs w:val="24"/>
                <w:lang w:val="en-US" w:eastAsia="zh-CN"/>
              </w:rPr>
              <w:t>1.1-3</w:t>
            </w:r>
            <w:r>
              <w:rPr>
                <w:rFonts w:hint="eastAsia" w:ascii="宋体" w:hAnsi="宋体" w:eastAsia="宋体" w:cs="宋体"/>
                <w:color w:val="auto"/>
                <w:spacing w:val="6"/>
                <w:sz w:val="24"/>
                <w:szCs w:val="24"/>
                <w:lang w:val="en-US" w:eastAsia="zh-CN"/>
              </w:rPr>
              <w:t>分；措施不合理，可靠、针对性差得</w:t>
            </w:r>
            <w:r>
              <w:rPr>
                <w:rFonts w:hint="eastAsia" w:ascii="宋体" w:hAnsi="宋体" w:eastAsia="宋体" w:cs="宋体"/>
                <w:color w:val="auto"/>
                <w:spacing w:val="15"/>
                <w:sz w:val="24"/>
                <w:szCs w:val="24"/>
                <w:lang w:val="en-US" w:eastAsia="zh-CN"/>
              </w:rPr>
              <w:t>0-1</w:t>
            </w:r>
            <w:r>
              <w:rPr>
                <w:rFonts w:hint="eastAsia" w:ascii="宋体" w:hAnsi="宋体" w:eastAsia="宋体" w:cs="宋体"/>
                <w:color w:val="auto"/>
                <w:spacing w:val="6"/>
                <w:sz w:val="24"/>
                <w:szCs w:val="24"/>
                <w:lang w:val="en-US" w:eastAsia="zh-CN"/>
              </w:rPr>
              <w:t>分；</w:t>
            </w:r>
          </w:p>
        </w:tc>
      </w:tr>
      <w:tr w14:paraId="74E0C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jc w:val="center"/>
        </w:trPr>
        <w:tc>
          <w:tcPr>
            <w:tcW w:w="663" w:type="dxa"/>
            <w:vMerge w:val="continue"/>
            <w:vAlign w:val="center"/>
          </w:tcPr>
          <w:p w14:paraId="22DA6A00">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p>
        </w:tc>
        <w:tc>
          <w:tcPr>
            <w:tcW w:w="1230" w:type="dxa"/>
            <w:vMerge w:val="continue"/>
            <w:vAlign w:val="center"/>
          </w:tcPr>
          <w:p w14:paraId="392E0C15">
            <w:pPr>
              <w:pStyle w:val="27"/>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auto"/>
                <w:spacing w:val="6"/>
                <w:sz w:val="24"/>
                <w:szCs w:val="24"/>
                <w:lang w:val="en-US" w:eastAsia="zh-CN"/>
              </w:rPr>
            </w:pPr>
          </w:p>
        </w:tc>
        <w:tc>
          <w:tcPr>
            <w:tcW w:w="1201" w:type="dxa"/>
            <w:tcBorders>
              <w:top w:val="single" w:color="auto" w:sz="4" w:space="0"/>
              <w:bottom w:val="single" w:color="auto" w:sz="4" w:space="0"/>
            </w:tcBorders>
            <w:vAlign w:val="center"/>
          </w:tcPr>
          <w:p w14:paraId="49FD5232">
            <w:pPr>
              <w:pStyle w:val="27"/>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售后服务机构（5分）</w:t>
            </w:r>
          </w:p>
        </w:tc>
        <w:tc>
          <w:tcPr>
            <w:tcW w:w="5747" w:type="dxa"/>
            <w:tcBorders>
              <w:top w:val="single" w:color="auto" w:sz="4" w:space="0"/>
              <w:bottom w:val="single" w:color="auto" w:sz="4" w:space="0"/>
            </w:tcBorders>
            <w:vAlign w:val="top"/>
          </w:tcPr>
          <w:p w14:paraId="4DD5FA50">
            <w:pPr>
              <w:keepNext w:val="0"/>
              <w:keepLines w:val="0"/>
              <w:pageBreakBefore w:val="0"/>
              <w:widowControl w:val="0"/>
              <w:kinsoku/>
              <w:wordWrap/>
              <w:overflowPunct/>
              <w:topLinePunct w:val="0"/>
              <w:autoSpaceDE/>
              <w:autoSpaceDN/>
              <w:bidi w:val="0"/>
              <w:adjustRightInd/>
              <w:spacing w:line="500" w:lineRule="exact"/>
              <w:ind w:firstLine="504"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投标单位具有完善、健全的售后服务机构，具备专业的售后服务团队为项目提供技术支持。根据本项目有专门的售后服务人员及专业管理人员计分；售后服务人员及专业管理人员满足需求，配置科学合理计3.1-5分；售后人员不齐全，配置不合理计0-3分。</w:t>
            </w:r>
          </w:p>
        </w:tc>
      </w:tr>
      <w:tr w14:paraId="06C73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jc w:val="center"/>
        </w:trPr>
        <w:tc>
          <w:tcPr>
            <w:tcW w:w="663" w:type="dxa"/>
            <w:vMerge w:val="continue"/>
            <w:vAlign w:val="center"/>
          </w:tcPr>
          <w:p w14:paraId="62CADC31">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p>
        </w:tc>
        <w:tc>
          <w:tcPr>
            <w:tcW w:w="1230" w:type="dxa"/>
            <w:vMerge w:val="continue"/>
            <w:vAlign w:val="center"/>
          </w:tcPr>
          <w:p w14:paraId="5B8B1EF9">
            <w:pPr>
              <w:pStyle w:val="27"/>
              <w:keepNext w:val="0"/>
              <w:keepLines w:val="0"/>
              <w:pageBreakBefore w:val="0"/>
              <w:widowControl w:val="0"/>
              <w:kinsoku/>
              <w:wordWrap/>
              <w:overflowPunct/>
              <w:topLinePunct w:val="0"/>
              <w:autoSpaceDE/>
              <w:autoSpaceDN/>
              <w:bidi w:val="0"/>
              <w:adjustRightInd/>
              <w:snapToGrid/>
              <w:spacing w:line="400" w:lineRule="exact"/>
              <w:ind w:left="22" w:leftChars="0" w:right="0" w:rightChars="0" w:hanging="22" w:hangingChars="8"/>
              <w:jc w:val="center"/>
              <w:textAlignment w:val="auto"/>
              <w:rPr>
                <w:rFonts w:hint="eastAsia" w:ascii="宋体" w:hAnsi="宋体" w:eastAsia="宋体" w:cs="宋体"/>
                <w:b/>
                <w:bCs/>
                <w:color w:val="auto"/>
                <w:sz w:val="28"/>
                <w:szCs w:val="28"/>
              </w:rPr>
            </w:pPr>
          </w:p>
        </w:tc>
        <w:tc>
          <w:tcPr>
            <w:tcW w:w="1201" w:type="dxa"/>
            <w:tcBorders>
              <w:top w:val="single" w:color="auto" w:sz="4" w:space="0"/>
              <w:bottom w:val="single" w:color="auto" w:sz="4" w:space="0"/>
            </w:tcBorders>
            <w:vAlign w:val="center"/>
          </w:tcPr>
          <w:p w14:paraId="6A7993B2">
            <w:pPr>
              <w:pStyle w:val="27"/>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人员培训方案（5</w:t>
            </w:r>
            <w:r>
              <w:rPr>
                <w:rFonts w:hint="eastAsia" w:ascii="宋体" w:hAnsi="宋体" w:eastAsia="宋体" w:cs="宋体"/>
                <w:color w:val="auto"/>
                <w:sz w:val="24"/>
                <w:szCs w:val="24"/>
                <w:lang w:val="en-US" w:eastAsia="zh-CN"/>
              </w:rPr>
              <w:t>分</w:t>
            </w:r>
            <w:r>
              <w:rPr>
                <w:rFonts w:hint="eastAsia" w:ascii="宋体" w:hAnsi="宋体" w:eastAsia="宋体" w:cs="宋体"/>
                <w:color w:val="auto"/>
                <w:spacing w:val="6"/>
                <w:sz w:val="24"/>
                <w:szCs w:val="24"/>
                <w:lang w:val="en-US" w:eastAsia="zh-CN"/>
              </w:rPr>
              <w:t>）</w:t>
            </w:r>
          </w:p>
        </w:tc>
        <w:tc>
          <w:tcPr>
            <w:tcW w:w="5747" w:type="dxa"/>
            <w:tcBorders>
              <w:top w:val="single" w:color="auto" w:sz="4" w:space="0"/>
              <w:bottom w:val="single" w:color="auto" w:sz="4" w:space="0"/>
            </w:tcBorders>
            <w:vAlign w:val="top"/>
          </w:tcPr>
          <w:p w14:paraId="23171F66">
            <w:pPr>
              <w:keepNext w:val="0"/>
              <w:keepLines w:val="0"/>
              <w:pageBreakBefore w:val="0"/>
              <w:widowControl w:val="0"/>
              <w:kinsoku/>
              <w:wordWrap/>
              <w:overflowPunct/>
              <w:topLinePunct w:val="0"/>
              <w:autoSpaceDE/>
              <w:autoSpaceDN/>
              <w:bidi w:val="0"/>
              <w:adjustRightInd/>
              <w:spacing w:line="500" w:lineRule="exact"/>
              <w:ind w:firstLine="504"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负责为使用单位培训操作及维护人员，并有完整的培训方案，列出详细的培训内容、培训方式等说明计分；有负责为使用单位培训操作及维护人员，培训内容及培训方案等计3.1-5分；培训方案不完整，有缺陷，没有明确计划计0-3分。</w:t>
            </w:r>
          </w:p>
        </w:tc>
      </w:tr>
      <w:tr w14:paraId="1899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663" w:type="dxa"/>
            <w:vAlign w:val="center"/>
          </w:tcPr>
          <w:p w14:paraId="5EC3641B">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30" w:type="dxa"/>
            <w:vAlign w:val="center"/>
          </w:tcPr>
          <w:p w14:paraId="16CA4AEE">
            <w:pPr>
              <w:pStyle w:val="27"/>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1201" w:type="dxa"/>
            <w:tcBorders>
              <w:top w:val="single" w:color="auto" w:sz="4" w:space="0"/>
              <w:bottom w:val="single" w:color="auto" w:sz="4" w:space="0"/>
            </w:tcBorders>
            <w:vAlign w:val="center"/>
          </w:tcPr>
          <w:p w14:paraId="6B222C1B">
            <w:pPr>
              <w:pStyle w:val="27"/>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5747" w:type="dxa"/>
            <w:tcBorders>
              <w:top w:val="single" w:color="auto" w:sz="4" w:space="0"/>
              <w:bottom w:val="single" w:color="auto" w:sz="4" w:space="0"/>
            </w:tcBorders>
          </w:tcPr>
          <w:p w14:paraId="1D5915FB">
            <w:pPr>
              <w:pStyle w:val="27"/>
              <w:keepNext w:val="0"/>
              <w:keepLines w:val="0"/>
              <w:pageBreakBefore w:val="0"/>
              <w:kinsoku/>
              <w:wordWrap/>
              <w:overflowPunct/>
              <w:topLinePunct w:val="0"/>
              <w:autoSpaceDE/>
              <w:autoSpaceDN/>
              <w:bidi w:val="0"/>
              <w:adjustRightInd/>
              <w:snapToGrid/>
              <w:spacing w:line="400" w:lineRule="exact"/>
              <w:ind w:right="85"/>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提供供应商或投标产品生产商202</w:t>
            </w:r>
            <w:r>
              <w:rPr>
                <w:rFonts w:hint="eastAsia" w:cs="宋体"/>
                <w:color w:val="auto"/>
                <w:spacing w:val="15"/>
                <w:sz w:val="24"/>
                <w:szCs w:val="24"/>
                <w:lang w:val="en-US" w:eastAsia="zh-CN"/>
              </w:rPr>
              <w:t>2</w:t>
            </w:r>
            <w:r>
              <w:rPr>
                <w:rFonts w:hint="eastAsia" w:ascii="宋体" w:hAnsi="宋体" w:eastAsia="宋体" w:cs="宋体"/>
                <w:color w:val="auto"/>
                <w:spacing w:val="15"/>
                <w:sz w:val="24"/>
                <w:szCs w:val="24"/>
                <w:lang w:val="en-US" w:eastAsia="zh-CN"/>
              </w:rPr>
              <w:t>年1月1日以来所投产品业绩证明</w:t>
            </w:r>
            <w:r>
              <w:rPr>
                <w:rFonts w:hint="eastAsia" w:cs="宋体"/>
                <w:color w:val="auto"/>
                <w:spacing w:val="15"/>
                <w:sz w:val="24"/>
                <w:szCs w:val="24"/>
                <w:lang w:val="en-US" w:eastAsia="zh-CN"/>
              </w:rPr>
              <w:t>材料</w:t>
            </w:r>
            <w:r>
              <w:rPr>
                <w:rFonts w:hint="eastAsia" w:ascii="宋体" w:hAnsi="宋体" w:eastAsia="宋体" w:cs="宋体"/>
                <w:color w:val="auto"/>
                <w:spacing w:val="15"/>
                <w:sz w:val="24"/>
                <w:szCs w:val="24"/>
                <w:lang w:val="en-US" w:eastAsia="zh-CN"/>
              </w:rPr>
              <w:t>（以采购合同为依据）。每出具一个业绩得2分，满分6分。</w:t>
            </w:r>
          </w:p>
        </w:tc>
      </w:tr>
      <w:tr w14:paraId="181D0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8841" w:type="dxa"/>
            <w:gridSpan w:val="4"/>
            <w:vAlign w:val="center"/>
          </w:tcPr>
          <w:p w14:paraId="5E3D7F18">
            <w:pPr>
              <w:pStyle w:val="27"/>
              <w:keepNext w:val="0"/>
              <w:keepLines w:val="0"/>
              <w:pageBreakBefore w:val="0"/>
              <w:kinsoku/>
              <w:wordWrap/>
              <w:overflowPunct/>
              <w:topLinePunct w:val="0"/>
              <w:autoSpaceDE/>
              <w:autoSpaceDN/>
              <w:bidi w:val="0"/>
              <w:adjustRightInd/>
              <w:snapToGrid/>
              <w:spacing w:line="400" w:lineRule="exact"/>
              <w:ind w:right="85"/>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备注：</w:t>
            </w:r>
          </w:p>
          <w:p w14:paraId="6BE1F008">
            <w:pPr>
              <w:pStyle w:val="27"/>
              <w:keepNext w:val="0"/>
              <w:keepLines w:val="0"/>
              <w:pageBreakBefore w:val="0"/>
              <w:numPr>
                <w:ilvl w:val="0"/>
                <w:numId w:val="3"/>
              </w:numPr>
              <w:kinsoku/>
              <w:wordWrap/>
              <w:overflowPunct/>
              <w:topLinePunct w:val="0"/>
              <w:autoSpaceDE/>
              <w:autoSpaceDN/>
              <w:bidi w:val="0"/>
              <w:adjustRightInd/>
              <w:snapToGrid/>
              <w:spacing w:line="400" w:lineRule="exact"/>
              <w:ind w:right="85"/>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投标人的招标响应文件中必须提供与以上评分因素相关的证明材料。如果发现有弄虚作假的，评标委员会将取消其招标资格。</w:t>
            </w:r>
          </w:p>
        </w:tc>
      </w:tr>
    </w:tbl>
    <w:p w14:paraId="3A7E4410">
      <w:pPr>
        <w:pageBreakBefore w:val="0"/>
        <w:widowControl w:val="0"/>
        <w:kinsoku/>
        <w:wordWrap/>
        <w:overflowPunct/>
        <w:topLinePunct w:val="0"/>
        <w:autoSpaceDE/>
        <w:autoSpaceDN/>
        <w:bidi w:val="0"/>
        <w:snapToGrid w:val="0"/>
        <w:spacing w:line="500" w:lineRule="atLeast"/>
        <w:ind w:firstLine="580"/>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rPr>
        <w:t>采用综合评分法，即在最大限度地满足招标文件实质性要求前提下，按照招标文件中规定的各项因素进行综合评审后，以评审总得分顺序推荐中标候选人。具体评审因素和分值如下。</w:t>
      </w:r>
    </w:p>
    <w:p w14:paraId="000C8BB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6.本项目落实政府采购政策</w:t>
      </w:r>
    </w:p>
    <w:p w14:paraId="0FB25B2D">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6-1投标企业政府采购政策</w:t>
      </w:r>
    </w:p>
    <w:p w14:paraId="6094A1DD">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001A2BD0">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①财政部、工业和信息化部关于印发《政府采购促进中小企业发展管理办法》的通知--财库〔2020〕46号。提供本企业制造的货物、承担的工程或者服务，或者提供其他中小企业制造的货物。</w:t>
      </w:r>
    </w:p>
    <w:p w14:paraId="7E14B58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②投标人须提供《中小企业声明函》，以此为依据享受政府采购政策。</w:t>
      </w:r>
    </w:p>
    <w:p w14:paraId="4C7ACB66">
      <w:pPr>
        <w:pageBreakBefore w:val="0"/>
        <w:widowControl w:val="0"/>
        <w:kinsoku/>
        <w:wordWrap/>
        <w:overflowPunct/>
        <w:topLinePunct w:val="0"/>
        <w:autoSpaceDE/>
        <w:autoSpaceDN/>
        <w:bidi w:val="0"/>
        <w:spacing w:line="500" w:lineRule="atLeas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本项目采购标的对应的中小企业划分标准所属行业为：</w:t>
      </w:r>
      <w:r>
        <w:rPr>
          <w:rFonts w:hint="eastAsia" w:ascii="宋体" w:hAnsi="宋体" w:eastAsia="宋体" w:cs="宋体"/>
          <w:b/>
          <w:bCs/>
          <w:color w:val="auto"/>
          <w:sz w:val="24"/>
          <w:szCs w:val="24"/>
          <w:highlight w:val="none"/>
          <w:lang w:eastAsia="zh-CN"/>
        </w:rPr>
        <w:t>“工业”。</w:t>
      </w:r>
    </w:p>
    <w:p w14:paraId="2B81F8E3">
      <w:pPr>
        <w:pageBreakBefore w:val="0"/>
        <w:widowControl w:val="0"/>
        <w:tabs>
          <w:tab w:val="left" w:pos="6984"/>
        </w:tabs>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（2）监狱和戒毒企业落实政府采购政策</w:t>
      </w:r>
      <w:r>
        <w:rPr>
          <w:rFonts w:hint="eastAsia" w:ascii="宋体" w:hAnsi="宋体" w:eastAsia="宋体" w:cs="宋体"/>
          <w:color w:val="auto"/>
          <w:sz w:val="24"/>
          <w:szCs w:val="24"/>
          <w:highlight w:val="none"/>
        </w:rPr>
        <w:tab/>
      </w:r>
    </w:p>
    <w:p w14:paraId="7CA34602">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应符合《财政部、司法部关于政府采购支持监狱企业发展有关问题的通知》--财库[2014]68号，并提供由省级以上监狱管理局、戒毒管理局(含新疆生产建设兵团)出具的属于监狱企业的证明，开标时提供原件备查。</w:t>
      </w:r>
    </w:p>
    <w:p w14:paraId="4828AF76">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（3）残疾人福利性单位落实政府采购政策</w:t>
      </w:r>
    </w:p>
    <w:p w14:paraId="37F8F07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残疾人福利性单位应符合财库〔2018〕141号规定，提供本单位制造的货物、承担的工程或者服务（以下简称产品），或者提供其他残疾人福利性单位制造的货物（不包括使用非残疾人福利性单位注册商标的货物）。</w:t>
      </w:r>
    </w:p>
    <w:p w14:paraId="31586A95">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②投标投标人须按照财库〔2018〕141号规定，提供《残疾人福利性单位声明函》，并对声明的真实性负责。以此为依据享受政府采购政策。</w:t>
      </w:r>
    </w:p>
    <w:p w14:paraId="35055EB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③中标、成交投标人为残疾人福利性单位的，采购人或者其委托的采购代理机构应当随中标、成交结果同时公告其《残疾人福利性单位声明函》，接受社会监督。</w:t>
      </w:r>
    </w:p>
    <w:p w14:paraId="152BA99D">
      <w:pPr>
        <w:pageBreakBefore w:val="0"/>
        <w:widowControl w:val="0"/>
        <w:numPr>
          <w:ilvl w:val="0"/>
          <w:numId w:val="4"/>
        </w:numPr>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投标投标人应如实提供以上证明文件，如存在虚假应标，将取消其投标资格。</w:t>
      </w:r>
    </w:p>
    <w:p w14:paraId="7E77C000">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6-2投标产品政府采购政策</w:t>
      </w:r>
    </w:p>
    <w:p w14:paraId="015A50B4">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（1）节能产品根据《国务院办公厅关于建立政府强制采购节能产品制度的通 知 》 （国办发[2007]51号）的规定，以中国政府采购网（http://www.ccgp.gov.cn/）公布的最新一期节能产品政府采购清单为准。</w:t>
      </w:r>
    </w:p>
    <w:p w14:paraId="485E6DE2">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（2）环境标志产品根据《环境标志产品政府采购实施的意见》 （财库[2006]90号）的规定，以中国政府采购网（http://www.ccgp.gov.cn/）公布的最新一期环境标志产品政府采购清单为准。</w:t>
      </w:r>
    </w:p>
    <w:p w14:paraId="2A1BB813">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227D39C9">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（4）若节能、环保、环境标志清单内的产品仅是构成投标产品的部件、组件或零件的，则该投标产品不享受鼓励优惠政策。</w:t>
      </w:r>
    </w:p>
    <w:p w14:paraId="04F93FD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（5）同一标段的节能、环保、环境标志产品部分优惠只对属于清单内的非强制类产品进行优惠，强制类产品不给予优惠。</w:t>
      </w:r>
    </w:p>
    <w:p w14:paraId="53D4BC70">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（6）节能、环保、环境标志产品不重复优惠；同时列入国家级清单和省级清单的产品不重复优惠。</w:t>
      </w:r>
    </w:p>
    <w:p w14:paraId="4C4E903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（7）获得上述认证的产品在投标时应提供有效证明材料。以上所有证明文件复印件须加盖投标人公章并注明“与原件一致”，否则不予优惠。</w:t>
      </w:r>
    </w:p>
    <w:p w14:paraId="68787D3B">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6-3价格优惠比例</w:t>
      </w:r>
    </w:p>
    <w:p w14:paraId="1F6E2AC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（1）投标企业优惠比例符合招标文件规定的小微企业、监狱企业或残疾人福利性单位优惠条件的投标人，价格给予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%的扣除（不重复优惠，最高为</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%），用扣除后的价格参与评审，不重复享受政策。</w:t>
      </w:r>
    </w:p>
    <w:p w14:paraId="4008979D">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政府采购信用担保及融资</w:t>
      </w:r>
    </w:p>
    <w:p w14:paraId="7825B870">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投标供应商在缴纳投标保证金及中标供应商缴纳履约保证金时可自愿选择通过担保机构保函的形式缴纳；中标（成交）供应商如果需要融资贷款服务的，可凭中标（成交）通知书、政府采购合同等相关资料，按照文件规定的程序申请办理，具体规定可登陆陕西省政府采购网(www.ccgp-shaanxi.gov.cn/)重要通知专栏中查询了解。</w:t>
      </w:r>
    </w:p>
    <w:p w14:paraId="36A37267">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八、推荐中标候选单位</w:t>
      </w:r>
    </w:p>
    <w:p w14:paraId="20ADF685">
      <w:pPr>
        <w:pageBreakBefore w:val="0"/>
        <w:widowControl w:val="0"/>
        <w:kinsoku/>
        <w:wordWrap/>
        <w:overflowPunct/>
        <w:topLinePunct w:val="0"/>
        <w:autoSpaceDE/>
        <w:autoSpaceDN/>
        <w:bidi w:val="0"/>
        <w:snapToGrid w:val="0"/>
        <w:spacing w:line="500" w:lineRule="atLeas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评标小组根据以上内容进行综合打分，由高到低进行汇总排序，推荐出一个以上三个以下中标候选单位。</w:t>
      </w:r>
    </w:p>
    <w:p w14:paraId="25A32C8B">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九、确定中标单位</w:t>
      </w:r>
    </w:p>
    <w:p w14:paraId="4C6DF7B1">
      <w:pPr>
        <w:pageBreakBefore w:val="0"/>
        <w:widowControl w:val="0"/>
        <w:kinsoku/>
        <w:wordWrap/>
        <w:overflowPunct/>
        <w:topLinePunct w:val="0"/>
        <w:autoSpaceDE/>
        <w:autoSpaceDN/>
        <w:bidi w:val="0"/>
        <w:snapToGrid w:val="0"/>
        <w:spacing w:line="500" w:lineRule="atLeast"/>
        <w:ind w:firstLine="57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1、依据评审结果编写评标结果报告，送招标单位。</w:t>
      </w:r>
    </w:p>
    <w:p w14:paraId="02C5BD37">
      <w:pPr>
        <w:pageBreakBefore w:val="0"/>
        <w:widowControl w:val="0"/>
        <w:kinsoku/>
        <w:wordWrap/>
        <w:overflowPunct/>
        <w:topLinePunct w:val="0"/>
        <w:autoSpaceDE/>
        <w:autoSpaceDN/>
        <w:bidi w:val="0"/>
        <w:snapToGrid w:val="0"/>
        <w:spacing w:line="500" w:lineRule="atLeast"/>
        <w:ind w:firstLine="57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2、在投标文件规定的有效期内，招标人在审查评标结果报告的基础上确定中标单位，招标组织单位向确定的中标单位发出“中标通知书”。</w:t>
      </w:r>
    </w:p>
    <w:p w14:paraId="3803D38B">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十、合同</w:t>
      </w:r>
    </w:p>
    <w:p w14:paraId="667C56DB">
      <w:pPr>
        <w:pageBreakBefore w:val="0"/>
        <w:widowControl w:val="0"/>
        <w:kinsoku/>
        <w:wordWrap/>
        <w:overflowPunct/>
        <w:topLinePunct w:val="0"/>
        <w:autoSpaceDE/>
        <w:autoSpaceDN/>
        <w:bidi w:val="0"/>
        <w:adjustRightInd w:val="0"/>
        <w:snapToGrid w:val="0"/>
        <w:spacing w:line="500" w:lineRule="atLeast"/>
        <w:ind w:firstLine="64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1、中标通知书发出后，中标单位与招标人洽谈合同条款，并签订合同。招标文件及中标单位投标文件均作为合同的组成部分。</w:t>
      </w:r>
      <w:r>
        <w:rPr>
          <w:rFonts w:hint="eastAsia" w:ascii="宋体" w:hAnsi="宋体" w:eastAsia="宋体" w:cs="宋体"/>
          <w:color w:val="auto"/>
          <w:sz w:val="24"/>
          <w:szCs w:val="24"/>
          <w:highlight w:val="none"/>
          <w:lang w:val="en-US" w:eastAsia="zh-CN"/>
        </w:rPr>
        <w:t xml:space="preserve">                                                                                                                                                                                                                                                                                                                                                                                                                                                                                                                                                                                                                                                                                                                                                                                                                                                                                                                                                                                                                                                                    </w:t>
      </w:r>
    </w:p>
    <w:p w14:paraId="530DB316">
      <w:pPr>
        <w:pageBreakBefore w:val="0"/>
        <w:widowControl w:val="0"/>
        <w:kinsoku/>
        <w:wordWrap/>
        <w:overflowPunct/>
        <w:topLinePunct w:val="0"/>
        <w:autoSpaceDE/>
        <w:autoSpaceDN/>
        <w:bidi w:val="0"/>
        <w:adjustRightInd w:val="0"/>
        <w:snapToGrid w:val="0"/>
        <w:spacing w:line="500" w:lineRule="atLeas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2、监督机构在合同履行期间以及履行期后，可以随时检查项目的执行情况，对采购标准、招标内容进行调查核实，并对发现的问题进行处理。</w:t>
      </w:r>
    </w:p>
    <w:p w14:paraId="6D9A51EF">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十一、中标服务费</w:t>
      </w:r>
    </w:p>
    <w:p w14:paraId="12C4413C">
      <w:pPr>
        <w:pageBreakBefore w:val="0"/>
        <w:widowControl w:val="0"/>
        <w:kinsoku/>
        <w:wordWrap/>
        <w:overflowPunct/>
        <w:topLinePunct w:val="0"/>
        <w:autoSpaceDE/>
        <w:autoSpaceDN/>
        <w:bidi w:val="0"/>
        <w:adjustRightInd w:val="0"/>
        <w:snapToGrid w:val="0"/>
        <w:spacing w:line="500" w:lineRule="atLeas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成交服务费参照国家发展与改革委员会《招标代理服务收费管理暂行办法》（计价格[2002]1980号）计取</w:t>
      </w:r>
      <w:r>
        <w:rPr>
          <w:rFonts w:hint="eastAsia" w:ascii="宋体" w:hAnsi="宋体" w:eastAsia="宋体" w:cs="宋体"/>
          <w:color w:val="auto"/>
          <w:sz w:val="24"/>
          <w:szCs w:val="24"/>
          <w:highlight w:val="none"/>
        </w:rPr>
        <w:t>，由成交单位支付，领取成交通知书的同时</w:t>
      </w:r>
      <w:r>
        <w:rPr>
          <w:rFonts w:hint="eastAsia" w:ascii="宋体" w:hAnsi="宋体" w:eastAsia="宋体" w:cs="宋体"/>
          <w:b/>
          <w:bCs/>
          <w:color w:val="auto"/>
          <w:sz w:val="24"/>
          <w:szCs w:val="24"/>
          <w:highlight w:val="none"/>
        </w:rPr>
        <w:t>无偿提交装订成册并加盖鲜章的纸质版文件2套及电子版U盘1份</w:t>
      </w:r>
      <w:r>
        <w:rPr>
          <w:rFonts w:hint="eastAsia" w:ascii="宋体" w:hAnsi="宋体" w:eastAsia="宋体" w:cs="宋体"/>
          <w:color w:val="auto"/>
          <w:sz w:val="24"/>
          <w:szCs w:val="24"/>
          <w:highlight w:val="none"/>
        </w:rPr>
        <w:t>。</w:t>
      </w:r>
    </w:p>
    <w:p w14:paraId="72B35D69">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十二、其它事项</w:t>
      </w:r>
    </w:p>
    <w:p w14:paraId="7FCA2D0A">
      <w:pPr>
        <w:pageBreakBefore w:val="0"/>
        <w:widowControl w:val="0"/>
        <w:kinsoku/>
        <w:wordWrap/>
        <w:overflowPunct/>
        <w:topLinePunct w:val="0"/>
        <w:autoSpaceDE/>
        <w:autoSpaceDN/>
        <w:bidi w:val="0"/>
        <w:adjustRightInd w:val="0"/>
        <w:snapToGrid w:val="0"/>
        <w:spacing w:line="500" w:lineRule="atLeas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1、开标时，实际投标单位或有效投标单位不足三家，报请有关监督部门确定，可以进行重新招标或采用其他采购的方式组织招标。</w:t>
      </w:r>
    </w:p>
    <w:p w14:paraId="5E785D35">
      <w:pPr>
        <w:pageBreakBefore w:val="0"/>
        <w:widowControl w:val="0"/>
        <w:kinsoku/>
        <w:wordWrap/>
        <w:overflowPunct/>
        <w:topLinePunct w:val="0"/>
        <w:autoSpaceDE/>
        <w:autoSpaceDN/>
        <w:bidi w:val="0"/>
        <w:adjustRightInd w:val="0"/>
        <w:snapToGrid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标或确定中标单位后，中标单位无正当理由拖延或拒签合同，采购人有权取消其中标资格，并按评标结果顺序重新确定中标单位，同时报请监督机构予以通报，取消其进入政府采购市场的资格，其投标保证金不予退还。</w:t>
      </w:r>
    </w:p>
    <w:p w14:paraId="5787CAE9">
      <w:pPr>
        <w:pageBreakBefore w:val="0"/>
        <w:widowControl w:val="0"/>
        <w:kinsoku/>
        <w:wordWrap/>
        <w:overflowPunct/>
        <w:topLinePunct w:val="0"/>
        <w:autoSpaceDE/>
        <w:autoSpaceDN/>
        <w:bidi w:val="0"/>
        <w:spacing w:line="500" w:lineRule="atLeast"/>
        <w:ind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3、拒绝商业贿赂</w:t>
      </w:r>
    </w:p>
    <w:p w14:paraId="62584C9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投标人必须填写一份《拒绝政府采购领域商业贿赂承诺书》（格式见投标格式第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部分）编制在投标文件中。</w:t>
      </w:r>
      <w:r>
        <w:rPr>
          <w:rFonts w:hint="eastAsia" w:ascii="宋体" w:hAnsi="宋体" w:eastAsia="宋体" w:cs="宋体"/>
          <w:color w:val="auto"/>
          <w:sz w:val="24"/>
          <w:szCs w:val="24"/>
          <w:highlight w:val="none"/>
          <w:lang w:val="en-US" w:eastAsia="zh-CN"/>
        </w:rPr>
        <w:t xml:space="preserve">                                                                                                                                                                                                                    </w:t>
      </w:r>
    </w:p>
    <w:p w14:paraId="30351EC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4、公开招标拟转为竞争性谈判程序</w:t>
      </w:r>
    </w:p>
    <w:p w14:paraId="2B8D5B03">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过程中提交投标文件或者经评审实质性响应招标文件要求的供应商只有两家时，采购人、采购代理机构依据《政府采购非招标采购方式管理办法》（财政部令第74号）第二十七条第二款规定并经本级财政部门批准后可以与该两家供应商进行竞争性谈判采购，具体程序如下：</w:t>
      </w:r>
    </w:p>
    <w:p w14:paraId="06059FFA">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4.1谈判小组</w:t>
      </w:r>
    </w:p>
    <w:p w14:paraId="75A12863">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（1）原公开招标组建的评标委员会现转为谈判小组。</w:t>
      </w:r>
    </w:p>
    <w:p w14:paraId="2B6F2C54">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（2）谈判小组负责谈判工作，对谈判响应文件进行审查和评估，并向采购人提交书面提交评审报告，推荐成交候选人。</w:t>
      </w:r>
    </w:p>
    <w:p w14:paraId="319D6F3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 谈判程序： </w:t>
      </w:r>
    </w:p>
    <w:p w14:paraId="159A2FA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谈判的全过程分为第一次谈判报价（原参加公开招标的投标供应商的投标报价作为第一次谈判报价）、资质审查、谈判过程、第二次谈判报价、最终评审等阶段，最终报价采取集中报价形式。</w:t>
      </w:r>
    </w:p>
    <w:p w14:paraId="48F62F4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资质审查合格的各供应商，只有在谈判响应文件（原参加公开招标的投标供应商的投标文件作为谈判响应文件）及谈判承诺符合谈判文件要求和满足技术、商务需要的才有最终报价和评审的机会。谈判小组按其最终承诺和报价内容，推荐成交候选单位排序。</w:t>
      </w:r>
    </w:p>
    <w:p w14:paraId="581BB1FB">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（1）第一次报价：原参加公开招标的投标供应商的投标报价作为第一次谈判报价</w:t>
      </w:r>
    </w:p>
    <w:p w14:paraId="6A598A7A">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（2）符合性评审：主要对各供应商资格以及谈判响应文件进行商务和技术符合性的审定。</w:t>
      </w:r>
    </w:p>
    <w:p w14:paraId="00A8E66D">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（3）谈判过程：谈判小组应在符合性评审的基础上对各供应商的谈判响应文件认真阅读，并对采购内容等有关要求进行谈判</w:t>
      </w:r>
    </w:p>
    <w:p w14:paraId="3D5F017F">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谈判方案（原投标方案）</w:t>
      </w:r>
    </w:p>
    <w:p w14:paraId="0378C18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服务措施</w:t>
      </w:r>
    </w:p>
    <w:p w14:paraId="6FE7F61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综合评定，推荐候选成交单位。</w:t>
      </w:r>
    </w:p>
    <w:p w14:paraId="0662DA1F">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谈判澄清：采购代理机构有权就谈判响应文件中有疑义之处或前后表述不一致的问题，向供应商提出询问或澄清。供应商必须在谈判文件规定的时间内派技术和商务人员进行澄清，有关澄清的内容应以书面形式（包括电传、传真）提交，并由供应商法定代表人或被授权人签名确认。</w:t>
      </w:r>
    </w:p>
    <w:p w14:paraId="5A617296">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（4）第二次谈判报价</w:t>
      </w:r>
    </w:p>
    <w:p w14:paraId="1820F872">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通过资质审查合格，供应商的谈判响应文件及谈判承诺符合谈判文件要求和满足技术、商务需要的，在规定的时间内报出第二次谈判报价。</w:t>
      </w:r>
    </w:p>
    <w:p w14:paraId="587B16B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（5）最终评审</w:t>
      </w:r>
    </w:p>
    <w:p w14:paraId="0BC4CAA9">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根据符合采购需求、质量和服务，以综合评审有效报价（第二次谈判报价）最低者推荐为成交第一候选人，其次低价者第二候选人，以此类推。若成交候选人的报价相同时，谈判小组将分别依次序以：技术方案、商务响应的优劣的原则，确定成交候选人排序。</w:t>
      </w:r>
    </w:p>
    <w:p w14:paraId="72B45936">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谈判小组根据原始谈判记录和谈判结果编写谈判结果报告，报采购人。</w:t>
      </w:r>
    </w:p>
    <w:p w14:paraId="002DAAC7">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B9A691D">
      <w:pPr>
        <w:numPr>
          <w:ilvl w:val="0"/>
          <w:numId w:val="0"/>
        </w:numPr>
        <w:rPr>
          <w:rFonts w:hint="eastAsia" w:ascii="宋体" w:hAnsi="宋体" w:eastAsia="宋体" w:cs="宋体"/>
          <w:color w:val="auto"/>
          <w:sz w:val="24"/>
          <w:szCs w:val="24"/>
          <w:highlight w:val="none"/>
          <w:lang w:val="en-US" w:eastAsia="zh-CN"/>
        </w:rPr>
      </w:pPr>
    </w:p>
    <w:p w14:paraId="601158E9">
      <w:pPr>
        <w:rPr>
          <w:rFonts w:hint="eastAsia" w:ascii="宋体" w:hAnsi="宋体" w:eastAsia="宋体" w:cs="宋体"/>
          <w:b/>
          <w:bCs/>
          <w:color w:val="auto"/>
          <w:sz w:val="32"/>
          <w:szCs w:val="32"/>
          <w:highlight w:val="none"/>
          <w:lang w:val="en-US" w:eastAsia="zh-CN"/>
        </w:rPr>
        <w:sectPr>
          <w:footerReference r:id="rId4" w:type="default"/>
          <w:pgSz w:w="11905" w:h="16840"/>
          <w:pgMar w:top="1385" w:right="1361" w:bottom="1361" w:left="1474" w:header="0" w:footer="850" w:gutter="0"/>
          <w:pgNumType w:fmt="decimal" w:start="1"/>
          <w:cols w:space="720" w:num="1"/>
        </w:sectPr>
      </w:pPr>
    </w:p>
    <w:p w14:paraId="3A84F7AA">
      <w:pPr>
        <w:pStyle w:val="2"/>
        <w:numPr>
          <w:ilvl w:val="0"/>
          <w:numId w:val="5"/>
        </w:numPr>
        <w:bidi w:val="0"/>
        <w:spacing w:line="240" w:lineRule="auto"/>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lang w:val="en-US" w:eastAsia="zh-CN"/>
        </w:rPr>
        <w:t xml:space="preserve"> </w:t>
      </w:r>
      <w:r>
        <w:rPr>
          <w:rFonts w:hint="eastAsia" w:ascii="宋体" w:hAnsi="宋体" w:eastAsia="宋体" w:cs="宋体"/>
          <w:b/>
          <w:color w:val="auto"/>
          <w:sz w:val="36"/>
          <w:szCs w:val="20"/>
          <w:highlight w:val="none"/>
        </w:rPr>
        <w:t>采购内容</w:t>
      </w:r>
      <w:r>
        <w:rPr>
          <w:rFonts w:hint="eastAsia" w:ascii="宋体" w:hAnsi="宋体" w:cs="宋体"/>
          <w:b/>
          <w:color w:val="auto"/>
          <w:sz w:val="36"/>
          <w:szCs w:val="20"/>
          <w:highlight w:val="none"/>
          <w:lang w:val="en-US" w:eastAsia="zh-CN"/>
        </w:rPr>
        <w:t>及要求</w:t>
      </w:r>
    </w:p>
    <w:p w14:paraId="7FCC16BC">
      <w:pPr>
        <w:numPr>
          <w:ilvl w:val="0"/>
          <w:numId w:val="6"/>
        </w:num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婴儿辐射保暖台技术参数</w:t>
      </w:r>
    </w:p>
    <w:p w14:paraId="0731C416">
      <w:pPr>
        <w:spacing w:line="360" w:lineRule="auto"/>
        <w:jc w:val="both"/>
        <w:rPr>
          <w:rFonts w:hint="eastAsia" w:ascii="宋体" w:hAnsi="宋体" w:eastAsia="宋体" w:cs="宋体"/>
          <w:b/>
          <w:bCs/>
          <w:color w:val="auto"/>
          <w:sz w:val="24"/>
          <w:szCs w:val="24"/>
          <w:highlight w:val="white"/>
        </w:rPr>
      </w:pPr>
      <w:r>
        <w:rPr>
          <w:rFonts w:hint="eastAsia" w:ascii="宋体" w:hAnsi="宋体" w:eastAsia="宋体" w:cs="宋体"/>
          <w:b/>
          <w:bCs/>
          <w:color w:val="auto"/>
          <w:sz w:val="24"/>
          <w:szCs w:val="24"/>
          <w:highlight w:val="white"/>
        </w:rPr>
        <w:t>适用范围：</w:t>
      </w:r>
    </w:p>
    <w:p w14:paraId="1E6F48AE">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婴儿辐射保暖台通过输出电磁光谱红外范围的直接辐射热量来保持婴儿患者的热平衡，临床用于对新生儿进行敞开式的护理或抢救和体温调节。设备集成的监护模块可对新生儿的心电、无创血压、血氧饱和度、脉搏等生理参数进行监测。</w:t>
      </w:r>
    </w:p>
    <w:p w14:paraId="69CC7336">
      <w:pPr>
        <w:spacing w:line="360" w:lineRule="auto"/>
        <w:jc w:val="both"/>
        <w:rPr>
          <w:rFonts w:hint="eastAsia" w:ascii="宋体" w:hAnsi="宋体" w:eastAsia="宋体" w:cs="宋体"/>
          <w:color w:val="auto"/>
          <w:sz w:val="24"/>
          <w:szCs w:val="24"/>
        </w:rPr>
      </w:pPr>
      <w:r>
        <w:rPr>
          <w:rFonts w:hint="eastAsia" w:ascii="宋体" w:hAnsi="宋体" w:eastAsia="宋体" w:cs="宋体"/>
          <w:b/>
          <w:bCs/>
          <w:color w:val="auto"/>
          <w:sz w:val="24"/>
          <w:szCs w:val="24"/>
          <w:highlight w:val="white"/>
        </w:rPr>
        <w:t>产品组成：</w:t>
      </w:r>
      <w:r>
        <w:rPr>
          <w:rFonts w:hint="eastAsia" w:ascii="宋体" w:hAnsi="宋体" w:eastAsia="宋体" w:cs="宋体"/>
          <w:color w:val="auto"/>
          <w:sz w:val="24"/>
          <w:szCs w:val="24"/>
        </w:rPr>
        <w:t>辐射箱、控制仪、皮肤温度传感器、电动婴儿床、托盘、输液架、机架、多参监护装置（脉搏血氧测量组件）、负压吸引装置、T 型复苏装置、空氧混合装置、称重装置组成。</w:t>
      </w:r>
    </w:p>
    <w:p w14:paraId="16F25CAB">
      <w:pPr>
        <w:spacing w:line="360" w:lineRule="auto"/>
        <w:jc w:val="both"/>
        <w:rPr>
          <w:rFonts w:hint="eastAsia" w:ascii="宋体" w:hAnsi="宋体" w:eastAsia="宋体" w:cs="宋体"/>
          <w:b/>
          <w:bCs/>
          <w:color w:val="auto"/>
          <w:sz w:val="24"/>
          <w:szCs w:val="24"/>
          <w:highlight w:val="white"/>
        </w:rPr>
      </w:pPr>
      <w:r>
        <w:rPr>
          <w:rFonts w:hint="eastAsia" w:ascii="宋体" w:hAnsi="宋体" w:eastAsia="宋体" w:cs="宋体"/>
          <w:b/>
          <w:bCs/>
          <w:color w:val="auto"/>
          <w:sz w:val="24"/>
          <w:szCs w:val="24"/>
          <w:highlight w:val="white"/>
        </w:rPr>
        <w:t>技术参数：</w:t>
      </w:r>
    </w:p>
    <w:p w14:paraId="481C0442">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采用石英加热管，受热不易碎裂，寿命长； </w:t>
      </w:r>
    </w:p>
    <w:p w14:paraId="16766611">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★具有亲子模式：支持袋鼠式护理，有助于维持早产儿生理稳定，促进体重增加；</w:t>
      </w:r>
    </w:p>
    <w:p w14:paraId="5F0FF8DC">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双热敏电阻肤温传感器，提供安全保障；</w:t>
      </w:r>
    </w:p>
    <w:p w14:paraId="2A15964A">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辐射头支持水平360°转动，5档可调节，便于临床X光拍摄，也保证持续不间断的体温调节；</w:t>
      </w:r>
    </w:p>
    <w:p w14:paraId="3F567474">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释压防水床垫，采用TPU材质，柔软透气，提高新生儿舒适度，保护皮肤完整性。床垫尺寸：520*730mm；</w:t>
      </w:r>
    </w:p>
    <w:p w14:paraId="0646E0F8">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★具有婴儿床倾斜角度电动调节功能，床体最大倾斜角度不小于14°；</w:t>
      </w:r>
    </w:p>
    <w:p w14:paraId="6A9252FD">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配摇床角度LCD屏同步显示；</w:t>
      </w:r>
    </w:p>
    <w:p w14:paraId="70805AEF">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★配摇床角度屏幕调节功能和摇床一键调平功能；</w:t>
      </w:r>
    </w:p>
    <w:p w14:paraId="438B074C">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抽拉式储物抽屉，可收纳多种小型医疗器械，外置储物篮能妥善安置电缆线等配件；</w:t>
      </w:r>
    </w:p>
    <w:p w14:paraId="79B9E584">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★LCD显示屏：10.4英寸TFT彩色液晶触摸屏，1024*768高分辨率大字符，远距离清晰可见，方便医护人员观察和操作；</w:t>
      </w:r>
    </w:p>
    <w:p w14:paraId="175ABDEC">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配置折叠托盘；</w:t>
      </w:r>
    </w:p>
    <w:p w14:paraId="61F1082D">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整机高度自由可调，床面高度范围810~960mm，满足不同身高医护人员的操作；</w:t>
      </w:r>
    </w:p>
    <w:p w14:paraId="4B993F3A">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婴儿床下可放置X光射线拍片盒，无需移动新生儿;</w:t>
      </w:r>
    </w:p>
    <w:p w14:paraId="1209728E">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有机玻璃挡板采用阻尼装置，无需手扶，静音落下，医护人员可对新生儿进行全方位的观察、护理，减少体外刺激;</w:t>
      </w:r>
    </w:p>
    <w:p w14:paraId="0897CB6D">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预热、手动、肤温三种温度控制模式；</w:t>
      </w:r>
    </w:p>
    <w:p w14:paraId="7D7D485C">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具有肤温控制功能，肤温控制范围32.0℃—37.0℃，37.1℃～38.0℃（跨越模式）；肤温传感器精度±0.2℃，肤温控制精度≤0.5℃；              </w:t>
      </w:r>
    </w:p>
    <w:p w14:paraId="77D3F907">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具有APGAR评分计时功能和CPR 计时功能，帮助医护人员及时评估新生儿生命体征;</w:t>
      </w:r>
    </w:p>
    <w:p w14:paraId="3EA108DF">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具有内置式称重装置，重量显示范围：200g~8000g，测量精度：±10g；连续监测体重趋势变化；</w:t>
      </w:r>
    </w:p>
    <w:p w14:paraId="2A271FEC">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配挥手止闹，非接触式的报警静音功能，除电源中断报警外，距离不超过20cm，提供清洁、安静的治疗环境;</w:t>
      </w:r>
    </w:p>
    <w:p w14:paraId="2C957F6B">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★脉搏血氧监测功能，采用MASIMO Rainbow 技术：</w:t>
      </w:r>
    </w:p>
    <w:p w14:paraId="12E7472B">
      <w:pPr>
        <w:pStyle w:val="32"/>
        <w:spacing w:line="360" w:lineRule="auto"/>
        <w:ind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20.1 SpO₂ 测量精度：在校准范围70%~100%内，无体动状态下：±3%</w:t>
      </w:r>
    </w:p>
    <w:p w14:paraId="12DD8BA7">
      <w:pPr>
        <w:pStyle w:val="32"/>
        <w:spacing w:line="360" w:lineRule="auto"/>
        <w:ind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20.2 PR测量精度：在30次/分（bpm）～240次/分（bpm）内，无体动状态下：±3</w:t>
      </w:r>
    </w:p>
    <w:p w14:paraId="41781C5F">
      <w:pPr>
        <w:pStyle w:val="32"/>
        <w:spacing w:line="360" w:lineRule="auto"/>
        <w:ind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次/分（bpm）</w:t>
      </w:r>
    </w:p>
    <w:p w14:paraId="476FD826">
      <w:pPr>
        <w:pStyle w:val="32"/>
        <w:numPr>
          <w:ilvl w:val="0"/>
          <w:numId w:val="7"/>
        </w:numPr>
        <w:spacing w:line="360" w:lineRule="auto"/>
        <w:ind w:left="0" w:firstLineChars="0"/>
        <w:rPr>
          <w:rFonts w:hint="eastAsia" w:ascii="宋体" w:hAnsi="宋体" w:eastAsia="宋体" w:cs="宋体"/>
          <w:color w:val="auto"/>
          <w:sz w:val="24"/>
          <w:szCs w:val="24"/>
        </w:rPr>
      </w:pPr>
      <w:r>
        <w:rPr>
          <w:rFonts w:hint="eastAsia" w:ascii="宋体" w:hAnsi="宋体" w:eastAsia="宋体" w:cs="宋体"/>
          <w:color w:val="auto"/>
          <w:sz w:val="24"/>
          <w:szCs w:val="24"/>
        </w:rPr>
        <w:t>★内置式新生儿监护系统：提供新生儿心电（ECG）、呼吸率（RESP）、无创血压（NIBP）；</w:t>
      </w:r>
    </w:p>
    <w:p w14:paraId="0800DAE8">
      <w:pPr>
        <w:pStyle w:val="32"/>
        <w:numPr>
          <w:ilvl w:val="0"/>
          <w:numId w:val="7"/>
        </w:numPr>
        <w:spacing w:line="360" w:lineRule="auto"/>
        <w:ind w:left="0" w:firstLineChars="0"/>
        <w:rPr>
          <w:rFonts w:hint="eastAsia" w:ascii="宋体" w:hAnsi="宋体" w:eastAsia="宋体" w:cs="宋体"/>
          <w:color w:val="auto"/>
          <w:sz w:val="24"/>
          <w:szCs w:val="24"/>
        </w:rPr>
      </w:pPr>
      <w:r>
        <w:rPr>
          <w:rFonts w:hint="eastAsia" w:ascii="宋体" w:hAnsi="宋体" w:eastAsia="宋体" w:cs="宋体"/>
          <w:color w:val="auto"/>
          <w:sz w:val="24"/>
          <w:szCs w:val="24"/>
        </w:rPr>
        <w:t>配新生儿窒息唤醒功能；</w:t>
      </w:r>
    </w:p>
    <w:p w14:paraId="6E2607DC">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★内置式呼吸复苏功能；</w:t>
      </w:r>
    </w:p>
    <w:p w14:paraId="35FC0282">
      <w:pPr>
        <w:pStyle w:val="32"/>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23.1 配备T型复苏装置：提供受控、稳定的吸气峰压（PIP）和呼气末正压（PEEP），确保功能残气量（FRC），改善肺顺应性，提供最佳氧合，有效预防新生儿呼吸系统并发症；</w:t>
      </w:r>
    </w:p>
    <w:p w14:paraId="14111860">
      <w:pPr>
        <w:pStyle w:val="32"/>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23.2配备空氧混合装置：向需要输氧的患儿提供准确控制的空氧混合气体；作为气体供应装置，可配合其他临床呼吸治疗系统使用（如CPAP，HFNC）；氧浓度设置范围：21%~100%；精度：≤±3%O2（V/V）；</w:t>
      </w:r>
    </w:p>
    <w:p w14:paraId="018A404A">
      <w:pPr>
        <w:pStyle w:val="32"/>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23.3负压吸引装置：负压调节阀设置范围：0~18.67±1.33kPa（0~140±10mmHg）；负压响应时间：当输入气源压力为500kPa 时，10 秒内负压至少应达到17.34kPa（130mmHg）；</w:t>
      </w:r>
    </w:p>
    <w:p w14:paraId="0F4EC646">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三重独立超温保护，多路传感器监测，及时启动声光报警提示，提供多重安全防护；</w:t>
      </w:r>
    </w:p>
    <w:p w14:paraId="464242DA">
      <w:pPr>
        <w:pStyle w:val="32"/>
        <w:numPr>
          <w:ilvl w:val="0"/>
          <w:numId w:val="7"/>
        </w:numPr>
        <w:spacing w:line="360" w:lineRule="auto"/>
        <w:ind w:left="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支持患者添加信息录入；</w:t>
      </w:r>
    </w:p>
    <w:p w14:paraId="4835E50C">
      <w:pPr>
        <w:pStyle w:val="32"/>
        <w:numPr>
          <w:ilvl w:val="0"/>
          <w:numId w:val="7"/>
        </w:numPr>
        <w:spacing w:line="360" w:lineRule="auto"/>
        <w:ind w:left="0" w:firstLineChars="0"/>
        <w:rPr>
          <w:rFonts w:hint="eastAsia" w:ascii="宋体" w:hAnsi="宋体" w:eastAsia="宋体" w:cs="宋体"/>
          <w:color w:val="auto"/>
          <w:sz w:val="24"/>
          <w:szCs w:val="24"/>
        </w:rPr>
      </w:pPr>
      <w:r>
        <w:rPr>
          <w:rFonts w:hint="eastAsia" w:ascii="宋体" w:hAnsi="宋体" w:eastAsia="宋体" w:cs="宋体"/>
          <w:color w:val="auto"/>
          <w:sz w:val="24"/>
          <w:szCs w:val="24"/>
        </w:rPr>
        <w:t>配监护参数打印机；</w:t>
      </w:r>
    </w:p>
    <w:p w14:paraId="022A630E">
      <w:pPr>
        <w:pStyle w:val="4"/>
        <w:bidi w:val="0"/>
        <w:spacing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二、新生儿无创呼吸机技术参数</w:t>
      </w:r>
    </w:p>
    <w:p w14:paraId="0BCA6B1E">
      <w:pPr>
        <w:widowControl/>
        <w:numPr>
          <w:ilvl w:val="0"/>
          <w:numId w:val="8"/>
        </w:numPr>
        <w:shd w:val="clear" w:color="auto" w:fill="FFFFFF"/>
        <w:spacing w:line="360" w:lineRule="auto"/>
        <w:ind w:left="425" w:leftChars="0" w:hanging="425" w:firstLineChars="0"/>
        <w:jc w:val="left"/>
        <w:rPr>
          <w:rFonts w:hint="eastAsia" w:ascii="宋体" w:hAnsi="宋体" w:eastAsia="宋体" w:cs="Arial"/>
          <w:sz w:val="24"/>
          <w:szCs w:val="24"/>
          <w:shd w:val="clear" w:color="auto" w:fill="FFFFFF"/>
        </w:rPr>
      </w:pPr>
      <w:r>
        <w:rPr>
          <w:rFonts w:hint="eastAsia" w:ascii="宋体" w:hAnsi="宋体" w:eastAsia="宋体" w:cs="Arial"/>
          <w:sz w:val="24"/>
          <w:szCs w:val="24"/>
          <w:shd w:val="clear" w:color="auto" w:fill="FFFFFF"/>
        </w:rPr>
        <w:t>适用范围：新生儿（含早产儿）和30kg以下的儿童。</w:t>
      </w:r>
    </w:p>
    <w:p w14:paraId="1634A171">
      <w:pPr>
        <w:widowControl/>
        <w:numPr>
          <w:ilvl w:val="0"/>
          <w:numId w:val="8"/>
        </w:numPr>
        <w:shd w:val="clear" w:color="auto" w:fill="FFFFFF"/>
        <w:spacing w:line="360" w:lineRule="auto"/>
        <w:ind w:left="425" w:leftChars="0" w:hanging="425" w:firstLineChars="0"/>
        <w:jc w:val="left"/>
        <w:rPr>
          <w:rFonts w:hint="eastAsia" w:ascii="宋体" w:hAnsi="宋体" w:eastAsia="宋体" w:cs="Arial"/>
          <w:sz w:val="24"/>
          <w:szCs w:val="24"/>
          <w:shd w:val="clear" w:color="auto" w:fill="FFFFFF"/>
        </w:rPr>
      </w:pPr>
      <w:r>
        <w:rPr>
          <w:rFonts w:hint="eastAsia" w:ascii="宋体" w:hAnsi="宋体" w:eastAsia="宋体" w:cs="Arial"/>
          <w:sz w:val="24"/>
          <w:szCs w:val="24"/>
          <w:shd w:val="clear" w:color="auto" w:fill="FFFFFF"/>
          <w:lang w:val="en-US" w:eastAsia="zh-CN"/>
        </w:rPr>
        <w:t>显示屏：≥</w:t>
      </w:r>
      <w:r>
        <w:rPr>
          <w:rFonts w:ascii="宋体" w:hAnsi="宋体" w:eastAsia="宋体" w:cs="Arial"/>
          <w:sz w:val="24"/>
          <w:szCs w:val="24"/>
          <w:shd w:val="clear" w:color="auto" w:fill="FFFFFF"/>
        </w:rPr>
        <w:t>8.0英寸</w:t>
      </w:r>
      <w:r>
        <w:rPr>
          <w:rFonts w:hint="eastAsia" w:ascii="宋体" w:hAnsi="宋体" w:eastAsia="宋体" w:cs="Arial"/>
          <w:sz w:val="24"/>
          <w:szCs w:val="24"/>
          <w:shd w:val="clear" w:color="auto" w:fill="FFFFFF"/>
        </w:rPr>
        <w:t>触摸</w:t>
      </w:r>
      <w:r>
        <w:rPr>
          <w:rFonts w:ascii="宋体" w:hAnsi="宋体" w:eastAsia="宋体" w:cs="Arial"/>
          <w:sz w:val="24"/>
          <w:szCs w:val="24"/>
          <w:shd w:val="clear" w:color="auto" w:fill="FFFFFF"/>
        </w:rPr>
        <w:t>屏</w:t>
      </w:r>
      <w:r>
        <w:rPr>
          <w:rFonts w:hint="eastAsia" w:ascii="宋体" w:hAnsi="宋体" w:eastAsia="宋体" w:cs="Arial"/>
          <w:sz w:val="24"/>
          <w:szCs w:val="24"/>
          <w:shd w:val="clear" w:color="auto" w:fill="FFFFFF"/>
        </w:rPr>
        <w:t>。</w:t>
      </w:r>
    </w:p>
    <w:p w14:paraId="12344B90">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监测参数：压力（气道峰压、平均压、呼末正压/气道压力）、氧浓度、流量、自主呼吸频率、呼气时间、吸呼比</w:t>
      </w:r>
      <w:r>
        <w:rPr>
          <w:rFonts w:hint="eastAsia" w:ascii="宋体" w:hAnsi="宋体" w:eastAsia="宋体" w:cs="Arial"/>
          <w:sz w:val="24"/>
          <w:szCs w:val="24"/>
          <w:shd w:val="clear" w:color="auto" w:fill="FFFFFF"/>
          <w:lang w:eastAsia="zh-CN"/>
        </w:rPr>
        <w:t>、</w:t>
      </w:r>
      <w:r>
        <w:rPr>
          <w:rFonts w:hint="eastAsia" w:ascii="宋体" w:hAnsi="宋体" w:eastAsia="宋体" w:cs="Arial"/>
          <w:sz w:val="24"/>
          <w:szCs w:val="24"/>
          <w:shd w:val="clear" w:color="auto" w:fill="FFFFFF"/>
        </w:rPr>
        <w:t>血氧饱和度/吸入氧浓度（</w:t>
      </w:r>
      <w:r>
        <w:rPr>
          <w:rFonts w:hint="eastAsia" w:ascii="宋体" w:hAnsi="宋体" w:eastAsia="宋体" w:cs="Arial"/>
          <w:sz w:val="24"/>
          <w:szCs w:val="24"/>
          <w:shd w:val="clear" w:color="auto" w:fill="FFFFFF"/>
          <w:lang w:eastAsia="zh-CN"/>
        </w:rPr>
        <w:t>可</w:t>
      </w:r>
      <w:r>
        <w:rPr>
          <w:rFonts w:hint="eastAsia" w:ascii="宋体" w:hAnsi="宋体" w:eastAsia="宋体" w:cs="Arial"/>
          <w:sz w:val="24"/>
          <w:szCs w:val="24"/>
          <w:shd w:val="clear" w:color="auto" w:fill="FFFFFF"/>
        </w:rPr>
        <w:t>配）、氧饱和度指数（</w:t>
      </w:r>
      <w:r>
        <w:rPr>
          <w:rFonts w:hint="eastAsia" w:ascii="宋体" w:hAnsi="宋体" w:eastAsia="宋体" w:cs="Arial"/>
          <w:sz w:val="24"/>
          <w:szCs w:val="24"/>
          <w:shd w:val="clear" w:color="auto" w:fill="FFFFFF"/>
          <w:lang w:eastAsia="zh-CN"/>
        </w:rPr>
        <w:t>可</w:t>
      </w:r>
      <w:r>
        <w:rPr>
          <w:rFonts w:hint="eastAsia" w:ascii="宋体" w:hAnsi="宋体" w:eastAsia="宋体" w:cs="Arial"/>
          <w:sz w:val="24"/>
          <w:szCs w:val="24"/>
          <w:shd w:val="clear" w:color="auto" w:fill="FFFFFF"/>
        </w:rPr>
        <w:t>配）、氧浓度与平均压乘积（</w:t>
      </w:r>
      <w:r>
        <w:rPr>
          <w:rFonts w:hint="eastAsia" w:ascii="宋体" w:hAnsi="宋体" w:eastAsia="宋体" w:cs="Arial"/>
          <w:sz w:val="24"/>
          <w:szCs w:val="24"/>
          <w:shd w:val="clear" w:color="auto" w:fill="FFFFFF"/>
          <w:lang w:eastAsia="zh-CN"/>
        </w:rPr>
        <w:t>可</w:t>
      </w:r>
      <w:r>
        <w:rPr>
          <w:rFonts w:hint="eastAsia" w:ascii="宋体" w:hAnsi="宋体" w:eastAsia="宋体" w:cs="Arial"/>
          <w:sz w:val="24"/>
          <w:szCs w:val="24"/>
          <w:shd w:val="clear" w:color="auto" w:fill="FFFFFF"/>
        </w:rPr>
        <w:t>配）</w:t>
      </w:r>
      <w:r>
        <w:rPr>
          <w:rFonts w:hint="eastAsia" w:ascii="宋体" w:hAnsi="宋体" w:eastAsia="宋体" w:cs="Arial"/>
          <w:sz w:val="24"/>
          <w:szCs w:val="24"/>
          <w:shd w:val="clear" w:color="auto" w:fill="FFFFFF"/>
          <w:lang w:eastAsia="zh-CN"/>
        </w:rPr>
        <w:t>。</w:t>
      </w:r>
    </w:p>
    <w:p w14:paraId="2E84EBDC">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图形显示：压力－时间波形、流量柱状图显示流量</w:t>
      </w:r>
      <w:r>
        <w:rPr>
          <w:rFonts w:ascii="宋体" w:hAnsi="宋体" w:eastAsia="宋体" w:cs="Arial"/>
          <w:sz w:val="24"/>
          <w:szCs w:val="24"/>
          <w:shd w:val="clear" w:color="auto" w:fill="FFFFFF"/>
        </w:rPr>
        <w:t>。</w:t>
      </w:r>
    </w:p>
    <w:p w14:paraId="11ACA147">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ascii="宋体" w:hAnsi="宋体" w:eastAsia="宋体" w:cs="Arial"/>
          <w:sz w:val="24"/>
          <w:szCs w:val="24"/>
          <w:shd w:val="clear" w:color="auto" w:fill="FFFFFF"/>
        </w:rPr>
        <w:t>内置电子空氧混合器，氧浓度调节范围：21%-100%，精度±3%。</w:t>
      </w:r>
    </w:p>
    <w:p w14:paraId="24D41B3A">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内置氧传感器，监测范围0-100%，精度±2%。</w:t>
      </w:r>
    </w:p>
    <w:p w14:paraId="4224888E">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val="en-US" w:eastAsia="zh-CN"/>
        </w:rPr>
        <w:t>具有氧浓度自动校准功能</w:t>
      </w:r>
      <w:r>
        <w:rPr>
          <w:rFonts w:ascii="宋体" w:hAnsi="宋体" w:eastAsia="宋体" w:cs="Arial"/>
          <w:sz w:val="24"/>
          <w:szCs w:val="24"/>
          <w:shd w:val="clear" w:color="auto" w:fill="FFFFFF"/>
        </w:rPr>
        <w:t>。</w:t>
      </w:r>
    </w:p>
    <w:p w14:paraId="35F16DE3">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通气模式：</w:t>
      </w:r>
    </w:p>
    <w:p w14:paraId="300AAAF4">
      <w:pPr>
        <w:widowControl/>
        <w:numPr>
          <w:ilvl w:val="1"/>
          <w:numId w:val="8"/>
        </w:numPr>
        <w:shd w:val="clear" w:color="auto" w:fill="FFFFFF"/>
        <w:spacing w:line="360" w:lineRule="auto"/>
        <w:ind w:left="0" w:leftChars="0" w:firstLine="0" w:firstLineChars="0"/>
        <w:jc w:val="left"/>
        <w:rPr>
          <w:rFonts w:hint="eastAsia" w:ascii="宋体" w:hAnsi="宋体" w:eastAsia="宋体" w:cs="Arial"/>
          <w:sz w:val="24"/>
          <w:szCs w:val="24"/>
          <w:shd w:val="clear" w:color="auto" w:fill="FFFFFF"/>
          <w:lang w:val="en-US" w:eastAsia="zh-CN"/>
        </w:rPr>
      </w:pPr>
      <w:r>
        <w:rPr>
          <w:rFonts w:hint="eastAsia" w:ascii="宋体" w:hAnsi="宋体" w:eastAsia="宋体" w:cs="Arial"/>
          <w:sz w:val="24"/>
          <w:szCs w:val="24"/>
          <w:shd w:val="clear" w:color="auto" w:fill="FFFFFF"/>
          <w:lang w:val="en-US" w:eastAsia="zh-CN"/>
        </w:rPr>
        <w:t>经鼻持续气道正压通气：</w:t>
      </w:r>
      <w:r>
        <w:rPr>
          <w:rFonts w:hint="eastAsia" w:ascii="宋体" w:hAnsi="宋体" w:eastAsia="宋体" w:cs="Arial"/>
          <w:sz w:val="24"/>
          <w:szCs w:val="24"/>
          <w:shd w:val="clear" w:color="auto" w:fill="FFFFFF"/>
        </w:rPr>
        <w:t>NCPAP</w:t>
      </w:r>
    </w:p>
    <w:p w14:paraId="2BDB378D">
      <w:pPr>
        <w:widowControl/>
        <w:numPr>
          <w:ilvl w:val="1"/>
          <w:numId w:val="8"/>
        </w:numPr>
        <w:shd w:val="clear" w:color="auto" w:fill="FFFFFF"/>
        <w:spacing w:line="360" w:lineRule="auto"/>
        <w:ind w:left="0" w:leftChars="0" w:firstLine="0" w:firstLineChars="0"/>
        <w:jc w:val="left"/>
        <w:rPr>
          <w:rFonts w:hint="eastAsia" w:ascii="宋体" w:hAnsi="宋体" w:eastAsia="宋体" w:cs="Arial"/>
          <w:sz w:val="24"/>
          <w:szCs w:val="24"/>
          <w:shd w:val="clear" w:color="auto" w:fill="FFFFFF"/>
          <w:lang w:val="en-US" w:eastAsia="zh-CN"/>
        </w:rPr>
      </w:pPr>
      <w:r>
        <w:rPr>
          <w:rFonts w:hint="eastAsia" w:ascii="宋体" w:hAnsi="宋体" w:eastAsia="宋体" w:cs="Arial"/>
          <w:sz w:val="24"/>
          <w:szCs w:val="24"/>
          <w:shd w:val="clear" w:color="auto" w:fill="FFFFFF"/>
          <w:lang w:val="en-US" w:eastAsia="zh-CN"/>
        </w:rPr>
        <w:t>经鼻间歇正压通气：</w:t>
      </w:r>
      <w:r>
        <w:rPr>
          <w:rFonts w:hint="eastAsia" w:ascii="宋体" w:hAnsi="宋体" w:eastAsia="宋体" w:cs="Arial"/>
          <w:sz w:val="24"/>
          <w:szCs w:val="24"/>
          <w:shd w:val="clear" w:color="auto" w:fill="FFFFFF"/>
        </w:rPr>
        <w:t>NIPPV</w:t>
      </w:r>
    </w:p>
    <w:p w14:paraId="3BD6D09E">
      <w:pPr>
        <w:widowControl/>
        <w:numPr>
          <w:ilvl w:val="1"/>
          <w:numId w:val="8"/>
        </w:numPr>
        <w:shd w:val="clear" w:color="auto" w:fill="FFFFFF"/>
        <w:spacing w:line="360" w:lineRule="auto"/>
        <w:ind w:left="0" w:leftChars="0" w:firstLine="0" w:firstLineChars="0"/>
        <w:jc w:val="left"/>
        <w:rPr>
          <w:rFonts w:ascii="宋体" w:hAnsi="宋体" w:eastAsia="宋体" w:cs="Arial"/>
          <w:sz w:val="24"/>
          <w:szCs w:val="24"/>
          <w:shd w:val="clear" w:color="auto" w:fill="FFFFFF"/>
        </w:rPr>
      </w:pPr>
      <w:r>
        <w:rPr>
          <w:rFonts w:ascii="宋体" w:hAnsi="宋体" w:eastAsia="宋体" w:cs="Arial"/>
          <w:sz w:val="24"/>
          <w:szCs w:val="24"/>
          <w:shd w:val="clear" w:color="auto" w:fill="FFFFFF"/>
          <w:lang w:val="en-US" w:eastAsia="zh-CN"/>
        </w:rPr>
        <w:t>同步经鼻间歇正压通气</w:t>
      </w:r>
      <w:r>
        <w:rPr>
          <w:rFonts w:hint="eastAsia" w:ascii="宋体" w:hAnsi="宋体" w:eastAsia="宋体" w:cs="Arial"/>
          <w:sz w:val="24"/>
          <w:szCs w:val="24"/>
          <w:shd w:val="clear" w:color="auto" w:fill="FFFFFF"/>
          <w:lang w:val="en-US" w:eastAsia="zh-CN"/>
        </w:rPr>
        <w:t>：</w:t>
      </w:r>
      <w:r>
        <w:rPr>
          <w:rFonts w:hint="eastAsia" w:ascii="宋体" w:hAnsi="宋体" w:eastAsia="宋体" w:cs="Arial"/>
          <w:sz w:val="24"/>
          <w:szCs w:val="24"/>
          <w:shd w:val="clear" w:color="auto" w:fill="FFFFFF"/>
        </w:rPr>
        <w:t>SNIPPV</w:t>
      </w:r>
    </w:p>
    <w:p w14:paraId="74AF6AF7">
      <w:pPr>
        <w:widowControl/>
        <w:numPr>
          <w:ilvl w:val="1"/>
          <w:numId w:val="8"/>
        </w:numPr>
        <w:shd w:val="clear" w:color="auto" w:fill="FFFFFF"/>
        <w:spacing w:line="360" w:lineRule="auto"/>
        <w:ind w:left="0" w:leftChars="0" w:firstLine="0" w:firstLineChars="0"/>
        <w:jc w:val="left"/>
        <w:rPr>
          <w:rFonts w:ascii="宋体" w:hAnsi="宋体" w:eastAsia="宋体" w:cs="Arial"/>
          <w:sz w:val="24"/>
          <w:szCs w:val="24"/>
          <w:shd w:val="clear" w:color="auto" w:fill="FFFFFF"/>
        </w:rPr>
      </w:pPr>
      <w:r>
        <w:rPr>
          <w:rFonts w:hint="eastAsia" w:asciiTheme="minorEastAsia" w:hAnsiTheme="minorEastAsia"/>
          <w:sz w:val="24"/>
        </w:rPr>
        <w:t>★</w:t>
      </w:r>
      <w:r>
        <w:rPr>
          <w:rFonts w:hint="eastAsia" w:ascii="宋体" w:hAnsi="宋体" w:eastAsia="宋体" w:cs="Arial"/>
          <w:sz w:val="24"/>
          <w:szCs w:val="24"/>
          <w:shd w:val="clear" w:color="auto" w:fill="FFFFFF"/>
          <w:lang w:val="en-US" w:eastAsia="zh-CN"/>
        </w:rPr>
        <w:t>可配</w:t>
      </w:r>
      <w:r>
        <w:rPr>
          <w:rFonts w:ascii="宋体" w:hAnsi="宋体" w:eastAsia="宋体" w:cs="Arial"/>
          <w:sz w:val="24"/>
          <w:szCs w:val="24"/>
          <w:shd w:val="clear" w:color="auto" w:fill="FFFFFF"/>
          <w:lang w:val="en-US" w:eastAsia="zh-CN"/>
        </w:rPr>
        <w:t>经鼻双水平气道正压通气</w:t>
      </w:r>
      <w:r>
        <w:rPr>
          <w:rFonts w:hint="eastAsia" w:ascii="宋体" w:hAnsi="宋体" w:eastAsia="宋体" w:cs="Arial"/>
          <w:sz w:val="24"/>
          <w:szCs w:val="24"/>
          <w:shd w:val="clear" w:color="auto" w:fill="FFFFFF"/>
          <w:lang w:val="en-US" w:eastAsia="zh-CN"/>
        </w:rPr>
        <w:t>：DuoVent</w:t>
      </w:r>
    </w:p>
    <w:p w14:paraId="29580D0D">
      <w:pPr>
        <w:widowControl/>
        <w:numPr>
          <w:ilvl w:val="1"/>
          <w:numId w:val="8"/>
        </w:numPr>
        <w:shd w:val="clear" w:color="auto" w:fill="FFFFFF"/>
        <w:spacing w:line="360" w:lineRule="auto"/>
        <w:ind w:left="0" w:leftChars="0" w:firstLine="0"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val="en-US" w:eastAsia="zh-CN"/>
        </w:rPr>
        <w:t>经鼻</w:t>
      </w:r>
      <w:r>
        <w:rPr>
          <w:rFonts w:ascii="宋体" w:hAnsi="宋体" w:eastAsia="宋体" w:cs="Arial"/>
          <w:sz w:val="24"/>
          <w:szCs w:val="24"/>
          <w:shd w:val="clear" w:color="auto" w:fill="FFFFFF"/>
          <w:lang w:val="en-US" w:eastAsia="zh-CN"/>
        </w:rPr>
        <w:t>高流量氧疗</w:t>
      </w:r>
      <w:r>
        <w:rPr>
          <w:rFonts w:hint="eastAsia" w:ascii="宋体" w:hAnsi="宋体" w:eastAsia="宋体" w:cs="Arial"/>
          <w:sz w:val="24"/>
          <w:szCs w:val="24"/>
          <w:shd w:val="clear" w:color="auto" w:fill="FFFFFF"/>
          <w:lang w:val="en-US" w:eastAsia="zh-CN"/>
        </w:rPr>
        <w:t>：</w:t>
      </w:r>
      <w:r>
        <w:rPr>
          <w:rFonts w:hint="eastAsia" w:ascii="宋体" w:hAnsi="宋体" w:eastAsia="宋体" w:cs="Arial"/>
          <w:sz w:val="24"/>
          <w:szCs w:val="24"/>
          <w:shd w:val="clear" w:color="auto" w:fill="FFFFFF"/>
        </w:rPr>
        <w:t>HFNC</w:t>
      </w:r>
    </w:p>
    <w:p w14:paraId="307C54B4">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val="en-US" w:eastAsia="zh-CN"/>
        </w:rPr>
        <w:t>参数设定：</w:t>
      </w:r>
    </w:p>
    <w:p w14:paraId="05074AFF">
      <w:pPr>
        <w:widowControl/>
        <w:numPr>
          <w:ilvl w:val="1"/>
          <w:numId w:val="8"/>
        </w:numPr>
        <w:shd w:val="clear" w:color="auto" w:fill="FFFFFF"/>
        <w:spacing w:line="360" w:lineRule="auto"/>
        <w:ind w:left="0" w:leftChars="0" w:firstLine="0" w:firstLineChars="0"/>
        <w:jc w:val="left"/>
        <w:rPr>
          <w:rFonts w:ascii="宋体" w:hAnsi="宋体" w:eastAsia="宋体" w:cs="Arial"/>
          <w:sz w:val="24"/>
          <w:szCs w:val="24"/>
          <w:shd w:val="clear" w:color="auto" w:fill="FFFFFF"/>
        </w:rPr>
      </w:pPr>
      <w:r>
        <w:rPr>
          <w:rFonts w:ascii="宋体" w:hAnsi="宋体" w:eastAsia="宋体" w:cs="Arial"/>
          <w:sz w:val="24"/>
          <w:szCs w:val="24"/>
          <w:shd w:val="clear" w:color="auto" w:fill="FFFFFF"/>
        </w:rPr>
        <w:t>吸气压力：2.0cmH2O-25cmH2O</w:t>
      </w:r>
    </w:p>
    <w:p w14:paraId="7278ED6C">
      <w:pPr>
        <w:widowControl/>
        <w:numPr>
          <w:ilvl w:val="1"/>
          <w:numId w:val="8"/>
        </w:numPr>
        <w:shd w:val="clear" w:color="auto" w:fill="FFFFFF"/>
        <w:spacing w:line="360" w:lineRule="auto"/>
        <w:ind w:left="0" w:leftChars="0" w:firstLine="0" w:firstLineChars="0"/>
        <w:jc w:val="left"/>
        <w:rPr>
          <w:rFonts w:ascii="宋体" w:hAnsi="宋体" w:eastAsia="宋体" w:cs="Arial"/>
          <w:sz w:val="24"/>
          <w:szCs w:val="24"/>
          <w:shd w:val="clear" w:color="auto" w:fill="FFFFFF"/>
        </w:rPr>
      </w:pPr>
      <w:r>
        <w:rPr>
          <w:rFonts w:ascii="宋体" w:hAnsi="宋体" w:eastAsia="宋体" w:cs="Arial"/>
          <w:sz w:val="24"/>
          <w:szCs w:val="24"/>
          <w:shd w:val="clear" w:color="auto" w:fill="FFFFFF"/>
        </w:rPr>
        <w:t>呼</w:t>
      </w:r>
      <w:r>
        <w:rPr>
          <w:rFonts w:hint="eastAsia" w:ascii="宋体" w:hAnsi="宋体" w:eastAsia="宋体" w:cs="Arial"/>
          <w:sz w:val="24"/>
          <w:szCs w:val="24"/>
          <w:shd w:val="clear" w:color="auto" w:fill="FFFFFF"/>
          <w:lang w:val="en-US" w:eastAsia="zh-CN"/>
        </w:rPr>
        <w:t>气</w:t>
      </w:r>
      <w:r>
        <w:rPr>
          <w:rFonts w:ascii="宋体" w:hAnsi="宋体" w:eastAsia="宋体" w:cs="Arial"/>
          <w:sz w:val="24"/>
          <w:szCs w:val="24"/>
          <w:shd w:val="clear" w:color="auto" w:fill="FFFFFF"/>
        </w:rPr>
        <w:t>末正压：1.0cmH2O-15cmH2O</w:t>
      </w:r>
    </w:p>
    <w:p w14:paraId="1678544E">
      <w:pPr>
        <w:widowControl/>
        <w:numPr>
          <w:ilvl w:val="1"/>
          <w:numId w:val="8"/>
        </w:numPr>
        <w:shd w:val="clear" w:color="auto" w:fill="FFFFFF"/>
        <w:spacing w:line="360" w:lineRule="auto"/>
        <w:ind w:left="0" w:leftChars="0" w:firstLine="0"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val="en-US" w:eastAsia="zh-CN"/>
        </w:rPr>
        <w:t>呼吸频率：1/min-120/min</w:t>
      </w:r>
    </w:p>
    <w:p w14:paraId="61DC5897">
      <w:pPr>
        <w:widowControl/>
        <w:numPr>
          <w:ilvl w:val="1"/>
          <w:numId w:val="8"/>
        </w:numPr>
        <w:shd w:val="clear" w:color="auto" w:fill="FFFFFF"/>
        <w:spacing w:line="360" w:lineRule="auto"/>
        <w:ind w:left="0" w:leftChars="0" w:firstLine="0" w:firstLineChars="0"/>
        <w:jc w:val="left"/>
        <w:rPr>
          <w:rFonts w:ascii="宋体" w:hAnsi="宋体" w:eastAsia="宋体" w:cs="Arial"/>
          <w:sz w:val="24"/>
          <w:szCs w:val="24"/>
          <w:shd w:val="clear" w:color="auto" w:fill="FFFFFF"/>
        </w:rPr>
      </w:pPr>
      <w:r>
        <w:rPr>
          <w:rFonts w:ascii="宋体" w:hAnsi="宋体" w:eastAsia="宋体" w:cs="Arial"/>
          <w:sz w:val="24"/>
          <w:szCs w:val="24"/>
          <w:shd w:val="clear" w:color="auto" w:fill="FFFFFF"/>
          <w:lang w:val="en-US" w:eastAsia="zh-CN"/>
        </w:rPr>
        <w:t>吸气时间</w:t>
      </w:r>
      <w:r>
        <w:rPr>
          <w:rFonts w:hint="eastAsia" w:ascii="宋体" w:hAnsi="宋体" w:eastAsia="宋体" w:cs="Arial"/>
          <w:sz w:val="24"/>
          <w:szCs w:val="24"/>
          <w:shd w:val="clear" w:color="auto" w:fill="FFFFFF"/>
          <w:lang w:val="en-US" w:eastAsia="zh-CN"/>
        </w:rPr>
        <w:t>：0.1-15s</w:t>
      </w:r>
    </w:p>
    <w:p w14:paraId="5D8ED3F5">
      <w:pPr>
        <w:widowControl/>
        <w:numPr>
          <w:ilvl w:val="1"/>
          <w:numId w:val="8"/>
        </w:numPr>
        <w:shd w:val="clear" w:color="auto" w:fill="FFFFFF"/>
        <w:spacing w:line="360" w:lineRule="auto"/>
        <w:ind w:left="0" w:leftChars="0" w:firstLine="0" w:firstLineChars="0"/>
        <w:jc w:val="left"/>
        <w:rPr>
          <w:rFonts w:ascii="宋体" w:hAnsi="宋体" w:eastAsia="宋体" w:cs="Arial"/>
          <w:sz w:val="24"/>
          <w:szCs w:val="24"/>
          <w:shd w:val="clear" w:color="auto" w:fill="FFFFFF"/>
        </w:rPr>
      </w:pPr>
      <w:r>
        <w:rPr>
          <w:rFonts w:hint="eastAsia" w:asciiTheme="minorEastAsia" w:hAnsiTheme="minorEastAsia"/>
          <w:sz w:val="24"/>
        </w:rPr>
        <w:t>★</w:t>
      </w:r>
      <w:r>
        <w:rPr>
          <w:rFonts w:hint="eastAsia" w:ascii="宋体" w:hAnsi="宋体" w:eastAsia="宋体" w:cs="Arial"/>
          <w:sz w:val="24"/>
          <w:szCs w:val="24"/>
          <w:shd w:val="clear" w:color="auto" w:fill="FFFFFF"/>
          <w:lang w:val="en-US" w:eastAsia="zh-CN"/>
        </w:rPr>
        <w:t>流量调节：</w:t>
      </w:r>
      <w:r>
        <w:rPr>
          <w:rFonts w:ascii="宋体" w:hAnsi="宋体" w:eastAsia="宋体" w:cs="Arial"/>
          <w:sz w:val="24"/>
          <w:szCs w:val="24"/>
          <w:shd w:val="clear" w:color="auto" w:fill="FFFFFF"/>
        </w:rPr>
        <w:t>0.5L/min-25L/min</w:t>
      </w:r>
    </w:p>
    <w:p w14:paraId="12296DBB">
      <w:pPr>
        <w:widowControl/>
        <w:numPr>
          <w:ilvl w:val="1"/>
          <w:numId w:val="8"/>
        </w:numPr>
        <w:shd w:val="clear" w:color="auto" w:fill="FFFFFF"/>
        <w:spacing w:line="360" w:lineRule="auto"/>
        <w:ind w:left="0" w:leftChars="0" w:firstLine="0"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窒息唤醒次数：OFF，1～10</w:t>
      </w:r>
    </w:p>
    <w:p w14:paraId="69A34ECB">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val="en-US" w:eastAsia="zh-CN"/>
        </w:rPr>
        <w:t>参数监测：</w:t>
      </w:r>
    </w:p>
    <w:p w14:paraId="40418377">
      <w:pPr>
        <w:widowControl/>
        <w:numPr>
          <w:ilvl w:val="1"/>
          <w:numId w:val="8"/>
        </w:numPr>
        <w:shd w:val="clear" w:color="auto" w:fill="FFFFFF"/>
        <w:spacing w:line="360" w:lineRule="auto"/>
        <w:ind w:left="0" w:leftChars="0" w:firstLine="0" w:firstLineChars="0"/>
        <w:jc w:val="left"/>
        <w:rPr>
          <w:rFonts w:hint="default" w:ascii="宋体" w:hAnsi="宋体" w:eastAsia="宋体" w:cs="Arial"/>
          <w:sz w:val="24"/>
          <w:szCs w:val="24"/>
          <w:shd w:val="clear" w:color="auto" w:fill="FFFFFF"/>
          <w:lang w:val="en-US"/>
        </w:rPr>
      </w:pPr>
      <w:r>
        <w:rPr>
          <w:rFonts w:hint="eastAsia" w:asciiTheme="minorEastAsia" w:hAnsiTheme="minorEastAsia"/>
          <w:sz w:val="24"/>
        </w:rPr>
        <w:t>★</w:t>
      </w:r>
      <w:r>
        <w:rPr>
          <w:rFonts w:hint="default" w:ascii="宋体" w:hAnsi="宋体" w:eastAsia="宋体" w:cs="Arial"/>
          <w:sz w:val="24"/>
          <w:szCs w:val="24"/>
          <w:shd w:val="clear" w:color="auto" w:fill="FFFFFF"/>
          <w:lang w:val="en-US"/>
        </w:rPr>
        <w:t>吸气压力</w:t>
      </w:r>
      <w:r>
        <w:rPr>
          <w:rFonts w:hint="eastAsia" w:ascii="宋体" w:hAnsi="宋体" w:eastAsia="宋体" w:cs="Arial"/>
          <w:sz w:val="24"/>
          <w:szCs w:val="24"/>
          <w:shd w:val="clear" w:color="auto" w:fill="FFFFFF"/>
          <w:lang w:val="en-US" w:eastAsia="zh-CN"/>
        </w:rPr>
        <w:t>/</w:t>
      </w:r>
      <w:r>
        <w:rPr>
          <w:rFonts w:hint="default" w:ascii="宋体" w:hAnsi="宋体" w:eastAsia="宋体" w:cs="Arial"/>
          <w:sz w:val="24"/>
          <w:szCs w:val="24"/>
          <w:shd w:val="clear" w:color="auto" w:fill="FFFFFF"/>
          <w:lang w:val="en-US"/>
        </w:rPr>
        <w:t>呼末正压：-30cmH2O～120cmH2O</w:t>
      </w:r>
    </w:p>
    <w:p w14:paraId="410AF5FF">
      <w:pPr>
        <w:widowControl/>
        <w:numPr>
          <w:ilvl w:val="1"/>
          <w:numId w:val="8"/>
        </w:numPr>
        <w:shd w:val="clear" w:color="auto" w:fill="FFFFFF"/>
        <w:spacing w:line="360" w:lineRule="auto"/>
        <w:ind w:left="0" w:leftChars="0" w:firstLine="0" w:firstLineChars="0"/>
        <w:jc w:val="left"/>
        <w:rPr>
          <w:rFonts w:hint="default" w:ascii="宋体" w:hAnsi="宋体" w:eastAsia="宋体" w:cs="Arial"/>
          <w:sz w:val="24"/>
          <w:szCs w:val="24"/>
          <w:shd w:val="clear" w:color="auto" w:fill="FFFFFF"/>
          <w:lang w:val="en-US"/>
        </w:rPr>
      </w:pPr>
      <w:r>
        <w:rPr>
          <w:rFonts w:hint="eastAsia" w:asciiTheme="minorEastAsia" w:hAnsiTheme="minorEastAsia"/>
          <w:sz w:val="24"/>
        </w:rPr>
        <w:t>★</w:t>
      </w:r>
      <w:r>
        <w:rPr>
          <w:rFonts w:hint="default" w:ascii="宋体" w:hAnsi="宋体" w:eastAsia="宋体" w:cs="Arial"/>
          <w:sz w:val="24"/>
          <w:szCs w:val="24"/>
          <w:shd w:val="clear" w:color="auto" w:fill="FFFFFF"/>
          <w:lang w:val="en-US"/>
        </w:rPr>
        <w:t>自主呼吸频率：0/min～300/min</w:t>
      </w:r>
    </w:p>
    <w:p w14:paraId="6190D444">
      <w:pPr>
        <w:widowControl/>
        <w:numPr>
          <w:ilvl w:val="1"/>
          <w:numId w:val="8"/>
        </w:numPr>
        <w:shd w:val="clear" w:color="auto" w:fill="FFFFFF"/>
        <w:spacing w:line="360" w:lineRule="auto"/>
        <w:ind w:left="0" w:leftChars="0" w:firstLine="0"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val="en-US" w:eastAsia="zh-CN"/>
        </w:rPr>
        <w:t>流量：</w:t>
      </w:r>
      <w:r>
        <w:rPr>
          <w:rFonts w:hint="eastAsia" w:ascii="宋体" w:hAnsi="宋体" w:eastAsia="宋体" w:cs="Arial"/>
          <w:sz w:val="24"/>
          <w:szCs w:val="24"/>
          <w:shd w:val="clear" w:color="auto" w:fill="FFFFFF"/>
        </w:rPr>
        <w:t>0L/min～40L/min</w:t>
      </w:r>
    </w:p>
    <w:p w14:paraId="4D077A22">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Theme="minorEastAsia" w:hAnsiTheme="minorEastAsia"/>
          <w:sz w:val="24"/>
        </w:rPr>
        <w:t>★</w:t>
      </w:r>
      <w:r>
        <w:rPr>
          <w:rFonts w:ascii="宋体" w:hAnsi="宋体" w:eastAsia="宋体"/>
          <w:sz w:val="24"/>
          <w:szCs w:val="24"/>
        </w:rPr>
        <w:t>具备HFNC高流量氧疗模式：流量可调范围上限≥</w:t>
      </w:r>
      <w:r>
        <w:rPr>
          <w:rFonts w:ascii="宋体" w:hAnsi="宋体" w:eastAsia="宋体" w:cs="Arial"/>
          <w:sz w:val="24"/>
          <w:szCs w:val="24"/>
          <w:shd w:val="clear" w:color="auto" w:fill="FFFFFF"/>
        </w:rPr>
        <w:t>25L/min。</w:t>
      </w:r>
    </w:p>
    <w:p w14:paraId="32E55606">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val="en-US" w:eastAsia="zh-CN"/>
        </w:rPr>
        <w:t>支持</w:t>
      </w:r>
      <w:r>
        <w:rPr>
          <w:rFonts w:hint="eastAsia" w:ascii="宋体" w:hAnsi="宋体" w:eastAsia="宋体" w:cs="Arial"/>
          <w:sz w:val="24"/>
          <w:szCs w:val="24"/>
          <w:shd w:val="clear" w:color="auto" w:fill="FFFFFF"/>
        </w:rPr>
        <w:t>快</w:t>
      </w:r>
      <w:r>
        <w:rPr>
          <w:rFonts w:ascii="宋体" w:hAnsi="宋体" w:eastAsia="宋体" w:cs="Arial"/>
          <w:sz w:val="24"/>
          <w:szCs w:val="24"/>
          <w:shd w:val="clear" w:color="auto" w:fill="FFFFFF"/>
        </w:rPr>
        <w:t>氧通气：</w:t>
      </w:r>
      <w:r>
        <w:rPr>
          <w:rFonts w:hint="eastAsia" w:ascii="宋体" w:hAnsi="宋体" w:eastAsia="宋体" w:cs="Arial"/>
          <w:sz w:val="24"/>
          <w:szCs w:val="24"/>
          <w:shd w:val="clear" w:color="auto" w:fill="FFFFFF"/>
          <w:lang w:val="en-US" w:eastAsia="zh-CN"/>
        </w:rPr>
        <w:t>氧</w:t>
      </w:r>
      <w:r>
        <w:rPr>
          <w:rFonts w:ascii="宋体" w:hAnsi="宋体" w:eastAsia="宋体" w:cs="Arial"/>
          <w:sz w:val="24"/>
          <w:szCs w:val="24"/>
          <w:shd w:val="clear" w:color="auto" w:fill="FFFFFF"/>
        </w:rPr>
        <w:t>浓度22%-100%</w:t>
      </w:r>
      <w:r>
        <w:rPr>
          <w:rFonts w:hint="eastAsia" w:ascii="宋体" w:hAnsi="宋体" w:eastAsia="宋体" w:cs="Arial"/>
          <w:sz w:val="24"/>
          <w:szCs w:val="24"/>
          <w:shd w:val="clear" w:color="auto" w:fill="FFFFFF"/>
          <w:lang w:val="en-US" w:eastAsia="zh-CN"/>
        </w:rPr>
        <w:t xml:space="preserve"> 连续</w:t>
      </w:r>
      <w:r>
        <w:rPr>
          <w:rFonts w:ascii="宋体" w:hAnsi="宋体" w:eastAsia="宋体" w:cs="Arial"/>
          <w:sz w:val="24"/>
          <w:szCs w:val="24"/>
          <w:shd w:val="clear" w:color="auto" w:fill="FFFFFF"/>
        </w:rPr>
        <w:t>可调。</w:t>
      </w:r>
    </w:p>
    <w:p w14:paraId="23E7DBD8">
      <w:pPr>
        <w:widowControl/>
        <w:numPr>
          <w:ilvl w:val="0"/>
          <w:numId w:val="8"/>
        </w:numPr>
        <w:shd w:val="clear" w:color="auto" w:fill="FFFFFF"/>
        <w:spacing w:line="360" w:lineRule="auto"/>
        <w:ind w:left="425" w:leftChars="0" w:hanging="425" w:firstLineChars="0"/>
        <w:jc w:val="left"/>
        <w:rPr>
          <w:rFonts w:ascii="宋体" w:hAnsi="宋体" w:eastAsia="宋体" w:cs="Arial"/>
          <w:kern w:val="0"/>
          <w:sz w:val="24"/>
          <w:szCs w:val="24"/>
        </w:rPr>
      </w:pPr>
      <w:r>
        <w:rPr>
          <w:rFonts w:hint="eastAsia" w:ascii="宋体" w:hAnsi="宋体" w:eastAsia="宋体" w:cs="Arial"/>
          <w:sz w:val="24"/>
          <w:szCs w:val="24"/>
          <w:shd w:val="clear" w:color="auto" w:fill="FFFFFF"/>
          <w:lang w:val="en-US" w:eastAsia="zh-CN"/>
        </w:rPr>
        <w:t>支持</w:t>
      </w:r>
      <w:r>
        <w:rPr>
          <w:rFonts w:ascii="宋体" w:hAnsi="宋体" w:eastAsia="宋体" w:cs="Arial"/>
          <w:kern w:val="0"/>
          <w:sz w:val="24"/>
          <w:szCs w:val="24"/>
        </w:rPr>
        <w:t>手动通气，通气时间1s-30s可调</w:t>
      </w:r>
      <w:r>
        <w:rPr>
          <w:rFonts w:hint="eastAsia" w:ascii="宋体" w:hAnsi="宋体" w:eastAsia="宋体" w:cs="Arial"/>
          <w:kern w:val="0"/>
          <w:sz w:val="24"/>
          <w:szCs w:val="24"/>
          <w:lang w:eastAsia="zh-CN"/>
        </w:rPr>
        <w:t>。</w:t>
      </w:r>
    </w:p>
    <w:p w14:paraId="2321FEB2">
      <w:pPr>
        <w:widowControl/>
        <w:numPr>
          <w:ilvl w:val="0"/>
          <w:numId w:val="8"/>
        </w:numPr>
        <w:shd w:val="clear" w:color="auto" w:fill="FFFFFF"/>
        <w:spacing w:line="360" w:lineRule="auto"/>
        <w:ind w:left="425" w:leftChars="0" w:hanging="425" w:firstLineChars="0"/>
        <w:jc w:val="left"/>
        <w:rPr>
          <w:rFonts w:ascii="宋体" w:hAnsi="宋体" w:eastAsia="宋体" w:cs="Arial"/>
          <w:kern w:val="0"/>
          <w:sz w:val="24"/>
          <w:szCs w:val="24"/>
        </w:rPr>
      </w:pPr>
      <w:r>
        <w:rPr>
          <w:rFonts w:hint="eastAsia" w:ascii="宋体" w:hAnsi="宋体" w:eastAsia="宋体" w:cs="Arial"/>
          <w:kern w:val="0"/>
          <w:sz w:val="24"/>
          <w:szCs w:val="24"/>
        </w:rPr>
        <w:t>手动通气流量调节</w:t>
      </w:r>
      <w:r>
        <w:rPr>
          <w:rFonts w:hint="eastAsia" w:ascii="宋体" w:hAnsi="宋体" w:eastAsia="宋体" w:cs="Arial"/>
          <w:kern w:val="0"/>
          <w:sz w:val="24"/>
          <w:szCs w:val="24"/>
          <w:lang w:eastAsia="zh-CN"/>
        </w:rPr>
        <w:t>：</w:t>
      </w:r>
      <w:r>
        <w:rPr>
          <w:rFonts w:hint="eastAsia" w:ascii="宋体" w:hAnsi="宋体" w:eastAsia="宋体" w:cs="Arial"/>
          <w:kern w:val="0"/>
          <w:sz w:val="24"/>
          <w:szCs w:val="24"/>
        </w:rPr>
        <w:t>2</w:t>
      </w:r>
      <w:r>
        <w:rPr>
          <w:rFonts w:ascii="宋体" w:hAnsi="宋体" w:eastAsia="宋体" w:cs="Arial"/>
          <w:kern w:val="0"/>
          <w:sz w:val="24"/>
          <w:szCs w:val="24"/>
        </w:rPr>
        <w:t>.0</w:t>
      </w:r>
      <w:r>
        <w:rPr>
          <w:rFonts w:hint="eastAsia" w:ascii="宋体" w:hAnsi="宋体" w:eastAsia="宋体" w:cs="Arial"/>
          <w:kern w:val="0"/>
          <w:sz w:val="24"/>
          <w:szCs w:val="24"/>
        </w:rPr>
        <w:t>L/min～30L/min</w:t>
      </w:r>
      <w:r>
        <w:rPr>
          <w:rFonts w:ascii="宋体" w:hAnsi="宋体" w:eastAsia="宋体" w:cs="Arial"/>
          <w:kern w:val="0"/>
          <w:sz w:val="24"/>
          <w:szCs w:val="24"/>
        </w:rPr>
        <w:t>。</w:t>
      </w:r>
    </w:p>
    <w:p w14:paraId="4A3DF3BC">
      <w:pPr>
        <w:widowControl/>
        <w:numPr>
          <w:ilvl w:val="0"/>
          <w:numId w:val="8"/>
        </w:numPr>
        <w:shd w:val="clear" w:color="auto" w:fill="FFFFFF"/>
        <w:spacing w:line="360" w:lineRule="auto"/>
        <w:ind w:left="425" w:leftChars="0" w:hanging="425" w:firstLineChars="0"/>
        <w:jc w:val="left"/>
        <w:rPr>
          <w:rFonts w:ascii="宋体" w:hAnsi="宋体" w:eastAsia="宋体" w:cs="Arial"/>
          <w:kern w:val="0"/>
          <w:sz w:val="24"/>
          <w:szCs w:val="24"/>
        </w:rPr>
      </w:pPr>
      <w:r>
        <w:rPr>
          <w:rFonts w:hint="eastAsia" w:ascii="宋体" w:hAnsi="宋体" w:eastAsia="宋体" w:cs="Arial"/>
          <w:kern w:val="0"/>
          <w:sz w:val="24"/>
          <w:szCs w:val="24"/>
          <w:lang w:eastAsia="zh-CN"/>
        </w:rPr>
        <w:t>可配</w:t>
      </w:r>
      <w:r>
        <w:rPr>
          <w:rFonts w:ascii="宋体" w:hAnsi="宋体" w:eastAsia="宋体" w:cs="Arial"/>
          <w:kern w:val="0"/>
          <w:sz w:val="24"/>
          <w:szCs w:val="24"/>
        </w:rPr>
        <w:t>血氧</w:t>
      </w:r>
      <w:r>
        <w:rPr>
          <w:rFonts w:hint="eastAsia" w:ascii="宋体" w:hAnsi="宋体" w:eastAsia="宋体" w:cs="Arial"/>
          <w:kern w:val="0"/>
          <w:sz w:val="24"/>
          <w:szCs w:val="24"/>
        </w:rPr>
        <w:t>监测</w:t>
      </w:r>
      <w:r>
        <w:rPr>
          <w:rFonts w:ascii="宋体" w:hAnsi="宋体" w:eastAsia="宋体" w:cs="Arial"/>
          <w:kern w:val="0"/>
          <w:sz w:val="24"/>
          <w:szCs w:val="24"/>
        </w:rPr>
        <w:t>功能</w:t>
      </w:r>
      <w:r>
        <w:rPr>
          <w:rFonts w:hint="eastAsia" w:ascii="宋体" w:hAnsi="宋体" w:eastAsia="宋体" w:cs="Arial"/>
          <w:kern w:val="0"/>
          <w:sz w:val="24"/>
          <w:szCs w:val="24"/>
        </w:rPr>
        <w:t>，用于</w:t>
      </w:r>
      <w:r>
        <w:rPr>
          <w:rFonts w:ascii="宋体" w:hAnsi="宋体" w:eastAsia="宋体" w:cs="Arial"/>
          <w:kern w:val="0"/>
          <w:sz w:val="24"/>
          <w:szCs w:val="24"/>
        </w:rPr>
        <w:t>血氧饱和度监测、脉率监测和灌注指数监测</w:t>
      </w:r>
      <w:r>
        <w:rPr>
          <w:rFonts w:hint="eastAsia" w:ascii="宋体" w:hAnsi="宋体" w:eastAsia="宋体" w:cs="Arial"/>
          <w:kern w:val="0"/>
          <w:sz w:val="24"/>
          <w:szCs w:val="24"/>
          <w:lang w:eastAsia="zh-CN"/>
        </w:rPr>
        <w:t>。</w:t>
      </w:r>
    </w:p>
    <w:p w14:paraId="127AAB8C">
      <w:pPr>
        <w:widowControl/>
        <w:numPr>
          <w:ilvl w:val="0"/>
          <w:numId w:val="8"/>
        </w:numPr>
        <w:shd w:val="clear" w:color="auto" w:fill="FFFFFF"/>
        <w:spacing w:line="360" w:lineRule="auto"/>
        <w:ind w:left="425" w:leftChars="0" w:hanging="425" w:firstLineChars="0"/>
        <w:jc w:val="left"/>
        <w:rPr>
          <w:rFonts w:ascii="宋体" w:hAnsi="宋体" w:eastAsia="宋体" w:cs="Arial"/>
          <w:kern w:val="0"/>
          <w:sz w:val="24"/>
          <w:szCs w:val="24"/>
        </w:rPr>
      </w:pPr>
      <w:r>
        <w:rPr>
          <w:rFonts w:hint="eastAsia" w:asciiTheme="minorEastAsia" w:hAnsiTheme="minorEastAsia"/>
          <w:sz w:val="24"/>
        </w:rPr>
        <w:t>★</w:t>
      </w:r>
      <w:r>
        <w:rPr>
          <w:rFonts w:hint="eastAsia" w:ascii="宋体" w:hAnsi="宋体" w:eastAsia="宋体" w:cs="Arial"/>
          <w:sz w:val="24"/>
          <w:szCs w:val="24"/>
          <w:shd w:val="clear" w:color="auto" w:fill="FFFFFF"/>
          <w:lang w:val="en-US" w:eastAsia="zh-CN"/>
        </w:rPr>
        <w:t>可配</w:t>
      </w:r>
      <w:r>
        <w:rPr>
          <w:rFonts w:hint="eastAsia" w:ascii="宋体" w:hAnsi="宋体" w:eastAsia="宋体" w:cs="Arial"/>
          <w:kern w:val="0"/>
          <w:sz w:val="24"/>
          <w:szCs w:val="24"/>
          <w:lang w:val="en-US" w:eastAsia="zh-CN"/>
        </w:rPr>
        <w:t>ROX指数监测，有助于预测HFNC患者的气管插管时机。</w:t>
      </w:r>
    </w:p>
    <w:p w14:paraId="6A34B652">
      <w:pPr>
        <w:widowControl/>
        <w:numPr>
          <w:ilvl w:val="0"/>
          <w:numId w:val="8"/>
        </w:numPr>
        <w:shd w:val="clear" w:color="auto" w:fill="FFFFFF"/>
        <w:spacing w:line="360" w:lineRule="auto"/>
        <w:ind w:left="425" w:leftChars="0" w:hanging="425" w:firstLineChars="0"/>
        <w:jc w:val="left"/>
        <w:rPr>
          <w:rFonts w:ascii="宋体" w:hAnsi="宋体" w:eastAsia="宋体" w:cs="Arial"/>
          <w:kern w:val="0"/>
          <w:sz w:val="24"/>
          <w:szCs w:val="24"/>
        </w:rPr>
      </w:pPr>
      <w:r>
        <w:rPr>
          <w:rFonts w:ascii="宋体" w:hAnsi="宋体" w:eastAsia="宋体" w:cs="Arial"/>
          <w:kern w:val="0"/>
          <w:sz w:val="24"/>
          <w:szCs w:val="24"/>
        </w:rPr>
        <w:t>具备</w:t>
      </w:r>
      <w:r>
        <w:rPr>
          <w:rFonts w:hint="eastAsia" w:ascii="宋体" w:hAnsi="宋体" w:eastAsia="宋体" w:cs="Arial"/>
          <w:kern w:val="0"/>
          <w:sz w:val="24"/>
          <w:szCs w:val="24"/>
          <w:lang w:val="en-US" w:eastAsia="zh-CN"/>
        </w:rPr>
        <w:t>自动</w:t>
      </w:r>
      <w:r>
        <w:rPr>
          <w:rFonts w:ascii="宋体" w:hAnsi="宋体" w:eastAsia="宋体" w:cs="Arial"/>
          <w:kern w:val="0"/>
          <w:sz w:val="24"/>
          <w:szCs w:val="24"/>
        </w:rPr>
        <w:t>泄漏补偿功能。</w:t>
      </w:r>
    </w:p>
    <w:p w14:paraId="034368D2">
      <w:pPr>
        <w:widowControl/>
        <w:numPr>
          <w:ilvl w:val="0"/>
          <w:numId w:val="8"/>
        </w:numPr>
        <w:shd w:val="clear" w:color="auto" w:fill="FFFFFF"/>
        <w:spacing w:line="360" w:lineRule="auto"/>
        <w:ind w:left="425" w:leftChars="0" w:hanging="425" w:firstLineChars="0"/>
        <w:jc w:val="left"/>
        <w:rPr>
          <w:rFonts w:ascii="宋体" w:hAnsi="宋体" w:eastAsia="宋体" w:cs="Arial"/>
          <w:kern w:val="0"/>
          <w:sz w:val="24"/>
          <w:szCs w:val="24"/>
        </w:rPr>
      </w:pPr>
      <w:r>
        <w:rPr>
          <w:rFonts w:ascii="宋体" w:hAnsi="宋体" w:eastAsia="宋体" w:cs="Arial"/>
          <w:kern w:val="0"/>
          <w:sz w:val="24"/>
          <w:szCs w:val="24"/>
        </w:rPr>
        <w:t>报警：具有手动/自动设置报警上下限功能。</w:t>
      </w:r>
    </w:p>
    <w:p w14:paraId="4C18EB86">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宋体" w:hAnsi="宋体" w:eastAsia="宋体" w:cs="Arial"/>
          <w:kern w:val="0"/>
          <w:sz w:val="24"/>
          <w:szCs w:val="24"/>
        </w:rPr>
        <w:t>应具有日志功能、趋势图和趋势表功能，并支持存储和导出功能。</w:t>
      </w:r>
    </w:p>
    <w:p w14:paraId="18ADCC00">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ascii="宋体" w:hAnsi="宋体" w:eastAsia="宋体"/>
          <w:sz w:val="24"/>
          <w:szCs w:val="28"/>
        </w:rPr>
        <w:t>具备</w:t>
      </w:r>
      <w:r>
        <w:rPr>
          <w:rFonts w:hint="eastAsia" w:ascii="宋体" w:hAnsi="宋体" w:eastAsia="宋体"/>
          <w:sz w:val="24"/>
          <w:szCs w:val="28"/>
          <w:lang w:val="en-US" w:eastAsia="zh-CN"/>
        </w:rPr>
        <w:t>快照/</w:t>
      </w:r>
      <w:r>
        <w:rPr>
          <w:rFonts w:ascii="宋体" w:hAnsi="宋体" w:eastAsia="宋体"/>
          <w:sz w:val="24"/>
          <w:szCs w:val="28"/>
        </w:rPr>
        <w:t>截屏功能，</w:t>
      </w:r>
      <w:r>
        <w:rPr>
          <w:rFonts w:hint="eastAsia" w:ascii="宋体" w:hAnsi="宋体" w:eastAsia="宋体"/>
          <w:sz w:val="24"/>
          <w:szCs w:val="28"/>
          <w:lang w:val="en-US" w:eastAsia="zh-CN"/>
        </w:rPr>
        <w:t>并支持存储和导出功能</w:t>
      </w:r>
      <w:r>
        <w:rPr>
          <w:rFonts w:hint="eastAsia" w:ascii="宋体" w:hAnsi="宋体" w:eastAsia="宋体"/>
          <w:sz w:val="24"/>
          <w:szCs w:val="28"/>
          <w:lang w:eastAsia="zh-CN"/>
        </w:rPr>
        <w:t>。</w:t>
      </w:r>
    </w:p>
    <w:p w14:paraId="7310461A">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应具有湿化器外挂导轨、吊臂/水袋支架安装座、空压机安装底盘。</w:t>
      </w:r>
    </w:p>
    <w:p w14:paraId="525E3CCB">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ascii="宋体" w:hAnsi="宋体" w:eastAsia="宋体"/>
          <w:sz w:val="24"/>
          <w:szCs w:val="24"/>
        </w:rPr>
        <w:t>具备充电锂电池，满电续航时间≥4小时</w:t>
      </w:r>
      <w:r>
        <w:rPr>
          <w:rFonts w:ascii="宋体" w:hAnsi="宋体" w:eastAsia="宋体" w:cs="Arial"/>
          <w:sz w:val="24"/>
          <w:szCs w:val="24"/>
          <w:shd w:val="clear" w:color="auto" w:fill="FFFFFF"/>
        </w:rPr>
        <w:t>。</w:t>
      </w:r>
    </w:p>
    <w:p w14:paraId="044F2093">
      <w:pPr>
        <w:widowControl/>
        <w:numPr>
          <w:ilvl w:val="0"/>
          <w:numId w:val="8"/>
        </w:numPr>
        <w:shd w:val="clear" w:color="auto" w:fill="FFFFFF"/>
        <w:spacing w:line="360" w:lineRule="auto"/>
        <w:ind w:left="425" w:leftChars="0" w:hanging="425" w:firstLineChars="0"/>
        <w:jc w:val="left"/>
        <w:rPr>
          <w:rFonts w:ascii="宋体" w:hAnsi="宋体" w:eastAsia="宋体" w:cs="Arial"/>
          <w:sz w:val="24"/>
          <w:szCs w:val="24"/>
          <w:shd w:val="clear" w:color="auto" w:fill="FFFFFF"/>
        </w:rPr>
      </w:pPr>
      <w:r>
        <w:rPr>
          <w:rFonts w:ascii="宋体" w:hAnsi="宋体" w:eastAsia="宋体" w:cs="Arial"/>
          <w:sz w:val="24"/>
          <w:szCs w:val="24"/>
          <w:shd w:val="clear" w:color="auto" w:fill="FFFFFF"/>
        </w:rPr>
        <w:t>提供系统自检功能，图形化提示操作功能。</w:t>
      </w:r>
    </w:p>
    <w:p w14:paraId="6AA15F4C">
      <w:pPr>
        <w:widowControl/>
        <w:numPr>
          <w:ilvl w:val="0"/>
          <w:numId w:val="8"/>
        </w:numPr>
        <w:shd w:val="clear" w:color="auto" w:fill="FFFFFF"/>
        <w:spacing w:line="360" w:lineRule="auto"/>
        <w:ind w:left="425" w:leftChars="0" w:hanging="425" w:firstLineChars="0"/>
        <w:jc w:val="left"/>
        <w:rPr>
          <w:rFonts w:ascii="宋体" w:hAnsi="宋体" w:eastAsia="宋体" w:cs="宋体"/>
          <w:kern w:val="0"/>
          <w:sz w:val="24"/>
          <w:szCs w:val="24"/>
        </w:rPr>
      </w:pPr>
      <w:r>
        <w:rPr>
          <w:rFonts w:hint="eastAsia" w:asciiTheme="minorEastAsia" w:hAnsiTheme="minorEastAsia"/>
          <w:sz w:val="24"/>
        </w:rPr>
        <w:t>★</w:t>
      </w:r>
      <w:r>
        <w:rPr>
          <w:rFonts w:hint="eastAsia" w:ascii="宋体" w:hAnsi="宋体" w:eastAsia="宋体" w:cs="Arial"/>
          <w:sz w:val="24"/>
          <w:szCs w:val="24"/>
          <w:shd w:val="clear" w:color="auto" w:fill="FFFFFF"/>
          <w:lang w:val="en-US" w:eastAsia="zh-CN"/>
        </w:rPr>
        <w:t>具备</w:t>
      </w:r>
      <w:r>
        <w:rPr>
          <w:rFonts w:hint="eastAsia" w:ascii="宋体" w:hAnsi="宋体" w:eastAsia="宋体" w:cs="Arial"/>
          <w:sz w:val="24"/>
          <w:szCs w:val="24"/>
          <w:shd w:val="clear" w:color="auto" w:fill="FFFFFF"/>
        </w:rPr>
        <w:t>空气气源内置积水杯</w:t>
      </w:r>
      <w:r>
        <w:rPr>
          <w:rFonts w:hint="eastAsia" w:ascii="宋体" w:hAnsi="宋体" w:eastAsia="宋体" w:cs="Arial"/>
          <w:sz w:val="24"/>
          <w:szCs w:val="24"/>
          <w:shd w:val="clear" w:color="auto" w:fill="FFFFFF"/>
          <w:lang w:eastAsia="zh-CN"/>
        </w:rPr>
        <w:t>（</w:t>
      </w:r>
      <w:r>
        <w:rPr>
          <w:rFonts w:hint="eastAsia" w:ascii="宋体" w:hAnsi="宋体" w:eastAsia="宋体" w:cs="Arial"/>
          <w:sz w:val="24"/>
          <w:szCs w:val="24"/>
          <w:shd w:val="clear" w:color="auto" w:fill="FFFFFF"/>
          <w:lang w:val="en-US" w:eastAsia="zh-CN"/>
        </w:rPr>
        <w:t>非外置</w:t>
      </w:r>
      <w:r>
        <w:rPr>
          <w:rFonts w:hint="eastAsia" w:ascii="宋体" w:hAnsi="宋体" w:eastAsia="宋体" w:cs="Arial"/>
          <w:sz w:val="24"/>
          <w:szCs w:val="24"/>
          <w:shd w:val="clear" w:color="auto" w:fill="FFFFFF"/>
          <w:lang w:eastAsia="zh-CN"/>
        </w:rPr>
        <w:t>）</w:t>
      </w:r>
      <w:r>
        <w:rPr>
          <w:rFonts w:hint="eastAsia" w:ascii="宋体" w:hAnsi="宋体" w:eastAsia="宋体" w:cs="Arial"/>
          <w:sz w:val="24"/>
          <w:szCs w:val="24"/>
          <w:shd w:val="clear" w:color="auto" w:fill="FFFFFF"/>
        </w:rPr>
        <w:t>，并具有观察窗口。</w:t>
      </w:r>
    </w:p>
    <w:p w14:paraId="18591B1D">
      <w:pPr>
        <w:widowControl/>
        <w:numPr>
          <w:ilvl w:val="0"/>
          <w:numId w:val="8"/>
        </w:numPr>
        <w:shd w:val="clear" w:color="auto" w:fill="FFFFFF"/>
        <w:spacing w:line="360" w:lineRule="auto"/>
        <w:ind w:left="425" w:leftChars="0" w:hanging="425" w:firstLineChars="0"/>
        <w:jc w:val="left"/>
        <w:rPr>
          <w:rFonts w:hint="eastAsia" w:ascii="宋体" w:hAnsi="宋体" w:eastAsia="宋体" w:cs="Arial"/>
          <w:sz w:val="24"/>
          <w:szCs w:val="24"/>
          <w:shd w:val="clear" w:color="auto" w:fill="FFFFFF"/>
          <w:lang w:val="en-US" w:eastAsia="zh-CN"/>
        </w:rPr>
      </w:pPr>
      <w:r>
        <w:rPr>
          <w:rFonts w:hint="eastAsia" w:ascii="宋体" w:hAnsi="宋体" w:eastAsia="宋体" w:cs="Arial"/>
          <w:sz w:val="24"/>
          <w:szCs w:val="24"/>
          <w:shd w:val="clear" w:color="auto" w:fill="FFFFFF"/>
          <w:lang w:val="en-US" w:eastAsia="zh-CN"/>
        </w:rPr>
        <w:t>配置</w:t>
      </w:r>
      <w:r>
        <w:rPr>
          <w:rFonts w:hint="eastAsia" w:ascii="宋体" w:hAnsi="宋体" w:eastAsia="宋体" w:cs="Arial"/>
          <w:sz w:val="24"/>
          <w:szCs w:val="24"/>
          <w:shd w:val="clear" w:color="auto" w:fill="FFFFFF"/>
        </w:rPr>
        <w:t>空压机，与主机同品牌。</w:t>
      </w:r>
    </w:p>
    <w:p w14:paraId="4514C40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、商务要求</w:t>
      </w:r>
    </w:p>
    <w:p w14:paraId="06F2A9E8">
      <w:pPr>
        <w:pStyle w:val="8"/>
        <w:spacing w:before="91" w:line="360" w:lineRule="auto"/>
        <w:ind w:left="5" w:firstLine="240" w:firstLineChars="1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（一）、交货期及地点：</w:t>
      </w:r>
    </w:p>
    <w:p w14:paraId="1A4C5E54">
      <w:pPr>
        <w:pStyle w:val="8"/>
        <w:spacing w:before="128" w:line="360" w:lineRule="auto"/>
        <w:ind w:left="58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 交货期：合同签订后</w:t>
      </w:r>
      <w:r>
        <w:rPr>
          <w:rFonts w:hint="eastAsia" w:cs="宋体"/>
          <w:color w:val="auto"/>
          <w:kern w:val="0"/>
          <w:sz w:val="24"/>
          <w:szCs w:val="24"/>
          <w:lang w:val="en-US" w:eastAsia="zh-CN" w:bidi="ar-SA"/>
        </w:rPr>
        <w:t>30个日历日</w:t>
      </w:r>
      <w:r>
        <w:rPr>
          <w:rFonts w:hint="eastAsia" w:ascii="宋体" w:hAnsi="宋体" w:eastAsia="宋体" w:cs="宋体"/>
          <w:color w:val="auto"/>
          <w:kern w:val="0"/>
          <w:sz w:val="24"/>
          <w:szCs w:val="24"/>
          <w:lang w:val="en-US" w:eastAsia="zh-CN" w:bidi="ar-SA"/>
        </w:rPr>
        <w:t>内完成全部货物的配送、安装调试工作。</w:t>
      </w:r>
    </w:p>
    <w:p w14:paraId="39D74937">
      <w:pPr>
        <w:pStyle w:val="8"/>
        <w:spacing w:before="126" w:line="360" w:lineRule="auto"/>
        <w:ind w:left="563"/>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 交货地点：</w:t>
      </w:r>
      <w:r>
        <w:rPr>
          <w:rFonts w:hint="eastAsia" w:cs="宋体"/>
          <w:color w:val="auto"/>
          <w:kern w:val="0"/>
          <w:sz w:val="24"/>
          <w:szCs w:val="24"/>
          <w:lang w:val="en-US" w:eastAsia="zh-CN" w:bidi="ar-SA"/>
        </w:rPr>
        <w:t>白河县人民医院</w:t>
      </w:r>
      <w:r>
        <w:rPr>
          <w:rFonts w:hint="eastAsia" w:ascii="宋体" w:hAnsi="宋体" w:eastAsia="宋体" w:cs="宋体"/>
          <w:color w:val="auto"/>
          <w:kern w:val="0"/>
          <w:sz w:val="24"/>
          <w:szCs w:val="24"/>
          <w:lang w:val="en-US" w:eastAsia="zh-CN" w:bidi="ar-SA"/>
        </w:rPr>
        <w:t>指定地点</w:t>
      </w:r>
    </w:p>
    <w:p w14:paraId="3F863600">
      <w:pPr>
        <w:pStyle w:val="8"/>
        <w:spacing w:before="128" w:line="360" w:lineRule="auto"/>
        <w:ind w:left="5" w:firstLine="240" w:firstLineChars="1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（二）、包装、运输、安装、调试及培训要求：</w:t>
      </w:r>
    </w:p>
    <w:p w14:paraId="681BE8E9">
      <w:pPr>
        <w:pStyle w:val="8"/>
        <w:spacing w:before="128" w:line="360" w:lineRule="auto"/>
        <w:ind w:right="98" w:firstLine="58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包装：1)按出厂原包装;2)卖方在设备发运手续办理完毕后24小时内或货到买方48小时前通知买方，以准备接设备;3)设备在交付买方前发生的风险均由卖方负责。应采取防潮、防晒、防腐蚀、防震动及防止其它损坏的必要措施。中标人应承担由于其包装或防护措施不妥而引起的货物锈蚀、损坏和丢失等任何损失造成的责任或费用。</w:t>
      </w:r>
    </w:p>
    <w:p w14:paraId="78A98477">
      <w:pPr>
        <w:pStyle w:val="8"/>
        <w:spacing w:before="129" w:line="360" w:lineRule="auto"/>
        <w:ind w:right="100" w:firstLine="702"/>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2、运输：选择运输风险小、运费低、距离短的运输路线。运杂费一次包死在总价内，包括生产厂到现场所需的装卸、运输（含保险费）、现场保管费、二次倒运费、吊装费等费用。</w:t>
      </w:r>
    </w:p>
    <w:p w14:paraId="00D55D4C">
      <w:pPr>
        <w:pStyle w:val="8"/>
        <w:spacing w:before="129" w:line="360" w:lineRule="auto"/>
        <w:ind w:left="1" w:right="21" w:firstLine="70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安装、调试及培训：中标人负责所有设备的安装、调试、培训工作，所有费用一次包死在总价内。每套设备安装调试完毕后，中标人必须安排技术人员对使用单位的设备管理人员及操作人员进行操作应用及维护保养方面的技能培训，使其掌握基本技能，保证熟练操作。</w:t>
      </w:r>
    </w:p>
    <w:p w14:paraId="0F56B89B">
      <w:pPr>
        <w:pStyle w:val="8"/>
        <w:spacing w:before="126" w:line="360" w:lineRule="auto"/>
        <w:ind w:left="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w:t>
      </w:r>
      <w:r>
        <w:rPr>
          <w:rFonts w:hint="eastAsia" w:cs="宋体"/>
          <w:color w:val="auto"/>
          <w:kern w:val="0"/>
          <w:sz w:val="24"/>
          <w:szCs w:val="24"/>
          <w:lang w:val="en-US" w:eastAsia="zh-CN" w:bidi="ar-SA"/>
        </w:rPr>
        <w:t>付款方式：合同签订后支付合同总金额的30%，设备安装调试培训验收合格后支付合同总金额的60%，剩余的10%使用满-年后一次性无息支付。</w:t>
      </w:r>
    </w:p>
    <w:p w14:paraId="37EDF40E">
      <w:pPr>
        <w:pStyle w:val="8"/>
        <w:spacing w:before="131" w:line="360" w:lineRule="auto"/>
        <w:ind w:left="2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（四）、验收:</w:t>
      </w:r>
    </w:p>
    <w:p w14:paraId="3B8EF520">
      <w:pPr>
        <w:pStyle w:val="8"/>
        <w:spacing w:before="125" w:line="360" w:lineRule="auto"/>
        <w:ind w:left="57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1、项目验收</w:t>
      </w:r>
    </w:p>
    <w:p w14:paraId="5772895F">
      <w:pPr>
        <w:pStyle w:val="8"/>
        <w:spacing w:before="125" w:line="360" w:lineRule="auto"/>
        <w:ind w:right="100" w:firstLine="55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初验：货物到达交货地点后，由使用单位根据合同对货物（设备）的名称、品牌、规格、型号、产地、数量进行检查，所有货物(设备)安装、调试完毕，可以正常使用；由采购方进行终验（最终验收），合格后签发《终验合格单》。</w:t>
      </w:r>
    </w:p>
    <w:p w14:paraId="7F2C104C">
      <w:pPr>
        <w:pStyle w:val="8"/>
        <w:spacing w:before="42" w:line="360" w:lineRule="auto"/>
        <w:ind w:left="2" w:firstLine="56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2、验收不合格的中标单位，必须在接到通知后7个日历日内确保货物通过验收。如接到通知后7个日历日内验收仍不合格，采购方可提出索赔或取消其供货合同。</w:t>
      </w:r>
    </w:p>
    <w:p w14:paraId="10DDDE83">
      <w:pPr>
        <w:pStyle w:val="8"/>
        <w:spacing w:before="128" w:line="360" w:lineRule="auto"/>
        <w:ind w:left="55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3、验收依据</w:t>
      </w:r>
    </w:p>
    <w:p w14:paraId="1B08678F">
      <w:pPr>
        <w:pStyle w:val="8"/>
        <w:spacing w:before="114"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（1）合同文本及合同补充文件（条款）；</w:t>
      </w:r>
    </w:p>
    <w:p w14:paraId="4951AABF">
      <w:pPr>
        <w:pStyle w:val="8"/>
        <w:spacing w:before="128"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（2）产品的合法来源渠道证明文件、响应功能证明材料；</w:t>
      </w:r>
    </w:p>
    <w:p w14:paraId="5CA1E07E">
      <w:pPr>
        <w:pStyle w:val="8"/>
        <w:spacing w:before="125"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（3）招标文件；</w:t>
      </w:r>
    </w:p>
    <w:p w14:paraId="78545917">
      <w:pPr>
        <w:pStyle w:val="8"/>
        <w:spacing w:before="127"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（4）中标人的投标文件；</w:t>
      </w:r>
    </w:p>
    <w:p w14:paraId="1BEAF461">
      <w:pPr>
        <w:pStyle w:val="8"/>
        <w:spacing w:before="127"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（5）货物清单；</w:t>
      </w:r>
    </w:p>
    <w:p w14:paraId="35B8F6CB">
      <w:pPr>
        <w:pStyle w:val="8"/>
        <w:spacing w:before="126"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（6）生产厂家的企业资质、货物的执行标准。</w:t>
      </w:r>
    </w:p>
    <w:p w14:paraId="1F0E05E4">
      <w:pPr>
        <w:pStyle w:val="8"/>
        <w:spacing w:before="128" w:line="360" w:lineRule="auto"/>
        <w:ind w:left="54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4、验收所产生的费用由中标单位支付。</w:t>
      </w:r>
    </w:p>
    <w:p w14:paraId="5B0738DA">
      <w:pPr>
        <w:pStyle w:val="8"/>
        <w:spacing w:before="42" w:line="360" w:lineRule="auto"/>
        <w:ind w:left="2" w:firstLine="561"/>
        <w:rPr>
          <w:rFonts w:hint="eastAsia" w:ascii="宋体" w:hAnsi="宋体" w:eastAsia="宋体" w:cs="宋体"/>
          <w:color w:val="auto"/>
          <w:kern w:val="0"/>
          <w:sz w:val="24"/>
          <w:szCs w:val="24"/>
          <w:lang w:val="en-US" w:eastAsia="zh-CN" w:bidi="ar-SA"/>
        </w:rPr>
      </w:pPr>
      <w:r>
        <w:rPr>
          <w:rFonts w:hint="eastAsia"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性能验收结果作为付款依据。在安装设备后2个月，乙方提交验收申请，并向甲方提交实施过程中的所有资料，由使用科室提交确认申请并实施确认，经审核后出具确认报告作为性能验收依据。验收合格后，支付货款。若存在质量问题，应按相应规定协商处理。</w:t>
      </w:r>
    </w:p>
    <w:p w14:paraId="0DAA94C3">
      <w:pPr>
        <w:pStyle w:val="8"/>
        <w:spacing w:before="128"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（五）、质量保证</w:t>
      </w:r>
    </w:p>
    <w:p w14:paraId="1FD60E63">
      <w:pPr>
        <w:pStyle w:val="8"/>
        <w:spacing w:before="129" w:line="360" w:lineRule="auto"/>
        <w:ind w:left="3"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1)质保期:</w:t>
      </w:r>
      <w:r>
        <w:rPr>
          <w:rFonts w:hint="eastAsia"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3年，</w:t>
      </w:r>
      <w:r>
        <w:rPr>
          <w:rFonts w:hint="eastAsia" w:cs="宋体"/>
          <w:color w:val="auto"/>
          <w:kern w:val="0"/>
          <w:sz w:val="24"/>
          <w:szCs w:val="24"/>
          <w:lang w:val="en-US" w:eastAsia="zh-CN" w:bidi="ar-SA"/>
        </w:rPr>
        <w:t>质保期</w:t>
      </w:r>
      <w:r>
        <w:rPr>
          <w:rFonts w:hint="eastAsia" w:ascii="宋体" w:hAnsi="宋体" w:eastAsia="宋体" w:cs="宋体"/>
          <w:color w:val="auto"/>
          <w:kern w:val="0"/>
          <w:sz w:val="24"/>
          <w:szCs w:val="24"/>
          <w:lang w:val="en-US" w:eastAsia="zh-CN" w:bidi="ar-SA"/>
        </w:rPr>
        <w:t>自设备验收、投入临床使用之日算起；2)</w:t>
      </w:r>
      <w:r>
        <w:rPr>
          <w:rFonts w:hint="eastAsia" w:cs="宋体"/>
          <w:color w:val="auto"/>
          <w:kern w:val="0"/>
          <w:sz w:val="24"/>
          <w:szCs w:val="24"/>
          <w:lang w:val="en-US" w:eastAsia="zh-CN" w:bidi="ar-SA"/>
        </w:rPr>
        <w:t>质保期</w:t>
      </w:r>
      <w:r>
        <w:rPr>
          <w:rFonts w:hint="eastAsia" w:ascii="宋体" w:hAnsi="宋体" w:eastAsia="宋体" w:cs="宋体"/>
          <w:color w:val="auto"/>
          <w:kern w:val="0"/>
          <w:sz w:val="24"/>
          <w:szCs w:val="24"/>
          <w:lang w:val="en-US" w:eastAsia="zh-CN" w:bidi="ar-SA"/>
        </w:rPr>
        <w:t>内卖方负责免费(包括配件)为买方维修本合同所提供的产品和履行承诺的 条款；3)</w:t>
      </w:r>
      <w:r>
        <w:rPr>
          <w:rFonts w:hint="eastAsia" w:cs="宋体"/>
          <w:color w:val="auto"/>
          <w:kern w:val="0"/>
          <w:sz w:val="24"/>
          <w:szCs w:val="24"/>
          <w:lang w:val="en-US" w:eastAsia="zh-CN" w:bidi="ar-SA"/>
        </w:rPr>
        <w:t>质保期</w:t>
      </w:r>
      <w:r>
        <w:rPr>
          <w:rFonts w:hint="eastAsia" w:ascii="宋体" w:hAnsi="宋体" w:eastAsia="宋体" w:cs="宋体"/>
          <w:color w:val="auto"/>
          <w:kern w:val="0"/>
          <w:sz w:val="24"/>
          <w:szCs w:val="24"/>
          <w:lang w:val="en-US" w:eastAsia="zh-CN" w:bidi="ar-SA"/>
        </w:rPr>
        <w:t>内卖方接到买方维修通知后应在24小时内 到达买方现场进行维修，否则卖方按买方此设备日平均收入赔偿经济损失；4)卖方有义务为本合同所提供的产品进行终身维护和免费升级。</w:t>
      </w:r>
    </w:p>
    <w:p w14:paraId="6C72CC31">
      <w:pPr>
        <w:spacing w:line="360" w:lineRule="auto"/>
        <w:rPr>
          <w:rFonts w:hint="eastAsia" w:ascii="宋体" w:hAnsi="宋体" w:eastAsia="宋体" w:cs="宋体"/>
          <w:b/>
          <w:color w:val="auto"/>
          <w:sz w:val="36"/>
          <w:szCs w:val="20"/>
          <w:highlight w:val="none"/>
          <w:lang w:val="en-US" w:eastAsia="zh-CN"/>
        </w:rPr>
      </w:pPr>
      <w:r>
        <w:rPr>
          <w:rFonts w:hint="eastAsia" w:ascii="宋体" w:hAnsi="宋体" w:eastAsia="宋体" w:cs="宋体"/>
          <w:color w:val="auto"/>
          <w:kern w:val="0"/>
          <w:sz w:val="24"/>
          <w:szCs w:val="24"/>
          <w:lang w:val="en-US" w:eastAsia="zh-CN" w:bidi="ar-SA"/>
        </w:rPr>
        <w:t>（六）、其他：乙方应在使用操作和维修技术方面及临床应用向甲方提供培训，直至正确使用、熟练操作。</w:t>
      </w:r>
      <w:r>
        <w:rPr>
          <w:rFonts w:hint="eastAsia" w:ascii="宋体" w:hAnsi="宋体" w:eastAsia="宋体" w:cs="宋体"/>
          <w:b/>
          <w:color w:val="auto"/>
          <w:sz w:val="36"/>
          <w:szCs w:val="20"/>
          <w:highlight w:val="none"/>
          <w:lang w:val="en-US" w:eastAsia="zh-CN"/>
        </w:rPr>
        <w:br w:type="page"/>
      </w:r>
    </w:p>
    <w:p w14:paraId="7E36D80D">
      <w:pPr>
        <w:pStyle w:val="2"/>
        <w:keepNext/>
        <w:keepLines/>
        <w:pageBreakBefore w:val="0"/>
        <w:widowControl w:val="0"/>
        <w:numPr>
          <w:ilvl w:val="0"/>
          <w:numId w:val="0"/>
        </w:numPr>
        <w:kinsoku/>
        <w:wordWrap/>
        <w:overflowPunct/>
        <w:topLinePunct w:val="0"/>
        <w:autoSpaceDE/>
        <w:autoSpaceDN/>
        <w:bidi w:val="0"/>
        <w:adjustRightInd/>
        <w:snapToGrid w:val="0"/>
        <w:spacing w:before="0" w:beforeLines="100" w:after="0" w:afterLines="100" w:line="50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b/>
          <w:color w:val="auto"/>
          <w:sz w:val="36"/>
          <w:szCs w:val="20"/>
          <w:highlight w:val="none"/>
          <w:lang w:val="en-US" w:eastAsia="zh-CN"/>
        </w:rPr>
        <w:t xml:space="preserve">第五部分 </w:t>
      </w:r>
      <w:r>
        <w:rPr>
          <w:rFonts w:hint="eastAsia" w:ascii="宋体" w:hAnsi="宋体" w:eastAsia="宋体" w:cs="宋体"/>
          <w:b/>
          <w:color w:val="auto"/>
          <w:sz w:val="36"/>
          <w:szCs w:val="20"/>
          <w:highlight w:val="none"/>
        </w:rPr>
        <w:t>合同主要条款</w:t>
      </w:r>
    </w:p>
    <w:p w14:paraId="129D50FF">
      <w:pPr>
        <w:pStyle w:val="8"/>
        <w:keepNext w:val="0"/>
        <w:keepLines w:val="0"/>
        <w:pageBreakBefore w:val="0"/>
        <w:widowControl w:val="0"/>
        <w:kinsoku/>
        <w:wordWrap w:val="0"/>
        <w:overflowPunct/>
        <w:topLinePunct w:val="0"/>
        <w:autoSpaceDE/>
        <w:autoSpaceDN/>
        <w:bidi w:val="0"/>
        <w:adjustRightInd/>
        <w:snapToGrid w:val="0"/>
        <w:spacing w:line="500" w:lineRule="exact"/>
        <w:ind w:left="0" w:firstLine="393"/>
        <w:textAlignment w:val="auto"/>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（说明：本合同作为合同的基本格式，甲方有权在签订合同时对合同的相关条款及内容作进一步的细化和修改。）</w:t>
      </w:r>
    </w:p>
    <w:p w14:paraId="16B01D7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p>
    <w:p w14:paraId="7CD8E80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甲方：</w:t>
      </w:r>
      <w:r>
        <w:rPr>
          <w:rFonts w:hint="eastAsia" w:ascii="宋体" w:hAnsi="宋体" w:eastAsia="宋体" w:cs="宋体"/>
          <w:b w:val="0"/>
          <w:bCs w:val="0"/>
          <w:color w:val="auto"/>
          <w:sz w:val="24"/>
          <w:szCs w:val="24"/>
        </w:rPr>
        <w:t>白河县人民医院</w:t>
      </w:r>
    </w:p>
    <w:p w14:paraId="59F6365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14:paraId="0B0D020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14:paraId="64A8E80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联系方式： </w:t>
      </w:r>
    </w:p>
    <w:p w14:paraId="146439B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w:t>
      </w:r>
    </w:p>
    <w:p w14:paraId="00C099D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p>
    <w:p w14:paraId="648ACCA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乙方：</w:t>
      </w:r>
    </w:p>
    <w:p w14:paraId="4FC3E0A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14:paraId="0C4109D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14:paraId="4AFAEAF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p>
    <w:p w14:paraId="7414A6C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w:t>
      </w:r>
    </w:p>
    <w:p w14:paraId="610C5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lang w:val="en-US" w:eastAsia="zh-CN"/>
        </w:rPr>
      </w:pPr>
    </w:p>
    <w:p w14:paraId="05D55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甲、乙双方</w:t>
      </w:r>
      <w:r>
        <w:rPr>
          <w:rFonts w:hint="eastAsia" w:ascii="宋体" w:hAnsi="宋体" w:eastAsia="宋体" w:cs="宋体"/>
          <w:color w:val="auto"/>
          <w:sz w:val="24"/>
          <w:szCs w:val="24"/>
        </w:rPr>
        <w:t>依照《中华人民共和国民法典》及有关法律、法规，遵循平等自愿、公平诚信的原则，经</w:t>
      </w:r>
      <w:r>
        <w:rPr>
          <w:rFonts w:hint="eastAsia" w:ascii="宋体" w:hAnsi="宋体" w:eastAsia="宋体" w:cs="宋体"/>
          <w:color w:val="auto"/>
          <w:sz w:val="24"/>
          <w:szCs w:val="24"/>
          <w:lang w:val="en-US" w:eastAsia="zh-CN"/>
        </w:rPr>
        <w:t>甲、乙</w:t>
      </w:r>
      <w:r>
        <w:rPr>
          <w:rFonts w:hint="eastAsia" w:ascii="宋体" w:hAnsi="宋体" w:eastAsia="宋体" w:cs="宋体"/>
          <w:color w:val="auto"/>
          <w:sz w:val="24"/>
          <w:szCs w:val="24"/>
        </w:rPr>
        <w:t>双方协商一致，</w:t>
      </w:r>
      <w:r>
        <w:rPr>
          <w:rFonts w:hint="eastAsia" w:ascii="宋体" w:hAnsi="宋体" w:eastAsia="宋体" w:cs="宋体"/>
          <w:color w:val="auto"/>
          <w:sz w:val="24"/>
          <w:szCs w:val="24"/>
          <w:lang w:val="en-US" w:eastAsia="zh-CN"/>
        </w:rPr>
        <w:t>就甲方向乙方采购</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的相关事宜</w:t>
      </w:r>
      <w:r>
        <w:rPr>
          <w:rFonts w:hint="eastAsia" w:ascii="宋体" w:hAnsi="宋体" w:eastAsia="宋体" w:cs="宋体"/>
          <w:color w:val="auto"/>
          <w:sz w:val="24"/>
          <w:szCs w:val="24"/>
        </w:rPr>
        <w:t>签订本合同。</w:t>
      </w:r>
    </w:p>
    <w:p w14:paraId="0732CD1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一、</w:t>
      </w:r>
      <w:r>
        <w:rPr>
          <w:rFonts w:hint="eastAsia" w:ascii="宋体" w:hAnsi="宋体" w:eastAsia="宋体" w:cs="宋体"/>
          <w:b/>
          <w:color w:val="auto"/>
          <w:sz w:val="24"/>
          <w:szCs w:val="24"/>
          <w:lang w:val="en-US" w:eastAsia="zh-CN"/>
        </w:rPr>
        <w:t>采购</w:t>
      </w:r>
      <w:r>
        <w:rPr>
          <w:rFonts w:hint="eastAsia" w:ascii="宋体" w:hAnsi="宋体" w:eastAsia="宋体" w:cs="宋体"/>
          <w:b/>
          <w:color w:val="auto"/>
          <w:sz w:val="24"/>
          <w:szCs w:val="24"/>
        </w:rPr>
        <w:t>设备</w:t>
      </w:r>
      <w:r>
        <w:rPr>
          <w:rFonts w:hint="eastAsia" w:ascii="宋体" w:hAnsi="宋体" w:eastAsia="宋体" w:cs="宋体"/>
          <w:b/>
          <w:color w:val="auto"/>
          <w:sz w:val="24"/>
          <w:szCs w:val="24"/>
          <w:lang w:val="en-US" w:eastAsia="zh-CN"/>
        </w:rPr>
        <w:t>详况：</w:t>
      </w:r>
    </w:p>
    <w:tbl>
      <w:tblPr>
        <w:tblStyle w:val="15"/>
        <w:tblW w:w="89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2400"/>
        <w:gridCol w:w="3144"/>
        <w:gridCol w:w="720"/>
        <w:gridCol w:w="768"/>
        <w:gridCol w:w="1440"/>
      </w:tblGrid>
      <w:tr w14:paraId="270F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1948EF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00" w:type="dxa"/>
            <w:noWrap w:val="0"/>
            <w:vAlign w:val="top"/>
          </w:tcPr>
          <w:p w14:paraId="426DBF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名称</w:t>
            </w:r>
          </w:p>
        </w:tc>
        <w:tc>
          <w:tcPr>
            <w:tcW w:w="3144" w:type="dxa"/>
            <w:noWrap w:val="0"/>
            <w:vAlign w:val="top"/>
          </w:tcPr>
          <w:p w14:paraId="2667C90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规格参数</w:t>
            </w:r>
          </w:p>
          <w:p w14:paraId="58EF08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厂家、品牌、规格、型号、材质</w:t>
            </w:r>
            <w:r>
              <w:rPr>
                <w:rFonts w:hint="eastAsia" w:ascii="宋体" w:hAnsi="宋体" w:eastAsia="宋体" w:cs="宋体"/>
                <w:color w:val="auto"/>
                <w:sz w:val="24"/>
                <w:szCs w:val="24"/>
                <w:lang w:eastAsia="zh-CN"/>
              </w:rPr>
              <w:t>）</w:t>
            </w:r>
          </w:p>
        </w:tc>
        <w:tc>
          <w:tcPr>
            <w:tcW w:w="720" w:type="dxa"/>
            <w:noWrap w:val="0"/>
            <w:vAlign w:val="top"/>
          </w:tcPr>
          <w:p w14:paraId="6A653C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768" w:type="dxa"/>
            <w:noWrap w:val="0"/>
            <w:vAlign w:val="top"/>
          </w:tcPr>
          <w:p w14:paraId="7B68AB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440" w:type="dxa"/>
            <w:noWrap w:val="0"/>
            <w:vAlign w:val="top"/>
          </w:tcPr>
          <w:p w14:paraId="267D08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r>
      <w:tr w14:paraId="0D83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61BDB3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00" w:type="dxa"/>
            <w:noWrap w:val="0"/>
            <w:vAlign w:val="top"/>
          </w:tcPr>
          <w:p w14:paraId="655F35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eastAsia="zh-CN"/>
              </w:rPr>
            </w:pPr>
          </w:p>
        </w:tc>
        <w:tc>
          <w:tcPr>
            <w:tcW w:w="3144" w:type="dxa"/>
            <w:noWrap w:val="0"/>
            <w:vAlign w:val="top"/>
          </w:tcPr>
          <w:p w14:paraId="3300F5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eastAsia="zh-CN"/>
              </w:rPr>
            </w:pPr>
          </w:p>
        </w:tc>
        <w:tc>
          <w:tcPr>
            <w:tcW w:w="720" w:type="dxa"/>
            <w:noWrap w:val="0"/>
            <w:vAlign w:val="top"/>
          </w:tcPr>
          <w:p w14:paraId="536A75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eastAsia="zh-CN"/>
              </w:rPr>
            </w:pPr>
          </w:p>
        </w:tc>
        <w:tc>
          <w:tcPr>
            <w:tcW w:w="768" w:type="dxa"/>
            <w:noWrap w:val="0"/>
            <w:vAlign w:val="top"/>
          </w:tcPr>
          <w:p w14:paraId="09260D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1440" w:type="dxa"/>
            <w:noWrap w:val="0"/>
            <w:vAlign w:val="top"/>
          </w:tcPr>
          <w:p w14:paraId="5AAA86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14:paraId="2FC2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1F3C750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400" w:type="dxa"/>
            <w:noWrap w:val="0"/>
            <w:vAlign w:val="top"/>
          </w:tcPr>
          <w:p w14:paraId="1323BAB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rPr>
            </w:pPr>
          </w:p>
        </w:tc>
        <w:tc>
          <w:tcPr>
            <w:tcW w:w="3144" w:type="dxa"/>
            <w:noWrap w:val="0"/>
            <w:vAlign w:val="top"/>
          </w:tcPr>
          <w:p w14:paraId="72986E0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14:paraId="4F1910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c>
          <w:tcPr>
            <w:tcW w:w="768" w:type="dxa"/>
            <w:noWrap w:val="0"/>
            <w:vAlign w:val="top"/>
          </w:tcPr>
          <w:p w14:paraId="3B5535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1440" w:type="dxa"/>
            <w:noWrap w:val="0"/>
            <w:vAlign w:val="top"/>
          </w:tcPr>
          <w:p w14:paraId="4522E9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14:paraId="58BC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224301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400" w:type="dxa"/>
            <w:noWrap w:val="0"/>
            <w:vAlign w:val="top"/>
          </w:tcPr>
          <w:p w14:paraId="2579EA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c>
          <w:tcPr>
            <w:tcW w:w="3144" w:type="dxa"/>
            <w:noWrap w:val="0"/>
            <w:vAlign w:val="top"/>
          </w:tcPr>
          <w:p w14:paraId="0DBB72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14:paraId="67254D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c>
          <w:tcPr>
            <w:tcW w:w="768" w:type="dxa"/>
            <w:noWrap w:val="0"/>
            <w:vAlign w:val="top"/>
          </w:tcPr>
          <w:p w14:paraId="120EAB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1440" w:type="dxa"/>
            <w:noWrap w:val="0"/>
            <w:vAlign w:val="top"/>
          </w:tcPr>
          <w:p w14:paraId="70388B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r w14:paraId="04CD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noWrap w:val="0"/>
            <w:vAlign w:val="top"/>
          </w:tcPr>
          <w:p w14:paraId="134EAA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400" w:type="dxa"/>
            <w:noWrap w:val="0"/>
            <w:vAlign w:val="top"/>
          </w:tcPr>
          <w:p w14:paraId="5559811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rPr>
            </w:pPr>
          </w:p>
        </w:tc>
        <w:tc>
          <w:tcPr>
            <w:tcW w:w="3144" w:type="dxa"/>
            <w:noWrap w:val="0"/>
            <w:vAlign w:val="top"/>
          </w:tcPr>
          <w:p w14:paraId="0FE37F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14:paraId="353F57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c>
          <w:tcPr>
            <w:tcW w:w="768" w:type="dxa"/>
            <w:noWrap w:val="0"/>
            <w:vAlign w:val="top"/>
          </w:tcPr>
          <w:p w14:paraId="1BDDF3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1440" w:type="dxa"/>
            <w:noWrap w:val="0"/>
            <w:vAlign w:val="top"/>
          </w:tcPr>
          <w:p w14:paraId="33CE31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r>
    </w:tbl>
    <w:p w14:paraId="1E77952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二、合同价款</w:t>
      </w:r>
      <w:r>
        <w:rPr>
          <w:rFonts w:hint="eastAsia" w:ascii="宋体" w:hAnsi="宋体" w:eastAsia="宋体" w:cs="宋体"/>
          <w:b/>
          <w:color w:val="auto"/>
          <w:sz w:val="24"/>
          <w:szCs w:val="24"/>
          <w:lang w:eastAsia="zh-CN"/>
        </w:rPr>
        <w:t>：</w:t>
      </w:r>
    </w:p>
    <w:p w14:paraId="50A50F1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1、合同总价款大写：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p>
    <w:p w14:paraId="1233305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合同总价款包括</w:t>
      </w:r>
      <w:r>
        <w:rPr>
          <w:rFonts w:hint="eastAsia" w:ascii="宋体" w:hAnsi="宋体" w:eastAsia="宋体" w:cs="宋体"/>
          <w:color w:val="auto"/>
          <w:sz w:val="24"/>
          <w:szCs w:val="24"/>
          <w:lang w:val="en-US" w:eastAsia="zh-CN"/>
        </w:rPr>
        <w:t>但不限于本合同约定的所采购设备的</w:t>
      </w:r>
      <w:r>
        <w:rPr>
          <w:rFonts w:hint="eastAsia" w:ascii="宋体" w:hAnsi="宋体" w:eastAsia="宋体" w:cs="宋体"/>
          <w:color w:val="auto"/>
          <w:sz w:val="24"/>
          <w:szCs w:val="24"/>
        </w:rPr>
        <w:t>设备费、运输费、装卸费、仓储费、保险费、安装调试费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售后服务费</w:t>
      </w:r>
      <w:r>
        <w:rPr>
          <w:rFonts w:hint="eastAsia" w:ascii="宋体" w:hAnsi="宋体" w:eastAsia="宋体" w:cs="宋体"/>
          <w:color w:val="auto"/>
          <w:sz w:val="24"/>
          <w:szCs w:val="24"/>
        </w:rPr>
        <w:t>及税费</w:t>
      </w:r>
      <w:r>
        <w:rPr>
          <w:rFonts w:hint="eastAsia" w:ascii="宋体" w:hAnsi="宋体" w:eastAsia="宋体" w:cs="宋体"/>
          <w:color w:val="auto"/>
          <w:sz w:val="24"/>
          <w:szCs w:val="24"/>
          <w:lang w:val="en-US" w:eastAsia="zh-CN"/>
        </w:rPr>
        <w:t>等乙方完成本合同约定的全部合同义务所产生的所有费用在内。</w:t>
      </w:r>
    </w:p>
    <w:p w14:paraId="31E08161">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付款方式</w:t>
      </w:r>
      <w:r>
        <w:rPr>
          <w:rFonts w:hint="eastAsia" w:ascii="宋体" w:hAnsi="宋体" w:eastAsia="宋体" w:cs="宋体"/>
          <w:b/>
          <w:color w:val="auto"/>
          <w:sz w:val="24"/>
          <w:szCs w:val="24"/>
          <w:lang w:eastAsia="zh-CN"/>
        </w:rPr>
        <w:t>：</w:t>
      </w:r>
    </w:p>
    <w:p w14:paraId="2577CB7A">
      <w:pPr>
        <w:pStyle w:val="8"/>
        <w:spacing w:before="126" w:line="360" w:lineRule="auto"/>
        <w:ind w:left="1" w:firstLine="480" w:firstLineChars="200"/>
        <w:rPr>
          <w:rFonts w:hint="eastAsia" w:ascii="宋体" w:hAnsi="宋体" w:eastAsia="宋体" w:cs="宋体"/>
          <w:color w:val="auto"/>
          <w:sz w:val="24"/>
          <w:szCs w:val="24"/>
          <w:lang w:val="en-US" w:eastAsia="zh-CN"/>
        </w:rPr>
      </w:pPr>
      <w:r>
        <w:rPr>
          <w:rFonts w:hint="eastAsia" w:cs="宋体"/>
          <w:color w:val="auto"/>
          <w:kern w:val="0"/>
          <w:sz w:val="24"/>
          <w:szCs w:val="24"/>
          <w:lang w:val="en-US" w:eastAsia="zh-CN" w:bidi="ar-SA"/>
        </w:rPr>
        <w:t>合同签订后支付合同总金额的30%，设备安装调试培训验收合格后支付合同总金额的60%，剩余的10%使用满一年后一次性无息支付。</w:t>
      </w:r>
    </w:p>
    <w:p w14:paraId="759BD721">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四、验收</w:t>
      </w:r>
      <w:r>
        <w:rPr>
          <w:rFonts w:hint="eastAsia" w:ascii="宋体" w:hAnsi="宋体" w:eastAsia="宋体" w:cs="宋体"/>
          <w:b/>
          <w:color w:val="auto"/>
          <w:sz w:val="24"/>
          <w:szCs w:val="24"/>
          <w:lang w:eastAsia="zh-CN"/>
        </w:rPr>
        <w:t>：</w:t>
      </w:r>
    </w:p>
    <w:p w14:paraId="3D81F26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本合同约定的</w:t>
      </w:r>
      <w:r>
        <w:rPr>
          <w:rFonts w:hint="eastAsia" w:ascii="宋体" w:hAnsi="宋体" w:eastAsia="宋体" w:cs="宋体"/>
          <w:color w:val="auto"/>
          <w:sz w:val="24"/>
          <w:szCs w:val="24"/>
        </w:rPr>
        <w:t>设备到达甲方指定地点后，</w:t>
      </w:r>
      <w:r>
        <w:rPr>
          <w:rFonts w:hint="eastAsia" w:ascii="宋体" w:hAnsi="宋体" w:eastAsia="宋体" w:cs="宋体"/>
          <w:color w:val="auto"/>
          <w:sz w:val="24"/>
          <w:szCs w:val="24"/>
          <w:lang w:val="en-US" w:eastAsia="zh-CN"/>
        </w:rPr>
        <w:t>乙方应通知甲方进行初验，即</w:t>
      </w:r>
      <w:r>
        <w:rPr>
          <w:rFonts w:hint="eastAsia" w:ascii="宋体" w:hAnsi="宋体" w:eastAsia="宋体" w:cs="宋体"/>
          <w:color w:val="auto"/>
          <w:sz w:val="24"/>
          <w:szCs w:val="24"/>
        </w:rPr>
        <w:t>甲方根据</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合同要求，</w:t>
      </w:r>
      <w:r>
        <w:rPr>
          <w:rFonts w:hint="eastAsia" w:ascii="宋体" w:hAnsi="宋体" w:eastAsia="宋体" w:cs="宋体"/>
          <w:color w:val="auto"/>
          <w:sz w:val="24"/>
          <w:szCs w:val="24"/>
          <w:lang w:val="en-US" w:eastAsia="zh-CN"/>
        </w:rPr>
        <w:t>对乙方交付的设备</w:t>
      </w:r>
      <w:r>
        <w:rPr>
          <w:rFonts w:hint="eastAsia" w:ascii="宋体" w:hAnsi="宋体" w:eastAsia="宋体" w:cs="宋体"/>
          <w:color w:val="auto"/>
          <w:sz w:val="24"/>
          <w:szCs w:val="24"/>
        </w:rPr>
        <w:t>进行外观验收，确认产地、规格、型号和数量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若甲方在验收时发现乙方提供的设备与合同约定不相符时，乙方应自甲方通知之日起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日内重新按照合同约定补足或更换设备，乙方每逾期一日，乙方应向甲方支付</w:t>
      </w:r>
      <w:r>
        <w:rPr>
          <w:rFonts w:hint="eastAsia" w:ascii="宋体" w:hAnsi="宋体" w:cs="宋体"/>
          <w:color w:val="auto"/>
          <w:sz w:val="24"/>
          <w:szCs w:val="24"/>
          <w:u w:val="none"/>
          <w:lang w:val="en-US" w:eastAsia="zh-CN"/>
        </w:rPr>
        <w:t>合同总价款3%</w:t>
      </w:r>
      <w:r>
        <w:rPr>
          <w:rFonts w:hint="eastAsia" w:ascii="宋体" w:hAnsi="宋体" w:eastAsia="宋体" w:cs="宋体"/>
          <w:color w:val="auto"/>
          <w:sz w:val="24"/>
          <w:szCs w:val="24"/>
          <w:lang w:val="en-US" w:eastAsia="zh-CN"/>
        </w:rPr>
        <w:t>的违约金。若乙方逾期达到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天，甲方有权选择解除合同，并由乙方赔偿甲方的全部损失。</w:t>
      </w:r>
    </w:p>
    <w:p w14:paraId="66FD3BB7">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2、设备安装、调试正常，乙方自检合格</w:t>
      </w:r>
      <w:r>
        <w:rPr>
          <w:rFonts w:hint="eastAsia" w:ascii="宋体" w:hAnsi="宋体" w:eastAsia="宋体" w:cs="宋体"/>
          <w:color w:val="auto"/>
          <w:sz w:val="24"/>
          <w:szCs w:val="24"/>
          <w:lang w:val="en-US" w:eastAsia="zh-CN"/>
        </w:rPr>
        <w:t>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日内通知甲方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rPr>
        <w:t>甲方组织相关人员进行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rPr>
        <w:t>验收，</w:t>
      </w:r>
      <w:r>
        <w:rPr>
          <w:rFonts w:hint="eastAsia" w:ascii="宋体" w:hAnsi="宋体" w:eastAsia="宋体" w:cs="宋体"/>
          <w:color w:val="auto"/>
          <w:sz w:val="24"/>
          <w:szCs w:val="24"/>
          <w:lang w:val="en-US" w:eastAsia="zh-CN"/>
        </w:rPr>
        <w:t>最终验收合格的标准为：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验收合格后，</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填写《采购验收结算单》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一式二份，</w:t>
      </w:r>
      <w:r>
        <w:rPr>
          <w:rFonts w:hint="eastAsia" w:ascii="宋体" w:hAnsi="宋体" w:eastAsia="宋体" w:cs="宋体"/>
          <w:color w:val="auto"/>
          <w:sz w:val="24"/>
          <w:szCs w:val="24"/>
          <w:lang w:val="en-US" w:eastAsia="zh-CN"/>
        </w:rPr>
        <w:t>甲、乙双方各执一份，</w:t>
      </w:r>
      <w:r>
        <w:rPr>
          <w:rFonts w:hint="eastAsia" w:ascii="宋体" w:hAnsi="宋体" w:eastAsia="宋体" w:cs="宋体"/>
          <w:color w:val="auto"/>
          <w:sz w:val="24"/>
          <w:szCs w:val="24"/>
        </w:rPr>
        <w:t>作为对货物的最终认可。</w:t>
      </w:r>
      <w:r>
        <w:rPr>
          <w:rFonts w:hint="eastAsia" w:ascii="宋体" w:hAnsi="宋体" w:eastAsia="宋体" w:cs="宋体"/>
          <w:color w:val="auto"/>
          <w:sz w:val="24"/>
          <w:szCs w:val="24"/>
          <w:lang w:val="en-US" w:eastAsia="zh-CN"/>
        </w:rPr>
        <w:t>若甲方验收不合格，乙方应自验收不合格之日起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日内重新调试并通知甲方验收，乙方每逾期一日，乙方应向甲方支付</w:t>
      </w:r>
      <w:r>
        <w:rPr>
          <w:rFonts w:hint="eastAsia" w:ascii="宋体" w:hAnsi="宋体" w:cs="宋体"/>
          <w:color w:val="auto"/>
          <w:sz w:val="24"/>
          <w:szCs w:val="24"/>
          <w:u w:val="none"/>
          <w:lang w:val="en-US" w:eastAsia="zh-CN"/>
        </w:rPr>
        <w:t>合同总价款3%</w:t>
      </w:r>
      <w:r>
        <w:rPr>
          <w:rFonts w:hint="eastAsia" w:ascii="宋体" w:hAnsi="宋体" w:eastAsia="宋体" w:cs="宋体"/>
          <w:color w:val="auto"/>
          <w:sz w:val="24"/>
          <w:szCs w:val="24"/>
          <w:lang w:val="en-US" w:eastAsia="zh-CN"/>
        </w:rPr>
        <w:t>的违约金，若乙方逾期达到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天或乙方再次验收不合格，甲方有权选择解除合同，并由乙方赔偿甲方的全部损失，包括但不限于甲方已经支付的相应款项及因此所产生的相关赔偿款、甲方实现相关权利所产生的全部费用，如律师费、诉讼费、保全费、交通费、差旅费、鉴定费等。</w:t>
      </w:r>
    </w:p>
    <w:p w14:paraId="7AC9535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无论何时甲方发现乙方提供的设备</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甲方的</w:t>
      </w: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及本合同的约定不相符的，甲方均有权要求乙方自甲方通知之日起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日内重新按照合同约定补足或更换设备，乙方每逾期一日，乙方应向甲方支付</w:t>
      </w:r>
      <w:r>
        <w:rPr>
          <w:rFonts w:hint="eastAsia" w:ascii="宋体" w:hAnsi="宋体" w:cs="宋体"/>
          <w:color w:val="auto"/>
          <w:sz w:val="24"/>
          <w:szCs w:val="24"/>
          <w:u w:val="none"/>
          <w:lang w:val="en-US" w:eastAsia="zh-CN"/>
        </w:rPr>
        <w:t>合同总价款3%</w:t>
      </w:r>
      <w:r>
        <w:rPr>
          <w:rFonts w:hint="eastAsia" w:ascii="宋体" w:hAnsi="宋体" w:eastAsia="宋体" w:cs="宋体"/>
          <w:color w:val="auto"/>
          <w:sz w:val="24"/>
          <w:szCs w:val="24"/>
          <w:lang w:val="en-US" w:eastAsia="zh-CN"/>
        </w:rPr>
        <w:t>的违约金。若乙方逾期达到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天，甲方有权选择解除合同，并由乙方赔偿甲方的全部损失。</w:t>
      </w:r>
    </w:p>
    <w:p w14:paraId="5FA79B2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4、乙方</w:t>
      </w:r>
      <w:r>
        <w:rPr>
          <w:rFonts w:hint="eastAsia" w:ascii="宋体" w:hAnsi="宋体" w:eastAsia="宋体" w:cs="宋体"/>
          <w:color w:val="auto"/>
          <w:sz w:val="24"/>
          <w:szCs w:val="24"/>
          <w:lang w:val="en-US" w:eastAsia="zh-CN"/>
        </w:rPr>
        <w:t>必须在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时</w:t>
      </w:r>
      <w:r>
        <w:rPr>
          <w:rFonts w:hint="eastAsia" w:ascii="宋体" w:hAnsi="宋体" w:eastAsia="宋体" w:cs="宋体"/>
          <w:color w:val="auto"/>
          <w:sz w:val="24"/>
          <w:szCs w:val="24"/>
        </w:rPr>
        <w:t>向甲方提交</w:t>
      </w:r>
      <w:r>
        <w:rPr>
          <w:rFonts w:hint="eastAsia" w:ascii="宋体" w:hAnsi="宋体" w:eastAsia="宋体" w:cs="宋体"/>
          <w:color w:val="auto"/>
          <w:sz w:val="24"/>
          <w:szCs w:val="24"/>
          <w:lang w:val="en-US" w:eastAsia="zh-CN"/>
        </w:rPr>
        <w:t>本合同约定的设备</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全部</w:t>
      </w:r>
      <w:r>
        <w:rPr>
          <w:rFonts w:hint="eastAsia" w:ascii="宋体" w:hAnsi="宋体" w:eastAsia="宋体" w:cs="宋体"/>
          <w:color w:val="auto"/>
          <w:sz w:val="24"/>
          <w:szCs w:val="24"/>
        </w:rPr>
        <w:t>技术资料（</w:t>
      </w:r>
      <w:r>
        <w:rPr>
          <w:rFonts w:hint="eastAsia" w:ascii="宋体" w:hAnsi="宋体" w:eastAsia="宋体" w:cs="宋体"/>
          <w:color w:val="auto"/>
          <w:sz w:val="24"/>
          <w:szCs w:val="24"/>
          <w:lang w:val="en-US" w:eastAsia="zh-CN"/>
        </w:rPr>
        <w:t>包括但不限于</w:t>
      </w:r>
      <w:r>
        <w:rPr>
          <w:rFonts w:hint="eastAsia" w:ascii="宋体" w:hAnsi="宋体" w:eastAsia="宋体" w:cs="宋体"/>
          <w:color w:val="auto"/>
          <w:sz w:val="24"/>
          <w:szCs w:val="24"/>
        </w:rPr>
        <w:t>合格证、使用及维护说明书、出厂校准证书、装箱清单</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），以便甲方日后管理和维护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若乙方不能按照本条款的约定提供全部技术资料的，</w:t>
      </w: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没有供货处理。</w:t>
      </w:r>
    </w:p>
    <w:p w14:paraId="5F35F485">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五、</w:t>
      </w:r>
      <w:r>
        <w:rPr>
          <w:rFonts w:hint="eastAsia" w:ascii="宋体" w:hAnsi="宋体" w:eastAsia="宋体" w:cs="宋体"/>
          <w:b/>
          <w:color w:val="auto"/>
          <w:sz w:val="24"/>
          <w:szCs w:val="24"/>
          <w:lang w:val="en-US" w:eastAsia="zh-CN"/>
        </w:rPr>
        <w:t>甲、乙</w:t>
      </w:r>
      <w:r>
        <w:rPr>
          <w:rFonts w:hint="eastAsia" w:ascii="宋体" w:hAnsi="宋体" w:eastAsia="宋体" w:cs="宋体"/>
          <w:b/>
          <w:color w:val="auto"/>
          <w:sz w:val="24"/>
          <w:szCs w:val="24"/>
        </w:rPr>
        <w:t>双方的权利和义务</w:t>
      </w:r>
      <w:r>
        <w:rPr>
          <w:rFonts w:hint="eastAsia" w:ascii="宋体" w:hAnsi="宋体" w:eastAsia="宋体" w:cs="宋体"/>
          <w:b/>
          <w:color w:val="auto"/>
          <w:sz w:val="24"/>
          <w:szCs w:val="24"/>
          <w:lang w:eastAsia="zh-CN"/>
        </w:rPr>
        <w:t>：</w:t>
      </w:r>
    </w:p>
    <w:p w14:paraId="40591F4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1、甲方的权利和义务</w:t>
      </w:r>
      <w:r>
        <w:rPr>
          <w:rFonts w:hint="eastAsia" w:ascii="宋体" w:hAnsi="宋体" w:eastAsia="宋体" w:cs="宋体"/>
          <w:color w:val="auto"/>
          <w:sz w:val="24"/>
          <w:szCs w:val="24"/>
          <w:lang w:eastAsia="zh-CN"/>
        </w:rPr>
        <w:t>：</w:t>
      </w:r>
    </w:p>
    <w:p w14:paraId="7AAA6AE3">
      <w:pPr>
        <w:keepNext w:val="0"/>
        <w:keepLines w:val="0"/>
        <w:pageBreakBefore w:val="0"/>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甲方在收到货物后，应按照</w:t>
      </w:r>
      <w:r>
        <w:rPr>
          <w:rFonts w:hint="eastAsia" w:ascii="宋体" w:hAnsi="宋体" w:eastAsia="宋体" w:cs="宋体"/>
          <w:color w:val="auto"/>
          <w:sz w:val="24"/>
          <w:szCs w:val="24"/>
          <w:lang w:val="en-US" w:eastAsia="zh-CN"/>
        </w:rPr>
        <w:t>本合同的约定</w:t>
      </w:r>
      <w:r>
        <w:rPr>
          <w:rFonts w:hint="eastAsia" w:ascii="宋体" w:hAnsi="宋体" w:eastAsia="宋体" w:cs="宋体"/>
          <w:color w:val="auto"/>
          <w:sz w:val="24"/>
          <w:szCs w:val="24"/>
        </w:rPr>
        <w:t>进行核对，如发现产地、规格、型号和数量不符合合同</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定，</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及时提出</w:t>
      </w:r>
      <w:r>
        <w:rPr>
          <w:rFonts w:hint="eastAsia" w:ascii="宋体" w:hAnsi="宋体" w:eastAsia="宋体" w:cs="宋体"/>
          <w:color w:val="auto"/>
          <w:sz w:val="24"/>
          <w:szCs w:val="24"/>
          <w:lang w:eastAsia="zh-CN"/>
        </w:rPr>
        <w:t>；</w:t>
      </w:r>
    </w:p>
    <w:p w14:paraId="60A4A966">
      <w:pPr>
        <w:keepNext w:val="0"/>
        <w:keepLines w:val="0"/>
        <w:pageBreakBefore w:val="0"/>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（2）甲方应按照合同的约定履行付款义务；</w:t>
      </w:r>
    </w:p>
    <w:p w14:paraId="034E7584">
      <w:pPr>
        <w:keepNext w:val="0"/>
        <w:keepLines w:val="0"/>
        <w:pageBreakBefore w:val="0"/>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4D4F3919">
      <w:pPr>
        <w:keepNext w:val="0"/>
        <w:keepLines w:val="0"/>
        <w:pageBreakBefore w:val="0"/>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7C55F82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2、乙方的权利和义务</w:t>
      </w:r>
      <w:r>
        <w:rPr>
          <w:rFonts w:hint="eastAsia" w:ascii="宋体" w:hAnsi="宋体" w:eastAsia="宋体" w:cs="宋体"/>
          <w:color w:val="auto"/>
          <w:sz w:val="24"/>
          <w:szCs w:val="24"/>
          <w:lang w:eastAsia="zh-CN"/>
        </w:rPr>
        <w:t>：</w:t>
      </w:r>
    </w:p>
    <w:p w14:paraId="254D6D06">
      <w:pPr>
        <w:keepNext w:val="0"/>
        <w:keepLines w:val="0"/>
        <w:pageBreakBefore w:val="0"/>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保证按照</w:t>
      </w:r>
      <w:r>
        <w:rPr>
          <w:rFonts w:hint="eastAsia" w:ascii="宋体" w:hAnsi="宋体" w:eastAsia="宋体" w:cs="宋体"/>
          <w:color w:val="auto"/>
          <w:sz w:val="24"/>
          <w:szCs w:val="24"/>
          <w:lang w:val="en-US" w:eastAsia="zh-CN"/>
        </w:rPr>
        <w:t>本合同的约定</w:t>
      </w:r>
      <w:r>
        <w:rPr>
          <w:rFonts w:hint="eastAsia" w:ascii="宋体" w:hAnsi="宋体" w:eastAsia="宋体" w:cs="宋体"/>
          <w:color w:val="auto"/>
          <w:sz w:val="24"/>
          <w:szCs w:val="24"/>
        </w:rPr>
        <w:t>向甲方供货。如果出现品种、数量、规格、质量不符合合同</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定的，由乙方负责</w:t>
      </w:r>
      <w:r>
        <w:rPr>
          <w:rFonts w:hint="eastAsia" w:ascii="宋体" w:hAnsi="宋体" w:eastAsia="宋体" w:cs="宋体"/>
          <w:color w:val="auto"/>
          <w:sz w:val="24"/>
          <w:szCs w:val="24"/>
          <w:lang w:val="en-US" w:eastAsia="zh-CN"/>
        </w:rPr>
        <w:t>按照本合同的约定进行处理；</w:t>
      </w:r>
    </w:p>
    <w:p w14:paraId="6BFADE7B">
      <w:pPr>
        <w:keepNext w:val="0"/>
        <w:keepLines w:val="0"/>
        <w:pageBreakBefore w:val="0"/>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必须按照本合同的约定履行合同义务，并</w:t>
      </w:r>
      <w:r>
        <w:rPr>
          <w:rFonts w:hint="eastAsia" w:ascii="宋体" w:hAnsi="宋体" w:eastAsia="宋体" w:cs="宋体"/>
          <w:color w:val="auto"/>
          <w:sz w:val="24"/>
          <w:szCs w:val="24"/>
        </w:rPr>
        <w:t>确保本合同中的安装、维修工作及时到位。因为乙方的原因造成</w:t>
      </w:r>
      <w:r>
        <w:rPr>
          <w:rFonts w:hint="eastAsia" w:ascii="宋体" w:hAnsi="宋体" w:eastAsia="宋体" w:cs="宋体"/>
          <w:color w:val="auto"/>
          <w:sz w:val="24"/>
          <w:szCs w:val="24"/>
          <w:lang w:val="en-US" w:eastAsia="zh-CN"/>
        </w:rPr>
        <w:t>甲方的</w:t>
      </w:r>
      <w:r>
        <w:rPr>
          <w:rFonts w:hint="eastAsia" w:ascii="宋体" w:hAnsi="宋体" w:eastAsia="宋体" w:cs="宋体"/>
          <w:color w:val="auto"/>
          <w:sz w:val="24"/>
          <w:szCs w:val="24"/>
        </w:rPr>
        <w:t>损失</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由乙方承担；</w:t>
      </w:r>
    </w:p>
    <w:p w14:paraId="0408F660">
      <w:pPr>
        <w:keepNext w:val="0"/>
        <w:keepLines w:val="0"/>
        <w:pageBreakBefore w:val="0"/>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5DC0ED6D">
      <w:pPr>
        <w:keepNext w:val="0"/>
        <w:keepLines w:val="0"/>
        <w:pageBreakBefore w:val="0"/>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0AA02B8C">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六、交货地点</w:t>
      </w:r>
      <w:r>
        <w:rPr>
          <w:rFonts w:hint="eastAsia" w:ascii="宋体" w:hAnsi="宋体" w:eastAsia="宋体" w:cs="宋体"/>
          <w:b/>
          <w:color w:val="auto"/>
          <w:sz w:val="24"/>
          <w:szCs w:val="24"/>
          <w:lang w:eastAsia="zh-CN"/>
        </w:rPr>
        <w:t>：</w:t>
      </w:r>
    </w:p>
    <w:p w14:paraId="70F5E4F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1、交货地点：</w:t>
      </w:r>
      <w:r>
        <w:rPr>
          <w:rFonts w:hint="eastAsia" w:ascii="宋体" w:hAnsi="宋体" w:eastAsia="宋体" w:cs="宋体"/>
          <w:color w:val="auto"/>
          <w:sz w:val="24"/>
          <w:szCs w:val="24"/>
          <w:lang w:eastAsia="zh-CN"/>
        </w:rPr>
        <w:t>甲方指定的交货地点。</w:t>
      </w:r>
    </w:p>
    <w:p w14:paraId="387AA5F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2、交货期：</w:t>
      </w:r>
      <w:r>
        <w:rPr>
          <w:rFonts w:hint="eastAsia" w:ascii="宋体" w:hAnsi="宋体" w:eastAsia="宋体" w:cs="宋体"/>
          <w:color w:val="auto"/>
          <w:sz w:val="24"/>
          <w:szCs w:val="24"/>
          <w:lang w:val="en-US" w:eastAsia="zh-CN"/>
        </w:rPr>
        <w:t>本合同约定的</w:t>
      </w:r>
      <w:r>
        <w:rPr>
          <w:rFonts w:hint="eastAsia" w:ascii="宋体" w:hAnsi="宋体" w:eastAsia="宋体" w:cs="宋体"/>
          <w:color w:val="auto"/>
          <w:sz w:val="24"/>
          <w:szCs w:val="24"/>
        </w:rPr>
        <w:t>所有</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均需在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日前完成安装、调试并申请验收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且验收合格。</w:t>
      </w:r>
    </w:p>
    <w:p w14:paraId="5C9E028B">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七、运输</w:t>
      </w:r>
      <w:r>
        <w:rPr>
          <w:rFonts w:hint="eastAsia" w:ascii="宋体" w:hAnsi="宋体" w:eastAsia="宋体" w:cs="宋体"/>
          <w:b/>
          <w:color w:val="auto"/>
          <w:sz w:val="24"/>
          <w:szCs w:val="24"/>
          <w:lang w:eastAsia="zh-CN"/>
        </w:rPr>
        <w:t>：</w:t>
      </w:r>
    </w:p>
    <w:p w14:paraId="08A283C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1、运输由乙方负责，费用已包含在合同总价内，包括所有的运输费、装卸费、仓储费、保险费等。</w:t>
      </w:r>
    </w:p>
    <w:p w14:paraId="58002F2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2、运输方式由乙方自行选择，但必须保证货物完好、按期交货</w:t>
      </w:r>
      <w:r>
        <w:rPr>
          <w:rFonts w:hint="eastAsia" w:ascii="宋体" w:hAnsi="宋体" w:eastAsia="宋体" w:cs="宋体"/>
          <w:color w:val="auto"/>
          <w:sz w:val="24"/>
          <w:szCs w:val="24"/>
          <w:lang w:val="en-US" w:eastAsia="zh-CN"/>
        </w:rPr>
        <w:t>到甲方指定地点</w:t>
      </w:r>
      <w:r>
        <w:rPr>
          <w:rFonts w:hint="eastAsia" w:ascii="宋体" w:hAnsi="宋体" w:eastAsia="宋体" w:cs="宋体"/>
          <w:color w:val="auto"/>
          <w:sz w:val="24"/>
          <w:szCs w:val="24"/>
        </w:rPr>
        <w:t>。</w:t>
      </w:r>
    </w:p>
    <w:p w14:paraId="328A90CD">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八、质量保证</w:t>
      </w:r>
      <w:r>
        <w:rPr>
          <w:rFonts w:hint="eastAsia" w:ascii="宋体" w:hAnsi="宋体" w:eastAsia="宋体" w:cs="宋体"/>
          <w:b/>
          <w:color w:val="auto"/>
          <w:sz w:val="24"/>
          <w:szCs w:val="24"/>
          <w:lang w:eastAsia="zh-CN"/>
        </w:rPr>
        <w:t>：</w:t>
      </w:r>
    </w:p>
    <w:p w14:paraId="2D75CF4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1、乙方提供的设备</w:t>
      </w:r>
      <w:r>
        <w:rPr>
          <w:rFonts w:hint="eastAsia" w:ascii="宋体" w:hAnsi="宋体" w:eastAsia="宋体" w:cs="宋体"/>
          <w:color w:val="auto"/>
          <w:sz w:val="24"/>
          <w:szCs w:val="24"/>
          <w:lang w:val="en-US" w:eastAsia="zh-CN"/>
        </w:rPr>
        <w:t>设施</w:t>
      </w:r>
      <w:r>
        <w:rPr>
          <w:rFonts w:hint="eastAsia" w:ascii="宋体" w:hAnsi="宋体" w:eastAsia="宋体" w:cs="宋体"/>
          <w:color w:val="auto"/>
          <w:sz w:val="24"/>
          <w:szCs w:val="24"/>
        </w:rPr>
        <w:t>必须是全新未使用、经国家质检部门检验合格并颁发了准销证的产品</w:t>
      </w:r>
      <w:r>
        <w:rPr>
          <w:rFonts w:hint="eastAsia" w:ascii="宋体" w:hAnsi="宋体" w:eastAsia="宋体" w:cs="宋体"/>
          <w:color w:val="auto"/>
          <w:sz w:val="24"/>
          <w:szCs w:val="24"/>
          <w:lang w:eastAsia="zh-CN"/>
        </w:rPr>
        <w:t>。</w:t>
      </w:r>
    </w:p>
    <w:p w14:paraId="102F5C4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2、乙方确保产品整体技术性能达到</w:t>
      </w:r>
      <w:r>
        <w:rPr>
          <w:rFonts w:hint="eastAsia" w:ascii="宋体" w:hAnsi="宋体" w:eastAsia="宋体" w:cs="宋体"/>
          <w:color w:val="auto"/>
          <w:sz w:val="24"/>
          <w:szCs w:val="24"/>
          <w:lang w:val="en-US" w:eastAsia="zh-CN"/>
        </w:rPr>
        <w:t>现行</w:t>
      </w:r>
      <w:r>
        <w:rPr>
          <w:rFonts w:hint="eastAsia" w:ascii="宋体" w:hAnsi="宋体" w:eastAsia="宋体" w:cs="宋体"/>
          <w:color w:val="auto"/>
          <w:sz w:val="24"/>
          <w:szCs w:val="24"/>
        </w:rPr>
        <w:t>国家标准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行业标准</w:t>
      </w:r>
      <w:r>
        <w:rPr>
          <w:rFonts w:hint="eastAsia" w:ascii="宋体" w:hAnsi="宋体" w:eastAsia="宋体" w:cs="宋体"/>
          <w:color w:val="auto"/>
          <w:sz w:val="24"/>
          <w:szCs w:val="24"/>
        </w:rPr>
        <w:t>，美观实用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并符合本合同的约定</w:t>
      </w:r>
      <w:r>
        <w:rPr>
          <w:rFonts w:hint="eastAsia" w:ascii="宋体" w:hAnsi="宋体" w:eastAsia="宋体" w:cs="宋体"/>
          <w:color w:val="auto"/>
          <w:sz w:val="24"/>
          <w:szCs w:val="24"/>
        </w:rPr>
        <w:t>。</w:t>
      </w:r>
    </w:p>
    <w:p w14:paraId="75ACD804">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九、售后服务</w:t>
      </w:r>
      <w:r>
        <w:rPr>
          <w:rFonts w:hint="eastAsia" w:ascii="宋体" w:hAnsi="宋体" w:eastAsia="宋体" w:cs="宋体"/>
          <w:b/>
          <w:color w:val="auto"/>
          <w:sz w:val="24"/>
          <w:szCs w:val="24"/>
          <w:lang w:eastAsia="zh-CN"/>
        </w:rPr>
        <w:t>：</w:t>
      </w:r>
    </w:p>
    <w:p w14:paraId="6B20B88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1、乙方对所供设备实行</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年免费保修，</w:t>
      </w:r>
      <w:r>
        <w:rPr>
          <w:rFonts w:hint="eastAsia" w:ascii="宋体" w:hAnsi="宋体" w:cs="宋体"/>
          <w:color w:val="auto"/>
          <w:sz w:val="24"/>
          <w:szCs w:val="24"/>
          <w:lang w:val="en-US" w:eastAsia="zh-CN"/>
        </w:rPr>
        <w:t>质保期</w:t>
      </w: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之日起算，</w:t>
      </w:r>
      <w:r>
        <w:rPr>
          <w:rFonts w:hint="eastAsia" w:ascii="宋体" w:hAnsi="宋体" w:eastAsia="宋体" w:cs="宋体"/>
          <w:color w:val="auto"/>
          <w:sz w:val="24"/>
          <w:szCs w:val="24"/>
        </w:rPr>
        <w:t>并提供终身维修服务（如因</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人为原因引起设备损坏不在保修范围之内）。在质保期内出现质量问题，乙方接到甲方通知</w:t>
      </w:r>
      <w:r>
        <w:rPr>
          <w:rFonts w:hint="eastAsia" w:ascii="宋体" w:hAnsi="宋体" w:eastAsia="宋体" w:cs="宋体"/>
          <w:color w:val="auto"/>
          <w:sz w:val="24"/>
          <w:szCs w:val="24"/>
          <w:lang w:val="en-US" w:eastAsia="zh-CN"/>
        </w:rPr>
        <w:t>当日</w:t>
      </w:r>
      <w:r>
        <w:rPr>
          <w:rFonts w:hint="eastAsia" w:ascii="宋体" w:hAnsi="宋体" w:eastAsia="宋体" w:cs="宋体"/>
          <w:color w:val="auto"/>
          <w:sz w:val="24"/>
          <w:szCs w:val="24"/>
        </w:rPr>
        <w:t>，应派专业人员到现场进行检测维修，产生的费用由乙方承担。若需送回生产厂家，往返费用由乙方承担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且乙方应确保修理期间甲方的相应工作不受影响，否则，乙方对甲方因此造成的全部损失进行赔偿。</w:t>
      </w:r>
    </w:p>
    <w:p w14:paraId="00C89E3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2、在质保期内，排除故障不得超过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个工作日。否则，甲方有权指定第三方进行维护，</w:t>
      </w:r>
      <w:r>
        <w:rPr>
          <w:rFonts w:hint="eastAsia" w:ascii="宋体" w:hAnsi="宋体" w:eastAsia="宋体" w:cs="宋体"/>
          <w:color w:val="auto"/>
          <w:sz w:val="24"/>
          <w:szCs w:val="24"/>
          <w:lang w:val="en-US" w:eastAsia="zh-CN"/>
        </w:rPr>
        <w:t>由此产生的相应</w:t>
      </w:r>
      <w:r>
        <w:rPr>
          <w:rFonts w:hint="eastAsia" w:ascii="宋体" w:hAnsi="宋体" w:eastAsia="宋体" w:cs="宋体"/>
          <w:color w:val="auto"/>
          <w:sz w:val="24"/>
          <w:szCs w:val="24"/>
        </w:rPr>
        <w:t>费用由乙方承担。</w:t>
      </w:r>
    </w:p>
    <w:p w14:paraId="12B00243">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十、违约责任</w:t>
      </w:r>
      <w:r>
        <w:rPr>
          <w:rFonts w:hint="eastAsia" w:ascii="宋体" w:hAnsi="宋体" w:eastAsia="宋体" w:cs="宋体"/>
          <w:b/>
          <w:color w:val="auto"/>
          <w:sz w:val="24"/>
          <w:szCs w:val="24"/>
          <w:lang w:eastAsia="zh-CN"/>
        </w:rPr>
        <w:t>：</w:t>
      </w:r>
    </w:p>
    <w:p w14:paraId="674850F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甲、乙双方均应按照合同的约定履行合同义务，否则，应按照本合同</w:t>
      </w:r>
      <w:r>
        <w:rPr>
          <w:rFonts w:hint="eastAsia" w:ascii="宋体" w:hAnsi="宋体" w:eastAsia="宋体" w:cs="宋体"/>
          <w:color w:val="auto"/>
          <w:sz w:val="24"/>
          <w:szCs w:val="24"/>
        </w:rPr>
        <w:t>中的相关</w:t>
      </w:r>
      <w:r>
        <w:rPr>
          <w:rFonts w:hint="eastAsia" w:ascii="宋体" w:hAnsi="宋体" w:eastAsia="宋体" w:cs="宋体"/>
          <w:color w:val="auto"/>
          <w:sz w:val="24"/>
          <w:szCs w:val="24"/>
          <w:lang w:val="en-US" w:eastAsia="zh-CN"/>
        </w:rPr>
        <w:t>违约</w:t>
      </w:r>
      <w:r>
        <w:rPr>
          <w:rFonts w:hint="eastAsia" w:ascii="宋体" w:hAnsi="宋体" w:eastAsia="宋体" w:cs="宋体"/>
          <w:color w:val="auto"/>
          <w:sz w:val="24"/>
          <w:szCs w:val="24"/>
        </w:rPr>
        <w:t>条款</w:t>
      </w:r>
      <w:r>
        <w:rPr>
          <w:rFonts w:hint="eastAsia" w:ascii="宋体" w:hAnsi="宋体" w:eastAsia="宋体" w:cs="宋体"/>
          <w:color w:val="auto"/>
          <w:sz w:val="24"/>
          <w:szCs w:val="24"/>
          <w:lang w:val="en-US" w:eastAsia="zh-CN"/>
        </w:rPr>
        <w:t>承担违约责任，本合同中未约定相关违约条款的，</w:t>
      </w:r>
      <w:r>
        <w:rPr>
          <w:rFonts w:hint="eastAsia" w:ascii="宋体" w:hAnsi="宋体" w:eastAsia="宋体" w:cs="宋体"/>
          <w:color w:val="auto"/>
          <w:sz w:val="24"/>
          <w:szCs w:val="24"/>
        </w:rPr>
        <w:t>按《中华人民共和国民法典》</w:t>
      </w:r>
      <w:r>
        <w:rPr>
          <w:rFonts w:hint="eastAsia" w:ascii="宋体" w:hAnsi="宋体" w:eastAsia="宋体" w:cs="宋体"/>
          <w:color w:val="auto"/>
          <w:sz w:val="24"/>
          <w:szCs w:val="24"/>
          <w:lang w:val="en-US" w:eastAsia="zh-CN"/>
        </w:rPr>
        <w:t>的相关规定执行</w:t>
      </w:r>
      <w:r>
        <w:rPr>
          <w:rFonts w:hint="eastAsia" w:ascii="宋体" w:hAnsi="宋体" w:eastAsia="宋体" w:cs="宋体"/>
          <w:color w:val="auto"/>
          <w:sz w:val="24"/>
          <w:szCs w:val="24"/>
        </w:rPr>
        <w:t>。</w:t>
      </w:r>
    </w:p>
    <w:p w14:paraId="68AC59A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交货期每超过一天，扣除乙方合同总价款的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迟延</w:t>
      </w:r>
      <w:r>
        <w:rPr>
          <w:rFonts w:hint="eastAsia" w:ascii="宋体" w:hAnsi="宋体" w:eastAsia="宋体" w:cs="宋体"/>
          <w:color w:val="auto"/>
          <w:sz w:val="24"/>
          <w:szCs w:val="24"/>
        </w:rPr>
        <w:t>交货超过30天，甲方有权</w:t>
      </w:r>
      <w:r>
        <w:rPr>
          <w:rFonts w:hint="eastAsia" w:ascii="宋体" w:hAnsi="宋体" w:eastAsia="宋体" w:cs="宋体"/>
          <w:color w:val="auto"/>
          <w:sz w:val="24"/>
          <w:szCs w:val="24"/>
          <w:lang w:val="en-US" w:eastAsia="zh-CN"/>
        </w:rPr>
        <w:t>解除本合同并拒收</w:t>
      </w:r>
      <w:r>
        <w:rPr>
          <w:rFonts w:hint="eastAsia" w:ascii="宋体" w:hAnsi="宋体" w:eastAsia="宋体" w:cs="宋体"/>
          <w:color w:val="auto"/>
          <w:sz w:val="24"/>
          <w:szCs w:val="24"/>
        </w:rPr>
        <w:t>货物。</w:t>
      </w:r>
    </w:p>
    <w:p w14:paraId="6D98001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、乙方保证所有设备及其技术资料不会侵犯任何第三方的权利，如有发生，乙方在承担全部责任和对第三方的赔偿外，以</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倍的合同总价额赔偿给甲方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若该赔偿款不足以弥补甲方的全部损失的，乙方还应对不足部分进行赔偿。</w:t>
      </w:r>
    </w:p>
    <w:p w14:paraId="59FAD3AF">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十一、合同争议解决的方式</w:t>
      </w:r>
      <w:r>
        <w:rPr>
          <w:rFonts w:hint="eastAsia" w:ascii="宋体" w:hAnsi="宋体" w:eastAsia="宋体" w:cs="宋体"/>
          <w:b/>
          <w:color w:val="auto"/>
          <w:sz w:val="24"/>
          <w:szCs w:val="24"/>
          <w:lang w:eastAsia="zh-CN"/>
        </w:rPr>
        <w:t>：</w:t>
      </w:r>
    </w:p>
    <w:p w14:paraId="7110B6D0">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本合同在履行过程中如发生争议，由甲、乙双方协商解决；经协商无法解决的可依法向</w:t>
      </w:r>
      <w:r>
        <w:rPr>
          <w:rFonts w:hint="eastAsia" w:ascii="宋体" w:hAnsi="宋体" w:eastAsia="宋体" w:cs="宋体"/>
          <w:color w:val="auto"/>
          <w:sz w:val="24"/>
          <w:szCs w:val="24"/>
          <w:lang w:val="en-US" w:eastAsia="zh-CN"/>
        </w:rPr>
        <w:t>甲方所在地</w:t>
      </w:r>
      <w:r>
        <w:rPr>
          <w:rFonts w:hint="eastAsia" w:ascii="宋体" w:hAnsi="宋体" w:eastAsia="宋体" w:cs="宋体"/>
          <w:color w:val="auto"/>
          <w:sz w:val="24"/>
          <w:szCs w:val="24"/>
        </w:rPr>
        <w:t>人民法院起诉</w:t>
      </w:r>
      <w:r>
        <w:rPr>
          <w:rFonts w:hint="eastAsia" w:ascii="宋体" w:hAnsi="宋体" w:eastAsia="宋体" w:cs="宋体"/>
          <w:color w:val="auto"/>
          <w:sz w:val="24"/>
          <w:szCs w:val="24"/>
          <w:lang w:val="en-US" w:eastAsia="zh-CN"/>
        </w:rPr>
        <w:t>解决。</w:t>
      </w:r>
    </w:p>
    <w:p w14:paraId="210D1F65">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十二、合同生效</w:t>
      </w:r>
      <w:r>
        <w:rPr>
          <w:rFonts w:hint="eastAsia" w:ascii="宋体" w:hAnsi="宋体" w:eastAsia="宋体" w:cs="宋体"/>
          <w:b/>
          <w:color w:val="auto"/>
          <w:sz w:val="24"/>
          <w:szCs w:val="24"/>
          <w:lang w:eastAsia="zh-CN"/>
        </w:rPr>
        <w:t>：</w:t>
      </w:r>
    </w:p>
    <w:p w14:paraId="2462DCA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份（甲方</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份、乙方</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份），经</w:t>
      </w:r>
      <w:r>
        <w:rPr>
          <w:rFonts w:hint="eastAsia" w:ascii="宋体" w:hAnsi="宋体" w:eastAsia="宋体" w:cs="宋体"/>
          <w:color w:val="auto"/>
          <w:sz w:val="24"/>
          <w:szCs w:val="24"/>
          <w:lang w:val="en-US" w:eastAsia="zh-CN"/>
        </w:rPr>
        <w:t>甲、乙</w:t>
      </w:r>
      <w:r>
        <w:rPr>
          <w:rFonts w:hint="eastAsia" w:ascii="宋体" w:hAnsi="宋体" w:eastAsia="宋体" w:cs="宋体"/>
          <w:color w:val="auto"/>
          <w:sz w:val="24"/>
          <w:szCs w:val="24"/>
        </w:rPr>
        <w:t>双方</w:t>
      </w:r>
      <w:r>
        <w:rPr>
          <w:rFonts w:hint="eastAsia" w:ascii="宋体" w:hAnsi="宋体" w:eastAsia="宋体" w:cs="宋体"/>
          <w:color w:val="auto"/>
          <w:sz w:val="24"/>
          <w:szCs w:val="24"/>
          <w:lang w:val="en-US" w:eastAsia="zh-CN"/>
        </w:rPr>
        <w:t>法定代表人或负责人</w:t>
      </w:r>
      <w:r>
        <w:rPr>
          <w:rFonts w:hint="eastAsia" w:ascii="宋体" w:hAnsi="宋体" w:eastAsia="宋体" w:cs="宋体"/>
          <w:color w:val="auto"/>
          <w:sz w:val="24"/>
          <w:szCs w:val="24"/>
        </w:rPr>
        <w:t>签字盖章后生效。</w:t>
      </w:r>
    </w:p>
    <w:p w14:paraId="5F8B3D29">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十三、其他事项</w:t>
      </w:r>
      <w:r>
        <w:rPr>
          <w:rFonts w:hint="eastAsia" w:ascii="宋体" w:hAnsi="宋体" w:eastAsia="宋体" w:cs="宋体"/>
          <w:b/>
          <w:color w:val="auto"/>
          <w:sz w:val="24"/>
          <w:szCs w:val="24"/>
          <w:lang w:eastAsia="zh-CN"/>
        </w:rPr>
        <w:t>：</w:t>
      </w:r>
    </w:p>
    <w:p w14:paraId="05384EC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1、合同未尽事宜，由甲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乙双方</w:t>
      </w:r>
      <w:r>
        <w:rPr>
          <w:rFonts w:hint="eastAsia" w:ascii="宋体" w:hAnsi="宋体" w:eastAsia="宋体" w:cs="宋体"/>
          <w:color w:val="auto"/>
          <w:sz w:val="24"/>
          <w:szCs w:val="24"/>
          <w:lang w:val="en-US" w:eastAsia="zh-CN"/>
        </w:rPr>
        <w:t>另行</w:t>
      </w:r>
      <w:r>
        <w:rPr>
          <w:rFonts w:hint="eastAsia" w:ascii="宋体" w:hAnsi="宋体" w:eastAsia="宋体" w:cs="宋体"/>
          <w:color w:val="auto"/>
          <w:sz w:val="24"/>
          <w:szCs w:val="24"/>
        </w:rPr>
        <w:t>协商，变更增加补充合同，与原合同具有同等法律效力。</w:t>
      </w:r>
    </w:p>
    <w:p w14:paraId="4B02FEBB">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2、合同一经签订，不得擅自变更、终止。确需调整的，应按</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定履行相应的手续。</w:t>
      </w:r>
    </w:p>
    <w:p w14:paraId="46F449CD">
      <w:pPr>
        <w:spacing w:line="420" w:lineRule="exact"/>
        <w:jc w:val="left"/>
        <w:rPr>
          <w:rFonts w:hint="eastAsia" w:ascii="宋体" w:hAnsi="宋体" w:eastAsia="宋体" w:cs="宋体"/>
          <w:color w:val="auto"/>
          <w:sz w:val="24"/>
          <w:szCs w:val="24"/>
        </w:rPr>
      </w:pPr>
    </w:p>
    <w:p w14:paraId="76E11A0D">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甲   方（签章）：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乙   方（签章）：</w:t>
      </w:r>
    </w:p>
    <w:p w14:paraId="04166445">
      <w:pPr>
        <w:spacing w:line="360" w:lineRule="auto"/>
        <w:ind w:left="960" w:hanging="960" w:hangingChars="400"/>
        <w:rPr>
          <w:rFonts w:hint="eastAsia" w:ascii="宋体" w:hAnsi="宋体" w:eastAsia="宋体" w:cs="宋体"/>
          <w:color w:val="auto"/>
          <w:sz w:val="24"/>
          <w:szCs w:val="24"/>
        </w:rPr>
      </w:pPr>
    </w:p>
    <w:p w14:paraId="443F088C">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 定 代 表 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 定 代 表 人：</w:t>
      </w:r>
    </w:p>
    <w:p w14:paraId="19B1EA1E">
      <w:pPr>
        <w:spacing w:line="360" w:lineRule="auto"/>
        <w:rPr>
          <w:rFonts w:hint="eastAsia" w:ascii="宋体" w:hAnsi="宋体" w:eastAsia="宋体" w:cs="宋体"/>
          <w:color w:val="auto"/>
          <w:sz w:val="24"/>
          <w:szCs w:val="24"/>
        </w:rPr>
      </w:pPr>
    </w:p>
    <w:p w14:paraId="7168C49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委 托 代 理 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委 托 代 理 人：              </w:t>
      </w:r>
    </w:p>
    <w:p w14:paraId="63A758A1">
      <w:pPr>
        <w:spacing w:line="360" w:lineRule="auto"/>
        <w:rPr>
          <w:rFonts w:hint="eastAsia" w:ascii="宋体" w:hAnsi="宋体" w:eastAsia="宋体" w:cs="宋体"/>
          <w:color w:val="auto"/>
          <w:sz w:val="24"/>
          <w:szCs w:val="24"/>
        </w:rPr>
      </w:pPr>
    </w:p>
    <w:p w14:paraId="759A692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签订日期：   年  月  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签订日期：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14:paraId="7022202A">
      <w:pPr>
        <w:rPr>
          <w:rFonts w:hint="eastAsia" w:ascii="宋体" w:hAnsi="宋体" w:eastAsia="宋体" w:cs="宋体"/>
          <w:b/>
          <w:color w:val="auto"/>
          <w:spacing w:val="0"/>
          <w:sz w:val="32"/>
          <w:szCs w:val="32"/>
          <w:highlight w:val="none"/>
        </w:rPr>
      </w:pPr>
      <w:r>
        <w:rPr>
          <w:rFonts w:hint="eastAsia" w:ascii="宋体" w:hAnsi="宋体" w:eastAsia="宋体" w:cs="宋体"/>
          <w:b/>
          <w:color w:val="auto"/>
          <w:spacing w:val="0"/>
          <w:sz w:val="32"/>
          <w:szCs w:val="32"/>
          <w:highlight w:val="none"/>
        </w:rPr>
        <w:br w:type="page"/>
      </w:r>
    </w:p>
    <w:p w14:paraId="1B69B032">
      <w:pPr>
        <w:spacing w:before="145" w:line="219" w:lineRule="auto"/>
        <w:ind w:left="27"/>
        <w:rPr>
          <w:rFonts w:ascii="宋体" w:hAnsi="宋体" w:eastAsia="宋体" w:cs="宋体"/>
          <w:color w:val="auto"/>
          <w:spacing w:val="-14"/>
          <w:sz w:val="24"/>
          <w:szCs w:val="24"/>
        </w:rPr>
      </w:pPr>
    </w:p>
    <w:p w14:paraId="37FF6F64">
      <w:pPr>
        <w:pStyle w:val="2"/>
        <w:bidi w:val="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六</w:t>
      </w:r>
      <w:r>
        <w:rPr>
          <w:rFonts w:hint="eastAsia" w:ascii="宋体" w:hAnsi="宋体" w:eastAsia="宋体" w:cs="宋体"/>
          <w:b/>
          <w:color w:val="auto"/>
          <w:sz w:val="36"/>
          <w:szCs w:val="20"/>
          <w:highlight w:val="none"/>
        </w:rPr>
        <w:t>部分  投标文件格式</w:t>
      </w:r>
    </w:p>
    <w:p w14:paraId="306E703A">
      <w:pPr>
        <w:adjustRightInd w:val="0"/>
        <w:snapToGrid w:val="0"/>
        <w:spacing w:line="360" w:lineRule="auto"/>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项目编号</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eastAsia="zh-CN"/>
        </w:rPr>
        <w:t>HHZY-2025-26</w:t>
      </w:r>
    </w:p>
    <w:p w14:paraId="098D0146">
      <w:pPr>
        <w:adjustRightInd w:val="0"/>
        <w:snapToGrid w:val="0"/>
        <w:spacing w:line="360" w:lineRule="auto"/>
        <w:jc w:val="righ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电子投标文件</w:t>
      </w:r>
    </w:p>
    <w:p w14:paraId="0876BD6F">
      <w:pPr>
        <w:spacing w:line="360" w:lineRule="auto"/>
        <w:jc w:val="both"/>
        <w:rPr>
          <w:rFonts w:hint="eastAsia" w:ascii="宋体" w:hAnsi="宋体" w:eastAsia="宋体" w:cs="宋体"/>
          <w:b/>
          <w:color w:val="auto"/>
          <w:sz w:val="52"/>
          <w:szCs w:val="52"/>
          <w:highlight w:val="none"/>
        </w:rPr>
      </w:pPr>
    </w:p>
    <w:p w14:paraId="7BE6B901">
      <w:pPr>
        <w:adjustRightInd w:val="0"/>
        <w:snapToGrid w:val="0"/>
        <w:spacing w:line="360" w:lineRule="auto"/>
        <w:jc w:val="center"/>
        <w:rPr>
          <w:rFonts w:hint="eastAsia" w:ascii="宋体" w:hAnsi="宋体" w:eastAsia="宋体" w:cs="宋体"/>
          <w:b/>
          <w:color w:val="auto"/>
          <w:sz w:val="52"/>
          <w:szCs w:val="52"/>
          <w:highlight w:val="none"/>
          <w:lang w:val="en-US"/>
        </w:rPr>
      </w:pPr>
      <w:r>
        <w:rPr>
          <w:rFonts w:hint="eastAsia" w:ascii="宋体" w:hAnsi="宋体" w:cs="宋体"/>
          <w:b/>
          <w:color w:val="auto"/>
          <w:sz w:val="52"/>
          <w:szCs w:val="52"/>
          <w:highlight w:val="none"/>
          <w:lang w:val="en-US" w:eastAsia="zh-CN"/>
        </w:rPr>
        <w:t>儿科采购专业设备一批</w:t>
      </w:r>
    </w:p>
    <w:p w14:paraId="1A4D7700">
      <w:pPr>
        <w:pStyle w:val="8"/>
        <w:rPr>
          <w:rFonts w:hint="eastAsia" w:ascii="宋体" w:hAnsi="宋体" w:eastAsia="宋体" w:cs="宋体"/>
          <w:b/>
          <w:color w:val="auto"/>
          <w:sz w:val="56"/>
          <w:szCs w:val="56"/>
          <w:highlight w:val="none"/>
        </w:rPr>
      </w:pPr>
    </w:p>
    <w:p w14:paraId="6C997F04">
      <w:pPr>
        <w:rPr>
          <w:rFonts w:hint="eastAsia" w:ascii="宋体" w:hAnsi="宋体" w:eastAsia="宋体" w:cs="宋体"/>
          <w:color w:val="auto"/>
          <w:highlight w:val="none"/>
        </w:rPr>
      </w:pPr>
    </w:p>
    <w:p w14:paraId="62033A68">
      <w:pPr>
        <w:adjustRightInd w:val="0"/>
        <w:snapToGrid w:val="0"/>
        <w:spacing w:line="36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投标文件</w:t>
      </w:r>
    </w:p>
    <w:p w14:paraId="768AF854">
      <w:pPr>
        <w:pStyle w:val="8"/>
        <w:rPr>
          <w:rFonts w:hint="eastAsia" w:ascii="宋体" w:hAnsi="宋体" w:eastAsia="宋体" w:cs="宋体"/>
          <w:color w:val="auto"/>
          <w:highlight w:val="none"/>
        </w:rPr>
      </w:pPr>
    </w:p>
    <w:p w14:paraId="188F622E">
      <w:pPr>
        <w:pStyle w:val="8"/>
        <w:rPr>
          <w:rFonts w:hint="eastAsia" w:ascii="宋体" w:hAnsi="宋体" w:eastAsia="宋体" w:cs="宋体"/>
          <w:color w:val="auto"/>
          <w:highlight w:val="none"/>
        </w:rPr>
      </w:pPr>
    </w:p>
    <w:p w14:paraId="3606C014">
      <w:pPr>
        <w:pStyle w:val="8"/>
        <w:rPr>
          <w:rFonts w:hint="eastAsia" w:ascii="宋体" w:hAnsi="宋体" w:eastAsia="宋体" w:cs="宋体"/>
          <w:color w:val="auto"/>
          <w:highlight w:val="none"/>
        </w:rPr>
      </w:pPr>
    </w:p>
    <w:p w14:paraId="0CB7C79C">
      <w:pPr>
        <w:pStyle w:val="8"/>
        <w:rPr>
          <w:rFonts w:hint="eastAsia" w:ascii="宋体" w:hAnsi="宋体" w:eastAsia="宋体" w:cs="宋体"/>
          <w:color w:val="auto"/>
          <w:highlight w:val="none"/>
        </w:rPr>
      </w:pPr>
    </w:p>
    <w:p w14:paraId="24522636">
      <w:pPr>
        <w:pStyle w:val="8"/>
        <w:rPr>
          <w:rFonts w:hint="eastAsia" w:ascii="宋体" w:hAnsi="宋体" w:eastAsia="宋体" w:cs="宋体"/>
          <w:color w:val="auto"/>
          <w:highlight w:val="none"/>
        </w:rPr>
      </w:pPr>
    </w:p>
    <w:p w14:paraId="61E6EB39">
      <w:pPr>
        <w:pStyle w:val="8"/>
        <w:rPr>
          <w:rFonts w:hint="eastAsia" w:ascii="宋体" w:hAnsi="宋体" w:eastAsia="宋体" w:cs="宋体"/>
          <w:color w:val="auto"/>
          <w:highlight w:val="none"/>
        </w:rPr>
      </w:pPr>
    </w:p>
    <w:p w14:paraId="502A7ED0">
      <w:pPr>
        <w:pStyle w:val="8"/>
        <w:rPr>
          <w:rFonts w:hint="eastAsia" w:ascii="宋体" w:hAnsi="宋体" w:eastAsia="宋体" w:cs="宋体"/>
          <w:color w:val="auto"/>
          <w:highlight w:val="none"/>
        </w:rPr>
      </w:pPr>
    </w:p>
    <w:p w14:paraId="791817FF">
      <w:pPr>
        <w:pStyle w:val="8"/>
        <w:rPr>
          <w:rFonts w:hint="eastAsia" w:ascii="宋体" w:hAnsi="宋体" w:eastAsia="宋体" w:cs="宋体"/>
          <w:color w:val="auto"/>
          <w:highlight w:val="none"/>
        </w:rPr>
      </w:pPr>
    </w:p>
    <w:p w14:paraId="78B5CB40">
      <w:pPr>
        <w:pStyle w:val="8"/>
        <w:rPr>
          <w:rFonts w:hint="eastAsia" w:ascii="宋体" w:hAnsi="宋体" w:eastAsia="宋体" w:cs="宋体"/>
          <w:color w:val="auto"/>
          <w:highlight w:val="none"/>
        </w:rPr>
      </w:pPr>
    </w:p>
    <w:p w14:paraId="1717135B">
      <w:pPr>
        <w:pStyle w:val="8"/>
        <w:rPr>
          <w:rFonts w:hint="eastAsia" w:ascii="宋体" w:hAnsi="宋体" w:eastAsia="宋体" w:cs="宋体"/>
          <w:color w:val="auto"/>
          <w:highlight w:val="none"/>
        </w:rPr>
      </w:pPr>
    </w:p>
    <w:p w14:paraId="3106B300">
      <w:pPr>
        <w:pStyle w:val="8"/>
        <w:rPr>
          <w:rFonts w:hint="eastAsia" w:ascii="宋体" w:hAnsi="宋体" w:eastAsia="宋体" w:cs="宋体"/>
          <w:color w:val="auto"/>
          <w:highlight w:val="none"/>
        </w:rPr>
      </w:pPr>
    </w:p>
    <w:p w14:paraId="493600FD">
      <w:pPr>
        <w:pStyle w:val="8"/>
        <w:rPr>
          <w:rFonts w:hint="eastAsia" w:ascii="宋体" w:hAnsi="宋体" w:eastAsia="宋体" w:cs="宋体"/>
          <w:color w:val="auto"/>
          <w:highlight w:val="none"/>
        </w:rPr>
      </w:pPr>
    </w:p>
    <w:p w14:paraId="3881F7C1">
      <w:pPr>
        <w:pStyle w:val="8"/>
        <w:rPr>
          <w:rFonts w:hint="eastAsia" w:ascii="宋体" w:hAnsi="宋体" w:eastAsia="宋体" w:cs="宋体"/>
          <w:color w:val="auto"/>
          <w:highlight w:val="none"/>
        </w:rPr>
      </w:pPr>
    </w:p>
    <w:p w14:paraId="4ECC6C33">
      <w:pPr>
        <w:spacing w:line="360" w:lineRule="auto"/>
        <w:rPr>
          <w:rFonts w:hint="eastAsia" w:ascii="宋体" w:hAnsi="宋体" w:eastAsia="宋体" w:cs="宋体"/>
          <w:color w:val="auto"/>
          <w:highlight w:val="none"/>
        </w:rPr>
      </w:pPr>
    </w:p>
    <w:p w14:paraId="48DD1382">
      <w:pPr>
        <w:adjustRightInd w:val="0"/>
        <w:snapToGrid w:val="0"/>
        <w:spacing w:line="360" w:lineRule="auto"/>
        <w:ind w:firstLine="643" w:firstLineChars="200"/>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投 标 人</w:t>
      </w:r>
      <w:r>
        <w:rPr>
          <w:rFonts w:hint="eastAsia" w:ascii="宋体" w:hAnsi="宋体" w:eastAsia="宋体" w:cs="宋体"/>
          <w:b/>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（盖章）    </w:t>
      </w:r>
    </w:p>
    <w:p w14:paraId="1C022D1E">
      <w:pPr>
        <w:adjustRightInd w:val="0"/>
        <w:snapToGrid w:val="0"/>
        <w:spacing w:line="360" w:lineRule="auto"/>
        <w:ind w:firstLine="643" w:firstLineChars="200"/>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法人或授权代表</w:t>
      </w:r>
      <w:r>
        <w:rPr>
          <w:rFonts w:hint="eastAsia" w:ascii="宋体" w:hAnsi="宋体" w:eastAsia="宋体" w:cs="宋体"/>
          <w:b/>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（签字或盖章） </w:t>
      </w:r>
    </w:p>
    <w:p w14:paraId="5965CFD6">
      <w:pPr>
        <w:adjustRightInd w:val="0"/>
        <w:snapToGrid w:val="0"/>
        <w:spacing w:line="360" w:lineRule="auto"/>
        <w:ind w:firstLine="643" w:firstLineChars="200"/>
        <w:rPr>
          <w:rFonts w:hint="eastAsia" w:ascii="宋体" w:hAnsi="宋体" w:eastAsia="宋体" w:cs="宋体"/>
          <w:color w:val="auto"/>
          <w:sz w:val="32"/>
          <w:szCs w:val="32"/>
          <w:highlight w:val="none"/>
          <w:u w:val="single"/>
        </w:rPr>
      </w:pPr>
      <w:r>
        <w:rPr>
          <w:rFonts w:hint="eastAsia" w:ascii="宋体" w:hAnsi="宋体" w:eastAsia="宋体" w:cs="宋体"/>
          <w:b/>
          <w:color w:val="auto"/>
          <w:sz w:val="32"/>
          <w:szCs w:val="32"/>
          <w:highlight w:val="none"/>
        </w:rPr>
        <w:t>时    间</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12DDB79F">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6A793A88">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77A12E6">
      <w:pPr>
        <w:pStyle w:val="30"/>
        <w:spacing w:line="360" w:lineRule="auto"/>
        <w:ind w:firstLine="964"/>
        <w:rPr>
          <w:rFonts w:hint="eastAsia" w:ascii="宋体" w:hAnsi="宋体" w:eastAsia="宋体" w:cs="宋体"/>
          <w:b/>
          <w:color w:val="auto"/>
          <w:sz w:val="48"/>
          <w:szCs w:val="48"/>
          <w:highlight w:val="none"/>
        </w:rPr>
      </w:pPr>
    </w:p>
    <w:p w14:paraId="30CCBAFA">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一、投标响应函</w:t>
      </w:r>
    </w:p>
    <w:p w14:paraId="204BA6B5">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sz w:val="30"/>
          <w:szCs w:val="30"/>
          <w:highlight w:val="none"/>
          <w:lang w:val="en-US" w:eastAsia="zh-CN"/>
        </w:rPr>
        <w:t>开标一览表</w:t>
      </w:r>
    </w:p>
    <w:p w14:paraId="3CCD554F">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三、投标人资格证明文件 </w:t>
      </w:r>
    </w:p>
    <w:p w14:paraId="1E099480">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四、供应商概况</w:t>
      </w:r>
    </w:p>
    <w:p w14:paraId="520F349A">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招标文件确认书</w:t>
      </w:r>
    </w:p>
    <w:p w14:paraId="54731605">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、技术</w:t>
      </w:r>
      <w:r>
        <w:rPr>
          <w:rFonts w:hint="eastAsia" w:ascii="宋体" w:hAnsi="宋体" w:eastAsia="宋体" w:cs="宋体"/>
          <w:b/>
          <w:color w:val="auto"/>
          <w:sz w:val="30"/>
          <w:szCs w:val="30"/>
          <w:highlight w:val="none"/>
          <w:lang w:val="en-US" w:eastAsia="zh-CN"/>
        </w:rPr>
        <w:t>服务</w:t>
      </w:r>
      <w:r>
        <w:rPr>
          <w:rFonts w:hint="eastAsia" w:ascii="宋体" w:hAnsi="宋体" w:eastAsia="宋体" w:cs="宋体"/>
          <w:b/>
          <w:color w:val="auto"/>
          <w:sz w:val="30"/>
          <w:szCs w:val="30"/>
          <w:highlight w:val="none"/>
        </w:rPr>
        <w:t>响应偏离表</w:t>
      </w:r>
    </w:p>
    <w:p w14:paraId="7FD483AD">
      <w:pPr>
        <w:spacing w:line="360" w:lineRule="auto"/>
        <w:ind w:leftChars="900"/>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商务条款偏离表</w:t>
      </w:r>
    </w:p>
    <w:p w14:paraId="214379CB">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八</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投标</w:t>
      </w:r>
      <w:r>
        <w:rPr>
          <w:rFonts w:hint="eastAsia" w:ascii="宋体" w:hAnsi="宋体" w:eastAsia="宋体" w:cs="宋体"/>
          <w:b/>
          <w:color w:val="auto"/>
          <w:sz w:val="30"/>
          <w:szCs w:val="30"/>
          <w:highlight w:val="none"/>
        </w:rPr>
        <w:t>方案</w:t>
      </w:r>
    </w:p>
    <w:p w14:paraId="2A268307">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拟投入项目人员情况表</w:t>
      </w:r>
    </w:p>
    <w:p w14:paraId="7AB44959">
      <w:pPr>
        <w:spacing w:line="360" w:lineRule="auto"/>
        <w:ind w:leftChars="9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十、投标人类似项目业绩表</w:t>
      </w:r>
    </w:p>
    <w:p w14:paraId="6CC3D681">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十一、</w:t>
      </w:r>
      <w:r>
        <w:rPr>
          <w:rFonts w:hint="eastAsia" w:ascii="宋体" w:hAnsi="宋体" w:eastAsia="宋体" w:cs="宋体"/>
          <w:b/>
          <w:color w:val="auto"/>
          <w:sz w:val="30"/>
          <w:szCs w:val="30"/>
          <w:highlight w:val="none"/>
        </w:rPr>
        <w:t>供应商拒绝政府采购领域商业贿赂承诺</w:t>
      </w:r>
    </w:p>
    <w:p w14:paraId="7655402E">
      <w:pPr>
        <w:spacing w:line="360" w:lineRule="auto"/>
        <w:ind w:leftChars="9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十二、其他证明资料</w:t>
      </w:r>
    </w:p>
    <w:p w14:paraId="66072723">
      <w:pPr>
        <w:spacing w:line="360" w:lineRule="auto"/>
        <w:ind w:leftChars="900"/>
        <w:rPr>
          <w:rFonts w:hint="eastAsia" w:ascii="宋体" w:hAnsi="宋体" w:eastAsia="宋体" w:cs="宋体"/>
          <w:b/>
          <w:color w:val="auto"/>
          <w:sz w:val="30"/>
          <w:szCs w:val="30"/>
          <w:highlight w:val="none"/>
          <w:lang w:val="en-US" w:eastAsia="zh-CN"/>
        </w:rPr>
      </w:pPr>
    </w:p>
    <w:p w14:paraId="7C12C9D8">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68C26644">
      <w:pP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br w:type="page"/>
      </w:r>
    </w:p>
    <w:p w14:paraId="04763669">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一、投标响应函</w:t>
      </w:r>
    </w:p>
    <w:p w14:paraId="37F5FCA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安康华昊智远项目管理有限公司</w:t>
      </w:r>
      <w:r>
        <w:rPr>
          <w:rFonts w:hint="eastAsia" w:ascii="宋体" w:hAnsi="宋体" w:eastAsia="宋体" w:cs="宋体"/>
          <w:color w:val="auto"/>
          <w:sz w:val="24"/>
          <w:szCs w:val="24"/>
          <w:highlight w:val="none"/>
        </w:rPr>
        <w:t>：</w:t>
      </w:r>
    </w:p>
    <w:p w14:paraId="689DFF40">
      <w:pPr>
        <w:spacing w:line="480" w:lineRule="exact"/>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（采购</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招标采购货物及服务的招标公告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 xml:space="preserve">编号） </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 xml:space="preserve"> （姓名、职务） </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rPr>
        <w:t xml:space="preserve"> （投标人名称、地址）  </w:t>
      </w:r>
      <w:r>
        <w:rPr>
          <w:rFonts w:hint="eastAsia" w:ascii="宋体" w:hAnsi="宋体" w:eastAsia="宋体" w:cs="宋体"/>
          <w:color w:val="auto"/>
          <w:sz w:val="24"/>
          <w:szCs w:val="24"/>
          <w:highlight w:val="none"/>
        </w:rPr>
        <w:t>，提交电子投标文件一份。</w:t>
      </w:r>
    </w:p>
    <w:p w14:paraId="09C904E2">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在此，签字代表宣布同意如下：</w:t>
      </w:r>
    </w:p>
    <w:p w14:paraId="388C13B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1．所附投标报价表中规定的应提交和交付的货物投标总价为</w:t>
      </w:r>
      <w:r>
        <w:rPr>
          <w:rFonts w:hint="eastAsia" w:ascii="宋体" w:hAnsi="宋体" w:eastAsia="宋体" w:cs="宋体"/>
          <w:color w:val="auto"/>
          <w:sz w:val="24"/>
          <w:szCs w:val="24"/>
          <w:highlight w:val="none"/>
          <w:u w:val="single"/>
        </w:rPr>
        <w:t>人民币金额数（同时用汉字大写和数字表示的投标总价）</w:t>
      </w:r>
      <w:r>
        <w:rPr>
          <w:rFonts w:hint="eastAsia" w:ascii="宋体" w:hAnsi="宋体" w:eastAsia="宋体" w:cs="宋体"/>
          <w:color w:val="auto"/>
          <w:sz w:val="24"/>
          <w:szCs w:val="24"/>
          <w:highlight w:val="none"/>
        </w:rPr>
        <w:t>。</w:t>
      </w:r>
    </w:p>
    <w:p w14:paraId="756B3388">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2．投标人将按招标文件的规定履行合同责任和义务。</w:t>
      </w:r>
    </w:p>
    <w:p w14:paraId="07ED523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3．投标人已详细审查全部招标文件。我们完全理解并同意放弃对这方面有不明及误解的权力。</w:t>
      </w:r>
    </w:p>
    <w:p w14:paraId="72918DA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4．本投标有效期为自开标日起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个日历日（中标人的投标文件有效期延长与合同有效期一致）。</w:t>
      </w:r>
    </w:p>
    <w:p w14:paraId="0D3AE2F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5．投标人完全理解并同意贵方在招标文件中的有关不予退还投标保证金和拒绝投标的条款。</w:t>
      </w:r>
    </w:p>
    <w:p w14:paraId="0E1C7167">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6．投标人同意提供按照贵方可能要求的与其投标有关的一切数据或资料，完全理解贵方不一定接受最低投标报价的投标或收到的任何投标。</w:t>
      </w:r>
    </w:p>
    <w:p w14:paraId="38488C7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7．若我方获得中标，我方保证按有关规定向贵方支付中标服务费。</w:t>
      </w:r>
    </w:p>
    <w:p w14:paraId="454E04A7">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8．与本投标有关的一切正式往来信函请寄：</w:t>
      </w:r>
    </w:p>
    <w:p w14:paraId="34A028EC">
      <w:pPr>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472ABD0B">
      <w:pPr>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   细   地   址：</w:t>
      </w:r>
      <w:r>
        <w:rPr>
          <w:rFonts w:hint="eastAsia" w:ascii="宋体" w:hAnsi="宋体" w:eastAsia="宋体" w:cs="宋体"/>
          <w:color w:val="auto"/>
          <w:sz w:val="24"/>
          <w:szCs w:val="24"/>
          <w:highlight w:val="none"/>
          <w:u w:val="single"/>
        </w:rPr>
        <w:t xml:space="preserve">                                </w:t>
      </w:r>
    </w:p>
    <w:p w14:paraId="527E6A56">
      <w:pPr>
        <w:tabs>
          <w:tab w:val="left" w:pos="360"/>
        </w:tabs>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政   编   码：</w:t>
      </w:r>
      <w:r>
        <w:rPr>
          <w:rFonts w:hint="eastAsia" w:ascii="宋体" w:hAnsi="宋体" w:eastAsia="宋体" w:cs="宋体"/>
          <w:color w:val="auto"/>
          <w:sz w:val="24"/>
          <w:szCs w:val="24"/>
          <w:highlight w:val="none"/>
          <w:u w:val="single"/>
        </w:rPr>
        <w:t xml:space="preserve">                                </w:t>
      </w:r>
    </w:p>
    <w:p w14:paraId="037982EA">
      <w:pPr>
        <w:autoSpaceDE w:val="0"/>
        <w:autoSpaceDN w:val="0"/>
        <w:adjustRightInd w:val="0"/>
        <w:spacing w:line="480" w:lineRule="exact"/>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电             话：</w:t>
      </w:r>
      <w:r>
        <w:rPr>
          <w:rFonts w:hint="eastAsia" w:ascii="宋体" w:hAnsi="宋体" w:eastAsia="宋体" w:cs="宋体"/>
          <w:color w:val="auto"/>
          <w:sz w:val="24"/>
          <w:szCs w:val="24"/>
          <w:highlight w:val="none"/>
          <w:u w:val="single"/>
          <w:lang w:val="zh-CN"/>
        </w:rPr>
        <w:t xml:space="preserve">                                </w:t>
      </w:r>
    </w:p>
    <w:p w14:paraId="08E5F03D">
      <w:pPr>
        <w:autoSpaceDE w:val="0"/>
        <w:autoSpaceDN w:val="0"/>
        <w:adjustRightInd w:val="0"/>
        <w:spacing w:line="48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             真：</w:t>
      </w:r>
      <w:r>
        <w:rPr>
          <w:rFonts w:hint="eastAsia" w:ascii="宋体" w:hAnsi="宋体" w:eastAsia="宋体" w:cs="宋体"/>
          <w:color w:val="auto"/>
          <w:sz w:val="24"/>
          <w:szCs w:val="24"/>
          <w:highlight w:val="none"/>
          <w:u w:val="single"/>
          <w:lang w:val="zh-CN"/>
        </w:rPr>
        <w:t xml:space="preserve">                                </w:t>
      </w:r>
    </w:p>
    <w:p w14:paraId="4C85E217">
      <w:pPr>
        <w:tabs>
          <w:tab w:val="left" w:pos="36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子 邮 件 地 址：</w:t>
      </w:r>
      <w:r>
        <w:rPr>
          <w:rFonts w:hint="eastAsia" w:ascii="宋体" w:hAnsi="宋体" w:eastAsia="宋体" w:cs="宋体"/>
          <w:color w:val="auto"/>
          <w:sz w:val="24"/>
          <w:szCs w:val="24"/>
          <w:highlight w:val="none"/>
          <w:u w:val="single"/>
        </w:rPr>
        <w:t xml:space="preserve">                                </w:t>
      </w:r>
    </w:p>
    <w:p w14:paraId="792421E7">
      <w:pPr>
        <w:autoSpaceDE w:val="0"/>
        <w:autoSpaceDN w:val="0"/>
        <w:adjustRightInd w:val="0"/>
        <w:spacing w:line="480" w:lineRule="exact"/>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开   户   银   行：</w:t>
      </w:r>
      <w:r>
        <w:rPr>
          <w:rFonts w:hint="eastAsia" w:ascii="宋体" w:hAnsi="宋体" w:eastAsia="宋体" w:cs="宋体"/>
          <w:color w:val="auto"/>
          <w:sz w:val="24"/>
          <w:szCs w:val="24"/>
          <w:highlight w:val="none"/>
          <w:u w:val="single"/>
          <w:lang w:val="zh-CN"/>
        </w:rPr>
        <w:t xml:space="preserve">                                </w:t>
      </w:r>
    </w:p>
    <w:p w14:paraId="67679833">
      <w:pPr>
        <w:autoSpaceDE w:val="0"/>
        <w:autoSpaceDN w:val="0"/>
        <w:adjustRightInd w:val="0"/>
        <w:spacing w:line="48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帐             号：</w:t>
      </w:r>
      <w:r>
        <w:rPr>
          <w:rFonts w:hint="eastAsia" w:ascii="宋体" w:hAnsi="宋体" w:eastAsia="宋体" w:cs="宋体"/>
          <w:color w:val="auto"/>
          <w:sz w:val="24"/>
          <w:szCs w:val="24"/>
          <w:highlight w:val="none"/>
          <w:u w:val="single"/>
          <w:lang w:val="zh-CN"/>
        </w:rPr>
        <w:t xml:space="preserve">                                </w:t>
      </w:r>
    </w:p>
    <w:p w14:paraId="5F65AC39">
      <w:pPr>
        <w:autoSpaceDE w:val="0"/>
        <w:autoSpaceDN w:val="0"/>
        <w:adjustRightInd w:val="0"/>
        <w:spacing w:line="480" w:lineRule="exact"/>
        <w:ind w:right="480" w:firstLine="480" w:firstLineChars="200"/>
        <w:jc w:val="right"/>
        <w:rPr>
          <w:rFonts w:hint="eastAsia" w:ascii="宋体" w:hAnsi="宋体" w:eastAsia="宋体" w:cs="宋体"/>
          <w:color w:val="auto"/>
          <w:sz w:val="28"/>
          <w:szCs w:val="28"/>
          <w:highlight w:val="none"/>
          <w:u w:val="singl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年    月    日</w:t>
      </w:r>
    </w:p>
    <w:p w14:paraId="5DEF761F">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二、开标一览表</w:t>
      </w:r>
    </w:p>
    <w:p w14:paraId="37C9723E">
      <w:pPr>
        <w:widowControl/>
        <w:spacing w:line="360" w:lineRule="auto"/>
        <w:jc w:val="center"/>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（一）开标一览表</w:t>
      </w:r>
    </w:p>
    <w:p w14:paraId="497267D0">
      <w:pPr>
        <w:widowControl/>
        <w:spacing w:line="360" w:lineRule="auto"/>
        <w:jc w:val="left"/>
        <w:outlineLvl w:val="9"/>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lang w:val="en-US" w:eastAsia="zh-CN"/>
        </w:rPr>
        <w:t>项目编号</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eastAsia="zh-CN"/>
        </w:rPr>
        <w:t>HHZY-2025-26</w:t>
      </w:r>
    </w:p>
    <w:tbl>
      <w:tblPr>
        <w:tblStyle w:val="15"/>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428"/>
        <w:gridCol w:w="2538"/>
        <w:gridCol w:w="1477"/>
      </w:tblGrid>
      <w:tr w14:paraId="42DF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865" w:type="dxa"/>
            <w:vAlign w:val="center"/>
          </w:tcPr>
          <w:p w14:paraId="75B3BD8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2428" w:type="dxa"/>
            <w:vAlign w:val="center"/>
          </w:tcPr>
          <w:p w14:paraId="35A0CEB7">
            <w:pPr>
              <w:spacing w:line="360" w:lineRule="auto"/>
              <w:jc w:val="center"/>
              <w:rPr>
                <w:rFonts w:hint="eastAsia" w:ascii="宋体" w:hAnsi="宋体" w:eastAsia="宋体" w:cs="宋体"/>
                <w:color w:val="auto"/>
                <w:sz w:val="20"/>
                <w:szCs w:val="21"/>
                <w:highlight w:val="none"/>
              </w:rPr>
            </w:pPr>
            <w:r>
              <w:rPr>
                <w:rFonts w:hint="eastAsia" w:ascii="宋体" w:hAnsi="宋体" w:eastAsia="宋体" w:cs="宋体"/>
                <w:bCs/>
                <w:color w:val="auto"/>
                <w:sz w:val="24"/>
                <w:szCs w:val="24"/>
                <w:highlight w:val="none"/>
              </w:rPr>
              <w:t>投标报价（元）</w:t>
            </w:r>
          </w:p>
        </w:tc>
        <w:tc>
          <w:tcPr>
            <w:tcW w:w="2538" w:type="dxa"/>
            <w:vAlign w:val="center"/>
          </w:tcPr>
          <w:p w14:paraId="159D98C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交货期</w:t>
            </w:r>
          </w:p>
        </w:tc>
        <w:tc>
          <w:tcPr>
            <w:tcW w:w="1477" w:type="dxa"/>
            <w:vAlign w:val="center"/>
          </w:tcPr>
          <w:p w14:paraId="1FFDC1C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  注</w:t>
            </w:r>
          </w:p>
        </w:tc>
      </w:tr>
      <w:tr w14:paraId="5942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2865" w:type="dxa"/>
            <w:vAlign w:val="center"/>
          </w:tcPr>
          <w:p w14:paraId="59FA3A99">
            <w:pPr>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儿科采购专业设备一批</w:t>
            </w:r>
          </w:p>
        </w:tc>
        <w:tc>
          <w:tcPr>
            <w:tcW w:w="2428" w:type="dxa"/>
            <w:vAlign w:val="center"/>
          </w:tcPr>
          <w:p w14:paraId="3B0FAF1D">
            <w:pPr>
              <w:spacing w:line="360" w:lineRule="auto"/>
              <w:jc w:val="center"/>
              <w:rPr>
                <w:rFonts w:hint="eastAsia" w:ascii="宋体" w:hAnsi="宋体" w:eastAsia="宋体" w:cs="宋体"/>
                <w:bCs/>
                <w:color w:val="auto"/>
                <w:sz w:val="24"/>
                <w:szCs w:val="24"/>
                <w:highlight w:val="none"/>
              </w:rPr>
            </w:pPr>
          </w:p>
        </w:tc>
        <w:tc>
          <w:tcPr>
            <w:tcW w:w="2538" w:type="dxa"/>
            <w:vAlign w:val="center"/>
          </w:tcPr>
          <w:p w14:paraId="6221197A">
            <w:pPr>
              <w:spacing w:line="360" w:lineRule="auto"/>
              <w:jc w:val="center"/>
              <w:rPr>
                <w:rFonts w:hint="eastAsia" w:ascii="宋体" w:hAnsi="宋体" w:eastAsia="宋体" w:cs="宋体"/>
                <w:bCs/>
                <w:color w:val="auto"/>
                <w:sz w:val="24"/>
                <w:szCs w:val="24"/>
                <w:highlight w:val="none"/>
              </w:rPr>
            </w:pPr>
          </w:p>
        </w:tc>
        <w:tc>
          <w:tcPr>
            <w:tcW w:w="1477" w:type="dxa"/>
            <w:vAlign w:val="center"/>
          </w:tcPr>
          <w:p w14:paraId="6E1318BB">
            <w:pPr>
              <w:spacing w:line="360" w:lineRule="auto"/>
              <w:jc w:val="center"/>
              <w:rPr>
                <w:rFonts w:hint="eastAsia" w:ascii="宋体" w:hAnsi="宋体" w:eastAsia="宋体" w:cs="宋体"/>
                <w:bCs/>
                <w:color w:val="auto"/>
                <w:sz w:val="24"/>
                <w:szCs w:val="24"/>
                <w:highlight w:val="none"/>
              </w:rPr>
            </w:pPr>
          </w:p>
        </w:tc>
      </w:tr>
      <w:tr w14:paraId="3461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865" w:type="dxa"/>
            <w:vAlign w:val="center"/>
          </w:tcPr>
          <w:p w14:paraId="78E68836">
            <w:pPr>
              <w:spacing w:line="5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投标报价（大写）</w:t>
            </w:r>
          </w:p>
        </w:tc>
        <w:tc>
          <w:tcPr>
            <w:tcW w:w="6443" w:type="dxa"/>
            <w:gridSpan w:val="3"/>
            <w:vAlign w:val="center"/>
          </w:tcPr>
          <w:p w14:paraId="5261A487">
            <w:pPr>
              <w:spacing w:line="560" w:lineRule="exact"/>
              <w:jc w:val="center"/>
              <w:rPr>
                <w:rFonts w:hint="eastAsia" w:ascii="宋体" w:hAnsi="宋体" w:eastAsia="宋体" w:cs="宋体"/>
                <w:bCs/>
                <w:color w:val="auto"/>
                <w:sz w:val="24"/>
                <w:szCs w:val="24"/>
                <w:highlight w:val="none"/>
              </w:rPr>
            </w:pPr>
          </w:p>
        </w:tc>
      </w:tr>
    </w:tbl>
    <w:p w14:paraId="22A5EC30">
      <w:pPr>
        <w:pStyle w:val="8"/>
        <w:spacing w:line="360" w:lineRule="auto"/>
        <w:rPr>
          <w:rFonts w:hint="eastAsia" w:ascii="宋体" w:hAnsi="宋体" w:eastAsia="宋体" w:cs="宋体"/>
          <w:color w:val="auto"/>
          <w:sz w:val="16"/>
          <w:szCs w:val="16"/>
          <w:highlight w:val="none"/>
          <w:lang w:val="en-US"/>
        </w:rPr>
      </w:pPr>
      <w:r>
        <w:rPr>
          <w:rFonts w:hint="eastAsia" w:ascii="宋体" w:hAnsi="宋体" w:eastAsia="宋体" w:cs="宋体"/>
          <w:color w:val="auto"/>
          <w:sz w:val="24"/>
          <w:szCs w:val="24"/>
          <w:highlight w:val="none"/>
          <w:lang w:val="en-US"/>
        </w:rPr>
        <w:t xml:space="preserve">      </w:t>
      </w:r>
    </w:p>
    <w:p w14:paraId="1AC3872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表内报价内容以元为单位，保留小数点后两位。</w:t>
      </w:r>
    </w:p>
    <w:p w14:paraId="72B825D8">
      <w:pPr>
        <w:spacing w:line="360" w:lineRule="auto"/>
        <w:ind w:firstLine="240" w:firstLineChars="100"/>
        <w:rPr>
          <w:rFonts w:hint="eastAsia" w:ascii="宋体" w:hAnsi="宋体" w:eastAsia="宋体" w:cs="宋体"/>
          <w:color w:val="auto"/>
          <w:sz w:val="24"/>
          <w:szCs w:val="24"/>
          <w:highlight w:val="none"/>
        </w:rPr>
      </w:pPr>
    </w:p>
    <w:p w14:paraId="601CA280">
      <w:pPr>
        <w:spacing w:line="480" w:lineRule="auto"/>
        <w:ind w:firstLine="240" w:firstLineChars="1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14:paraId="50A9D81C">
      <w:pPr>
        <w:spacing w:line="48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p>
    <w:p w14:paraId="6F9EF705">
      <w:pPr>
        <w:wordWrap w:val="0"/>
        <w:spacing w:line="480" w:lineRule="auto"/>
        <w:ind w:firstLine="240" w:firstLineChars="10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943194B">
      <w:pPr>
        <w:spacing w:line="360" w:lineRule="auto"/>
        <w:jc w:val="center"/>
        <w:rPr>
          <w:rFonts w:hint="eastAsia" w:ascii="宋体" w:hAnsi="宋体" w:eastAsia="宋体" w:cs="宋体"/>
          <w:b/>
          <w:color w:val="auto"/>
          <w:sz w:val="28"/>
          <w:szCs w:val="28"/>
          <w:highlight w:val="none"/>
        </w:rPr>
      </w:pPr>
    </w:p>
    <w:p w14:paraId="2FB310B9">
      <w:pPr>
        <w:pStyle w:val="9"/>
        <w:kinsoku w:val="0"/>
        <w:autoSpaceDE w:val="0"/>
        <w:autoSpaceDN w:val="0"/>
        <w:adjustRightInd w:val="0"/>
        <w:spacing w:line="500" w:lineRule="exact"/>
        <w:ind w:left="0" w:leftChars="0"/>
        <w:rPr>
          <w:rFonts w:hint="eastAsia" w:ascii="宋体" w:hAnsi="宋体" w:eastAsia="宋体" w:cs="宋体"/>
          <w:b/>
          <w:bCs/>
          <w:color w:val="auto"/>
          <w:sz w:val="28"/>
          <w:szCs w:val="28"/>
          <w:highlight w:val="none"/>
        </w:rPr>
      </w:pPr>
    </w:p>
    <w:p w14:paraId="497212BB">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3134C7E">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（二）分项报价表</w:t>
      </w:r>
    </w:p>
    <w:p w14:paraId="58F0B358">
      <w:pPr>
        <w:widowControl/>
        <w:spacing w:line="360" w:lineRule="auto"/>
        <w:jc w:val="left"/>
        <w:outlineLvl w:val="9"/>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项目</w:t>
      </w:r>
      <w:r>
        <w:rPr>
          <w:rFonts w:hint="eastAsia" w:ascii="宋体" w:hAnsi="宋体" w:eastAsia="宋体" w:cs="宋体"/>
          <w:bCs/>
          <w:color w:val="auto"/>
          <w:kern w:val="0"/>
          <w:sz w:val="24"/>
          <w:szCs w:val="24"/>
          <w:highlight w:val="none"/>
          <w:lang w:eastAsia="zh-CN"/>
        </w:rPr>
        <w:t>名称：</w:t>
      </w:r>
      <w:r>
        <w:rPr>
          <w:rFonts w:hint="eastAsia" w:ascii="宋体" w:hAnsi="宋体" w:eastAsia="宋体" w:cs="宋体"/>
          <w:bCs/>
          <w:color w:val="auto"/>
          <w:kern w:val="0"/>
          <w:sz w:val="24"/>
          <w:szCs w:val="24"/>
          <w:highlight w:val="none"/>
          <w:lang w:val="en-US" w:eastAsia="zh-CN"/>
        </w:rPr>
        <w:t xml:space="preserve">                                              项目编号</w:t>
      </w:r>
      <w:r>
        <w:rPr>
          <w:rFonts w:hint="eastAsia" w:ascii="宋体" w:hAnsi="宋体" w:eastAsia="宋体" w:cs="宋体"/>
          <w:bCs/>
          <w:color w:val="auto"/>
          <w:kern w:val="0"/>
          <w:sz w:val="24"/>
          <w:szCs w:val="24"/>
          <w:highlight w:val="none"/>
          <w:lang w:eastAsia="zh-CN"/>
        </w:rPr>
        <w:t>：</w:t>
      </w:r>
    </w:p>
    <w:tbl>
      <w:tblPr>
        <w:tblStyle w:val="28"/>
        <w:tblW w:w="95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354"/>
        <w:gridCol w:w="1371"/>
        <w:gridCol w:w="1800"/>
        <w:gridCol w:w="1276"/>
        <w:gridCol w:w="1335"/>
        <w:gridCol w:w="1732"/>
      </w:tblGrid>
      <w:tr w14:paraId="2AD1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709" w:type="dxa"/>
            <w:vAlign w:val="center"/>
          </w:tcPr>
          <w:p w14:paraId="70A41353">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序号</w:t>
            </w:r>
          </w:p>
        </w:tc>
        <w:tc>
          <w:tcPr>
            <w:tcW w:w="1354" w:type="dxa"/>
            <w:vAlign w:val="center"/>
          </w:tcPr>
          <w:p w14:paraId="35F91BBA">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货物名称</w:t>
            </w:r>
          </w:p>
        </w:tc>
        <w:tc>
          <w:tcPr>
            <w:tcW w:w="1371" w:type="dxa"/>
            <w:tcBorders>
              <w:right w:val="single" w:color="auto" w:sz="4" w:space="0"/>
            </w:tcBorders>
            <w:vAlign w:val="center"/>
          </w:tcPr>
          <w:p w14:paraId="0619AA71">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品牌/型号</w:t>
            </w:r>
          </w:p>
        </w:tc>
        <w:tc>
          <w:tcPr>
            <w:tcW w:w="1800" w:type="dxa"/>
            <w:tcBorders>
              <w:left w:val="single" w:color="auto" w:sz="4" w:space="0"/>
            </w:tcBorders>
            <w:vAlign w:val="center"/>
          </w:tcPr>
          <w:p w14:paraId="1363401B">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数量</w:t>
            </w:r>
          </w:p>
        </w:tc>
        <w:tc>
          <w:tcPr>
            <w:tcW w:w="1276" w:type="dxa"/>
            <w:vAlign w:val="center"/>
          </w:tcPr>
          <w:p w14:paraId="4EBB3872">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单价（元）</w:t>
            </w:r>
          </w:p>
        </w:tc>
        <w:tc>
          <w:tcPr>
            <w:tcW w:w="1335" w:type="dxa"/>
            <w:vAlign w:val="center"/>
          </w:tcPr>
          <w:p w14:paraId="113079D9">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小计（元）</w:t>
            </w:r>
          </w:p>
        </w:tc>
        <w:tc>
          <w:tcPr>
            <w:tcW w:w="1732" w:type="dxa"/>
            <w:vAlign w:val="center"/>
          </w:tcPr>
          <w:p w14:paraId="758C5A0D">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备注</w:t>
            </w:r>
          </w:p>
        </w:tc>
      </w:tr>
      <w:tr w14:paraId="5A787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709" w:type="dxa"/>
            <w:vAlign w:val="center"/>
          </w:tcPr>
          <w:p w14:paraId="56DCC4A9">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354" w:type="dxa"/>
            <w:vAlign w:val="center"/>
          </w:tcPr>
          <w:p w14:paraId="548FAD5D">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371" w:type="dxa"/>
            <w:tcBorders>
              <w:right w:val="single" w:color="auto" w:sz="4" w:space="0"/>
            </w:tcBorders>
            <w:vAlign w:val="center"/>
          </w:tcPr>
          <w:p w14:paraId="4C4481D5">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800" w:type="dxa"/>
            <w:tcBorders>
              <w:left w:val="single" w:color="auto" w:sz="4" w:space="0"/>
            </w:tcBorders>
            <w:vAlign w:val="center"/>
          </w:tcPr>
          <w:p w14:paraId="6E1A651A">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276" w:type="dxa"/>
            <w:vAlign w:val="center"/>
          </w:tcPr>
          <w:p w14:paraId="76C937B8">
            <w:pPr>
              <w:widowControl/>
              <w:jc w:val="center"/>
              <w:rPr>
                <w:rFonts w:hint="eastAsia" w:ascii="宋体" w:hAnsi="宋体" w:eastAsia="宋体" w:cs="宋体"/>
                <w:b/>
                <w:bCs/>
                <w:color w:val="auto"/>
                <w:kern w:val="0"/>
                <w:sz w:val="24"/>
                <w:szCs w:val="22"/>
                <w:lang w:val="en-US" w:eastAsia="zh-CN"/>
              </w:rPr>
            </w:pPr>
          </w:p>
        </w:tc>
        <w:tc>
          <w:tcPr>
            <w:tcW w:w="1335" w:type="dxa"/>
            <w:vAlign w:val="center"/>
          </w:tcPr>
          <w:p w14:paraId="13869653">
            <w:pPr>
              <w:widowControl/>
              <w:jc w:val="center"/>
              <w:rPr>
                <w:rFonts w:hint="eastAsia" w:ascii="宋体" w:hAnsi="宋体" w:eastAsia="宋体" w:cs="宋体"/>
                <w:b/>
                <w:bCs/>
                <w:color w:val="auto"/>
                <w:kern w:val="0"/>
                <w:sz w:val="24"/>
                <w:szCs w:val="22"/>
                <w:lang w:val="en-US" w:eastAsia="zh-CN"/>
              </w:rPr>
            </w:pPr>
          </w:p>
        </w:tc>
        <w:tc>
          <w:tcPr>
            <w:tcW w:w="1732" w:type="dxa"/>
            <w:vAlign w:val="center"/>
          </w:tcPr>
          <w:p w14:paraId="072C8D84">
            <w:pPr>
              <w:spacing w:before="72" w:line="238" w:lineRule="auto"/>
              <w:jc w:val="center"/>
              <w:rPr>
                <w:rFonts w:hint="eastAsia" w:ascii="宋体" w:hAnsi="宋体" w:eastAsia="宋体" w:cs="宋体"/>
                <w:color w:val="auto"/>
                <w:spacing w:val="15"/>
                <w:sz w:val="24"/>
                <w:szCs w:val="24"/>
                <w:highlight w:val="none"/>
                <w:lang w:val="en-US" w:eastAsia="zh-CN"/>
              </w:rPr>
            </w:pPr>
          </w:p>
        </w:tc>
      </w:tr>
      <w:tr w14:paraId="7EAEC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709" w:type="dxa"/>
            <w:vAlign w:val="center"/>
          </w:tcPr>
          <w:p w14:paraId="20D97C8C">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354" w:type="dxa"/>
            <w:vAlign w:val="center"/>
          </w:tcPr>
          <w:p w14:paraId="616DF18D">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371" w:type="dxa"/>
            <w:tcBorders>
              <w:right w:val="single" w:color="auto" w:sz="4" w:space="0"/>
            </w:tcBorders>
            <w:vAlign w:val="center"/>
          </w:tcPr>
          <w:p w14:paraId="5E6301ED">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800" w:type="dxa"/>
            <w:tcBorders>
              <w:left w:val="single" w:color="auto" w:sz="4" w:space="0"/>
            </w:tcBorders>
            <w:vAlign w:val="center"/>
          </w:tcPr>
          <w:p w14:paraId="3A7D2431">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276" w:type="dxa"/>
            <w:vAlign w:val="center"/>
          </w:tcPr>
          <w:p w14:paraId="73D465AE">
            <w:pPr>
              <w:widowControl/>
              <w:jc w:val="center"/>
              <w:rPr>
                <w:rFonts w:hint="eastAsia" w:ascii="宋体" w:hAnsi="宋体" w:eastAsia="宋体" w:cs="宋体"/>
                <w:b/>
                <w:bCs/>
                <w:color w:val="auto"/>
                <w:kern w:val="0"/>
                <w:sz w:val="24"/>
                <w:szCs w:val="22"/>
                <w:lang w:val="en-US" w:eastAsia="zh-CN"/>
              </w:rPr>
            </w:pPr>
          </w:p>
        </w:tc>
        <w:tc>
          <w:tcPr>
            <w:tcW w:w="1335" w:type="dxa"/>
            <w:vAlign w:val="center"/>
          </w:tcPr>
          <w:p w14:paraId="00519423">
            <w:pPr>
              <w:widowControl/>
              <w:jc w:val="center"/>
              <w:rPr>
                <w:rFonts w:hint="eastAsia" w:ascii="宋体" w:hAnsi="宋体" w:eastAsia="宋体" w:cs="宋体"/>
                <w:b/>
                <w:bCs/>
                <w:color w:val="auto"/>
                <w:kern w:val="0"/>
                <w:sz w:val="24"/>
                <w:szCs w:val="22"/>
                <w:lang w:val="en-US" w:eastAsia="zh-CN"/>
              </w:rPr>
            </w:pPr>
          </w:p>
        </w:tc>
        <w:tc>
          <w:tcPr>
            <w:tcW w:w="1732" w:type="dxa"/>
            <w:vAlign w:val="center"/>
          </w:tcPr>
          <w:p w14:paraId="28EC53DF">
            <w:pPr>
              <w:spacing w:before="72" w:line="238" w:lineRule="auto"/>
              <w:jc w:val="center"/>
              <w:rPr>
                <w:rFonts w:hint="eastAsia" w:ascii="宋体" w:hAnsi="宋体" w:eastAsia="宋体" w:cs="宋体"/>
                <w:color w:val="auto"/>
                <w:spacing w:val="15"/>
                <w:sz w:val="24"/>
                <w:szCs w:val="24"/>
                <w:highlight w:val="none"/>
                <w:lang w:val="en-US" w:eastAsia="zh-CN"/>
              </w:rPr>
            </w:pPr>
          </w:p>
        </w:tc>
      </w:tr>
      <w:tr w14:paraId="19A6D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709" w:type="dxa"/>
            <w:vAlign w:val="center"/>
          </w:tcPr>
          <w:p w14:paraId="038CC426">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354" w:type="dxa"/>
            <w:vAlign w:val="center"/>
          </w:tcPr>
          <w:p w14:paraId="3BE7DBC4">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371" w:type="dxa"/>
            <w:tcBorders>
              <w:right w:val="single" w:color="auto" w:sz="4" w:space="0"/>
            </w:tcBorders>
            <w:vAlign w:val="center"/>
          </w:tcPr>
          <w:p w14:paraId="02963913">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800" w:type="dxa"/>
            <w:tcBorders>
              <w:left w:val="single" w:color="auto" w:sz="4" w:space="0"/>
            </w:tcBorders>
            <w:vAlign w:val="center"/>
          </w:tcPr>
          <w:p w14:paraId="1E3B8469">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276" w:type="dxa"/>
            <w:vAlign w:val="center"/>
          </w:tcPr>
          <w:p w14:paraId="207DE15E">
            <w:pPr>
              <w:widowControl/>
              <w:jc w:val="center"/>
              <w:rPr>
                <w:rFonts w:hint="eastAsia" w:ascii="宋体" w:hAnsi="宋体" w:eastAsia="宋体" w:cs="宋体"/>
                <w:b/>
                <w:bCs/>
                <w:color w:val="auto"/>
                <w:kern w:val="0"/>
                <w:sz w:val="24"/>
                <w:szCs w:val="22"/>
                <w:lang w:val="en-US" w:eastAsia="zh-CN"/>
              </w:rPr>
            </w:pPr>
          </w:p>
        </w:tc>
        <w:tc>
          <w:tcPr>
            <w:tcW w:w="1335" w:type="dxa"/>
            <w:vAlign w:val="center"/>
          </w:tcPr>
          <w:p w14:paraId="5711BDD2">
            <w:pPr>
              <w:widowControl/>
              <w:jc w:val="center"/>
              <w:rPr>
                <w:rFonts w:hint="eastAsia" w:ascii="宋体" w:hAnsi="宋体" w:eastAsia="宋体" w:cs="宋体"/>
                <w:b/>
                <w:bCs/>
                <w:color w:val="auto"/>
                <w:kern w:val="0"/>
                <w:sz w:val="24"/>
                <w:szCs w:val="22"/>
                <w:lang w:val="en-US" w:eastAsia="zh-CN"/>
              </w:rPr>
            </w:pPr>
          </w:p>
        </w:tc>
        <w:tc>
          <w:tcPr>
            <w:tcW w:w="1732" w:type="dxa"/>
            <w:vAlign w:val="center"/>
          </w:tcPr>
          <w:p w14:paraId="105CF3DA">
            <w:pPr>
              <w:spacing w:before="72" w:line="238" w:lineRule="auto"/>
              <w:jc w:val="center"/>
              <w:rPr>
                <w:rFonts w:hint="eastAsia" w:ascii="宋体" w:hAnsi="宋体" w:eastAsia="宋体" w:cs="宋体"/>
                <w:color w:val="auto"/>
                <w:spacing w:val="15"/>
                <w:sz w:val="24"/>
                <w:szCs w:val="24"/>
                <w:highlight w:val="none"/>
                <w:lang w:val="en-US" w:eastAsia="zh-CN"/>
              </w:rPr>
            </w:pPr>
          </w:p>
        </w:tc>
      </w:tr>
      <w:tr w14:paraId="3B3AE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709" w:type="dxa"/>
            <w:vAlign w:val="center"/>
          </w:tcPr>
          <w:p w14:paraId="155D6218">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354" w:type="dxa"/>
            <w:vAlign w:val="center"/>
          </w:tcPr>
          <w:p w14:paraId="73263C92">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371" w:type="dxa"/>
            <w:tcBorders>
              <w:right w:val="single" w:color="auto" w:sz="4" w:space="0"/>
            </w:tcBorders>
            <w:vAlign w:val="center"/>
          </w:tcPr>
          <w:p w14:paraId="3EE18C75">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800" w:type="dxa"/>
            <w:tcBorders>
              <w:left w:val="single" w:color="auto" w:sz="4" w:space="0"/>
            </w:tcBorders>
            <w:vAlign w:val="center"/>
          </w:tcPr>
          <w:p w14:paraId="03D33230">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1276" w:type="dxa"/>
            <w:vAlign w:val="center"/>
          </w:tcPr>
          <w:p w14:paraId="3A4A66B1">
            <w:pPr>
              <w:widowControl/>
              <w:jc w:val="center"/>
              <w:rPr>
                <w:rFonts w:hint="eastAsia" w:ascii="宋体" w:hAnsi="宋体" w:eastAsia="宋体" w:cs="宋体"/>
                <w:b/>
                <w:bCs/>
                <w:color w:val="auto"/>
                <w:kern w:val="0"/>
                <w:sz w:val="24"/>
                <w:szCs w:val="22"/>
                <w:lang w:val="en-US" w:eastAsia="zh-CN"/>
              </w:rPr>
            </w:pPr>
          </w:p>
        </w:tc>
        <w:tc>
          <w:tcPr>
            <w:tcW w:w="1335" w:type="dxa"/>
            <w:vAlign w:val="center"/>
          </w:tcPr>
          <w:p w14:paraId="2DBD1BAD">
            <w:pPr>
              <w:widowControl/>
              <w:jc w:val="center"/>
              <w:rPr>
                <w:rFonts w:hint="eastAsia" w:ascii="宋体" w:hAnsi="宋体" w:eastAsia="宋体" w:cs="宋体"/>
                <w:b/>
                <w:bCs/>
                <w:color w:val="auto"/>
                <w:kern w:val="0"/>
                <w:sz w:val="24"/>
                <w:szCs w:val="22"/>
                <w:lang w:val="en-US" w:eastAsia="zh-CN"/>
              </w:rPr>
            </w:pPr>
          </w:p>
        </w:tc>
        <w:tc>
          <w:tcPr>
            <w:tcW w:w="1732" w:type="dxa"/>
            <w:vAlign w:val="center"/>
          </w:tcPr>
          <w:p w14:paraId="74576082">
            <w:pPr>
              <w:spacing w:before="72" w:line="238" w:lineRule="auto"/>
              <w:jc w:val="center"/>
              <w:rPr>
                <w:rFonts w:hint="eastAsia" w:ascii="宋体" w:hAnsi="宋体" w:eastAsia="宋体" w:cs="宋体"/>
                <w:color w:val="auto"/>
                <w:spacing w:val="15"/>
                <w:sz w:val="24"/>
                <w:szCs w:val="24"/>
                <w:highlight w:val="none"/>
                <w:lang w:val="en-US" w:eastAsia="zh-CN"/>
              </w:rPr>
            </w:pPr>
          </w:p>
        </w:tc>
      </w:tr>
      <w:tr w14:paraId="59733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577" w:type="dxa"/>
            <w:gridSpan w:val="7"/>
            <w:vAlign w:val="center"/>
          </w:tcPr>
          <w:p w14:paraId="1E5B3387">
            <w:pPr>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合计：           大写：               小写：</w:t>
            </w:r>
          </w:p>
        </w:tc>
      </w:tr>
    </w:tbl>
    <w:p w14:paraId="3B1FA4C3">
      <w:pPr>
        <w:keepNext w:val="0"/>
        <w:keepLines w:val="0"/>
        <w:pageBreakBefore w:val="0"/>
        <w:widowControl w:val="0"/>
        <w:kinsoku/>
        <w:wordWrap/>
        <w:overflowPunct/>
        <w:topLinePunct w:val="0"/>
        <w:autoSpaceDE/>
        <w:autoSpaceDN/>
        <w:bidi w:val="0"/>
        <w:adjustRightInd/>
        <w:snapToGrid/>
        <w:spacing w:line="500" w:lineRule="exact"/>
        <w:ind w:left="4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本表中的“总价”与“开标一览表”中的</w:t>
      </w:r>
      <w:r>
        <w:rPr>
          <w:rFonts w:hint="eastAsia" w:ascii="宋体" w:hAnsi="宋体" w:eastAsia="宋体" w:cs="宋体"/>
          <w:color w:val="auto"/>
          <w:spacing w:val="12"/>
          <w:sz w:val="24"/>
          <w:szCs w:val="24"/>
          <w:highlight w:val="none"/>
        </w:rPr>
        <w:t>“总价”一致。</w:t>
      </w:r>
    </w:p>
    <w:p w14:paraId="1DC190CD">
      <w:pPr>
        <w:keepNext w:val="0"/>
        <w:keepLines w:val="0"/>
        <w:pageBreakBefore w:val="0"/>
        <w:widowControl w:val="0"/>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注：1.投标报价以人民币为结算货币</w:t>
      </w:r>
    </w:p>
    <w:p w14:paraId="1E6BF67F">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如果不提供详细分项报价将视为没有实质性响应招标文件要求。</w:t>
      </w:r>
    </w:p>
    <w:p w14:paraId="5F5272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eastAsia="zh-CN" w:bidi="zh-CN"/>
        </w:rPr>
        <w:t>本表为样表，仅供参考，供应商根据项目实际需求进行填写，报价精确到小数点后两位。</w:t>
      </w:r>
    </w:p>
    <w:p w14:paraId="39C37E41">
      <w:pPr>
        <w:spacing w:line="360" w:lineRule="auto"/>
        <w:ind w:firstLine="240" w:firstLineChars="100"/>
        <w:rPr>
          <w:rFonts w:hint="eastAsia" w:ascii="宋体" w:hAnsi="宋体" w:eastAsia="宋体" w:cs="宋体"/>
          <w:color w:val="auto"/>
          <w:sz w:val="24"/>
          <w:szCs w:val="24"/>
          <w:highlight w:val="none"/>
        </w:rPr>
      </w:pPr>
    </w:p>
    <w:p w14:paraId="34D5FFC5">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p w14:paraId="6B45C9E9">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w:t>
      </w:r>
    </w:p>
    <w:p w14:paraId="369A5FBC">
      <w:pPr>
        <w:wordWrap w:val="0"/>
        <w:spacing w:line="480" w:lineRule="auto"/>
        <w:ind w:firstLine="240" w:firstLineChars="10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AF5639E">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CCE0C01">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三、投标人资格证明文件（复印件并加盖公章）</w:t>
      </w:r>
    </w:p>
    <w:p w14:paraId="731596D0">
      <w:pPr>
        <w:spacing w:line="360" w:lineRule="auto"/>
        <w:rPr>
          <w:rFonts w:hint="eastAsia" w:ascii="宋体" w:hAnsi="宋体" w:eastAsia="宋体" w:cs="宋体"/>
          <w:i w:val="0"/>
          <w:iCs w:val="0"/>
          <w:caps w:val="0"/>
          <w:color w:val="auto"/>
          <w:spacing w:val="0"/>
          <w:sz w:val="24"/>
          <w:szCs w:val="24"/>
          <w:highlight w:val="none"/>
          <w:shd w:val="clear" w:fill="FFFFFF"/>
        </w:rPr>
      </w:pPr>
    </w:p>
    <w:p w14:paraId="1288D2F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015FBF4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eastAsia="zh-CN"/>
        </w:rPr>
        <w:t>提供法定代表人授权书（附法定代表人身份证复印件）及被授权代表身份证复印件（法定代表人直接参加只须提供法定代表人身份证复印件）；</w:t>
      </w:r>
    </w:p>
    <w:p w14:paraId="57237F7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eastAsia="zh-CN"/>
        </w:rPr>
        <w:t>财务状况报告：近三年（2022-2024 年）来任意年度财务审计报告(至少应包含资产负债表、利润表和现金流量表)或其基本存款账户开户银行出具的资信证明及基本存款账户开户许可证。(成立时间至提交响应文件截止时间不足三个月的提供公司财务会计制度并加盖供应商鲜章即可)；</w:t>
      </w:r>
    </w:p>
    <w:p w14:paraId="551D27B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税收缴纳证明：</w:t>
      </w:r>
      <w:r>
        <w:rPr>
          <w:rFonts w:hint="eastAsia" w:cs="宋体"/>
          <w:i w:val="0"/>
          <w:iCs w:val="0"/>
          <w:caps w:val="0"/>
          <w:color w:val="auto"/>
          <w:spacing w:val="0"/>
          <w:sz w:val="24"/>
          <w:szCs w:val="24"/>
          <w:shd w:val="clear" w:color="auto" w:fill="FFFFFF"/>
          <w:lang w:eastAsia="zh-CN"/>
        </w:rPr>
        <w:t>自2024年7月1日以来</w:t>
      </w:r>
      <w:r>
        <w:rPr>
          <w:rFonts w:hint="eastAsia" w:ascii="宋体" w:hAnsi="宋体" w:eastAsia="宋体" w:cs="宋体"/>
          <w:i w:val="0"/>
          <w:iCs w:val="0"/>
          <w:caps w:val="0"/>
          <w:color w:val="auto"/>
          <w:spacing w:val="0"/>
          <w:sz w:val="24"/>
          <w:szCs w:val="24"/>
          <w:shd w:val="clear" w:color="auto" w:fill="FFFFFF"/>
        </w:rPr>
        <w:t>不少于3个月的纳税证明或完税证明(提供增值税、企业所得税至少一种),纳税证明或完税证明上应有代收机构或税务机关的公章或业务专用章。依法免税的供应商应提供相关文件证明；</w:t>
      </w:r>
    </w:p>
    <w:p w14:paraId="7664CA5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社会保障资金缴纳证明：</w:t>
      </w:r>
      <w:r>
        <w:rPr>
          <w:rFonts w:hint="eastAsia" w:cs="宋体"/>
          <w:i w:val="0"/>
          <w:iCs w:val="0"/>
          <w:caps w:val="0"/>
          <w:color w:val="auto"/>
          <w:spacing w:val="0"/>
          <w:sz w:val="24"/>
          <w:szCs w:val="24"/>
          <w:shd w:val="clear" w:color="auto" w:fill="FFFFFF"/>
          <w:lang w:eastAsia="zh-CN"/>
        </w:rPr>
        <w:t>自2024年7月1日以来</w:t>
      </w:r>
      <w:r>
        <w:rPr>
          <w:rFonts w:hint="eastAsia" w:ascii="宋体" w:hAnsi="宋体" w:eastAsia="宋体" w:cs="宋体"/>
          <w:i w:val="0"/>
          <w:iCs w:val="0"/>
          <w:caps w:val="0"/>
          <w:color w:val="auto"/>
          <w:spacing w:val="0"/>
          <w:sz w:val="24"/>
          <w:szCs w:val="24"/>
          <w:shd w:val="clear" w:color="auto" w:fill="FFFFFF"/>
        </w:rPr>
        <w:t>已缴存的至少3个月的社会保障资金缴存单据或社保机构开具的社会保险参保缴费情况证明，单据或证明上应有社保机构或代收机构的印章。依法不需要缴纳社会保障资金的供应商应提供相关文件证明；</w:t>
      </w:r>
    </w:p>
    <w:p w14:paraId="5799564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参加政府采购活动前三年内</w:t>
      </w:r>
      <w:r>
        <w:rPr>
          <w:rFonts w:hint="eastAsia" w:cs="宋体"/>
          <w:i w:val="0"/>
          <w:iCs w:val="0"/>
          <w:caps w:val="0"/>
          <w:color w:val="auto"/>
          <w:spacing w:val="0"/>
          <w:sz w:val="24"/>
          <w:szCs w:val="24"/>
          <w:shd w:val="clear" w:color="auto" w:fill="FFFFFF"/>
          <w:lang w:eastAsia="zh-CN"/>
        </w:rPr>
        <w:t>（2022年1月至今）</w:t>
      </w:r>
      <w:r>
        <w:rPr>
          <w:rFonts w:hint="eastAsia" w:ascii="宋体" w:hAnsi="宋体" w:eastAsia="宋体" w:cs="宋体"/>
          <w:i w:val="0"/>
          <w:iCs w:val="0"/>
          <w:caps w:val="0"/>
          <w:color w:val="auto"/>
          <w:spacing w:val="0"/>
          <w:sz w:val="24"/>
          <w:szCs w:val="24"/>
          <w:shd w:val="clear" w:color="auto" w:fill="FFFFFF"/>
        </w:rPr>
        <w:t>，在经营活动中没有重大违法记录的书面声明；</w:t>
      </w:r>
    </w:p>
    <w:p w14:paraId="2AD72F7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投标人具备履行合同所必需的设备和专业技术能力的书面声明（格式自拟）；</w:t>
      </w:r>
    </w:p>
    <w:p w14:paraId="420417F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lang w:eastAsia="zh-CN"/>
        </w:rPr>
        <w:t>）投标人通过“信用中国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i w:val="0"/>
          <w:iCs w:val="0"/>
          <w:caps w:val="0"/>
          <w:color w:val="auto"/>
          <w:spacing w:val="0"/>
          <w:sz w:val="24"/>
          <w:szCs w:val="24"/>
          <w:shd w:val="clear" w:color="auto" w:fill="FFFFFF"/>
        </w:rPr>
        <w:t>；</w:t>
      </w:r>
    </w:p>
    <w:p w14:paraId="1843CB6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投标人为经销商的应出具医疗器械经营许可证或二类医疗器械备案凭证(投标产品须在其经营范围内)、投标产品属于医疗器械管理的提供医疗器械注册证;投标人为制造厂家应出具医疗器械生产许可证(投标产品须在其生产范围内)及医疗器械经营许可证或二类医疗器械备案凭证(投标产品须在其经营范围内)、投标产品属于医疗器械管理的提供医疗器械注册证</w:t>
      </w:r>
      <w:r>
        <w:rPr>
          <w:rFonts w:hint="eastAsia" w:ascii="宋体" w:hAnsi="宋体" w:eastAsia="宋体" w:cs="宋体"/>
          <w:i w:val="0"/>
          <w:iCs w:val="0"/>
          <w:caps w:val="0"/>
          <w:color w:val="auto"/>
          <w:spacing w:val="0"/>
          <w:sz w:val="24"/>
          <w:szCs w:val="24"/>
          <w:shd w:val="clear" w:color="auto" w:fill="FFFFFF"/>
          <w:lang w:val="en-US" w:eastAsia="zh-CN"/>
        </w:rPr>
        <w:t>；</w:t>
      </w:r>
    </w:p>
    <w:p w14:paraId="467F31E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lang w:eastAsia="zh-CN"/>
        </w:rPr>
        <w:t>本项目不接受联合体投标。</w:t>
      </w:r>
    </w:p>
    <w:p w14:paraId="5B0A42BD">
      <w:pPr>
        <w:rPr>
          <w:rFonts w:hint="eastAsia" w:ascii="宋体" w:hAnsi="宋体" w:eastAsia="宋体" w:cs="宋体"/>
          <w:i w:val="0"/>
          <w:iCs w:val="0"/>
          <w:caps w:val="0"/>
          <w:color w:val="auto"/>
          <w:spacing w:val="0"/>
          <w:sz w:val="16"/>
          <w:szCs w:val="16"/>
          <w:highlight w:val="none"/>
          <w:shd w:val="clear" w:fill="FFFFFF"/>
        </w:rPr>
      </w:pPr>
      <w:r>
        <w:rPr>
          <w:rFonts w:hint="eastAsia" w:ascii="宋体" w:hAnsi="宋体" w:eastAsia="宋体" w:cs="宋体"/>
          <w:i w:val="0"/>
          <w:iCs w:val="0"/>
          <w:caps w:val="0"/>
          <w:color w:val="auto"/>
          <w:spacing w:val="0"/>
          <w:sz w:val="16"/>
          <w:szCs w:val="16"/>
          <w:highlight w:val="none"/>
          <w:shd w:val="clear" w:fill="FFFFFF"/>
        </w:rPr>
        <w:br w:type="page"/>
      </w:r>
    </w:p>
    <w:p w14:paraId="05A7641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附件1               </w:t>
      </w:r>
    </w:p>
    <w:p w14:paraId="218D8B3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法定代表人身份证明书</w:t>
      </w:r>
    </w:p>
    <w:p w14:paraId="453E51F1">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安康华昊智远项目管理有限公司</w:t>
      </w:r>
      <w:r>
        <w:rPr>
          <w:rFonts w:hint="eastAsia" w:ascii="宋体" w:hAnsi="宋体" w:eastAsia="宋体" w:cs="宋体"/>
          <w:color w:val="auto"/>
          <w:sz w:val="24"/>
          <w:szCs w:val="24"/>
          <w:highlight w:val="none"/>
        </w:rPr>
        <w:t>：</w:t>
      </w:r>
    </w:p>
    <w:p w14:paraId="3F0E0E2D">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zh-CN"/>
        </w:rPr>
      </w:pPr>
    </w:p>
    <w:p w14:paraId="61B0D9B2">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姓名：</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性别：</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（供应商名称）的法定代表人（单位负责人）。</w:t>
      </w:r>
    </w:p>
    <w:p w14:paraId="5346A954">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zh-CN"/>
        </w:rPr>
      </w:pPr>
    </w:p>
    <w:p w14:paraId="1517D6CE">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特此证明。</w:t>
      </w:r>
    </w:p>
    <w:p w14:paraId="4CE24AAE">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7AC1E696">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附：法定代表人（单位负责人）身份证复印件。</w:t>
      </w:r>
    </w:p>
    <w:p w14:paraId="7B134F06">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4FCE4F5A">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4FB57D56">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5E82F4B5">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注：自然人参与投标的此处只附身份证复印件。</w:t>
      </w:r>
    </w:p>
    <w:p w14:paraId="2F12C5FF">
      <w:pPr>
        <w:adjustRightInd w:val="0"/>
        <w:snapToGrid w:val="0"/>
        <w:spacing w:line="360" w:lineRule="auto"/>
        <w:jc w:val="center"/>
        <w:rPr>
          <w:rFonts w:hint="eastAsia" w:ascii="宋体" w:hAnsi="宋体" w:eastAsia="宋体" w:cs="宋体"/>
          <w:b/>
          <w:bCs/>
          <w:color w:val="auto"/>
          <w:sz w:val="24"/>
          <w:szCs w:val="24"/>
          <w:highlight w:val="none"/>
        </w:rPr>
      </w:pPr>
    </w:p>
    <w:p w14:paraId="59350CC1">
      <w:pPr>
        <w:spacing w:beforeLines="100" w:afterLines="50" w:line="360" w:lineRule="auto"/>
        <w:jc w:val="center"/>
        <w:rPr>
          <w:rFonts w:hint="eastAsia" w:ascii="宋体" w:hAnsi="宋体" w:eastAsia="宋体" w:cs="宋体"/>
          <w:b/>
          <w:color w:val="auto"/>
          <w:sz w:val="24"/>
          <w:szCs w:val="24"/>
          <w:highlight w:val="none"/>
        </w:rPr>
      </w:pPr>
    </w:p>
    <w:p w14:paraId="49D85971">
      <w:pPr>
        <w:spacing w:beforeLines="100" w:afterLines="50" w:line="360" w:lineRule="auto"/>
        <w:jc w:val="center"/>
        <w:rPr>
          <w:rFonts w:hint="eastAsia" w:ascii="宋体" w:hAnsi="宋体" w:eastAsia="宋体" w:cs="宋体"/>
          <w:b/>
          <w:color w:val="auto"/>
          <w:sz w:val="24"/>
          <w:szCs w:val="24"/>
          <w:highlight w:val="none"/>
        </w:rPr>
      </w:pPr>
    </w:p>
    <w:p w14:paraId="63B7269D">
      <w:pPr>
        <w:spacing w:beforeLines="100" w:afterLines="50" w:line="360" w:lineRule="auto"/>
        <w:jc w:val="center"/>
        <w:rPr>
          <w:rFonts w:hint="eastAsia" w:ascii="宋体" w:hAnsi="宋体" w:eastAsia="宋体" w:cs="宋体"/>
          <w:b/>
          <w:color w:val="auto"/>
          <w:sz w:val="24"/>
          <w:szCs w:val="24"/>
          <w:highlight w:val="none"/>
        </w:rPr>
      </w:pPr>
    </w:p>
    <w:p w14:paraId="19E7CA18">
      <w:pPr>
        <w:spacing w:beforeLines="100" w:afterLines="50" w:line="360" w:lineRule="auto"/>
        <w:jc w:val="center"/>
        <w:rPr>
          <w:rFonts w:hint="eastAsia" w:ascii="宋体" w:hAnsi="宋体" w:eastAsia="宋体" w:cs="宋体"/>
          <w:b/>
          <w:color w:val="auto"/>
          <w:sz w:val="24"/>
          <w:szCs w:val="24"/>
          <w:highlight w:val="none"/>
        </w:rPr>
      </w:pPr>
    </w:p>
    <w:p w14:paraId="11578BBC">
      <w:pPr>
        <w:spacing w:beforeLines="100" w:afterLines="50" w:line="360" w:lineRule="auto"/>
        <w:jc w:val="center"/>
        <w:rPr>
          <w:rFonts w:hint="eastAsia" w:ascii="宋体" w:hAnsi="宋体" w:eastAsia="宋体" w:cs="宋体"/>
          <w:b/>
          <w:color w:val="auto"/>
          <w:sz w:val="24"/>
          <w:szCs w:val="24"/>
          <w:highlight w:val="none"/>
        </w:rPr>
      </w:pPr>
    </w:p>
    <w:p w14:paraId="23C305D1">
      <w:pPr>
        <w:spacing w:beforeLines="100" w:afterLines="50" w:line="360" w:lineRule="auto"/>
        <w:rPr>
          <w:rFonts w:hint="eastAsia" w:ascii="宋体" w:hAnsi="宋体" w:eastAsia="宋体" w:cs="宋体"/>
          <w:b/>
          <w:color w:val="auto"/>
          <w:sz w:val="24"/>
          <w:szCs w:val="24"/>
          <w:highlight w:val="none"/>
        </w:rPr>
      </w:pPr>
    </w:p>
    <w:p w14:paraId="0E8438AB">
      <w:pPr>
        <w:tabs>
          <w:tab w:val="left" w:pos="5169"/>
        </w:tabs>
        <w:spacing w:beforeLines="100" w:afterLines="50" w:line="480" w:lineRule="exact"/>
        <w:jc w:val="left"/>
        <w:rPr>
          <w:rFonts w:hint="eastAsia" w:ascii="宋体" w:hAnsi="宋体" w:eastAsia="宋体" w:cs="宋体"/>
          <w:b/>
          <w:color w:val="auto"/>
          <w:sz w:val="24"/>
          <w:szCs w:val="24"/>
          <w:highlight w:val="none"/>
        </w:rPr>
      </w:pPr>
    </w:p>
    <w:p w14:paraId="65DF356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EC7A8C1">
      <w:pPr>
        <w:tabs>
          <w:tab w:val="left" w:pos="5169"/>
        </w:tabs>
        <w:spacing w:beforeLines="100" w:afterLines="50"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附件2               </w:t>
      </w:r>
      <w:r>
        <w:rPr>
          <w:rFonts w:hint="eastAsia" w:ascii="宋体" w:hAnsi="宋体" w:eastAsia="宋体" w:cs="宋体"/>
          <w:b/>
          <w:color w:val="auto"/>
          <w:sz w:val="24"/>
          <w:szCs w:val="24"/>
          <w:highlight w:val="none"/>
        </w:rPr>
        <w:tab/>
      </w:r>
    </w:p>
    <w:p w14:paraId="0BA5752E">
      <w:pPr>
        <w:tabs>
          <w:tab w:val="left" w:pos="5169"/>
        </w:tabs>
        <w:spacing w:beforeLines="100" w:afterLines="50" w:line="48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法定代表人授权委托书</w:t>
      </w:r>
    </w:p>
    <w:p w14:paraId="66EE409C">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安康华昊智远项目管理有限公司</w:t>
      </w:r>
      <w:r>
        <w:rPr>
          <w:rFonts w:hint="eastAsia" w:ascii="宋体" w:hAnsi="宋体" w:eastAsia="宋体" w:cs="宋体"/>
          <w:color w:val="auto"/>
          <w:sz w:val="24"/>
          <w:szCs w:val="24"/>
          <w:highlight w:val="none"/>
        </w:rPr>
        <w:t>：</w:t>
      </w:r>
    </w:p>
    <w:p w14:paraId="43EEF058">
      <w:pPr>
        <w:spacing w:line="480" w:lineRule="exact"/>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本授权书声明：注册于中华人民共和国的</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的在下面签字的</w:t>
      </w:r>
      <w:r>
        <w:rPr>
          <w:rFonts w:hint="eastAsia" w:ascii="宋体" w:hAnsi="宋体" w:eastAsia="宋体" w:cs="宋体"/>
          <w:color w:val="auto"/>
          <w:sz w:val="24"/>
          <w:szCs w:val="24"/>
          <w:highlight w:val="none"/>
          <w:u w:val="single"/>
        </w:rPr>
        <w:t>（法定代表人姓名、职务）</w:t>
      </w:r>
      <w:r>
        <w:rPr>
          <w:rFonts w:hint="eastAsia" w:ascii="宋体" w:hAnsi="宋体" w:eastAsia="宋体" w:cs="宋体"/>
          <w:color w:val="auto"/>
          <w:sz w:val="24"/>
          <w:szCs w:val="24"/>
          <w:highlight w:val="none"/>
        </w:rPr>
        <w:t>代表本公司授权的在下面签字的</w:t>
      </w:r>
      <w:r>
        <w:rPr>
          <w:rFonts w:hint="eastAsia" w:ascii="宋体" w:hAnsi="宋体" w:eastAsia="宋体" w:cs="宋体"/>
          <w:color w:val="auto"/>
          <w:sz w:val="24"/>
          <w:szCs w:val="24"/>
          <w:highlight w:val="none"/>
          <w:u w:val="single"/>
        </w:rPr>
        <w:t>（被授权人的姓名、职务）</w:t>
      </w:r>
      <w:r>
        <w:rPr>
          <w:rFonts w:hint="eastAsia" w:ascii="宋体" w:hAnsi="宋体" w:eastAsia="宋体" w:cs="宋体"/>
          <w:color w:val="auto"/>
          <w:sz w:val="24"/>
          <w:szCs w:val="24"/>
          <w:highlight w:val="none"/>
        </w:rPr>
        <w:t>为本公司的合法代理人，就项目编号为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的投标，以本公司名义处理一切与之有关的事务。</w:t>
      </w:r>
    </w:p>
    <w:p w14:paraId="21C5CE1D">
      <w:pPr>
        <w:spacing w:afterLines="50" w:line="480" w:lineRule="exact"/>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tbl>
      <w:tblPr>
        <w:tblStyle w:val="1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3501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vAlign w:val="center"/>
          </w:tcPr>
          <w:p w14:paraId="4E9A4F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法人代表身份证复印件</w:t>
            </w:r>
          </w:p>
          <w:p w14:paraId="7223981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433" w:type="dxa"/>
            <w:vAlign w:val="center"/>
          </w:tcPr>
          <w:p w14:paraId="394426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法人代表身份证复印件</w:t>
            </w:r>
          </w:p>
          <w:p w14:paraId="532EDAB1">
            <w:pPr>
              <w:pStyle w:val="13"/>
              <w:spacing w:line="360" w:lineRule="auto"/>
              <w:ind w:left="-365"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p>
        </w:tc>
      </w:tr>
      <w:tr w14:paraId="5DA1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vAlign w:val="center"/>
          </w:tcPr>
          <w:p w14:paraId="0DC4023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法人代表签名：</w:t>
            </w:r>
            <w:r>
              <w:rPr>
                <w:rFonts w:hint="eastAsia" w:ascii="宋体" w:hAnsi="宋体" w:eastAsia="宋体" w:cs="宋体"/>
                <w:color w:val="auto"/>
                <w:sz w:val="24"/>
                <w:szCs w:val="24"/>
                <w:highlight w:val="none"/>
                <w:u w:val="single"/>
              </w:rPr>
              <w:t xml:space="preserve">                </w:t>
            </w:r>
          </w:p>
        </w:tc>
        <w:tc>
          <w:tcPr>
            <w:tcW w:w="4433" w:type="dxa"/>
            <w:vAlign w:val="center"/>
          </w:tcPr>
          <w:p w14:paraId="2D173355">
            <w:pPr>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14:paraId="478300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bl>
    <w:p w14:paraId="18AB52F2">
      <w:pPr>
        <w:autoSpaceDE w:val="0"/>
        <w:autoSpaceDN w:val="0"/>
        <w:spacing w:line="360" w:lineRule="auto"/>
        <w:rPr>
          <w:rFonts w:hint="eastAsia" w:ascii="宋体" w:hAnsi="宋体" w:eastAsia="宋体" w:cs="宋体"/>
          <w:color w:val="auto"/>
          <w:sz w:val="24"/>
          <w:szCs w:val="24"/>
          <w:highlight w:val="none"/>
        </w:rPr>
      </w:pPr>
    </w:p>
    <w:tbl>
      <w:tblPr>
        <w:tblStyle w:val="1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2FBC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vAlign w:val="center"/>
          </w:tcPr>
          <w:p w14:paraId="7EC0BCE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4B20A7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420" w:type="dxa"/>
            <w:vAlign w:val="center"/>
          </w:tcPr>
          <w:p w14:paraId="35118A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676AA244">
            <w:pPr>
              <w:pStyle w:val="13"/>
              <w:spacing w:line="360" w:lineRule="auto"/>
              <w:ind w:left="-365"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p>
        </w:tc>
      </w:tr>
      <w:tr w14:paraId="0429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vAlign w:val="center"/>
          </w:tcPr>
          <w:p w14:paraId="6359A8E6">
            <w:pPr>
              <w:pStyle w:val="13"/>
              <w:spacing w:line="360" w:lineRule="auto"/>
              <w:ind w:firstLine="139" w:firstLineChars="5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w:t>
            </w:r>
            <w:r>
              <w:rPr>
                <w:rFonts w:hint="eastAsia" w:ascii="宋体" w:hAnsi="宋体" w:eastAsia="宋体" w:cs="宋体"/>
                <w:color w:val="auto"/>
                <w:sz w:val="24"/>
                <w:szCs w:val="24"/>
                <w:highlight w:val="none"/>
                <w:u w:val="single"/>
              </w:rPr>
              <w:t xml:space="preserve">               </w:t>
            </w:r>
          </w:p>
        </w:tc>
        <w:tc>
          <w:tcPr>
            <w:tcW w:w="4420" w:type="dxa"/>
            <w:vAlign w:val="center"/>
          </w:tcPr>
          <w:p w14:paraId="4C3DA5E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bl>
    <w:p w14:paraId="413C585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DB9112D">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四、供应商概况</w:t>
      </w:r>
    </w:p>
    <w:p w14:paraId="0FAF29AA">
      <w:pPr>
        <w:spacing w:line="360" w:lineRule="auto"/>
        <w:jc w:val="center"/>
        <w:rPr>
          <w:rFonts w:hint="eastAsia" w:ascii="宋体" w:hAnsi="宋体" w:eastAsia="宋体" w:cs="宋体"/>
          <w:b/>
          <w:color w:val="auto"/>
          <w:sz w:val="28"/>
          <w:szCs w:val="28"/>
          <w:highlight w:val="none"/>
        </w:rPr>
      </w:pPr>
    </w:p>
    <w:p w14:paraId="40E38028">
      <w:pPr>
        <w:spacing w:before="27" w:line="219" w:lineRule="auto"/>
        <w:ind w:left="3360"/>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4.1 供应商简介（格式自拟）</w:t>
      </w:r>
    </w:p>
    <w:p w14:paraId="5B9AAE2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916CAB0">
      <w:pPr>
        <w:spacing w:before="27" w:line="219" w:lineRule="auto"/>
        <w:ind w:left="3360"/>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4.2 供应商基本情况表</w:t>
      </w:r>
    </w:p>
    <w:p w14:paraId="2575C46C">
      <w:pPr>
        <w:spacing w:line="147" w:lineRule="exact"/>
        <w:rPr>
          <w:rFonts w:hint="eastAsia" w:ascii="宋体" w:hAnsi="宋体" w:eastAsia="宋体" w:cs="宋体"/>
          <w:color w:val="auto"/>
        </w:rPr>
      </w:pPr>
    </w:p>
    <w:tbl>
      <w:tblPr>
        <w:tblStyle w:val="28"/>
        <w:tblW w:w="90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1016"/>
        <w:gridCol w:w="1033"/>
        <w:gridCol w:w="1211"/>
        <w:gridCol w:w="1649"/>
        <w:gridCol w:w="795"/>
        <w:gridCol w:w="1632"/>
      </w:tblGrid>
      <w:tr w14:paraId="268B6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734" w:type="dxa"/>
            <w:tcBorders>
              <w:top w:val="single" w:color="000000" w:sz="10" w:space="0"/>
              <w:left w:val="single" w:color="000000" w:sz="10" w:space="0"/>
            </w:tcBorders>
            <w:vAlign w:val="top"/>
          </w:tcPr>
          <w:p w14:paraId="493E5B72">
            <w:pPr>
              <w:pStyle w:val="27"/>
              <w:spacing w:before="119" w:line="221" w:lineRule="auto"/>
              <w:ind w:left="110"/>
              <w:rPr>
                <w:rFonts w:hint="eastAsia" w:ascii="宋体" w:hAnsi="宋体" w:eastAsia="宋体" w:cs="宋体"/>
                <w:color w:val="auto"/>
                <w:sz w:val="24"/>
                <w:szCs w:val="24"/>
              </w:rPr>
            </w:pPr>
            <w:r>
              <w:rPr>
                <w:rFonts w:hint="eastAsia" w:ascii="宋体" w:hAnsi="宋体" w:eastAsia="宋体" w:cs="宋体"/>
                <w:color w:val="auto"/>
                <w:spacing w:val="-4"/>
                <w:sz w:val="24"/>
                <w:szCs w:val="24"/>
              </w:rPr>
              <w:t>企业名称</w:t>
            </w:r>
          </w:p>
        </w:tc>
        <w:tc>
          <w:tcPr>
            <w:tcW w:w="7336" w:type="dxa"/>
            <w:gridSpan w:val="6"/>
            <w:tcBorders>
              <w:top w:val="single" w:color="000000" w:sz="10" w:space="0"/>
              <w:right w:val="single" w:color="000000" w:sz="10" w:space="0"/>
            </w:tcBorders>
            <w:vAlign w:val="top"/>
          </w:tcPr>
          <w:p w14:paraId="3C8E9121">
            <w:pPr>
              <w:rPr>
                <w:rFonts w:hint="eastAsia" w:ascii="宋体" w:hAnsi="宋体" w:eastAsia="宋体" w:cs="宋体"/>
                <w:color w:val="auto"/>
                <w:sz w:val="24"/>
                <w:szCs w:val="24"/>
              </w:rPr>
            </w:pPr>
          </w:p>
        </w:tc>
      </w:tr>
      <w:tr w14:paraId="25D1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3A1A5429">
            <w:pPr>
              <w:pStyle w:val="27"/>
              <w:spacing w:before="111" w:line="221" w:lineRule="auto"/>
              <w:ind w:left="106"/>
              <w:rPr>
                <w:rFonts w:hint="eastAsia" w:ascii="宋体" w:hAnsi="宋体" w:eastAsia="宋体" w:cs="宋体"/>
                <w:color w:val="auto"/>
                <w:sz w:val="24"/>
                <w:szCs w:val="24"/>
              </w:rPr>
            </w:pPr>
            <w:r>
              <w:rPr>
                <w:rFonts w:hint="eastAsia" w:ascii="宋体" w:hAnsi="宋体" w:eastAsia="宋体" w:cs="宋体"/>
                <w:color w:val="auto"/>
                <w:spacing w:val="-3"/>
                <w:sz w:val="24"/>
                <w:szCs w:val="24"/>
              </w:rPr>
              <w:t>注册地址</w:t>
            </w:r>
          </w:p>
        </w:tc>
        <w:tc>
          <w:tcPr>
            <w:tcW w:w="3260" w:type="dxa"/>
            <w:gridSpan w:val="3"/>
            <w:vAlign w:val="top"/>
          </w:tcPr>
          <w:p w14:paraId="02D4DD74">
            <w:pPr>
              <w:rPr>
                <w:rFonts w:hint="eastAsia" w:ascii="宋体" w:hAnsi="宋体" w:eastAsia="宋体" w:cs="宋体"/>
                <w:color w:val="auto"/>
                <w:sz w:val="24"/>
                <w:szCs w:val="24"/>
              </w:rPr>
            </w:pPr>
          </w:p>
        </w:tc>
        <w:tc>
          <w:tcPr>
            <w:tcW w:w="1649" w:type="dxa"/>
            <w:vAlign w:val="top"/>
          </w:tcPr>
          <w:p w14:paraId="6EF23DEF">
            <w:pPr>
              <w:pStyle w:val="27"/>
              <w:spacing w:before="112" w:line="219" w:lineRule="auto"/>
              <w:ind w:left="131"/>
              <w:rPr>
                <w:rFonts w:hint="eastAsia" w:ascii="宋体" w:hAnsi="宋体" w:eastAsia="宋体" w:cs="宋体"/>
                <w:color w:val="auto"/>
                <w:sz w:val="24"/>
                <w:szCs w:val="24"/>
              </w:rPr>
            </w:pPr>
            <w:r>
              <w:rPr>
                <w:rFonts w:hint="eastAsia" w:ascii="宋体" w:hAnsi="宋体" w:eastAsia="宋体" w:cs="宋体"/>
                <w:color w:val="auto"/>
                <w:spacing w:val="-7"/>
                <w:sz w:val="24"/>
                <w:szCs w:val="24"/>
              </w:rPr>
              <w:t>邮政编码</w:t>
            </w:r>
          </w:p>
        </w:tc>
        <w:tc>
          <w:tcPr>
            <w:tcW w:w="2427" w:type="dxa"/>
            <w:gridSpan w:val="2"/>
            <w:tcBorders>
              <w:right w:val="single" w:color="000000" w:sz="10" w:space="0"/>
            </w:tcBorders>
            <w:vAlign w:val="top"/>
          </w:tcPr>
          <w:p w14:paraId="1D1D8F9B">
            <w:pPr>
              <w:rPr>
                <w:rFonts w:hint="eastAsia" w:ascii="宋体" w:hAnsi="宋体" w:eastAsia="宋体" w:cs="宋体"/>
                <w:color w:val="auto"/>
                <w:sz w:val="24"/>
                <w:szCs w:val="24"/>
              </w:rPr>
            </w:pPr>
          </w:p>
        </w:tc>
      </w:tr>
      <w:tr w14:paraId="1E5F2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vMerge w:val="restart"/>
            <w:tcBorders>
              <w:left w:val="single" w:color="000000" w:sz="10" w:space="0"/>
              <w:bottom w:val="nil"/>
            </w:tcBorders>
            <w:vAlign w:val="top"/>
          </w:tcPr>
          <w:p w14:paraId="7DC29925">
            <w:pPr>
              <w:spacing w:line="275" w:lineRule="auto"/>
              <w:rPr>
                <w:rFonts w:hint="eastAsia" w:ascii="宋体" w:hAnsi="宋体" w:eastAsia="宋体" w:cs="宋体"/>
                <w:color w:val="auto"/>
                <w:sz w:val="24"/>
                <w:szCs w:val="24"/>
              </w:rPr>
            </w:pPr>
          </w:p>
          <w:p w14:paraId="6409F0E7">
            <w:pPr>
              <w:pStyle w:val="27"/>
              <w:spacing w:before="78" w:line="221" w:lineRule="auto"/>
              <w:ind w:left="107"/>
              <w:rPr>
                <w:rFonts w:hint="eastAsia" w:ascii="宋体" w:hAnsi="宋体" w:eastAsia="宋体" w:cs="宋体"/>
                <w:color w:val="auto"/>
                <w:sz w:val="24"/>
                <w:szCs w:val="24"/>
              </w:rPr>
            </w:pPr>
            <w:r>
              <w:rPr>
                <w:rFonts w:hint="eastAsia" w:ascii="宋体" w:hAnsi="宋体" w:eastAsia="宋体" w:cs="宋体"/>
                <w:color w:val="auto"/>
                <w:spacing w:val="-3"/>
                <w:sz w:val="24"/>
                <w:szCs w:val="24"/>
              </w:rPr>
              <w:t>联系方式</w:t>
            </w:r>
          </w:p>
        </w:tc>
        <w:tc>
          <w:tcPr>
            <w:tcW w:w="1016" w:type="dxa"/>
            <w:vAlign w:val="top"/>
          </w:tcPr>
          <w:p w14:paraId="541FEE58">
            <w:pPr>
              <w:pStyle w:val="27"/>
              <w:spacing w:before="113" w:line="221" w:lineRule="auto"/>
              <w:ind w:left="106"/>
              <w:rPr>
                <w:rFonts w:hint="eastAsia" w:ascii="宋体" w:hAnsi="宋体" w:eastAsia="宋体" w:cs="宋体"/>
                <w:color w:val="auto"/>
                <w:sz w:val="24"/>
                <w:szCs w:val="24"/>
              </w:rPr>
            </w:pPr>
            <w:r>
              <w:rPr>
                <w:rFonts w:hint="eastAsia" w:ascii="宋体" w:hAnsi="宋体" w:eastAsia="宋体" w:cs="宋体"/>
                <w:color w:val="auto"/>
                <w:spacing w:val="-4"/>
                <w:sz w:val="24"/>
                <w:szCs w:val="24"/>
              </w:rPr>
              <w:t>联系人</w:t>
            </w:r>
          </w:p>
        </w:tc>
        <w:tc>
          <w:tcPr>
            <w:tcW w:w="2244" w:type="dxa"/>
            <w:gridSpan w:val="2"/>
            <w:vAlign w:val="top"/>
          </w:tcPr>
          <w:p w14:paraId="2EACC67D">
            <w:pPr>
              <w:rPr>
                <w:rFonts w:hint="eastAsia" w:ascii="宋体" w:hAnsi="宋体" w:eastAsia="宋体" w:cs="宋体"/>
                <w:color w:val="auto"/>
                <w:sz w:val="24"/>
                <w:szCs w:val="24"/>
              </w:rPr>
            </w:pPr>
          </w:p>
        </w:tc>
        <w:tc>
          <w:tcPr>
            <w:tcW w:w="1649" w:type="dxa"/>
            <w:vAlign w:val="top"/>
          </w:tcPr>
          <w:p w14:paraId="1F08DD5A">
            <w:pPr>
              <w:pStyle w:val="27"/>
              <w:spacing w:before="113" w:line="221" w:lineRule="auto"/>
              <w:ind w:left="142"/>
              <w:rPr>
                <w:rFonts w:hint="eastAsia" w:ascii="宋体" w:hAnsi="宋体" w:eastAsia="宋体" w:cs="宋体"/>
                <w:color w:val="auto"/>
                <w:sz w:val="24"/>
                <w:szCs w:val="24"/>
              </w:rPr>
            </w:pPr>
            <w:r>
              <w:rPr>
                <w:rFonts w:hint="eastAsia" w:ascii="宋体" w:hAnsi="宋体" w:eastAsia="宋体" w:cs="宋体"/>
                <w:color w:val="auto"/>
                <w:spacing w:val="-19"/>
                <w:sz w:val="24"/>
                <w:szCs w:val="24"/>
              </w:rPr>
              <w:t>电话</w:t>
            </w:r>
          </w:p>
        </w:tc>
        <w:tc>
          <w:tcPr>
            <w:tcW w:w="2427" w:type="dxa"/>
            <w:gridSpan w:val="2"/>
            <w:tcBorders>
              <w:right w:val="single" w:color="000000" w:sz="10" w:space="0"/>
            </w:tcBorders>
            <w:vAlign w:val="top"/>
          </w:tcPr>
          <w:p w14:paraId="353803CA">
            <w:pPr>
              <w:rPr>
                <w:rFonts w:hint="eastAsia" w:ascii="宋体" w:hAnsi="宋体" w:eastAsia="宋体" w:cs="宋体"/>
                <w:color w:val="auto"/>
                <w:sz w:val="24"/>
                <w:szCs w:val="24"/>
              </w:rPr>
            </w:pPr>
          </w:p>
        </w:tc>
      </w:tr>
      <w:tr w14:paraId="7C0C6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vMerge w:val="continue"/>
            <w:tcBorders>
              <w:top w:val="nil"/>
              <w:left w:val="single" w:color="000000" w:sz="10" w:space="0"/>
            </w:tcBorders>
            <w:vAlign w:val="top"/>
          </w:tcPr>
          <w:p w14:paraId="491E97B2">
            <w:pPr>
              <w:rPr>
                <w:rFonts w:hint="eastAsia" w:ascii="宋体" w:hAnsi="宋体" w:eastAsia="宋体" w:cs="宋体"/>
                <w:color w:val="auto"/>
                <w:sz w:val="24"/>
                <w:szCs w:val="24"/>
              </w:rPr>
            </w:pPr>
          </w:p>
        </w:tc>
        <w:tc>
          <w:tcPr>
            <w:tcW w:w="1016" w:type="dxa"/>
            <w:vAlign w:val="top"/>
          </w:tcPr>
          <w:p w14:paraId="16D7335C">
            <w:pPr>
              <w:pStyle w:val="27"/>
              <w:spacing w:before="114" w:line="219" w:lineRule="auto"/>
              <w:ind w:left="103"/>
              <w:rPr>
                <w:rFonts w:hint="eastAsia" w:ascii="宋体" w:hAnsi="宋体" w:eastAsia="宋体" w:cs="宋体"/>
                <w:color w:val="auto"/>
                <w:sz w:val="24"/>
                <w:szCs w:val="24"/>
              </w:rPr>
            </w:pPr>
            <w:r>
              <w:rPr>
                <w:rFonts w:hint="eastAsia" w:ascii="宋体" w:hAnsi="宋体" w:eastAsia="宋体" w:cs="宋体"/>
                <w:color w:val="auto"/>
                <w:spacing w:val="-4"/>
                <w:sz w:val="24"/>
                <w:szCs w:val="24"/>
              </w:rPr>
              <w:t>传真</w:t>
            </w:r>
          </w:p>
        </w:tc>
        <w:tc>
          <w:tcPr>
            <w:tcW w:w="2244" w:type="dxa"/>
            <w:gridSpan w:val="2"/>
            <w:vAlign w:val="top"/>
          </w:tcPr>
          <w:p w14:paraId="2D588889">
            <w:pPr>
              <w:rPr>
                <w:rFonts w:hint="eastAsia" w:ascii="宋体" w:hAnsi="宋体" w:eastAsia="宋体" w:cs="宋体"/>
                <w:color w:val="auto"/>
                <w:sz w:val="24"/>
                <w:szCs w:val="24"/>
              </w:rPr>
            </w:pPr>
          </w:p>
        </w:tc>
        <w:tc>
          <w:tcPr>
            <w:tcW w:w="1649" w:type="dxa"/>
            <w:vAlign w:val="top"/>
          </w:tcPr>
          <w:p w14:paraId="70032246">
            <w:pPr>
              <w:pStyle w:val="27"/>
              <w:spacing w:before="115" w:line="224" w:lineRule="auto"/>
              <w:ind w:left="132"/>
              <w:rPr>
                <w:rFonts w:hint="eastAsia" w:ascii="宋体" w:hAnsi="宋体" w:eastAsia="宋体" w:cs="宋体"/>
                <w:color w:val="auto"/>
                <w:sz w:val="24"/>
                <w:szCs w:val="24"/>
              </w:rPr>
            </w:pPr>
            <w:r>
              <w:rPr>
                <w:rFonts w:hint="eastAsia" w:ascii="宋体" w:hAnsi="宋体" w:eastAsia="宋体" w:cs="宋体"/>
                <w:color w:val="auto"/>
                <w:spacing w:val="-15"/>
                <w:sz w:val="24"/>
                <w:szCs w:val="24"/>
              </w:rPr>
              <w:t>网址</w:t>
            </w:r>
          </w:p>
        </w:tc>
        <w:tc>
          <w:tcPr>
            <w:tcW w:w="2427" w:type="dxa"/>
            <w:gridSpan w:val="2"/>
            <w:tcBorders>
              <w:right w:val="single" w:color="000000" w:sz="10" w:space="0"/>
            </w:tcBorders>
            <w:vAlign w:val="top"/>
          </w:tcPr>
          <w:p w14:paraId="13CF0CC5">
            <w:pPr>
              <w:rPr>
                <w:rFonts w:hint="eastAsia" w:ascii="宋体" w:hAnsi="宋体" w:eastAsia="宋体" w:cs="宋体"/>
                <w:color w:val="auto"/>
                <w:sz w:val="24"/>
                <w:szCs w:val="24"/>
              </w:rPr>
            </w:pPr>
          </w:p>
        </w:tc>
      </w:tr>
      <w:tr w14:paraId="27207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3EFC27AC">
            <w:pPr>
              <w:pStyle w:val="27"/>
              <w:spacing w:before="115" w:line="220" w:lineRule="auto"/>
              <w:ind w:left="108"/>
              <w:rPr>
                <w:rFonts w:hint="eastAsia" w:ascii="宋体" w:hAnsi="宋体" w:eastAsia="宋体" w:cs="宋体"/>
                <w:color w:val="auto"/>
                <w:sz w:val="24"/>
                <w:szCs w:val="24"/>
              </w:rPr>
            </w:pPr>
            <w:r>
              <w:rPr>
                <w:rFonts w:hint="eastAsia" w:ascii="宋体" w:hAnsi="宋体" w:eastAsia="宋体" w:cs="宋体"/>
                <w:color w:val="auto"/>
                <w:spacing w:val="-3"/>
                <w:sz w:val="24"/>
                <w:szCs w:val="24"/>
              </w:rPr>
              <w:t>单位性质</w:t>
            </w:r>
          </w:p>
        </w:tc>
        <w:tc>
          <w:tcPr>
            <w:tcW w:w="7336" w:type="dxa"/>
            <w:gridSpan w:val="6"/>
            <w:tcBorders>
              <w:right w:val="single" w:color="000000" w:sz="10" w:space="0"/>
            </w:tcBorders>
            <w:vAlign w:val="top"/>
          </w:tcPr>
          <w:p w14:paraId="67540A57">
            <w:pPr>
              <w:rPr>
                <w:rFonts w:hint="eastAsia" w:ascii="宋体" w:hAnsi="宋体" w:eastAsia="宋体" w:cs="宋体"/>
                <w:color w:val="auto"/>
                <w:sz w:val="24"/>
                <w:szCs w:val="24"/>
              </w:rPr>
            </w:pPr>
          </w:p>
        </w:tc>
      </w:tr>
      <w:tr w14:paraId="663E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60C2D9D2">
            <w:pPr>
              <w:pStyle w:val="27"/>
              <w:spacing w:before="116" w:line="219" w:lineRule="auto"/>
              <w:ind w:left="107"/>
              <w:rPr>
                <w:rFonts w:hint="eastAsia" w:ascii="宋体" w:hAnsi="宋体" w:eastAsia="宋体" w:cs="宋体"/>
                <w:color w:val="auto"/>
                <w:sz w:val="24"/>
                <w:szCs w:val="24"/>
              </w:rPr>
            </w:pPr>
            <w:r>
              <w:rPr>
                <w:rFonts w:hint="eastAsia" w:ascii="宋体" w:hAnsi="宋体" w:eastAsia="宋体" w:cs="宋体"/>
                <w:color w:val="auto"/>
                <w:spacing w:val="-3"/>
                <w:sz w:val="24"/>
                <w:szCs w:val="24"/>
              </w:rPr>
              <w:t>法定代表人</w:t>
            </w:r>
          </w:p>
        </w:tc>
        <w:tc>
          <w:tcPr>
            <w:tcW w:w="2049" w:type="dxa"/>
            <w:gridSpan w:val="2"/>
            <w:vAlign w:val="top"/>
          </w:tcPr>
          <w:p w14:paraId="2FAEA37A">
            <w:pPr>
              <w:rPr>
                <w:rFonts w:hint="eastAsia" w:ascii="宋体" w:hAnsi="宋体" w:eastAsia="宋体" w:cs="宋体"/>
                <w:color w:val="auto"/>
                <w:sz w:val="24"/>
                <w:szCs w:val="24"/>
              </w:rPr>
            </w:pPr>
          </w:p>
        </w:tc>
        <w:tc>
          <w:tcPr>
            <w:tcW w:w="1211" w:type="dxa"/>
            <w:vAlign w:val="top"/>
          </w:tcPr>
          <w:p w14:paraId="59CD8D9E">
            <w:pPr>
              <w:pStyle w:val="27"/>
              <w:spacing w:before="116" w:line="219" w:lineRule="auto"/>
              <w:ind w:left="111"/>
              <w:rPr>
                <w:rFonts w:hint="eastAsia" w:ascii="宋体" w:hAnsi="宋体" w:eastAsia="宋体" w:cs="宋体"/>
                <w:color w:val="auto"/>
                <w:sz w:val="24"/>
                <w:szCs w:val="24"/>
              </w:rPr>
            </w:pPr>
            <w:r>
              <w:rPr>
                <w:rFonts w:hint="eastAsia" w:ascii="宋体" w:hAnsi="宋体" w:eastAsia="宋体" w:cs="宋体"/>
                <w:color w:val="auto"/>
                <w:spacing w:val="-3"/>
                <w:sz w:val="24"/>
                <w:szCs w:val="24"/>
              </w:rPr>
              <w:t>技术职称</w:t>
            </w:r>
          </w:p>
        </w:tc>
        <w:tc>
          <w:tcPr>
            <w:tcW w:w="1649" w:type="dxa"/>
            <w:vAlign w:val="top"/>
          </w:tcPr>
          <w:p w14:paraId="20A44E3F">
            <w:pPr>
              <w:rPr>
                <w:rFonts w:hint="eastAsia" w:ascii="宋体" w:hAnsi="宋体" w:eastAsia="宋体" w:cs="宋体"/>
                <w:color w:val="auto"/>
                <w:sz w:val="24"/>
                <w:szCs w:val="24"/>
              </w:rPr>
            </w:pPr>
          </w:p>
        </w:tc>
        <w:tc>
          <w:tcPr>
            <w:tcW w:w="795" w:type="dxa"/>
            <w:vAlign w:val="top"/>
          </w:tcPr>
          <w:p w14:paraId="46D8B5D8">
            <w:pPr>
              <w:pStyle w:val="27"/>
              <w:spacing w:before="116" w:line="221" w:lineRule="auto"/>
              <w:ind w:left="146"/>
              <w:rPr>
                <w:rFonts w:hint="eastAsia" w:ascii="宋体" w:hAnsi="宋体" w:eastAsia="宋体" w:cs="宋体"/>
                <w:color w:val="auto"/>
                <w:sz w:val="24"/>
                <w:szCs w:val="24"/>
              </w:rPr>
            </w:pPr>
            <w:r>
              <w:rPr>
                <w:rFonts w:hint="eastAsia" w:ascii="宋体" w:hAnsi="宋体" w:eastAsia="宋体" w:cs="宋体"/>
                <w:color w:val="auto"/>
                <w:spacing w:val="-19"/>
                <w:sz w:val="24"/>
                <w:szCs w:val="24"/>
              </w:rPr>
              <w:t>电话</w:t>
            </w:r>
          </w:p>
        </w:tc>
        <w:tc>
          <w:tcPr>
            <w:tcW w:w="1632" w:type="dxa"/>
            <w:tcBorders>
              <w:right w:val="single" w:color="000000" w:sz="10" w:space="0"/>
            </w:tcBorders>
            <w:vAlign w:val="top"/>
          </w:tcPr>
          <w:p w14:paraId="2D097AED">
            <w:pPr>
              <w:rPr>
                <w:rFonts w:hint="eastAsia" w:ascii="宋体" w:hAnsi="宋体" w:eastAsia="宋体" w:cs="宋体"/>
                <w:color w:val="auto"/>
                <w:sz w:val="24"/>
                <w:szCs w:val="24"/>
              </w:rPr>
            </w:pPr>
          </w:p>
        </w:tc>
      </w:tr>
      <w:tr w14:paraId="6DCF1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34" w:type="dxa"/>
            <w:tcBorders>
              <w:left w:val="single" w:color="000000" w:sz="10" w:space="0"/>
            </w:tcBorders>
            <w:vAlign w:val="top"/>
          </w:tcPr>
          <w:p w14:paraId="5D54940F">
            <w:pPr>
              <w:pStyle w:val="27"/>
              <w:spacing w:before="117" w:line="219" w:lineRule="auto"/>
              <w:ind w:left="107"/>
              <w:rPr>
                <w:rFonts w:hint="eastAsia" w:ascii="宋体" w:hAnsi="宋体" w:eastAsia="宋体" w:cs="宋体"/>
                <w:color w:val="auto"/>
                <w:sz w:val="24"/>
                <w:szCs w:val="24"/>
              </w:rPr>
            </w:pPr>
            <w:r>
              <w:rPr>
                <w:rFonts w:hint="eastAsia" w:ascii="宋体" w:hAnsi="宋体" w:eastAsia="宋体" w:cs="宋体"/>
                <w:color w:val="auto"/>
                <w:spacing w:val="-3"/>
                <w:sz w:val="24"/>
                <w:szCs w:val="24"/>
              </w:rPr>
              <w:t>技术负责人</w:t>
            </w:r>
          </w:p>
        </w:tc>
        <w:tc>
          <w:tcPr>
            <w:tcW w:w="2049" w:type="dxa"/>
            <w:gridSpan w:val="2"/>
            <w:tcBorders>
              <w:bottom w:val="single" w:color="000000" w:sz="2" w:space="0"/>
            </w:tcBorders>
            <w:vAlign w:val="top"/>
          </w:tcPr>
          <w:p w14:paraId="386BF7A5">
            <w:pPr>
              <w:rPr>
                <w:rFonts w:hint="eastAsia" w:ascii="宋体" w:hAnsi="宋体" w:eastAsia="宋体" w:cs="宋体"/>
                <w:color w:val="auto"/>
                <w:sz w:val="24"/>
                <w:szCs w:val="24"/>
              </w:rPr>
            </w:pPr>
          </w:p>
        </w:tc>
        <w:tc>
          <w:tcPr>
            <w:tcW w:w="1211" w:type="dxa"/>
            <w:tcBorders>
              <w:bottom w:val="single" w:color="000000" w:sz="2" w:space="0"/>
            </w:tcBorders>
            <w:vAlign w:val="top"/>
          </w:tcPr>
          <w:p w14:paraId="7B7E9327">
            <w:pPr>
              <w:pStyle w:val="27"/>
              <w:spacing w:before="117" w:line="219" w:lineRule="auto"/>
              <w:ind w:left="111"/>
              <w:rPr>
                <w:rFonts w:hint="eastAsia" w:ascii="宋体" w:hAnsi="宋体" w:eastAsia="宋体" w:cs="宋体"/>
                <w:color w:val="auto"/>
                <w:sz w:val="24"/>
                <w:szCs w:val="24"/>
              </w:rPr>
            </w:pPr>
            <w:r>
              <w:rPr>
                <w:rFonts w:hint="eastAsia" w:ascii="宋体" w:hAnsi="宋体" w:eastAsia="宋体" w:cs="宋体"/>
                <w:color w:val="auto"/>
                <w:spacing w:val="-3"/>
                <w:sz w:val="24"/>
                <w:szCs w:val="24"/>
              </w:rPr>
              <w:t>技术职称</w:t>
            </w:r>
          </w:p>
        </w:tc>
        <w:tc>
          <w:tcPr>
            <w:tcW w:w="1649" w:type="dxa"/>
            <w:vAlign w:val="top"/>
          </w:tcPr>
          <w:p w14:paraId="3D49DC55">
            <w:pPr>
              <w:rPr>
                <w:rFonts w:hint="eastAsia" w:ascii="宋体" w:hAnsi="宋体" w:eastAsia="宋体" w:cs="宋体"/>
                <w:color w:val="auto"/>
                <w:sz w:val="24"/>
                <w:szCs w:val="24"/>
              </w:rPr>
            </w:pPr>
          </w:p>
        </w:tc>
        <w:tc>
          <w:tcPr>
            <w:tcW w:w="795" w:type="dxa"/>
            <w:vAlign w:val="top"/>
          </w:tcPr>
          <w:p w14:paraId="2BA6FBC4">
            <w:pPr>
              <w:pStyle w:val="27"/>
              <w:spacing w:before="117" w:line="221" w:lineRule="auto"/>
              <w:ind w:left="146"/>
              <w:rPr>
                <w:rFonts w:hint="eastAsia" w:ascii="宋体" w:hAnsi="宋体" w:eastAsia="宋体" w:cs="宋体"/>
                <w:color w:val="auto"/>
                <w:sz w:val="24"/>
                <w:szCs w:val="24"/>
              </w:rPr>
            </w:pPr>
            <w:r>
              <w:rPr>
                <w:rFonts w:hint="eastAsia" w:ascii="宋体" w:hAnsi="宋体" w:eastAsia="宋体" w:cs="宋体"/>
                <w:color w:val="auto"/>
                <w:spacing w:val="-19"/>
                <w:sz w:val="24"/>
                <w:szCs w:val="24"/>
              </w:rPr>
              <w:t>电话</w:t>
            </w:r>
          </w:p>
        </w:tc>
        <w:tc>
          <w:tcPr>
            <w:tcW w:w="1632" w:type="dxa"/>
            <w:tcBorders>
              <w:right w:val="single" w:color="000000" w:sz="10" w:space="0"/>
            </w:tcBorders>
            <w:vAlign w:val="top"/>
          </w:tcPr>
          <w:p w14:paraId="5746F77F">
            <w:pPr>
              <w:rPr>
                <w:rFonts w:hint="eastAsia" w:ascii="宋体" w:hAnsi="宋体" w:eastAsia="宋体" w:cs="宋体"/>
                <w:color w:val="auto"/>
                <w:sz w:val="24"/>
                <w:szCs w:val="24"/>
              </w:rPr>
            </w:pPr>
          </w:p>
        </w:tc>
      </w:tr>
      <w:tr w14:paraId="0A7B3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734" w:type="dxa"/>
            <w:tcBorders>
              <w:left w:val="single" w:color="000000" w:sz="10" w:space="0"/>
              <w:right w:val="single" w:color="000000" w:sz="2" w:space="0"/>
            </w:tcBorders>
            <w:vAlign w:val="top"/>
          </w:tcPr>
          <w:p w14:paraId="5E1571F1">
            <w:pPr>
              <w:pStyle w:val="27"/>
              <w:spacing w:before="121" w:line="468" w:lineRule="exact"/>
              <w:ind w:left="110"/>
              <w:rPr>
                <w:rFonts w:hint="eastAsia" w:ascii="宋体" w:hAnsi="宋体" w:eastAsia="宋体" w:cs="宋体"/>
                <w:color w:val="auto"/>
                <w:sz w:val="24"/>
                <w:szCs w:val="24"/>
              </w:rPr>
            </w:pPr>
            <w:r>
              <w:rPr>
                <w:rFonts w:hint="eastAsia" w:ascii="宋体" w:hAnsi="宋体" w:eastAsia="宋体" w:cs="宋体"/>
                <w:color w:val="auto"/>
                <w:spacing w:val="-5"/>
                <w:position w:val="17"/>
                <w:sz w:val="24"/>
                <w:szCs w:val="24"/>
              </w:rPr>
              <w:t>企业资</w:t>
            </w:r>
          </w:p>
          <w:p w14:paraId="54BB6270">
            <w:pPr>
              <w:pStyle w:val="27"/>
              <w:spacing w:line="219" w:lineRule="auto"/>
              <w:ind w:left="107"/>
              <w:rPr>
                <w:rFonts w:hint="eastAsia" w:ascii="宋体" w:hAnsi="宋体" w:eastAsia="宋体" w:cs="宋体"/>
                <w:color w:val="auto"/>
                <w:sz w:val="24"/>
                <w:szCs w:val="24"/>
              </w:rPr>
            </w:pPr>
            <w:r>
              <w:rPr>
                <w:rFonts w:hint="eastAsia" w:ascii="宋体" w:hAnsi="宋体" w:eastAsia="宋体" w:cs="宋体"/>
                <w:color w:val="auto"/>
                <w:spacing w:val="-4"/>
                <w:sz w:val="24"/>
                <w:szCs w:val="24"/>
              </w:rPr>
              <w:t>质等级</w:t>
            </w:r>
          </w:p>
        </w:tc>
        <w:tc>
          <w:tcPr>
            <w:tcW w:w="2049" w:type="dxa"/>
            <w:gridSpan w:val="2"/>
            <w:tcBorders>
              <w:top w:val="single" w:color="000000" w:sz="2" w:space="0"/>
              <w:left w:val="single" w:color="000000" w:sz="2" w:space="0"/>
              <w:bottom w:val="single" w:color="000000" w:sz="2" w:space="0"/>
              <w:right w:val="single" w:color="000000" w:sz="2" w:space="0"/>
            </w:tcBorders>
            <w:vAlign w:val="top"/>
          </w:tcPr>
          <w:p w14:paraId="78004EE9">
            <w:pPr>
              <w:rPr>
                <w:rFonts w:hint="eastAsia" w:ascii="宋体" w:hAnsi="宋体" w:eastAsia="宋体" w:cs="宋体"/>
                <w:color w:val="auto"/>
                <w:sz w:val="24"/>
                <w:szCs w:val="24"/>
              </w:rPr>
            </w:pPr>
          </w:p>
        </w:tc>
        <w:tc>
          <w:tcPr>
            <w:tcW w:w="1211" w:type="dxa"/>
            <w:tcBorders>
              <w:top w:val="single" w:color="000000" w:sz="2" w:space="0"/>
              <w:left w:val="single" w:color="000000" w:sz="2" w:space="0"/>
              <w:bottom w:val="single" w:color="000000" w:sz="2" w:space="0"/>
              <w:right w:val="single" w:color="000000" w:sz="2" w:space="0"/>
            </w:tcBorders>
            <w:vAlign w:val="top"/>
          </w:tcPr>
          <w:p w14:paraId="728E5E10">
            <w:pPr>
              <w:spacing w:line="274" w:lineRule="auto"/>
              <w:rPr>
                <w:rFonts w:hint="eastAsia" w:ascii="宋体" w:hAnsi="宋体" w:eastAsia="宋体" w:cs="宋体"/>
                <w:color w:val="auto"/>
                <w:sz w:val="24"/>
                <w:szCs w:val="24"/>
              </w:rPr>
            </w:pPr>
          </w:p>
          <w:p w14:paraId="19EAEEF0">
            <w:pPr>
              <w:pStyle w:val="27"/>
              <w:spacing w:before="78" w:line="221" w:lineRule="auto"/>
              <w:ind w:left="115"/>
              <w:rPr>
                <w:rFonts w:hint="eastAsia" w:ascii="宋体" w:hAnsi="宋体" w:eastAsia="宋体" w:cs="宋体"/>
                <w:color w:val="auto"/>
                <w:sz w:val="24"/>
                <w:szCs w:val="24"/>
              </w:rPr>
            </w:pPr>
            <w:r>
              <w:rPr>
                <w:rFonts w:hint="eastAsia" w:ascii="宋体" w:hAnsi="宋体" w:eastAsia="宋体" w:cs="宋体"/>
                <w:color w:val="auto"/>
                <w:spacing w:val="-3"/>
                <w:sz w:val="24"/>
                <w:szCs w:val="24"/>
              </w:rPr>
              <w:t>成立时间</w:t>
            </w:r>
          </w:p>
        </w:tc>
        <w:tc>
          <w:tcPr>
            <w:tcW w:w="4076" w:type="dxa"/>
            <w:gridSpan w:val="3"/>
            <w:tcBorders>
              <w:left w:val="single" w:color="000000" w:sz="2" w:space="0"/>
              <w:right w:val="single" w:color="000000" w:sz="10" w:space="0"/>
            </w:tcBorders>
            <w:vAlign w:val="top"/>
          </w:tcPr>
          <w:p w14:paraId="5CEED3C6">
            <w:pPr>
              <w:rPr>
                <w:rFonts w:hint="eastAsia" w:ascii="宋体" w:hAnsi="宋体" w:eastAsia="宋体" w:cs="宋体"/>
                <w:color w:val="auto"/>
                <w:sz w:val="24"/>
                <w:szCs w:val="24"/>
              </w:rPr>
            </w:pPr>
          </w:p>
        </w:tc>
      </w:tr>
      <w:tr w14:paraId="64125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19137DD5">
            <w:pPr>
              <w:pStyle w:val="27"/>
              <w:spacing w:before="124" w:line="221" w:lineRule="auto"/>
              <w:ind w:left="106"/>
              <w:rPr>
                <w:rFonts w:hint="eastAsia" w:ascii="宋体" w:hAnsi="宋体" w:eastAsia="宋体" w:cs="宋体"/>
                <w:color w:val="auto"/>
                <w:sz w:val="24"/>
                <w:szCs w:val="24"/>
              </w:rPr>
            </w:pPr>
            <w:r>
              <w:rPr>
                <w:rFonts w:hint="eastAsia" w:ascii="宋体" w:hAnsi="宋体" w:eastAsia="宋体" w:cs="宋体"/>
                <w:color w:val="auto"/>
                <w:spacing w:val="-3"/>
                <w:sz w:val="24"/>
                <w:szCs w:val="24"/>
              </w:rPr>
              <w:t>注册资金</w:t>
            </w:r>
          </w:p>
        </w:tc>
        <w:tc>
          <w:tcPr>
            <w:tcW w:w="2049" w:type="dxa"/>
            <w:gridSpan w:val="2"/>
            <w:tcBorders>
              <w:top w:val="single" w:color="000000" w:sz="2" w:space="0"/>
            </w:tcBorders>
            <w:vAlign w:val="top"/>
          </w:tcPr>
          <w:p w14:paraId="3F33746D">
            <w:pPr>
              <w:pStyle w:val="27"/>
              <w:spacing w:before="124" w:line="220" w:lineRule="auto"/>
              <w:ind w:left="1311"/>
              <w:rPr>
                <w:rFonts w:hint="eastAsia" w:ascii="宋体" w:hAnsi="宋体" w:eastAsia="宋体" w:cs="宋体"/>
                <w:color w:val="auto"/>
                <w:sz w:val="24"/>
                <w:szCs w:val="24"/>
              </w:rPr>
            </w:pPr>
            <w:r>
              <w:rPr>
                <w:rFonts w:hint="eastAsia" w:ascii="宋体" w:hAnsi="宋体" w:eastAsia="宋体" w:cs="宋体"/>
                <w:color w:val="auto"/>
                <w:spacing w:val="-8"/>
                <w:sz w:val="24"/>
                <w:szCs w:val="24"/>
              </w:rPr>
              <w:t>万元</w:t>
            </w:r>
          </w:p>
        </w:tc>
        <w:tc>
          <w:tcPr>
            <w:tcW w:w="1211" w:type="dxa"/>
            <w:vMerge w:val="restart"/>
            <w:tcBorders>
              <w:top w:val="single" w:color="000000" w:sz="2" w:space="0"/>
              <w:bottom w:val="nil"/>
            </w:tcBorders>
            <w:vAlign w:val="top"/>
          </w:tcPr>
          <w:p w14:paraId="73CE38EE">
            <w:pPr>
              <w:spacing w:line="259" w:lineRule="auto"/>
              <w:rPr>
                <w:rFonts w:hint="eastAsia" w:ascii="宋体" w:hAnsi="宋体" w:eastAsia="宋体" w:cs="宋体"/>
                <w:color w:val="auto"/>
                <w:sz w:val="24"/>
                <w:szCs w:val="24"/>
              </w:rPr>
            </w:pPr>
          </w:p>
          <w:p w14:paraId="4D32ABA0">
            <w:pPr>
              <w:spacing w:line="260" w:lineRule="auto"/>
              <w:rPr>
                <w:rFonts w:hint="eastAsia" w:ascii="宋体" w:hAnsi="宋体" w:eastAsia="宋体" w:cs="宋体"/>
                <w:color w:val="auto"/>
                <w:sz w:val="24"/>
                <w:szCs w:val="24"/>
              </w:rPr>
            </w:pPr>
          </w:p>
          <w:p w14:paraId="79CFE30C">
            <w:pPr>
              <w:pStyle w:val="27"/>
              <w:spacing w:before="78" w:line="219" w:lineRule="auto"/>
              <w:ind w:left="131"/>
              <w:rPr>
                <w:rFonts w:hint="eastAsia" w:ascii="宋体" w:hAnsi="宋体" w:eastAsia="宋体" w:cs="宋体"/>
                <w:color w:val="auto"/>
                <w:sz w:val="24"/>
                <w:szCs w:val="24"/>
              </w:rPr>
            </w:pPr>
            <w:r>
              <w:rPr>
                <w:rFonts w:hint="eastAsia" w:ascii="宋体" w:hAnsi="宋体" w:eastAsia="宋体" w:cs="宋体"/>
                <w:color w:val="auto"/>
                <w:spacing w:val="-8"/>
                <w:sz w:val="24"/>
                <w:szCs w:val="24"/>
              </w:rPr>
              <w:t>固定资产</w:t>
            </w:r>
          </w:p>
        </w:tc>
        <w:tc>
          <w:tcPr>
            <w:tcW w:w="1649" w:type="dxa"/>
            <w:vAlign w:val="top"/>
          </w:tcPr>
          <w:p w14:paraId="6B6FA9D4">
            <w:pPr>
              <w:pStyle w:val="27"/>
              <w:spacing w:before="125" w:line="219" w:lineRule="auto"/>
              <w:ind w:left="119"/>
              <w:rPr>
                <w:rFonts w:hint="eastAsia" w:ascii="宋体" w:hAnsi="宋体" w:eastAsia="宋体" w:cs="宋体"/>
                <w:color w:val="auto"/>
                <w:sz w:val="24"/>
                <w:szCs w:val="24"/>
              </w:rPr>
            </w:pPr>
            <w:r>
              <w:rPr>
                <w:rFonts w:hint="eastAsia" w:ascii="宋体" w:hAnsi="宋体" w:eastAsia="宋体" w:cs="宋体"/>
                <w:color w:val="auto"/>
                <w:spacing w:val="-8"/>
                <w:sz w:val="24"/>
                <w:szCs w:val="24"/>
              </w:rPr>
              <w:t>原值</w:t>
            </w:r>
          </w:p>
        </w:tc>
        <w:tc>
          <w:tcPr>
            <w:tcW w:w="2427" w:type="dxa"/>
            <w:gridSpan w:val="2"/>
            <w:tcBorders>
              <w:right w:val="single" w:color="000000" w:sz="10" w:space="0"/>
            </w:tcBorders>
            <w:vAlign w:val="top"/>
          </w:tcPr>
          <w:p w14:paraId="6156554E">
            <w:pPr>
              <w:pStyle w:val="27"/>
              <w:spacing w:before="124" w:line="220" w:lineRule="auto"/>
              <w:ind w:left="1847"/>
              <w:rPr>
                <w:rFonts w:hint="eastAsia" w:ascii="宋体" w:hAnsi="宋体" w:eastAsia="宋体" w:cs="宋体"/>
                <w:color w:val="auto"/>
                <w:sz w:val="24"/>
                <w:szCs w:val="24"/>
              </w:rPr>
            </w:pPr>
            <w:r>
              <w:rPr>
                <w:rFonts w:hint="eastAsia" w:ascii="宋体" w:hAnsi="宋体" w:eastAsia="宋体" w:cs="宋体"/>
                <w:color w:val="auto"/>
                <w:spacing w:val="-8"/>
                <w:sz w:val="24"/>
                <w:szCs w:val="24"/>
              </w:rPr>
              <w:t>万元</w:t>
            </w:r>
          </w:p>
        </w:tc>
      </w:tr>
      <w:tr w14:paraId="7F0C9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734" w:type="dxa"/>
            <w:tcBorders>
              <w:left w:val="single" w:color="000000" w:sz="10" w:space="0"/>
            </w:tcBorders>
            <w:vAlign w:val="top"/>
          </w:tcPr>
          <w:p w14:paraId="6809FFBF">
            <w:pPr>
              <w:pStyle w:val="27"/>
              <w:spacing w:before="125" w:line="468" w:lineRule="exact"/>
              <w:ind w:left="107"/>
              <w:rPr>
                <w:rFonts w:hint="eastAsia" w:ascii="宋体" w:hAnsi="宋体" w:eastAsia="宋体" w:cs="宋体"/>
                <w:color w:val="auto"/>
                <w:sz w:val="24"/>
                <w:szCs w:val="24"/>
              </w:rPr>
            </w:pPr>
            <w:r>
              <w:rPr>
                <w:rFonts w:hint="eastAsia" w:ascii="宋体" w:hAnsi="宋体" w:eastAsia="宋体" w:cs="宋体"/>
                <w:color w:val="auto"/>
                <w:spacing w:val="9"/>
                <w:position w:val="17"/>
                <w:sz w:val="24"/>
                <w:szCs w:val="24"/>
              </w:rPr>
              <w:t>流动资金（上</w:t>
            </w:r>
          </w:p>
          <w:p w14:paraId="0EC3B034">
            <w:pPr>
              <w:pStyle w:val="27"/>
              <w:spacing w:line="219" w:lineRule="auto"/>
              <w:ind w:left="107"/>
              <w:rPr>
                <w:rFonts w:hint="eastAsia" w:ascii="宋体" w:hAnsi="宋体" w:eastAsia="宋体" w:cs="宋体"/>
                <w:color w:val="auto"/>
                <w:sz w:val="24"/>
                <w:szCs w:val="24"/>
              </w:rPr>
            </w:pPr>
            <w:r>
              <w:rPr>
                <w:rFonts w:hint="eastAsia" w:ascii="宋体" w:hAnsi="宋体" w:eastAsia="宋体" w:cs="宋体"/>
                <w:color w:val="auto"/>
                <w:spacing w:val="-4"/>
                <w:sz w:val="24"/>
                <w:szCs w:val="24"/>
              </w:rPr>
              <w:t>年度）</w:t>
            </w:r>
          </w:p>
        </w:tc>
        <w:tc>
          <w:tcPr>
            <w:tcW w:w="2049" w:type="dxa"/>
            <w:gridSpan w:val="2"/>
            <w:vAlign w:val="top"/>
          </w:tcPr>
          <w:p w14:paraId="00E92085">
            <w:pPr>
              <w:spacing w:line="280" w:lineRule="auto"/>
              <w:rPr>
                <w:rFonts w:hint="eastAsia" w:ascii="宋体" w:hAnsi="宋体" w:eastAsia="宋体" w:cs="宋体"/>
                <w:color w:val="auto"/>
                <w:sz w:val="24"/>
                <w:szCs w:val="24"/>
              </w:rPr>
            </w:pPr>
          </w:p>
          <w:p w14:paraId="71D31D4F">
            <w:pPr>
              <w:pStyle w:val="27"/>
              <w:spacing w:before="78" w:line="220" w:lineRule="auto"/>
              <w:ind w:left="1311"/>
              <w:rPr>
                <w:rFonts w:hint="eastAsia" w:ascii="宋体" w:hAnsi="宋体" w:eastAsia="宋体" w:cs="宋体"/>
                <w:color w:val="auto"/>
                <w:sz w:val="24"/>
                <w:szCs w:val="24"/>
              </w:rPr>
            </w:pPr>
            <w:r>
              <w:rPr>
                <w:rFonts w:hint="eastAsia" w:ascii="宋体" w:hAnsi="宋体" w:eastAsia="宋体" w:cs="宋体"/>
                <w:color w:val="auto"/>
                <w:spacing w:val="-8"/>
                <w:sz w:val="24"/>
                <w:szCs w:val="24"/>
              </w:rPr>
              <w:t>万元</w:t>
            </w:r>
          </w:p>
        </w:tc>
        <w:tc>
          <w:tcPr>
            <w:tcW w:w="1211" w:type="dxa"/>
            <w:vMerge w:val="continue"/>
            <w:tcBorders>
              <w:top w:val="nil"/>
            </w:tcBorders>
            <w:vAlign w:val="top"/>
          </w:tcPr>
          <w:p w14:paraId="65036BD3">
            <w:pPr>
              <w:rPr>
                <w:rFonts w:hint="eastAsia" w:ascii="宋体" w:hAnsi="宋体" w:eastAsia="宋体" w:cs="宋体"/>
                <w:color w:val="auto"/>
                <w:sz w:val="24"/>
                <w:szCs w:val="24"/>
              </w:rPr>
            </w:pPr>
          </w:p>
        </w:tc>
        <w:tc>
          <w:tcPr>
            <w:tcW w:w="1649" w:type="dxa"/>
            <w:vAlign w:val="top"/>
          </w:tcPr>
          <w:p w14:paraId="256F4E54">
            <w:pPr>
              <w:spacing w:line="281" w:lineRule="auto"/>
              <w:rPr>
                <w:rFonts w:hint="eastAsia" w:ascii="宋体" w:hAnsi="宋体" w:eastAsia="宋体" w:cs="宋体"/>
                <w:color w:val="auto"/>
                <w:sz w:val="24"/>
                <w:szCs w:val="24"/>
              </w:rPr>
            </w:pPr>
          </w:p>
          <w:p w14:paraId="372FFC53">
            <w:pPr>
              <w:pStyle w:val="27"/>
              <w:spacing w:before="78" w:line="219" w:lineRule="auto"/>
              <w:ind w:left="116"/>
              <w:rPr>
                <w:rFonts w:hint="eastAsia" w:ascii="宋体" w:hAnsi="宋体" w:eastAsia="宋体" w:cs="宋体"/>
                <w:color w:val="auto"/>
                <w:sz w:val="24"/>
                <w:szCs w:val="24"/>
              </w:rPr>
            </w:pPr>
            <w:r>
              <w:rPr>
                <w:rFonts w:hint="eastAsia" w:ascii="宋体" w:hAnsi="宋体" w:eastAsia="宋体" w:cs="宋体"/>
                <w:color w:val="auto"/>
                <w:spacing w:val="-7"/>
                <w:sz w:val="24"/>
                <w:szCs w:val="24"/>
              </w:rPr>
              <w:t>净值</w:t>
            </w:r>
          </w:p>
        </w:tc>
        <w:tc>
          <w:tcPr>
            <w:tcW w:w="2427" w:type="dxa"/>
            <w:gridSpan w:val="2"/>
            <w:tcBorders>
              <w:right w:val="single" w:color="000000" w:sz="10" w:space="0"/>
            </w:tcBorders>
            <w:vAlign w:val="top"/>
          </w:tcPr>
          <w:p w14:paraId="7D4735CA">
            <w:pPr>
              <w:spacing w:line="280" w:lineRule="auto"/>
              <w:rPr>
                <w:rFonts w:hint="eastAsia" w:ascii="宋体" w:hAnsi="宋体" w:eastAsia="宋体" w:cs="宋体"/>
                <w:color w:val="auto"/>
                <w:sz w:val="24"/>
                <w:szCs w:val="24"/>
              </w:rPr>
            </w:pPr>
          </w:p>
          <w:p w14:paraId="1741E07C">
            <w:pPr>
              <w:pStyle w:val="27"/>
              <w:spacing w:before="78" w:line="220" w:lineRule="auto"/>
              <w:ind w:left="1847"/>
              <w:rPr>
                <w:rFonts w:hint="eastAsia" w:ascii="宋体" w:hAnsi="宋体" w:eastAsia="宋体" w:cs="宋体"/>
                <w:color w:val="auto"/>
                <w:sz w:val="24"/>
                <w:szCs w:val="24"/>
              </w:rPr>
            </w:pPr>
            <w:r>
              <w:rPr>
                <w:rFonts w:hint="eastAsia" w:ascii="宋体" w:hAnsi="宋体" w:eastAsia="宋体" w:cs="宋体"/>
                <w:color w:val="auto"/>
                <w:spacing w:val="-8"/>
                <w:sz w:val="24"/>
                <w:szCs w:val="24"/>
              </w:rPr>
              <w:t>万元</w:t>
            </w:r>
          </w:p>
        </w:tc>
      </w:tr>
      <w:tr w14:paraId="5BF74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0A9F2AAA">
            <w:pPr>
              <w:pStyle w:val="27"/>
              <w:spacing w:before="126" w:line="220" w:lineRule="auto"/>
              <w:ind w:left="107"/>
              <w:rPr>
                <w:rFonts w:hint="eastAsia" w:ascii="宋体" w:hAnsi="宋体" w:eastAsia="宋体" w:cs="宋体"/>
                <w:color w:val="auto"/>
                <w:sz w:val="24"/>
                <w:szCs w:val="24"/>
              </w:rPr>
            </w:pPr>
            <w:r>
              <w:rPr>
                <w:rFonts w:hint="eastAsia" w:ascii="宋体" w:hAnsi="宋体" w:eastAsia="宋体" w:cs="宋体"/>
                <w:color w:val="auto"/>
                <w:spacing w:val="-3"/>
                <w:sz w:val="24"/>
                <w:szCs w:val="24"/>
              </w:rPr>
              <w:t>开户银行</w:t>
            </w:r>
          </w:p>
        </w:tc>
        <w:tc>
          <w:tcPr>
            <w:tcW w:w="2049" w:type="dxa"/>
            <w:gridSpan w:val="2"/>
            <w:vAlign w:val="top"/>
          </w:tcPr>
          <w:p w14:paraId="7A16CB8F">
            <w:pPr>
              <w:rPr>
                <w:rFonts w:hint="eastAsia" w:ascii="宋体" w:hAnsi="宋体" w:eastAsia="宋体" w:cs="宋体"/>
                <w:color w:val="auto"/>
                <w:sz w:val="24"/>
                <w:szCs w:val="24"/>
              </w:rPr>
            </w:pPr>
          </w:p>
        </w:tc>
        <w:tc>
          <w:tcPr>
            <w:tcW w:w="1211" w:type="dxa"/>
            <w:vMerge w:val="restart"/>
            <w:tcBorders>
              <w:bottom w:val="nil"/>
            </w:tcBorders>
            <w:vAlign w:val="top"/>
          </w:tcPr>
          <w:p w14:paraId="7EFF2FEE">
            <w:pPr>
              <w:spacing w:line="289" w:lineRule="auto"/>
              <w:rPr>
                <w:rFonts w:hint="eastAsia" w:ascii="宋体" w:hAnsi="宋体" w:eastAsia="宋体" w:cs="宋体"/>
                <w:color w:val="auto"/>
                <w:sz w:val="24"/>
                <w:szCs w:val="24"/>
              </w:rPr>
            </w:pPr>
          </w:p>
          <w:p w14:paraId="64D59AE0">
            <w:pPr>
              <w:pStyle w:val="27"/>
              <w:spacing w:before="78" w:line="219" w:lineRule="auto"/>
              <w:ind w:left="111"/>
              <w:rPr>
                <w:rFonts w:hint="eastAsia" w:ascii="宋体" w:hAnsi="宋体" w:eastAsia="宋体" w:cs="宋体"/>
                <w:color w:val="auto"/>
                <w:sz w:val="24"/>
                <w:szCs w:val="24"/>
              </w:rPr>
            </w:pPr>
            <w:r>
              <w:rPr>
                <w:rFonts w:hint="eastAsia" w:ascii="宋体" w:hAnsi="宋体" w:eastAsia="宋体" w:cs="宋体"/>
                <w:color w:val="auto"/>
                <w:spacing w:val="-3"/>
                <w:sz w:val="24"/>
                <w:szCs w:val="24"/>
              </w:rPr>
              <w:t>职工总数</w:t>
            </w:r>
          </w:p>
        </w:tc>
        <w:tc>
          <w:tcPr>
            <w:tcW w:w="1649" w:type="dxa"/>
            <w:vAlign w:val="top"/>
          </w:tcPr>
          <w:p w14:paraId="6AFDE7B7">
            <w:pPr>
              <w:pStyle w:val="27"/>
              <w:spacing w:before="127" w:line="219" w:lineRule="auto"/>
              <w:ind w:left="115"/>
              <w:rPr>
                <w:rFonts w:hint="eastAsia" w:ascii="宋体" w:hAnsi="宋体" w:eastAsia="宋体" w:cs="宋体"/>
                <w:color w:val="auto"/>
                <w:sz w:val="24"/>
                <w:szCs w:val="24"/>
              </w:rPr>
            </w:pPr>
            <w:r>
              <w:rPr>
                <w:rFonts w:hint="eastAsia" w:ascii="宋体" w:hAnsi="宋体" w:eastAsia="宋体" w:cs="宋体"/>
                <w:color w:val="auto"/>
                <w:spacing w:val="-3"/>
                <w:sz w:val="24"/>
                <w:szCs w:val="24"/>
              </w:rPr>
              <w:t>生产工人</w:t>
            </w:r>
          </w:p>
        </w:tc>
        <w:tc>
          <w:tcPr>
            <w:tcW w:w="2427" w:type="dxa"/>
            <w:gridSpan w:val="2"/>
            <w:tcBorders>
              <w:right w:val="single" w:color="000000" w:sz="10" w:space="0"/>
            </w:tcBorders>
            <w:vAlign w:val="top"/>
          </w:tcPr>
          <w:p w14:paraId="733C444B">
            <w:pPr>
              <w:pStyle w:val="27"/>
              <w:spacing w:before="126" w:line="222" w:lineRule="auto"/>
              <w:ind w:left="2083"/>
              <w:rPr>
                <w:rFonts w:hint="eastAsia" w:ascii="宋体" w:hAnsi="宋体" w:eastAsia="宋体" w:cs="宋体"/>
                <w:color w:val="auto"/>
                <w:sz w:val="24"/>
                <w:szCs w:val="24"/>
              </w:rPr>
            </w:pPr>
            <w:r>
              <w:rPr>
                <w:rFonts w:hint="eastAsia" w:ascii="宋体" w:hAnsi="宋体" w:eastAsia="宋体" w:cs="宋体"/>
                <w:color w:val="auto"/>
                <w:sz w:val="24"/>
                <w:szCs w:val="24"/>
              </w:rPr>
              <w:t>人</w:t>
            </w:r>
          </w:p>
        </w:tc>
      </w:tr>
      <w:tr w14:paraId="54E5D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0F7C38F5">
            <w:pPr>
              <w:pStyle w:val="27"/>
              <w:spacing w:before="128" w:line="219" w:lineRule="auto"/>
              <w:ind w:left="106"/>
              <w:rPr>
                <w:rFonts w:hint="eastAsia" w:ascii="宋体" w:hAnsi="宋体" w:eastAsia="宋体" w:cs="宋体"/>
                <w:color w:val="auto"/>
                <w:sz w:val="24"/>
                <w:szCs w:val="24"/>
              </w:rPr>
            </w:pPr>
            <w:r>
              <w:rPr>
                <w:rFonts w:hint="eastAsia" w:ascii="宋体" w:hAnsi="宋体" w:eastAsia="宋体" w:cs="宋体"/>
                <w:color w:val="auto"/>
                <w:spacing w:val="-2"/>
                <w:sz w:val="24"/>
                <w:szCs w:val="24"/>
              </w:rPr>
              <w:t>基本银行账号</w:t>
            </w:r>
          </w:p>
        </w:tc>
        <w:tc>
          <w:tcPr>
            <w:tcW w:w="2049" w:type="dxa"/>
            <w:gridSpan w:val="2"/>
            <w:vAlign w:val="top"/>
          </w:tcPr>
          <w:p w14:paraId="285F2ECB">
            <w:pPr>
              <w:rPr>
                <w:rFonts w:hint="eastAsia" w:ascii="宋体" w:hAnsi="宋体" w:eastAsia="宋体" w:cs="宋体"/>
                <w:color w:val="auto"/>
                <w:sz w:val="24"/>
                <w:szCs w:val="24"/>
              </w:rPr>
            </w:pPr>
          </w:p>
        </w:tc>
        <w:tc>
          <w:tcPr>
            <w:tcW w:w="1211" w:type="dxa"/>
            <w:vMerge w:val="continue"/>
            <w:tcBorders>
              <w:top w:val="nil"/>
            </w:tcBorders>
            <w:vAlign w:val="top"/>
          </w:tcPr>
          <w:p w14:paraId="518AF072">
            <w:pPr>
              <w:rPr>
                <w:rFonts w:hint="eastAsia" w:ascii="宋体" w:hAnsi="宋体" w:eastAsia="宋体" w:cs="宋体"/>
                <w:color w:val="auto"/>
                <w:sz w:val="24"/>
                <w:szCs w:val="24"/>
              </w:rPr>
            </w:pPr>
          </w:p>
        </w:tc>
        <w:tc>
          <w:tcPr>
            <w:tcW w:w="1649" w:type="dxa"/>
            <w:vAlign w:val="top"/>
          </w:tcPr>
          <w:p w14:paraId="49EA5E3F">
            <w:pPr>
              <w:pStyle w:val="27"/>
              <w:spacing w:before="129" w:line="219" w:lineRule="auto"/>
              <w:ind w:left="115"/>
              <w:rPr>
                <w:rFonts w:hint="eastAsia" w:ascii="宋体" w:hAnsi="宋体" w:eastAsia="宋体" w:cs="宋体"/>
                <w:color w:val="auto"/>
                <w:sz w:val="24"/>
                <w:szCs w:val="24"/>
              </w:rPr>
            </w:pPr>
            <w:r>
              <w:rPr>
                <w:rFonts w:hint="eastAsia" w:ascii="宋体" w:hAnsi="宋体" w:eastAsia="宋体" w:cs="宋体"/>
                <w:color w:val="auto"/>
                <w:spacing w:val="-3"/>
                <w:sz w:val="24"/>
                <w:szCs w:val="24"/>
              </w:rPr>
              <w:t>技术人员</w:t>
            </w:r>
          </w:p>
        </w:tc>
        <w:tc>
          <w:tcPr>
            <w:tcW w:w="2427" w:type="dxa"/>
            <w:gridSpan w:val="2"/>
            <w:tcBorders>
              <w:right w:val="single" w:color="000000" w:sz="10" w:space="0"/>
            </w:tcBorders>
            <w:vAlign w:val="top"/>
          </w:tcPr>
          <w:p w14:paraId="41FDCF84">
            <w:pPr>
              <w:pStyle w:val="27"/>
              <w:spacing w:before="129" w:line="222" w:lineRule="auto"/>
              <w:ind w:left="2083"/>
              <w:rPr>
                <w:rFonts w:hint="eastAsia" w:ascii="宋体" w:hAnsi="宋体" w:eastAsia="宋体" w:cs="宋体"/>
                <w:color w:val="auto"/>
                <w:sz w:val="24"/>
                <w:szCs w:val="24"/>
              </w:rPr>
            </w:pPr>
            <w:r>
              <w:rPr>
                <w:rFonts w:hint="eastAsia" w:ascii="宋体" w:hAnsi="宋体" w:eastAsia="宋体" w:cs="宋体"/>
                <w:color w:val="auto"/>
                <w:sz w:val="24"/>
                <w:szCs w:val="24"/>
              </w:rPr>
              <w:t>人</w:t>
            </w:r>
          </w:p>
        </w:tc>
      </w:tr>
      <w:tr w14:paraId="30024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1734" w:type="dxa"/>
            <w:tcBorders>
              <w:left w:val="single" w:color="000000" w:sz="10" w:space="0"/>
              <w:right w:val="single" w:color="000000" w:sz="2" w:space="0"/>
            </w:tcBorders>
            <w:vAlign w:val="top"/>
          </w:tcPr>
          <w:p w14:paraId="5768BBB2">
            <w:pPr>
              <w:spacing w:line="251" w:lineRule="auto"/>
              <w:rPr>
                <w:rFonts w:hint="eastAsia" w:ascii="宋体" w:hAnsi="宋体" w:eastAsia="宋体" w:cs="宋体"/>
                <w:color w:val="auto"/>
                <w:sz w:val="24"/>
                <w:szCs w:val="24"/>
              </w:rPr>
            </w:pPr>
          </w:p>
          <w:p w14:paraId="096CEC9D">
            <w:pPr>
              <w:spacing w:line="252" w:lineRule="auto"/>
              <w:rPr>
                <w:rFonts w:hint="eastAsia" w:ascii="宋体" w:hAnsi="宋体" w:eastAsia="宋体" w:cs="宋体"/>
                <w:color w:val="auto"/>
                <w:sz w:val="24"/>
                <w:szCs w:val="24"/>
              </w:rPr>
            </w:pPr>
          </w:p>
          <w:p w14:paraId="51AEE2FF">
            <w:pPr>
              <w:spacing w:line="252" w:lineRule="auto"/>
              <w:rPr>
                <w:rFonts w:hint="eastAsia" w:ascii="宋体" w:hAnsi="宋体" w:eastAsia="宋体" w:cs="宋体"/>
                <w:color w:val="auto"/>
                <w:sz w:val="24"/>
                <w:szCs w:val="24"/>
              </w:rPr>
            </w:pPr>
          </w:p>
          <w:p w14:paraId="4BD73AFB">
            <w:pPr>
              <w:pStyle w:val="27"/>
              <w:spacing w:before="78" w:line="220" w:lineRule="auto"/>
              <w:ind w:left="108"/>
              <w:rPr>
                <w:rFonts w:hint="eastAsia" w:ascii="宋体" w:hAnsi="宋体" w:eastAsia="宋体" w:cs="宋体"/>
                <w:color w:val="auto"/>
                <w:sz w:val="24"/>
                <w:szCs w:val="24"/>
              </w:rPr>
            </w:pPr>
            <w:r>
              <w:rPr>
                <w:rFonts w:hint="eastAsia" w:ascii="宋体" w:hAnsi="宋体" w:eastAsia="宋体" w:cs="宋体"/>
                <w:color w:val="auto"/>
                <w:spacing w:val="-3"/>
                <w:sz w:val="24"/>
                <w:szCs w:val="24"/>
              </w:rPr>
              <w:t>经营范围</w:t>
            </w:r>
          </w:p>
        </w:tc>
        <w:tc>
          <w:tcPr>
            <w:tcW w:w="7336" w:type="dxa"/>
            <w:gridSpan w:val="6"/>
            <w:tcBorders>
              <w:left w:val="single" w:color="000000" w:sz="2" w:space="0"/>
              <w:right w:val="single" w:color="000000" w:sz="10" w:space="0"/>
            </w:tcBorders>
            <w:vAlign w:val="top"/>
          </w:tcPr>
          <w:p w14:paraId="2F78887D">
            <w:pPr>
              <w:rPr>
                <w:rFonts w:hint="eastAsia" w:ascii="宋体" w:hAnsi="宋体" w:eastAsia="宋体" w:cs="宋体"/>
                <w:color w:val="auto"/>
                <w:sz w:val="24"/>
                <w:szCs w:val="24"/>
              </w:rPr>
            </w:pPr>
          </w:p>
        </w:tc>
      </w:tr>
      <w:tr w14:paraId="6232E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1734" w:type="dxa"/>
            <w:tcBorders>
              <w:left w:val="single" w:color="000000" w:sz="10" w:space="0"/>
              <w:bottom w:val="single" w:color="000000" w:sz="10" w:space="0"/>
            </w:tcBorders>
            <w:vAlign w:val="top"/>
          </w:tcPr>
          <w:p w14:paraId="68D33C4F">
            <w:pPr>
              <w:spacing w:line="333" w:lineRule="auto"/>
              <w:rPr>
                <w:rFonts w:hint="eastAsia" w:ascii="宋体" w:hAnsi="宋体" w:eastAsia="宋体" w:cs="宋体"/>
                <w:color w:val="auto"/>
                <w:sz w:val="24"/>
                <w:szCs w:val="24"/>
              </w:rPr>
            </w:pPr>
          </w:p>
          <w:p w14:paraId="6491AAB2">
            <w:pPr>
              <w:spacing w:line="333" w:lineRule="auto"/>
              <w:rPr>
                <w:rFonts w:hint="eastAsia" w:ascii="宋体" w:hAnsi="宋体" w:eastAsia="宋体" w:cs="宋体"/>
                <w:color w:val="auto"/>
                <w:sz w:val="24"/>
                <w:szCs w:val="24"/>
              </w:rPr>
            </w:pPr>
          </w:p>
          <w:p w14:paraId="28469CCA">
            <w:pPr>
              <w:pStyle w:val="27"/>
              <w:spacing w:before="78" w:line="221" w:lineRule="auto"/>
              <w:ind w:left="109"/>
              <w:rPr>
                <w:rFonts w:hint="eastAsia" w:ascii="宋体" w:hAnsi="宋体" w:eastAsia="宋体" w:cs="宋体"/>
                <w:color w:val="auto"/>
                <w:sz w:val="24"/>
                <w:szCs w:val="24"/>
              </w:rPr>
            </w:pPr>
            <w:r>
              <w:rPr>
                <w:rFonts w:hint="eastAsia" w:ascii="宋体" w:hAnsi="宋体" w:eastAsia="宋体" w:cs="宋体"/>
                <w:color w:val="auto"/>
                <w:spacing w:val="-7"/>
                <w:sz w:val="24"/>
                <w:szCs w:val="24"/>
              </w:rPr>
              <w:t>备注</w:t>
            </w:r>
          </w:p>
        </w:tc>
        <w:tc>
          <w:tcPr>
            <w:tcW w:w="7336" w:type="dxa"/>
            <w:gridSpan w:val="6"/>
            <w:tcBorders>
              <w:bottom w:val="single" w:color="000000" w:sz="10" w:space="0"/>
              <w:right w:val="single" w:color="000000" w:sz="10" w:space="0"/>
            </w:tcBorders>
            <w:vAlign w:val="top"/>
          </w:tcPr>
          <w:p w14:paraId="7BA41740">
            <w:pPr>
              <w:rPr>
                <w:rFonts w:hint="eastAsia" w:ascii="宋体" w:hAnsi="宋体" w:eastAsia="宋体" w:cs="宋体"/>
                <w:color w:val="auto"/>
                <w:sz w:val="24"/>
                <w:szCs w:val="24"/>
              </w:rPr>
            </w:pPr>
          </w:p>
        </w:tc>
      </w:tr>
    </w:tbl>
    <w:p w14:paraId="6632F052">
      <w:pPr>
        <w:pStyle w:val="8"/>
        <w:spacing w:line="423" w:lineRule="auto"/>
        <w:rPr>
          <w:rFonts w:hint="eastAsia" w:ascii="宋体" w:hAnsi="宋体" w:eastAsia="宋体" w:cs="宋体"/>
          <w:color w:val="auto"/>
        </w:rPr>
      </w:pPr>
    </w:p>
    <w:p w14:paraId="1227672F">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p w14:paraId="6C8EC6E0">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w:t>
      </w:r>
    </w:p>
    <w:p w14:paraId="325E6490">
      <w:pPr>
        <w:spacing w:line="219"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A0034D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115DA58">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五、招标文件确认书</w:t>
      </w:r>
    </w:p>
    <w:p w14:paraId="5A91FF12">
      <w:pPr>
        <w:spacing w:line="360" w:lineRule="auto"/>
        <w:rPr>
          <w:rFonts w:hint="eastAsia" w:ascii="宋体" w:hAnsi="宋体" w:eastAsia="宋体" w:cs="宋体"/>
          <w:color w:val="auto"/>
          <w:sz w:val="22"/>
          <w:highlight w:val="none"/>
        </w:rPr>
      </w:pPr>
    </w:p>
    <w:p w14:paraId="4E02F539">
      <w:pP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2"/>
          <w:highlight w:val="none"/>
        </w:rPr>
        <w:t xml:space="preserve"> 本单位对</w:t>
      </w:r>
      <w:r>
        <w:rPr>
          <w:rFonts w:hint="eastAsia" w:ascii="宋体" w:hAnsi="宋体" w:cs="宋体"/>
          <w:color w:val="auto"/>
          <w:sz w:val="24"/>
          <w:szCs w:val="22"/>
          <w:highlight w:val="none"/>
          <w:lang w:eastAsia="zh-CN"/>
        </w:rPr>
        <w:t>儿科采购专业设备一批</w:t>
      </w:r>
      <w:r>
        <w:rPr>
          <w:rFonts w:hint="eastAsia" w:ascii="宋体" w:hAnsi="宋体" w:eastAsia="宋体" w:cs="宋体"/>
          <w:color w:val="auto"/>
          <w:sz w:val="24"/>
          <w:szCs w:val="22"/>
          <w:highlight w:val="none"/>
        </w:rPr>
        <w:t>招标文件及相关的修正内容、答疑内容均无异议。</w:t>
      </w:r>
    </w:p>
    <w:p w14:paraId="7B6C335D">
      <w:pPr>
        <w:spacing w:line="360" w:lineRule="auto"/>
        <w:rPr>
          <w:rFonts w:hint="eastAsia" w:ascii="宋体" w:hAnsi="宋体" w:eastAsia="宋体" w:cs="宋体"/>
          <w:color w:val="auto"/>
          <w:sz w:val="22"/>
          <w:szCs w:val="21"/>
          <w:highlight w:val="none"/>
        </w:rPr>
      </w:pPr>
    </w:p>
    <w:p w14:paraId="5D542F0E">
      <w:pPr>
        <w:spacing w:line="360" w:lineRule="auto"/>
        <w:rPr>
          <w:rFonts w:hint="eastAsia" w:ascii="宋体" w:hAnsi="宋体" w:eastAsia="宋体" w:cs="宋体"/>
          <w:color w:val="auto"/>
          <w:sz w:val="22"/>
          <w:szCs w:val="21"/>
          <w:highlight w:val="none"/>
        </w:rPr>
      </w:pPr>
    </w:p>
    <w:p w14:paraId="6CE4C976">
      <w:pPr>
        <w:spacing w:line="360" w:lineRule="auto"/>
        <w:rPr>
          <w:rFonts w:hint="eastAsia" w:ascii="宋体" w:hAnsi="宋体" w:eastAsia="宋体" w:cs="宋体"/>
          <w:color w:val="auto"/>
          <w:sz w:val="22"/>
          <w:szCs w:val="21"/>
          <w:highlight w:val="none"/>
        </w:rPr>
      </w:pPr>
    </w:p>
    <w:p w14:paraId="5767918D">
      <w:pPr>
        <w:spacing w:line="360" w:lineRule="auto"/>
        <w:rPr>
          <w:rFonts w:hint="eastAsia" w:ascii="宋体" w:hAnsi="宋体" w:eastAsia="宋体" w:cs="宋体"/>
          <w:color w:val="auto"/>
          <w:sz w:val="24"/>
          <w:szCs w:val="24"/>
          <w:highlight w:val="none"/>
        </w:rPr>
      </w:pPr>
    </w:p>
    <w:p w14:paraId="67FB587E">
      <w:pPr>
        <w:spacing w:line="360" w:lineRule="auto"/>
        <w:rPr>
          <w:rFonts w:hint="eastAsia" w:ascii="宋体" w:hAnsi="宋体" w:eastAsia="宋体" w:cs="宋体"/>
          <w:color w:val="auto"/>
          <w:sz w:val="24"/>
          <w:szCs w:val="24"/>
          <w:highlight w:val="none"/>
        </w:rPr>
      </w:pPr>
    </w:p>
    <w:p w14:paraId="2EA2F180">
      <w:pPr>
        <w:spacing w:line="360" w:lineRule="auto"/>
        <w:rPr>
          <w:rFonts w:hint="eastAsia" w:ascii="宋体" w:hAnsi="宋体" w:eastAsia="宋体" w:cs="宋体"/>
          <w:color w:val="auto"/>
          <w:sz w:val="24"/>
          <w:szCs w:val="24"/>
          <w:highlight w:val="none"/>
        </w:rPr>
      </w:pPr>
    </w:p>
    <w:p w14:paraId="7B6DFF86">
      <w:pPr>
        <w:spacing w:line="360" w:lineRule="auto"/>
        <w:rPr>
          <w:rFonts w:hint="eastAsia" w:ascii="宋体" w:hAnsi="宋体" w:eastAsia="宋体" w:cs="宋体"/>
          <w:color w:val="auto"/>
          <w:sz w:val="24"/>
          <w:szCs w:val="24"/>
          <w:highlight w:val="none"/>
        </w:rPr>
      </w:pPr>
    </w:p>
    <w:p w14:paraId="3495DE1F">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p w14:paraId="46743876">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w:t>
      </w:r>
    </w:p>
    <w:p w14:paraId="222055C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786559">
      <w:pPr>
        <w:spacing w:line="360" w:lineRule="auto"/>
        <w:jc w:val="center"/>
        <w:rPr>
          <w:rFonts w:hint="eastAsia" w:ascii="宋体" w:hAnsi="宋体" w:eastAsia="宋体" w:cs="宋体"/>
          <w:color w:val="auto"/>
          <w:sz w:val="24"/>
          <w:szCs w:val="22"/>
          <w:highlight w:val="none"/>
        </w:rPr>
      </w:pPr>
    </w:p>
    <w:p w14:paraId="35F3A87B">
      <w:pPr>
        <w:spacing w:line="360" w:lineRule="auto"/>
        <w:ind w:firstLine="1017" w:firstLineChars="424"/>
        <w:jc w:val="right"/>
        <w:rPr>
          <w:rFonts w:hint="eastAsia" w:ascii="宋体" w:hAnsi="宋体" w:eastAsia="宋体" w:cs="宋体"/>
          <w:color w:val="auto"/>
          <w:sz w:val="24"/>
          <w:highlight w:val="none"/>
        </w:rPr>
      </w:pPr>
    </w:p>
    <w:p w14:paraId="73FB1A4C">
      <w:pPr>
        <w:spacing w:line="360" w:lineRule="auto"/>
        <w:ind w:firstLine="1017" w:firstLineChars="424"/>
        <w:jc w:val="right"/>
        <w:rPr>
          <w:rFonts w:hint="eastAsia" w:ascii="宋体" w:hAnsi="宋体" w:eastAsia="宋体" w:cs="宋体"/>
          <w:color w:val="auto"/>
          <w:sz w:val="24"/>
          <w:highlight w:val="none"/>
        </w:rPr>
      </w:pPr>
    </w:p>
    <w:p w14:paraId="28B41854">
      <w:pPr>
        <w:spacing w:line="360" w:lineRule="auto"/>
        <w:ind w:firstLine="1017" w:firstLineChars="424"/>
        <w:jc w:val="right"/>
        <w:rPr>
          <w:rFonts w:hint="eastAsia" w:ascii="宋体" w:hAnsi="宋体" w:eastAsia="宋体" w:cs="宋体"/>
          <w:color w:val="auto"/>
          <w:sz w:val="24"/>
          <w:highlight w:val="none"/>
        </w:rPr>
      </w:pPr>
    </w:p>
    <w:p w14:paraId="29C08DDF">
      <w:pPr>
        <w:spacing w:line="360" w:lineRule="auto"/>
        <w:ind w:firstLine="1017" w:firstLineChars="424"/>
        <w:jc w:val="right"/>
        <w:rPr>
          <w:rFonts w:hint="eastAsia" w:ascii="宋体" w:hAnsi="宋体" w:eastAsia="宋体" w:cs="宋体"/>
          <w:color w:val="auto"/>
          <w:sz w:val="24"/>
          <w:highlight w:val="none"/>
        </w:rPr>
      </w:pPr>
    </w:p>
    <w:p w14:paraId="290D06E5">
      <w:pPr>
        <w:spacing w:line="360" w:lineRule="auto"/>
        <w:ind w:firstLine="1017" w:firstLineChars="424"/>
        <w:jc w:val="right"/>
        <w:rPr>
          <w:rFonts w:hint="eastAsia" w:ascii="宋体" w:hAnsi="宋体" w:eastAsia="宋体" w:cs="宋体"/>
          <w:color w:val="auto"/>
          <w:sz w:val="24"/>
          <w:highlight w:val="none"/>
        </w:rPr>
      </w:pPr>
    </w:p>
    <w:p w14:paraId="1D869B5A">
      <w:pPr>
        <w:spacing w:line="360" w:lineRule="auto"/>
        <w:ind w:firstLine="1017" w:firstLineChars="424"/>
        <w:jc w:val="right"/>
        <w:rPr>
          <w:rFonts w:hint="eastAsia" w:ascii="宋体" w:hAnsi="宋体" w:eastAsia="宋体" w:cs="宋体"/>
          <w:color w:val="auto"/>
          <w:sz w:val="24"/>
          <w:highlight w:val="none"/>
        </w:rPr>
      </w:pPr>
    </w:p>
    <w:p w14:paraId="4DEF0B6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F077801">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六、技术服务响应偏离表</w:t>
      </w:r>
    </w:p>
    <w:tbl>
      <w:tblPr>
        <w:tblStyle w:val="15"/>
        <w:tblpPr w:leftFromText="180" w:rightFromText="180" w:vertAnchor="text" w:horzAnchor="margin" w:tblpY="224"/>
        <w:tblOverlap w:val="never"/>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597"/>
        <w:gridCol w:w="3225"/>
        <w:gridCol w:w="1650"/>
        <w:gridCol w:w="862"/>
      </w:tblGrid>
      <w:tr w14:paraId="61F8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8" w:type="dxa"/>
            <w:tcMar>
              <w:top w:w="57" w:type="dxa"/>
              <w:left w:w="28" w:type="dxa"/>
              <w:bottom w:w="57" w:type="dxa"/>
              <w:right w:w="28" w:type="dxa"/>
            </w:tcMar>
            <w:vAlign w:val="center"/>
          </w:tcPr>
          <w:p w14:paraId="7F912C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597" w:type="dxa"/>
            <w:tcMar>
              <w:top w:w="57" w:type="dxa"/>
              <w:left w:w="28" w:type="dxa"/>
              <w:bottom w:w="57" w:type="dxa"/>
              <w:right w:w="28" w:type="dxa"/>
            </w:tcMar>
            <w:vAlign w:val="center"/>
          </w:tcPr>
          <w:p w14:paraId="29E1E0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招标文件要求</w:t>
            </w:r>
          </w:p>
        </w:tc>
        <w:tc>
          <w:tcPr>
            <w:tcW w:w="3225" w:type="dxa"/>
            <w:tcMar>
              <w:top w:w="57" w:type="dxa"/>
              <w:left w:w="28" w:type="dxa"/>
              <w:bottom w:w="57" w:type="dxa"/>
              <w:right w:w="28" w:type="dxa"/>
            </w:tcMar>
            <w:vAlign w:val="center"/>
          </w:tcPr>
          <w:p w14:paraId="6F13AF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w:t>
            </w:r>
          </w:p>
        </w:tc>
        <w:tc>
          <w:tcPr>
            <w:tcW w:w="1650" w:type="dxa"/>
            <w:tcMar>
              <w:top w:w="57" w:type="dxa"/>
              <w:left w:w="28" w:type="dxa"/>
              <w:bottom w:w="57" w:type="dxa"/>
              <w:right w:w="28" w:type="dxa"/>
            </w:tcMar>
            <w:vAlign w:val="center"/>
          </w:tcPr>
          <w:p w14:paraId="6D92F6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862" w:type="dxa"/>
            <w:tcMar>
              <w:top w:w="57" w:type="dxa"/>
              <w:left w:w="28" w:type="dxa"/>
              <w:bottom w:w="57" w:type="dxa"/>
              <w:right w:w="28" w:type="dxa"/>
            </w:tcMar>
            <w:vAlign w:val="center"/>
          </w:tcPr>
          <w:p w14:paraId="675149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 明</w:t>
            </w:r>
          </w:p>
        </w:tc>
      </w:tr>
      <w:tr w14:paraId="2E4C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88" w:type="dxa"/>
            <w:tcMar>
              <w:top w:w="57" w:type="dxa"/>
              <w:left w:w="28" w:type="dxa"/>
              <w:bottom w:w="57" w:type="dxa"/>
              <w:right w:w="28" w:type="dxa"/>
            </w:tcMar>
            <w:vAlign w:val="center"/>
          </w:tcPr>
          <w:p w14:paraId="6523544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97" w:type="dxa"/>
            <w:tcMar>
              <w:top w:w="57" w:type="dxa"/>
              <w:left w:w="28" w:type="dxa"/>
              <w:bottom w:w="57" w:type="dxa"/>
              <w:right w:w="28" w:type="dxa"/>
            </w:tcMar>
            <w:vAlign w:val="center"/>
          </w:tcPr>
          <w:p w14:paraId="4A99D745">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26AF5F41">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6AF408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3D2EAE42">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7CB7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8" w:type="dxa"/>
            <w:tcMar>
              <w:top w:w="57" w:type="dxa"/>
              <w:left w:w="28" w:type="dxa"/>
              <w:bottom w:w="57" w:type="dxa"/>
              <w:right w:w="28" w:type="dxa"/>
            </w:tcMar>
            <w:vAlign w:val="center"/>
          </w:tcPr>
          <w:p w14:paraId="0118867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97" w:type="dxa"/>
            <w:tcMar>
              <w:top w:w="57" w:type="dxa"/>
              <w:left w:w="28" w:type="dxa"/>
              <w:bottom w:w="57" w:type="dxa"/>
              <w:right w:w="28" w:type="dxa"/>
            </w:tcMar>
            <w:vAlign w:val="center"/>
          </w:tcPr>
          <w:p w14:paraId="5162621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69D5E83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712A8F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704A410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26EA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8" w:type="dxa"/>
            <w:tcMar>
              <w:top w:w="57" w:type="dxa"/>
              <w:left w:w="28" w:type="dxa"/>
              <w:bottom w:w="57" w:type="dxa"/>
              <w:right w:w="28" w:type="dxa"/>
            </w:tcMar>
            <w:vAlign w:val="center"/>
          </w:tcPr>
          <w:p w14:paraId="79B0962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97" w:type="dxa"/>
            <w:tcMar>
              <w:top w:w="57" w:type="dxa"/>
              <w:left w:w="28" w:type="dxa"/>
              <w:bottom w:w="57" w:type="dxa"/>
              <w:right w:w="28" w:type="dxa"/>
            </w:tcMar>
            <w:vAlign w:val="center"/>
          </w:tcPr>
          <w:p w14:paraId="683C871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2A9377E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1E5CA2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779B6A9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02BB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8" w:type="dxa"/>
            <w:tcMar>
              <w:top w:w="57" w:type="dxa"/>
              <w:left w:w="28" w:type="dxa"/>
              <w:bottom w:w="57" w:type="dxa"/>
              <w:right w:w="28" w:type="dxa"/>
            </w:tcMar>
            <w:vAlign w:val="center"/>
          </w:tcPr>
          <w:p w14:paraId="3EE25D8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97" w:type="dxa"/>
            <w:tcMar>
              <w:top w:w="57" w:type="dxa"/>
              <w:left w:w="28" w:type="dxa"/>
              <w:bottom w:w="57" w:type="dxa"/>
              <w:right w:w="28" w:type="dxa"/>
            </w:tcMar>
            <w:vAlign w:val="center"/>
          </w:tcPr>
          <w:p w14:paraId="44B53DE5">
            <w:pPr>
              <w:keepNext w:val="0"/>
              <w:keepLines w:val="0"/>
              <w:pageBreakBefore w:val="0"/>
              <w:widowControl w:val="0"/>
              <w:tabs>
                <w:tab w:val="left" w:pos="950"/>
              </w:tabs>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1418118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18E625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24E9BE6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1191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8" w:type="dxa"/>
            <w:tcMar>
              <w:top w:w="57" w:type="dxa"/>
              <w:left w:w="28" w:type="dxa"/>
              <w:bottom w:w="57" w:type="dxa"/>
              <w:right w:w="28" w:type="dxa"/>
            </w:tcMar>
            <w:vAlign w:val="center"/>
          </w:tcPr>
          <w:p w14:paraId="2BF270B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97" w:type="dxa"/>
            <w:tcMar>
              <w:top w:w="57" w:type="dxa"/>
              <w:left w:w="28" w:type="dxa"/>
              <w:bottom w:w="57" w:type="dxa"/>
              <w:right w:w="28" w:type="dxa"/>
            </w:tcMar>
            <w:vAlign w:val="center"/>
          </w:tcPr>
          <w:p w14:paraId="05FC2FC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5C5AA61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61022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3705A87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0CDC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8" w:type="dxa"/>
            <w:tcMar>
              <w:top w:w="57" w:type="dxa"/>
              <w:left w:w="28" w:type="dxa"/>
              <w:bottom w:w="57" w:type="dxa"/>
              <w:right w:w="28" w:type="dxa"/>
            </w:tcMar>
            <w:vAlign w:val="center"/>
          </w:tcPr>
          <w:p w14:paraId="6364D55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97" w:type="dxa"/>
            <w:tcMar>
              <w:top w:w="57" w:type="dxa"/>
              <w:left w:w="28" w:type="dxa"/>
              <w:bottom w:w="57" w:type="dxa"/>
              <w:right w:w="28" w:type="dxa"/>
            </w:tcMar>
            <w:vAlign w:val="center"/>
          </w:tcPr>
          <w:p w14:paraId="590062B2">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2F062C3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1696BC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6523006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490C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8" w:type="dxa"/>
            <w:tcMar>
              <w:top w:w="57" w:type="dxa"/>
              <w:left w:w="28" w:type="dxa"/>
              <w:bottom w:w="57" w:type="dxa"/>
              <w:right w:w="28" w:type="dxa"/>
            </w:tcMar>
            <w:vAlign w:val="center"/>
          </w:tcPr>
          <w:p w14:paraId="7AD5BF4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597" w:type="dxa"/>
            <w:tcMar>
              <w:top w:w="57" w:type="dxa"/>
              <w:left w:w="28" w:type="dxa"/>
              <w:bottom w:w="57" w:type="dxa"/>
              <w:right w:w="28" w:type="dxa"/>
            </w:tcMar>
            <w:vAlign w:val="center"/>
          </w:tcPr>
          <w:p w14:paraId="2BF1D2F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35828B0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32A54F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18A2133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5D65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8" w:type="dxa"/>
            <w:tcMar>
              <w:top w:w="57" w:type="dxa"/>
              <w:left w:w="28" w:type="dxa"/>
              <w:bottom w:w="57" w:type="dxa"/>
              <w:right w:w="28" w:type="dxa"/>
            </w:tcMar>
            <w:vAlign w:val="center"/>
          </w:tcPr>
          <w:p w14:paraId="2CCBE5E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97" w:type="dxa"/>
            <w:tcMar>
              <w:top w:w="57" w:type="dxa"/>
              <w:left w:w="28" w:type="dxa"/>
              <w:bottom w:w="57" w:type="dxa"/>
              <w:right w:w="28" w:type="dxa"/>
            </w:tcMar>
            <w:vAlign w:val="center"/>
          </w:tcPr>
          <w:p w14:paraId="247E908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2CA0B9D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08B370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5117964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4078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8" w:type="dxa"/>
            <w:tcMar>
              <w:top w:w="57" w:type="dxa"/>
              <w:left w:w="28" w:type="dxa"/>
              <w:bottom w:w="57" w:type="dxa"/>
              <w:right w:w="28" w:type="dxa"/>
            </w:tcMar>
            <w:vAlign w:val="center"/>
          </w:tcPr>
          <w:p w14:paraId="2E297E3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97" w:type="dxa"/>
            <w:tcMar>
              <w:top w:w="57" w:type="dxa"/>
              <w:left w:w="28" w:type="dxa"/>
              <w:bottom w:w="57" w:type="dxa"/>
              <w:right w:w="28" w:type="dxa"/>
            </w:tcMar>
            <w:vAlign w:val="center"/>
          </w:tcPr>
          <w:p w14:paraId="382E3D2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30CB5681">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652927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382FE5C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bl>
    <w:p w14:paraId="79A31523">
      <w:pPr>
        <w:spacing w:line="360" w:lineRule="auto"/>
        <w:jc w:val="right"/>
        <w:rPr>
          <w:rFonts w:hint="eastAsia" w:ascii="宋体" w:hAnsi="宋体" w:eastAsia="宋体" w:cs="宋体"/>
          <w:color w:val="auto"/>
          <w:sz w:val="24"/>
          <w:szCs w:val="24"/>
        </w:rPr>
      </w:pPr>
    </w:p>
    <w:p w14:paraId="277C668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注：1.投标文件要求指标响应内容必须按照投标实际指标填写，与相关证明材料一致，不得直接将采购文件的技术指标要求完全复制作为投标文件响应内容，否则</w:t>
      </w:r>
      <w:r>
        <w:rPr>
          <w:rFonts w:hint="eastAsia" w:ascii="宋体" w:hAnsi="宋体" w:eastAsia="宋体" w:cs="宋体"/>
          <w:color w:val="auto"/>
          <w:sz w:val="24"/>
          <w:szCs w:val="24"/>
          <w:lang w:val="en-US" w:eastAsia="zh-CN"/>
        </w:rPr>
        <w:t>视为负偏离</w:t>
      </w:r>
      <w:r>
        <w:rPr>
          <w:rFonts w:hint="eastAsia" w:ascii="宋体" w:hAnsi="宋体" w:eastAsia="宋体" w:cs="宋体"/>
          <w:color w:val="auto"/>
          <w:sz w:val="24"/>
          <w:szCs w:val="24"/>
        </w:rPr>
        <w:t>。</w:t>
      </w:r>
    </w:p>
    <w:p w14:paraId="571384A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2.务必完整填写所有指标响应参数；必须在备注栏进行明确说明偏离情况，且偏离情况与实际相符，否则将会影响评审得分。</w:t>
      </w:r>
    </w:p>
    <w:p w14:paraId="05FEB62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szCs w:val="24"/>
        </w:rPr>
        <w:t>3.采购文件中约定的每项采购内容的技术偏离情况都必须体现在此技术偏离表中，否则</w:t>
      </w:r>
      <w:r>
        <w:rPr>
          <w:rFonts w:hint="eastAsia" w:ascii="宋体" w:hAnsi="宋体" w:eastAsia="宋体" w:cs="宋体"/>
          <w:color w:val="auto"/>
          <w:sz w:val="24"/>
          <w:szCs w:val="24"/>
          <w:lang w:val="en-US" w:eastAsia="zh-CN"/>
        </w:rPr>
        <w:t>视为负偏离</w:t>
      </w:r>
      <w:r>
        <w:rPr>
          <w:rFonts w:hint="eastAsia" w:ascii="宋体" w:hAnsi="宋体" w:eastAsia="宋体" w:cs="宋体"/>
          <w:color w:val="auto"/>
          <w:sz w:val="24"/>
          <w:szCs w:val="24"/>
        </w:rPr>
        <w:t>。</w:t>
      </w:r>
    </w:p>
    <w:p w14:paraId="54D5C40D">
      <w:pPr>
        <w:spacing w:line="480" w:lineRule="auto"/>
        <w:ind w:firstLine="240" w:firstLineChars="100"/>
        <w:rPr>
          <w:rFonts w:hint="eastAsia" w:ascii="宋体" w:hAnsi="宋体" w:eastAsia="宋体" w:cs="宋体"/>
          <w:color w:val="auto"/>
          <w:sz w:val="24"/>
          <w:szCs w:val="24"/>
          <w:highlight w:val="none"/>
        </w:rPr>
      </w:pPr>
    </w:p>
    <w:p w14:paraId="6D9C7CAA">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p w14:paraId="39BFEEC2">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w:t>
      </w:r>
    </w:p>
    <w:p w14:paraId="145A2340">
      <w:pPr>
        <w:spacing w:line="360" w:lineRule="auto"/>
        <w:ind w:firstLine="240" w:firstLineChars="100"/>
        <w:jc w:val="both"/>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32053D">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5B1ED1A">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七、商务条款偏离表</w:t>
      </w:r>
    </w:p>
    <w:tbl>
      <w:tblPr>
        <w:tblStyle w:val="15"/>
        <w:tblpPr w:leftFromText="180" w:rightFromText="180" w:vertAnchor="text" w:horzAnchor="margin" w:tblpY="224"/>
        <w:tblOverlap w:val="never"/>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597"/>
        <w:gridCol w:w="3225"/>
        <w:gridCol w:w="1650"/>
        <w:gridCol w:w="862"/>
      </w:tblGrid>
      <w:tr w14:paraId="6240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8" w:type="dxa"/>
            <w:tcMar>
              <w:top w:w="57" w:type="dxa"/>
              <w:left w:w="28" w:type="dxa"/>
              <w:bottom w:w="57" w:type="dxa"/>
              <w:right w:w="28" w:type="dxa"/>
            </w:tcMar>
            <w:vAlign w:val="center"/>
          </w:tcPr>
          <w:p w14:paraId="54F018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597" w:type="dxa"/>
            <w:tcMar>
              <w:top w:w="57" w:type="dxa"/>
              <w:left w:w="28" w:type="dxa"/>
              <w:bottom w:w="57" w:type="dxa"/>
              <w:right w:w="28" w:type="dxa"/>
            </w:tcMar>
            <w:vAlign w:val="center"/>
          </w:tcPr>
          <w:p w14:paraId="57005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招标文件要求</w:t>
            </w:r>
          </w:p>
        </w:tc>
        <w:tc>
          <w:tcPr>
            <w:tcW w:w="3225" w:type="dxa"/>
            <w:tcMar>
              <w:top w:w="57" w:type="dxa"/>
              <w:left w:w="28" w:type="dxa"/>
              <w:bottom w:w="57" w:type="dxa"/>
              <w:right w:w="28" w:type="dxa"/>
            </w:tcMar>
            <w:vAlign w:val="center"/>
          </w:tcPr>
          <w:p w14:paraId="07367C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w:t>
            </w:r>
          </w:p>
        </w:tc>
        <w:tc>
          <w:tcPr>
            <w:tcW w:w="1650" w:type="dxa"/>
            <w:tcMar>
              <w:top w:w="57" w:type="dxa"/>
              <w:left w:w="28" w:type="dxa"/>
              <w:bottom w:w="57" w:type="dxa"/>
              <w:right w:w="28" w:type="dxa"/>
            </w:tcMar>
            <w:vAlign w:val="center"/>
          </w:tcPr>
          <w:p w14:paraId="592689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862" w:type="dxa"/>
            <w:tcMar>
              <w:top w:w="57" w:type="dxa"/>
              <w:left w:w="28" w:type="dxa"/>
              <w:bottom w:w="57" w:type="dxa"/>
              <w:right w:w="28" w:type="dxa"/>
            </w:tcMar>
            <w:vAlign w:val="center"/>
          </w:tcPr>
          <w:p w14:paraId="25339F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 明</w:t>
            </w:r>
          </w:p>
        </w:tc>
      </w:tr>
      <w:tr w14:paraId="558D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88" w:type="dxa"/>
            <w:tcMar>
              <w:top w:w="57" w:type="dxa"/>
              <w:left w:w="28" w:type="dxa"/>
              <w:bottom w:w="57" w:type="dxa"/>
              <w:right w:w="28" w:type="dxa"/>
            </w:tcMar>
            <w:vAlign w:val="center"/>
          </w:tcPr>
          <w:p w14:paraId="3A036D5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97" w:type="dxa"/>
            <w:tcMar>
              <w:top w:w="57" w:type="dxa"/>
              <w:left w:w="28" w:type="dxa"/>
              <w:bottom w:w="57" w:type="dxa"/>
              <w:right w:w="28" w:type="dxa"/>
            </w:tcMar>
            <w:vAlign w:val="center"/>
          </w:tcPr>
          <w:p w14:paraId="436F798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162F5075">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17D6BA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4A69188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5AB6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8" w:type="dxa"/>
            <w:tcMar>
              <w:top w:w="57" w:type="dxa"/>
              <w:left w:w="28" w:type="dxa"/>
              <w:bottom w:w="57" w:type="dxa"/>
              <w:right w:w="28" w:type="dxa"/>
            </w:tcMar>
            <w:vAlign w:val="center"/>
          </w:tcPr>
          <w:p w14:paraId="7E7A20A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97" w:type="dxa"/>
            <w:tcMar>
              <w:top w:w="57" w:type="dxa"/>
              <w:left w:w="28" w:type="dxa"/>
              <w:bottom w:w="57" w:type="dxa"/>
              <w:right w:w="28" w:type="dxa"/>
            </w:tcMar>
            <w:vAlign w:val="center"/>
          </w:tcPr>
          <w:p w14:paraId="190C99E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73F0236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21B47E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2F2C1B3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77B0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8" w:type="dxa"/>
            <w:tcMar>
              <w:top w:w="57" w:type="dxa"/>
              <w:left w:w="28" w:type="dxa"/>
              <w:bottom w:w="57" w:type="dxa"/>
              <w:right w:w="28" w:type="dxa"/>
            </w:tcMar>
            <w:vAlign w:val="center"/>
          </w:tcPr>
          <w:p w14:paraId="0D1F388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97" w:type="dxa"/>
            <w:tcMar>
              <w:top w:w="57" w:type="dxa"/>
              <w:left w:w="28" w:type="dxa"/>
              <w:bottom w:w="57" w:type="dxa"/>
              <w:right w:w="28" w:type="dxa"/>
            </w:tcMar>
            <w:vAlign w:val="center"/>
          </w:tcPr>
          <w:p w14:paraId="45854002">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0FCB9562">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1DBF16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6EA0332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0089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8" w:type="dxa"/>
            <w:tcMar>
              <w:top w:w="57" w:type="dxa"/>
              <w:left w:w="28" w:type="dxa"/>
              <w:bottom w:w="57" w:type="dxa"/>
              <w:right w:w="28" w:type="dxa"/>
            </w:tcMar>
            <w:vAlign w:val="center"/>
          </w:tcPr>
          <w:p w14:paraId="16D82CB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97" w:type="dxa"/>
            <w:tcMar>
              <w:top w:w="57" w:type="dxa"/>
              <w:left w:w="28" w:type="dxa"/>
              <w:bottom w:w="57" w:type="dxa"/>
              <w:right w:w="28" w:type="dxa"/>
            </w:tcMar>
            <w:vAlign w:val="center"/>
          </w:tcPr>
          <w:p w14:paraId="2E293E57">
            <w:pPr>
              <w:keepNext w:val="0"/>
              <w:keepLines w:val="0"/>
              <w:pageBreakBefore w:val="0"/>
              <w:widowControl w:val="0"/>
              <w:tabs>
                <w:tab w:val="left" w:pos="950"/>
              </w:tabs>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66B9896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009A0F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269631A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00F9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8" w:type="dxa"/>
            <w:tcMar>
              <w:top w:w="57" w:type="dxa"/>
              <w:left w:w="28" w:type="dxa"/>
              <w:bottom w:w="57" w:type="dxa"/>
              <w:right w:w="28" w:type="dxa"/>
            </w:tcMar>
            <w:vAlign w:val="center"/>
          </w:tcPr>
          <w:p w14:paraId="1925EDC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97" w:type="dxa"/>
            <w:tcMar>
              <w:top w:w="57" w:type="dxa"/>
              <w:left w:w="28" w:type="dxa"/>
              <w:bottom w:w="57" w:type="dxa"/>
              <w:right w:w="28" w:type="dxa"/>
            </w:tcMar>
            <w:vAlign w:val="center"/>
          </w:tcPr>
          <w:p w14:paraId="7917459A">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0D2EB26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576A71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195BC1A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44B5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8" w:type="dxa"/>
            <w:tcMar>
              <w:top w:w="57" w:type="dxa"/>
              <w:left w:w="28" w:type="dxa"/>
              <w:bottom w:w="57" w:type="dxa"/>
              <w:right w:w="28" w:type="dxa"/>
            </w:tcMar>
            <w:vAlign w:val="center"/>
          </w:tcPr>
          <w:p w14:paraId="16DE264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97" w:type="dxa"/>
            <w:tcMar>
              <w:top w:w="57" w:type="dxa"/>
              <w:left w:w="28" w:type="dxa"/>
              <w:bottom w:w="57" w:type="dxa"/>
              <w:right w:w="28" w:type="dxa"/>
            </w:tcMar>
            <w:vAlign w:val="center"/>
          </w:tcPr>
          <w:p w14:paraId="3F46CF3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5C36968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1361FE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5FC4458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08C7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8" w:type="dxa"/>
            <w:tcMar>
              <w:top w:w="57" w:type="dxa"/>
              <w:left w:w="28" w:type="dxa"/>
              <w:bottom w:w="57" w:type="dxa"/>
              <w:right w:w="28" w:type="dxa"/>
            </w:tcMar>
            <w:vAlign w:val="center"/>
          </w:tcPr>
          <w:p w14:paraId="158C730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597" w:type="dxa"/>
            <w:tcMar>
              <w:top w:w="57" w:type="dxa"/>
              <w:left w:w="28" w:type="dxa"/>
              <w:bottom w:w="57" w:type="dxa"/>
              <w:right w:w="28" w:type="dxa"/>
            </w:tcMar>
            <w:vAlign w:val="center"/>
          </w:tcPr>
          <w:p w14:paraId="15EF9735">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13C75C8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140360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76CE90C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54B2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8" w:type="dxa"/>
            <w:tcMar>
              <w:top w:w="57" w:type="dxa"/>
              <w:left w:w="28" w:type="dxa"/>
              <w:bottom w:w="57" w:type="dxa"/>
              <w:right w:w="28" w:type="dxa"/>
            </w:tcMar>
            <w:vAlign w:val="center"/>
          </w:tcPr>
          <w:p w14:paraId="3258206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97" w:type="dxa"/>
            <w:tcMar>
              <w:top w:w="57" w:type="dxa"/>
              <w:left w:w="28" w:type="dxa"/>
              <w:bottom w:w="57" w:type="dxa"/>
              <w:right w:w="28" w:type="dxa"/>
            </w:tcMar>
            <w:vAlign w:val="center"/>
          </w:tcPr>
          <w:p w14:paraId="0EE5F7B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22013ECA">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2835E0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1BAD428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741D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8" w:type="dxa"/>
            <w:tcMar>
              <w:top w:w="57" w:type="dxa"/>
              <w:left w:w="28" w:type="dxa"/>
              <w:bottom w:w="57" w:type="dxa"/>
              <w:right w:w="28" w:type="dxa"/>
            </w:tcMar>
            <w:vAlign w:val="center"/>
          </w:tcPr>
          <w:p w14:paraId="355721D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97" w:type="dxa"/>
            <w:tcMar>
              <w:top w:w="57" w:type="dxa"/>
              <w:left w:w="28" w:type="dxa"/>
              <w:bottom w:w="57" w:type="dxa"/>
              <w:right w:w="28" w:type="dxa"/>
            </w:tcMar>
            <w:vAlign w:val="center"/>
          </w:tcPr>
          <w:p w14:paraId="4992BA3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3225" w:type="dxa"/>
            <w:tcMar>
              <w:top w:w="57" w:type="dxa"/>
              <w:left w:w="28" w:type="dxa"/>
              <w:bottom w:w="57" w:type="dxa"/>
              <w:right w:w="28" w:type="dxa"/>
            </w:tcMar>
            <w:vAlign w:val="center"/>
          </w:tcPr>
          <w:p w14:paraId="5447967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650" w:type="dxa"/>
            <w:tcMar>
              <w:top w:w="57" w:type="dxa"/>
              <w:left w:w="28" w:type="dxa"/>
              <w:bottom w:w="57" w:type="dxa"/>
              <w:right w:w="28" w:type="dxa"/>
            </w:tcMar>
            <w:vAlign w:val="center"/>
          </w:tcPr>
          <w:p w14:paraId="70284A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862" w:type="dxa"/>
            <w:tcMar>
              <w:top w:w="57" w:type="dxa"/>
              <w:left w:w="28" w:type="dxa"/>
              <w:bottom w:w="57" w:type="dxa"/>
              <w:right w:w="28" w:type="dxa"/>
            </w:tcMar>
            <w:vAlign w:val="center"/>
          </w:tcPr>
          <w:p w14:paraId="7E9249E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bl>
    <w:p w14:paraId="30D8771C">
      <w:pPr>
        <w:keepNext w:val="0"/>
        <w:keepLines w:val="0"/>
        <w:widowControl/>
        <w:suppressLineNumbers w:val="0"/>
        <w:jc w:val="left"/>
        <w:rPr>
          <w:rFonts w:hint="eastAsia" w:ascii="宋体" w:hAnsi="宋体" w:eastAsia="宋体" w:cs="宋体"/>
          <w:color w:val="auto"/>
          <w:kern w:val="0"/>
          <w:sz w:val="24"/>
          <w:szCs w:val="24"/>
          <w:lang w:val="en-US" w:eastAsia="zh-CN" w:bidi="ar"/>
        </w:rPr>
      </w:pPr>
    </w:p>
    <w:p w14:paraId="567E02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rPr>
        <w:t>声明：除本商务偏离表中所列的偏离项目外，其他所有商务均完全响应“招标文件”中的要求</w:t>
      </w:r>
    </w:p>
    <w:p w14:paraId="1E7CFA46">
      <w:pPr>
        <w:spacing w:line="360" w:lineRule="auto"/>
        <w:rPr>
          <w:rFonts w:hint="eastAsia" w:ascii="宋体" w:hAnsi="宋体" w:eastAsia="宋体" w:cs="宋体"/>
          <w:color w:val="auto"/>
          <w:sz w:val="28"/>
          <w:szCs w:val="28"/>
          <w:highlight w:val="none"/>
        </w:rPr>
      </w:pPr>
    </w:p>
    <w:p w14:paraId="635C30AB">
      <w:pPr>
        <w:spacing w:line="360" w:lineRule="auto"/>
        <w:rPr>
          <w:rFonts w:hint="eastAsia" w:ascii="宋体" w:hAnsi="宋体" w:eastAsia="宋体" w:cs="宋体"/>
          <w:color w:val="auto"/>
          <w:sz w:val="28"/>
          <w:szCs w:val="28"/>
          <w:highlight w:val="none"/>
        </w:rPr>
      </w:pPr>
    </w:p>
    <w:p w14:paraId="733F5A9D">
      <w:pPr>
        <w:spacing w:line="48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14:paraId="4FF59AC9">
      <w:pPr>
        <w:spacing w:line="48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p>
    <w:p w14:paraId="0C1E006D">
      <w:pPr>
        <w:spacing w:line="360" w:lineRule="auto"/>
        <w:ind w:firstLine="240" w:firstLineChars="1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F3A6E8">
      <w:pPr>
        <w:pStyle w:val="30"/>
        <w:spacing w:line="360" w:lineRule="auto"/>
        <w:rPr>
          <w:rFonts w:hint="eastAsia" w:ascii="宋体" w:hAnsi="宋体" w:eastAsia="宋体" w:cs="宋体"/>
          <w:color w:val="auto"/>
          <w:szCs w:val="21"/>
          <w:highlight w:val="none"/>
        </w:rPr>
      </w:pPr>
    </w:p>
    <w:p w14:paraId="6BE834B9">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0BEFD73">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八、投标方案</w:t>
      </w:r>
    </w:p>
    <w:p w14:paraId="7566B74E">
      <w:pPr>
        <w:pStyle w:val="8"/>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（格式自拟）</w:t>
      </w:r>
    </w:p>
    <w:p w14:paraId="4A7E2A2E">
      <w:pPr>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8"/>
          <w:highlight w:val="none"/>
        </w:rPr>
        <w:t>注：依照招标文件中的采购内容及要求、评审办法进行编制方案，包括但不限于评审办法及评审内容。</w:t>
      </w:r>
      <w:r>
        <w:rPr>
          <w:rFonts w:hint="eastAsia" w:ascii="宋体" w:hAnsi="宋体" w:eastAsia="宋体" w:cs="宋体"/>
          <w:b/>
          <w:bCs/>
          <w:color w:val="auto"/>
          <w:kern w:val="0"/>
          <w:sz w:val="24"/>
          <w:szCs w:val="24"/>
          <w:highlight w:val="none"/>
          <w:lang w:val="en-US" w:eastAsia="zh-CN"/>
        </w:rPr>
        <w:br w:type="page"/>
      </w:r>
    </w:p>
    <w:p w14:paraId="3E0413E5">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九、拟投入项目人员情况表</w:t>
      </w:r>
    </w:p>
    <w:tbl>
      <w:tblPr>
        <w:tblStyle w:val="16"/>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66"/>
        <w:gridCol w:w="1166"/>
        <w:gridCol w:w="942"/>
        <w:gridCol w:w="1567"/>
        <w:gridCol w:w="994"/>
        <w:gridCol w:w="1166"/>
        <w:gridCol w:w="1167"/>
      </w:tblGrid>
      <w:tr w14:paraId="587E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11" w:type="dxa"/>
            <w:vAlign w:val="center"/>
          </w:tcPr>
          <w:p w14:paraId="3C637A2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166" w:type="dxa"/>
            <w:vAlign w:val="center"/>
          </w:tcPr>
          <w:p w14:paraId="45861DC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1166" w:type="dxa"/>
            <w:vAlign w:val="center"/>
          </w:tcPr>
          <w:p w14:paraId="0B44609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942" w:type="dxa"/>
            <w:vAlign w:val="center"/>
          </w:tcPr>
          <w:p w14:paraId="3B35F7D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年龄</w:t>
            </w:r>
          </w:p>
        </w:tc>
        <w:tc>
          <w:tcPr>
            <w:tcW w:w="1567" w:type="dxa"/>
            <w:vAlign w:val="center"/>
          </w:tcPr>
          <w:p w14:paraId="19BD060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拟在本项目中担任的工作或岗位</w:t>
            </w:r>
          </w:p>
        </w:tc>
        <w:tc>
          <w:tcPr>
            <w:tcW w:w="994" w:type="dxa"/>
            <w:vAlign w:val="center"/>
          </w:tcPr>
          <w:p w14:paraId="26A8417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职称</w:t>
            </w:r>
          </w:p>
        </w:tc>
        <w:tc>
          <w:tcPr>
            <w:tcW w:w="1166" w:type="dxa"/>
            <w:vAlign w:val="center"/>
          </w:tcPr>
          <w:p w14:paraId="5892DDA7">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工作年限</w:t>
            </w:r>
          </w:p>
        </w:tc>
        <w:tc>
          <w:tcPr>
            <w:tcW w:w="1167" w:type="dxa"/>
            <w:vAlign w:val="center"/>
          </w:tcPr>
          <w:p w14:paraId="4428B9C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3A33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11" w:type="dxa"/>
            <w:vAlign w:val="center"/>
          </w:tcPr>
          <w:p w14:paraId="641F4F07">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2A5FCEA0">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5280B700">
            <w:pPr>
              <w:spacing w:line="440" w:lineRule="exact"/>
              <w:jc w:val="center"/>
              <w:rPr>
                <w:rFonts w:hint="eastAsia" w:ascii="宋体" w:hAnsi="宋体" w:eastAsia="宋体" w:cs="宋体"/>
                <w:color w:val="auto"/>
                <w:sz w:val="24"/>
                <w:szCs w:val="24"/>
                <w:highlight w:val="none"/>
                <w:lang w:val="en-US" w:eastAsia="zh-CN"/>
              </w:rPr>
            </w:pPr>
          </w:p>
        </w:tc>
        <w:tc>
          <w:tcPr>
            <w:tcW w:w="942" w:type="dxa"/>
            <w:vAlign w:val="center"/>
          </w:tcPr>
          <w:p w14:paraId="0ED5E166">
            <w:pPr>
              <w:spacing w:line="440" w:lineRule="exact"/>
              <w:jc w:val="center"/>
              <w:rPr>
                <w:rFonts w:hint="eastAsia" w:ascii="宋体" w:hAnsi="宋体" w:eastAsia="宋体" w:cs="宋体"/>
                <w:color w:val="auto"/>
                <w:sz w:val="24"/>
                <w:szCs w:val="24"/>
                <w:highlight w:val="none"/>
                <w:lang w:val="en-US" w:eastAsia="zh-CN"/>
              </w:rPr>
            </w:pPr>
          </w:p>
        </w:tc>
        <w:tc>
          <w:tcPr>
            <w:tcW w:w="1567" w:type="dxa"/>
            <w:vAlign w:val="center"/>
          </w:tcPr>
          <w:p w14:paraId="6C98D316">
            <w:pPr>
              <w:spacing w:line="440" w:lineRule="exact"/>
              <w:jc w:val="center"/>
              <w:rPr>
                <w:rFonts w:hint="eastAsia" w:ascii="宋体" w:hAnsi="宋体" w:eastAsia="宋体" w:cs="宋体"/>
                <w:color w:val="auto"/>
                <w:sz w:val="24"/>
                <w:szCs w:val="24"/>
                <w:highlight w:val="none"/>
                <w:lang w:val="en-US" w:eastAsia="zh-CN"/>
              </w:rPr>
            </w:pPr>
          </w:p>
        </w:tc>
        <w:tc>
          <w:tcPr>
            <w:tcW w:w="994" w:type="dxa"/>
            <w:vAlign w:val="center"/>
          </w:tcPr>
          <w:p w14:paraId="02E16F22">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10B4807B">
            <w:pPr>
              <w:spacing w:line="440" w:lineRule="exact"/>
              <w:jc w:val="center"/>
              <w:rPr>
                <w:rFonts w:hint="eastAsia" w:ascii="宋体" w:hAnsi="宋体" w:eastAsia="宋体" w:cs="宋体"/>
                <w:color w:val="auto"/>
                <w:sz w:val="24"/>
                <w:szCs w:val="24"/>
                <w:highlight w:val="none"/>
                <w:lang w:val="en-US" w:eastAsia="zh-CN"/>
              </w:rPr>
            </w:pPr>
          </w:p>
        </w:tc>
        <w:tc>
          <w:tcPr>
            <w:tcW w:w="1167" w:type="dxa"/>
            <w:vAlign w:val="center"/>
          </w:tcPr>
          <w:p w14:paraId="4B0D3630">
            <w:pPr>
              <w:spacing w:line="440" w:lineRule="exact"/>
              <w:jc w:val="center"/>
              <w:rPr>
                <w:rFonts w:hint="eastAsia" w:ascii="宋体" w:hAnsi="宋体" w:eastAsia="宋体" w:cs="宋体"/>
                <w:color w:val="auto"/>
                <w:sz w:val="24"/>
                <w:szCs w:val="24"/>
                <w:highlight w:val="none"/>
                <w:lang w:val="en-US" w:eastAsia="zh-CN"/>
              </w:rPr>
            </w:pPr>
          </w:p>
        </w:tc>
      </w:tr>
      <w:tr w14:paraId="0D7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11" w:type="dxa"/>
            <w:vAlign w:val="center"/>
          </w:tcPr>
          <w:p w14:paraId="71948369">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05AF48DC">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09CB735C">
            <w:pPr>
              <w:spacing w:line="440" w:lineRule="exact"/>
              <w:jc w:val="center"/>
              <w:rPr>
                <w:rFonts w:hint="eastAsia" w:ascii="宋体" w:hAnsi="宋体" w:eastAsia="宋体" w:cs="宋体"/>
                <w:color w:val="auto"/>
                <w:sz w:val="24"/>
                <w:szCs w:val="24"/>
                <w:highlight w:val="none"/>
                <w:lang w:val="en-US" w:eastAsia="zh-CN"/>
              </w:rPr>
            </w:pPr>
          </w:p>
        </w:tc>
        <w:tc>
          <w:tcPr>
            <w:tcW w:w="942" w:type="dxa"/>
            <w:vAlign w:val="center"/>
          </w:tcPr>
          <w:p w14:paraId="06716726">
            <w:pPr>
              <w:spacing w:line="440" w:lineRule="exact"/>
              <w:jc w:val="center"/>
              <w:rPr>
                <w:rFonts w:hint="eastAsia" w:ascii="宋体" w:hAnsi="宋体" w:eastAsia="宋体" w:cs="宋体"/>
                <w:color w:val="auto"/>
                <w:sz w:val="24"/>
                <w:szCs w:val="24"/>
                <w:highlight w:val="none"/>
                <w:lang w:val="en-US" w:eastAsia="zh-CN"/>
              </w:rPr>
            </w:pPr>
          </w:p>
        </w:tc>
        <w:tc>
          <w:tcPr>
            <w:tcW w:w="1567" w:type="dxa"/>
            <w:vAlign w:val="center"/>
          </w:tcPr>
          <w:p w14:paraId="592441DD">
            <w:pPr>
              <w:spacing w:line="440" w:lineRule="exact"/>
              <w:jc w:val="center"/>
              <w:rPr>
                <w:rFonts w:hint="eastAsia" w:ascii="宋体" w:hAnsi="宋体" w:eastAsia="宋体" w:cs="宋体"/>
                <w:color w:val="auto"/>
                <w:sz w:val="24"/>
                <w:szCs w:val="24"/>
                <w:highlight w:val="none"/>
                <w:lang w:val="en-US" w:eastAsia="zh-CN"/>
              </w:rPr>
            </w:pPr>
          </w:p>
        </w:tc>
        <w:tc>
          <w:tcPr>
            <w:tcW w:w="994" w:type="dxa"/>
            <w:vAlign w:val="center"/>
          </w:tcPr>
          <w:p w14:paraId="22129E9F">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46696515">
            <w:pPr>
              <w:spacing w:line="440" w:lineRule="exact"/>
              <w:jc w:val="center"/>
              <w:rPr>
                <w:rFonts w:hint="eastAsia" w:ascii="宋体" w:hAnsi="宋体" w:eastAsia="宋体" w:cs="宋体"/>
                <w:color w:val="auto"/>
                <w:sz w:val="24"/>
                <w:szCs w:val="24"/>
                <w:highlight w:val="none"/>
                <w:lang w:val="en-US" w:eastAsia="zh-CN"/>
              </w:rPr>
            </w:pPr>
          </w:p>
        </w:tc>
        <w:tc>
          <w:tcPr>
            <w:tcW w:w="1167" w:type="dxa"/>
            <w:vAlign w:val="center"/>
          </w:tcPr>
          <w:p w14:paraId="68308F66">
            <w:pPr>
              <w:spacing w:line="440" w:lineRule="exact"/>
              <w:jc w:val="center"/>
              <w:rPr>
                <w:rFonts w:hint="eastAsia" w:ascii="宋体" w:hAnsi="宋体" w:eastAsia="宋体" w:cs="宋体"/>
                <w:color w:val="auto"/>
                <w:sz w:val="24"/>
                <w:szCs w:val="24"/>
                <w:highlight w:val="none"/>
                <w:lang w:val="en-US" w:eastAsia="zh-CN"/>
              </w:rPr>
            </w:pPr>
          </w:p>
        </w:tc>
      </w:tr>
      <w:tr w14:paraId="617F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1" w:type="dxa"/>
            <w:vAlign w:val="center"/>
          </w:tcPr>
          <w:p w14:paraId="106D404D">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08585415">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058804F7">
            <w:pPr>
              <w:spacing w:line="440" w:lineRule="exact"/>
              <w:jc w:val="center"/>
              <w:rPr>
                <w:rFonts w:hint="eastAsia" w:ascii="宋体" w:hAnsi="宋体" w:eastAsia="宋体" w:cs="宋体"/>
                <w:color w:val="auto"/>
                <w:sz w:val="24"/>
                <w:szCs w:val="24"/>
                <w:highlight w:val="none"/>
                <w:lang w:val="en-US" w:eastAsia="zh-CN"/>
              </w:rPr>
            </w:pPr>
          </w:p>
        </w:tc>
        <w:tc>
          <w:tcPr>
            <w:tcW w:w="942" w:type="dxa"/>
            <w:vAlign w:val="center"/>
          </w:tcPr>
          <w:p w14:paraId="0BB9E7E3">
            <w:pPr>
              <w:spacing w:line="440" w:lineRule="exact"/>
              <w:jc w:val="center"/>
              <w:rPr>
                <w:rFonts w:hint="eastAsia" w:ascii="宋体" w:hAnsi="宋体" w:eastAsia="宋体" w:cs="宋体"/>
                <w:color w:val="auto"/>
                <w:sz w:val="24"/>
                <w:szCs w:val="24"/>
                <w:highlight w:val="none"/>
                <w:lang w:val="en-US" w:eastAsia="zh-CN"/>
              </w:rPr>
            </w:pPr>
          </w:p>
        </w:tc>
        <w:tc>
          <w:tcPr>
            <w:tcW w:w="1567" w:type="dxa"/>
            <w:vAlign w:val="center"/>
          </w:tcPr>
          <w:p w14:paraId="7129F1FD">
            <w:pPr>
              <w:spacing w:line="440" w:lineRule="exact"/>
              <w:jc w:val="center"/>
              <w:rPr>
                <w:rFonts w:hint="eastAsia" w:ascii="宋体" w:hAnsi="宋体" w:eastAsia="宋体" w:cs="宋体"/>
                <w:color w:val="auto"/>
                <w:sz w:val="24"/>
                <w:szCs w:val="24"/>
                <w:highlight w:val="none"/>
                <w:lang w:val="en-US" w:eastAsia="zh-CN"/>
              </w:rPr>
            </w:pPr>
          </w:p>
        </w:tc>
        <w:tc>
          <w:tcPr>
            <w:tcW w:w="994" w:type="dxa"/>
            <w:vAlign w:val="center"/>
          </w:tcPr>
          <w:p w14:paraId="443EB06D">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617F08D0">
            <w:pPr>
              <w:spacing w:line="440" w:lineRule="exact"/>
              <w:jc w:val="center"/>
              <w:rPr>
                <w:rFonts w:hint="eastAsia" w:ascii="宋体" w:hAnsi="宋体" w:eastAsia="宋体" w:cs="宋体"/>
                <w:color w:val="auto"/>
                <w:sz w:val="24"/>
                <w:szCs w:val="24"/>
                <w:highlight w:val="none"/>
                <w:lang w:val="en-US" w:eastAsia="zh-CN"/>
              </w:rPr>
            </w:pPr>
          </w:p>
        </w:tc>
        <w:tc>
          <w:tcPr>
            <w:tcW w:w="1167" w:type="dxa"/>
            <w:vAlign w:val="center"/>
          </w:tcPr>
          <w:p w14:paraId="3691FFD6">
            <w:pPr>
              <w:spacing w:line="440" w:lineRule="exact"/>
              <w:jc w:val="center"/>
              <w:rPr>
                <w:rFonts w:hint="eastAsia" w:ascii="宋体" w:hAnsi="宋体" w:eastAsia="宋体" w:cs="宋体"/>
                <w:color w:val="auto"/>
                <w:sz w:val="24"/>
                <w:szCs w:val="24"/>
                <w:highlight w:val="none"/>
                <w:lang w:val="en-US" w:eastAsia="zh-CN"/>
              </w:rPr>
            </w:pPr>
          </w:p>
        </w:tc>
      </w:tr>
      <w:tr w14:paraId="7C34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11" w:type="dxa"/>
            <w:vAlign w:val="center"/>
          </w:tcPr>
          <w:p w14:paraId="35DF5235">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381963D2">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1D7C33E4">
            <w:pPr>
              <w:spacing w:line="440" w:lineRule="exact"/>
              <w:jc w:val="center"/>
              <w:rPr>
                <w:rFonts w:hint="eastAsia" w:ascii="宋体" w:hAnsi="宋体" w:eastAsia="宋体" w:cs="宋体"/>
                <w:color w:val="auto"/>
                <w:sz w:val="24"/>
                <w:szCs w:val="24"/>
                <w:highlight w:val="none"/>
                <w:lang w:val="en-US" w:eastAsia="zh-CN"/>
              </w:rPr>
            </w:pPr>
          </w:p>
        </w:tc>
        <w:tc>
          <w:tcPr>
            <w:tcW w:w="942" w:type="dxa"/>
            <w:vAlign w:val="center"/>
          </w:tcPr>
          <w:p w14:paraId="563A9EBF">
            <w:pPr>
              <w:spacing w:line="440" w:lineRule="exact"/>
              <w:jc w:val="center"/>
              <w:rPr>
                <w:rFonts w:hint="eastAsia" w:ascii="宋体" w:hAnsi="宋体" w:eastAsia="宋体" w:cs="宋体"/>
                <w:color w:val="auto"/>
                <w:sz w:val="24"/>
                <w:szCs w:val="24"/>
                <w:highlight w:val="none"/>
                <w:lang w:val="en-US" w:eastAsia="zh-CN"/>
              </w:rPr>
            </w:pPr>
          </w:p>
        </w:tc>
        <w:tc>
          <w:tcPr>
            <w:tcW w:w="1567" w:type="dxa"/>
            <w:vAlign w:val="center"/>
          </w:tcPr>
          <w:p w14:paraId="569A65CD">
            <w:pPr>
              <w:spacing w:line="440" w:lineRule="exact"/>
              <w:jc w:val="center"/>
              <w:rPr>
                <w:rFonts w:hint="eastAsia" w:ascii="宋体" w:hAnsi="宋体" w:eastAsia="宋体" w:cs="宋体"/>
                <w:color w:val="auto"/>
                <w:sz w:val="24"/>
                <w:szCs w:val="24"/>
                <w:highlight w:val="none"/>
                <w:lang w:val="en-US" w:eastAsia="zh-CN"/>
              </w:rPr>
            </w:pPr>
          </w:p>
        </w:tc>
        <w:tc>
          <w:tcPr>
            <w:tcW w:w="994" w:type="dxa"/>
            <w:vAlign w:val="center"/>
          </w:tcPr>
          <w:p w14:paraId="03546F0F">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59F9027A">
            <w:pPr>
              <w:spacing w:line="440" w:lineRule="exact"/>
              <w:jc w:val="center"/>
              <w:rPr>
                <w:rFonts w:hint="eastAsia" w:ascii="宋体" w:hAnsi="宋体" w:eastAsia="宋体" w:cs="宋体"/>
                <w:color w:val="auto"/>
                <w:sz w:val="24"/>
                <w:szCs w:val="24"/>
                <w:highlight w:val="none"/>
                <w:lang w:val="en-US" w:eastAsia="zh-CN"/>
              </w:rPr>
            </w:pPr>
          </w:p>
        </w:tc>
        <w:tc>
          <w:tcPr>
            <w:tcW w:w="1167" w:type="dxa"/>
            <w:vAlign w:val="center"/>
          </w:tcPr>
          <w:p w14:paraId="2D349AF8">
            <w:pPr>
              <w:spacing w:line="440" w:lineRule="exact"/>
              <w:jc w:val="center"/>
              <w:rPr>
                <w:rFonts w:hint="eastAsia" w:ascii="宋体" w:hAnsi="宋体" w:eastAsia="宋体" w:cs="宋体"/>
                <w:color w:val="auto"/>
                <w:sz w:val="24"/>
                <w:szCs w:val="24"/>
                <w:highlight w:val="none"/>
                <w:lang w:val="en-US" w:eastAsia="zh-CN"/>
              </w:rPr>
            </w:pPr>
          </w:p>
        </w:tc>
      </w:tr>
      <w:tr w14:paraId="59B2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111" w:type="dxa"/>
            <w:vAlign w:val="center"/>
          </w:tcPr>
          <w:p w14:paraId="41A76036">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3CDC4EF2">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67E1854C">
            <w:pPr>
              <w:spacing w:line="440" w:lineRule="exact"/>
              <w:jc w:val="center"/>
              <w:rPr>
                <w:rFonts w:hint="eastAsia" w:ascii="宋体" w:hAnsi="宋体" w:eastAsia="宋体" w:cs="宋体"/>
                <w:color w:val="auto"/>
                <w:sz w:val="24"/>
                <w:szCs w:val="24"/>
                <w:highlight w:val="none"/>
                <w:lang w:val="en-US" w:eastAsia="zh-CN"/>
              </w:rPr>
            </w:pPr>
          </w:p>
        </w:tc>
        <w:tc>
          <w:tcPr>
            <w:tcW w:w="942" w:type="dxa"/>
            <w:vAlign w:val="center"/>
          </w:tcPr>
          <w:p w14:paraId="40521615">
            <w:pPr>
              <w:spacing w:line="440" w:lineRule="exact"/>
              <w:jc w:val="center"/>
              <w:rPr>
                <w:rFonts w:hint="eastAsia" w:ascii="宋体" w:hAnsi="宋体" w:eastAsia="宋体" w:cs="宋体"/>
                <w:color w:val="auto"/>
                <w:sz w:val="24"/>
                <w:szCs w:val="24"/>
                <w:highlight w:val="none"/>
                <w:lang w:val="en-US" w:eastAsia="zh-CN"/>
              </w:rPr>
            </w:pPr>
          </w:p>
        </w:tc>
        <w:tc>
          <w:tcPr>
            <w:tcW w:w="1567" w:type="dxa"/>
            <w:vAlign w:val="center"/>
          </w:tcPr>
          <w:p w14:paraId="18868A62">
            <w:pPr>
              <w:spacing w:line="440" w:lineRule="exact"/>
              <w:jc w:val="center"/>
              <w:rPr>
                <w:rFonts w:hint="eastAsia" w:ascii="宋体" w:hAnsi="宋体" w:eastAsia="宋体" w:cs="宋体"/>
                <w:color w:val="auto"/>
                <w:sz w:val="24"/>
                <w:szCs w:val="24"/>
                <w:highlight w:val="none"/>
                <w:lang w:val="en-US" w:eastAsia="zh-CN"/>
              </w:rPr>
            </w:pPr>
          </w:p>
        </w:tc>
        <w:tc>
          <w:tcPr>
            <w:tcW w:w="994" w:type="dxa"/>
            <w:vAlign w:val="center"/>
          </w:tcPr>
          <w:p w14:paraId="6F91FC6D">
            <w:pPr>
              <w:spacing w:line="440" w:lineRule="exact"/>
              <w:jc w:val="center"/>
              <w:rPr>
                <w:rFonts w:hint="eastAsia" w:ascii="宋体" w:hAnsi="宋体" w:eastAsia="宋体" w:cs="宋体"/>
                <w:color w:val="auto"/>
                <w:sz w:val="24"/>
                <w:szCs w:val="24"/>
                <w:highlight w:val="none"/>
                <w:lang w:val="en-US" w:eastAsia="zh-CN"/>
              </w:rPr>
            </w:pPr>
          </w:p>
        </w:tc>
        <w:tc>
          <w:tcPr>
            <w:tcW w:w="1166" w:type="dxa"/>
            <w:vAlign w:val="center"/>
          </w:tcPr>
          <w:p w14:paraId="4F84FAE0">
            <w:pPr>
              <w:spacing w:line="440" w:lineRule="exact"/>
              <w:jc w:val="center"/>
              <w:rPr>
                <w:rFonts w:hint="eastAsia" w:ascii="宋体" w:hAnsi="宋体" w:eastAsia="宋体" w:cs="宋体"/>
                <w:color w:val="auto"/>
                <w:sz w:val="24"/>
                <w:szCs w:val="24"/>
                <w:highlight w:val="none"/>
                <w:lang w:val="en-US" w:eastAsia="zh-CN"/>
              </w:rPr>
            </w:pPr>
          </w:p>
        </w:tc>
        <w:tc>
          <w:tcPr>
            <w:tcW w:w="1167" w:type="dxa"/>
            <w:vAlign w:val="center"/>
          </w:tcPr>
          <w:p w14:paraId="52032AE9">
            <w:pPr>
              <w:spacing w:line="440" w:lineRule="exact"/>
              <w:jc w:val="center"/>
              <w:rPr>
                <w:rFonts w:hint="eastAsia" w:ascii="宋体" w:hAnsi="宋体" w:eastAsia="宋体" w:cs="宋体"/>
                <w:color w:val="auto"/>
                <w:sz w:val="24"/>
                <w:szCs w:val="24"/>
                <w:highlight w:val="none"/>
                <w:lang w:val="en-US" w:eastAsia="zh-CN"/>
              </w:rPr>
            </w:pPr>
          </w:p>
        </w:tc>
      </w:tr>
    </w:tbl>
    <w:p w14:paraId="7A0AF2F5">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p>
    <w:p w14:paraId="78D2E167">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b/>
          <w:bCs/>
          <w:color w:val="auto"/>
          <w:kern w:val="0"/>
          <w:sz w:val="24"/>
          <w:szCs w:val="24"/>
          <w:lang w:val="en-US" w:eastAsia="zh-CN" w:bidi="ar"/>
        </w:rPr>
        <w:t>注：供应商应根据招标文件评分细则的要求在本表后附人员的相关证明材料。</w:t>
      </w:r>
    </w:p>
    <w:p w14:paraId="3CFCB7F6">
      <w:pPr>
        <w:spacing w:line="360" w:lineRule="auto"/>
        <w:rPr>
          <w:rFonts w:hint="eastAsia" w:ascii="宋体" w:hAnsi="宋体" w:eastAsia="宋体" w:cs="宋体"/>
          <w:color w:val="auto"/>
          <w:sz w:val="28"/>
          <w:szCs w:val="28"/>
          <w:highlight w:val="none"/>
        </w:rPr>
      </w:pPr>
    </w:p>
    <w:p w14:paraId="0AC3BE76">
      <w:pPr>
        <w:spacing w:line="360" w:lineRule="auto"/>
        <w:rPr>
          <w:rFonts w:hint="eastAsia" w:ascii="宋体" w:hAnsi="宋体" w:eastAsia="宋体" w:cs="宋体"/>
          <w:color w:val="auto"/>
          <w:sz w:val="28"/>
          <w:szCs w:val="28"/>
          <w:highlight w:val="none"/>
        </w:rPr>
      </w:pPr>
    </w:p>
    <w:p w14:paraId="2F669BA8">
      <w:pPr>
        <w:spacing w:line="360" w:lineRule="auto"/>
        <w:rPr>
          <w:rFonts w:hint="eastAsia" w:ascii="宋体" w:hAnsi="宋体" w:eastAsia="宋体" w:cs="宋体"/>
          <w:color w:val="auto"/>
          <w:sz w:val="28"/>
          <w:szCs w:val="28"/>
          <w:highlight w:val="none"/>
        </w:rPr>
      </w:pPr>
    </w:p>
    <w:p w14:paraId="72AEFE75">
      <w:pPr>
        <w:spacing w:line="360" w:lineRule="auto"/>
        <w:rPr>
          <w:rFonts w:hint="eastAsia" w:ascii="宋体" w:hAnsi="宋体" w:eastAsia="宋体" w:cs="宋体"/>
          <w:color w:val="auto"/>
          <w:sz w:val="28"/>
          <w:szCs w:val="28"/>
          <w:highlight w:val="none"/>
        </w:rPr>
      </w:pPr>
    </w:p>
    <w:p w14:paraId="305864BD">
      <w:pPr>
        <w:spacing w:line="48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p>
    <w:p w14:paraId="395E98FB">
      <w:pPr>
        <w:spacing w:line="48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p>
    <w:p w14:paraId="0A1ED9FB">
      <w:pPr>
        <w:spacing w:line="360" w:lineRule="auto"/>
        <w:ind w:firstLine="240" w:firstLineChars="1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167D93">
      <w:pPr>
        <w:pStyle w:val="30"/>
        <w:spacing w:line="360" w:lineRule="auto"/>
        <w:rPr>
          <w:rFonts w:hint="eastAsia" w:ascii="宋体" w:hAnsi="宋体" w:eastAsia="宋体" w:cs="宋体"/>
          <w:color w:val="auto"/>
          <w:szCs w:val="21"/>
          <w:highlight w:val="none"/>
        </w:rPr>
      </w:pPr>
    </w:p>
    <w:p w14:paraId="50F3A30A">
      <w:pP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br w:type="page"/>
      </w:r>
    </w:p>
    <w:p w14:paraId="2A3703A9">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十、投标人类似项目业绩表</w:t>
      </w:r>
    </w:p>
    <w:tbl>
      <w:tblPr>
        <w:tblStyle w:val="16"/>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558"/>
        <w:gridCol w:w="1558"/>
        <w:gridCol w:w="1257"/>
        <w:gridCol w:w="2095"/>
        <w:gridCol w:w="1328"/>
      </w:tblGrid>
      <w:tr w14:paraId="0D09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83" w:type="dxa"/>
            <w:vAlign w:val="center"/>
          </w:tcPr>
          <w:p w14:paraId="52830DA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558" w:type="dxa"/>
            <w:vAlign w:val="center"/>
          </w:tcPr>
          <w:p w14:paraId="0C47C11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558" w:type="dxa"/>
            <w:vAlign w:val="center"/>
          </w:tcPr>
          <w:p w14:paraId="6EC2DB9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合同金额（元）</w:t>
            </w:r>
          </w:p>
        </w:tc>
        <w:tc>
          <w:tcPr>
            <w:tcW w:w="1257" w:type="dxa"/>
            <w:vAlign w:val="center"/>
          </w:tcPr>
          <w:p w14:paraId="635F5F00">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p>
        </w:tc>
        <w:tc>
          <w:tcPr>
            <w:tcW w:w="2095" w:type="dxa"/>
            <w:vAlign w:val="center"/>
          </w:tcPr>
          <w:p w14:paraId="39C77E7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业主及联系方式</w:t>
            </w:r>
          </w:p>
        </w:tc>
        <w:tc>
          <w:tcPr>
            <w:tcW w:w="1328" w:type="dxa"/>
            <w:vAlign w:val="center"/>
          </w:tcPr>
          <w:p w14:paraId="18C67BE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02CC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83" w:type="dxa"/>
            <w:vAlign w:val="center"/>
          </w:tcPr>
          <w:p w14:paraId="5D1C8784">
            <w:pPr>
              <w:spacing w:line="440" w:lineRule="exact"/>
              <w:jc w:val="center"/>
              <w:rPr>
                <w:rFonts w:hint="eastAsia" w:ascii="宋体" w:hAnsi="宋体" w:eastAsia="宋体" w:cs="宋体"/>
                <w:color w:val="auto"/>
                <w:sz w:val="24"/>
                <w:szCs w:val="24"/>
                <w:highlight w:val="none"/>
                <w:lang w:val="en-US" w:eastAsia="zh-CN"/>
              </w:rPr>
            </w:pPr>
          </w:p>
        </w:tc>
        <w:tc>
          <w:tcPr>
            <w:tcW w:w="1558" w:type="dxa"/>
            <w:vAlign w:val="center"/>
          </w:tcPr>
          <w:p w14:paraId="5E236053">
            <w:pPr>
              <w:spacing w:line="440" w:lineRule="exact"/>
              <w:jc w:val="center"/>
              <w:rPr>
                <w:rFonts w:hint="eastAsia" w:ascii="宋体" w:hAnsi="宋体" w:eastAsia="宋体" w:cs="宋体"/>
                <w:color w:val="auto"/>
                <w:sz w:val="24"/>
                <w:szCs w:val="24"/>
                <w:highlight w:val="none"/>
                <w:lang w:val="en-US" w:eastAsia="zh-CN"/>
              </w:rPr>
            </w:pPr>
          </w:p>
        </w:tc>
        <w:tc>
          <w:tcPr>
            <w:tcW w:w="1558" w:type="dxa"/>
            <w:vAlign w:val="center"/>
          </w:tcPr>
          <w:p w14:paraId="69A64966">
            <w:pPr>
              <w:spacing w:line="440" w:lineRule="exact"/>
              <w:jc w:val="center"/>
              <w:rPr>
                <w:rFonts w:hint="eastAsia" w:ascii="宋体" w:hAnsi="宋体" w:eastAsia="宋体" w:cs="宋体"/>
                <w:color w:val="auto"/>
                <w:sz w:val="24"/>
                <w:szCs w:val="24"/>
                <w:highlight w:val="none"/>
                <w:lang w:val="en-US" w:eastAsia="zh-CN"/>
              </w:rPr>
            </w:pPr>
          </w:p>
        </w:tc>
        <w:tc>
          <w:tcPr>
            <w:tcW w:w="1257" w:type="dxa"/>
            <w:vAlign w:val="center"/>
          </w:tcPr>
          <w:p w14:paraId="424275CA">
            <w:pPr>
              <w:spacing w:line="440" w:lineRule="exact"/>
              <w:jc w:val="center"/>
              <w:rPr>
                <w:rFonts w:hint="eastAsia" w:ascii="宋体" w:hAnsi="宋体" w:eastAsia="宋体" w:cs="宋体"/>
                <w:color w:val="auto"/>
                <w:sz w:val="24"/>
                <w:szCs w:val="24"/>
                <w:highlight w:val="none"/>
                <w:lang w:val="en-US" w:eastAsia="zh-CN"/>
              </w:rPr>
            </w:pPr>
          </w:p>
        </w:tc>
        <w:tc>
          <w:tcPr>
            <w:tcW w:w="2095" w:type="dxa"/>
            <w:vAlign w:val="center"/>
          </w:tcPr>
          <w:p w14:paraId="47CE4513">
            <w:pPr>
              <w:spacing w:line="440" w:lineRule="exact"/>
              <w:jc w:val="center"/>
              <w:rPr>
                <w:rFonts w:hint="eastAsia" w:ascii="宋体" w:hAnsi="宋体" w:eastAsia="宋体" w:cs="宋体"/>
                <w:color w:val="auto"/>
                <w:sz w:val="24"/>
                <w:szCs w:val="24"/>
                <w:highlight w:val="none"/>
                <w:lang w:val="en-US" w:eastAsia="zh-CN"/>
              </w:rPr>
            </w:pPr>
          </w:p>
        </w:tc>
        <w:tc>
          <w:tcPr>
            <w:tcW w:w="1328" w:type="dxa"/>
            <w:vAlign w:val="center"/>
          </w:tcPr>
          <w:p w14:paraId="0506D1BE">
            <w:pPr>
              <w:spacing w:line="440" w:lineRule="exact"/>
              <w:jc w:val="center"/>
              <w:rPr>
                <w:rFonts w:hint="eastAsia" w:ascii="宋体" w:hAnsi="宋体" w:eastAsia="宋体" w:cs="宋体"/>
                <w:color w:val="auto"/>
                <w:sz w:val="24"/>
                <w:szCs w:val="24"/>
                <w:highlight w:val="none"/>
                <w:lang w:val="en-US" w:eastAsia="zh-CN"/>
              </w:rPr>
            </w:pPr>
          </w:p>
        </w:tc>
      </w:tr>
      <w:tr w14:paraId="6235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83" w:type="dxa"/>
            <w:vAlign w:val="center"/>
          </w:tcPr>
          <w:p w14:paraId="7C78D83F">
            <w:pPr>
              <w:spacing w:line="440" w:lineRule="exact"/>
              <w:jc w:val="center"/>
              <w:rPr>
                <w:rFonts w:hint="eastAsia" w:ascii="宋体" w:hAnsi="宋体" w:eastAsia="宋体" w:cs="宋体"/>
                <w:color w:val="auto"/>
                <w:sz w:val="24"/>
                <w:szCs w:val="24"/>
                <w:highlight w:val="none"/>
                <w:lang w:val="en-US" w:eastAsia="zh-CN"/>
              </w:rPr>
            </w:pPr>
          </w:p>
        </w:tc>
        <w:tc>
          <w:tcPr>
            <w:tcW w:w="1558" w:type="dxa"/>
            <w:vAlign w:val="center"/>
          </w:tcPr>
          <w:p w14:paraId="3436DD4D">
            <w:pPr>
              <w:spacing w:line="440" w:lineRule="exact"/>
              <w:jc w:val="center"/>
              <w:rPr>
                <w:rFonts w:hint="eastAsia" w:ascii="宋体" w:hAnsi="宋体" w:eastAsia="宋体" w:cs="宋体"/>
                <w:color w:val="auto"/>
                <w:sz w:val="24"/>
                <w:szCs w:val="24"/>
                <w:highlight w:val="none"/>
                <w:lang w:val="en-US" w:eastAsia="zh-CN"/>
              </w:rPr>
            </w:pPr>
          </w:p>
        </w:tc>
        <w:tc>
          <w:tcPr>
            <w:tcW w:w="1558" w:type="dxa"/>
            <w:vAlign w:val="center"/>
          </w:tcPr>
          <w:p w14:paraId="5080D9BA">
            <w:pPr>
              <w:spacing w:line="440" w:lineRule="exact"/>
              <w:jc w:val="center"/>
              <w:rPr>
                <w:rFonts w:hint="eastAsia" w:ascii="宋体" w:hAnsi="宋体" w:eastAsia="宋体" w:cs="宋体"/>
                <w:color w:val="auto"/>
                <w:sz w:val="24"/>
                <w:szCs w:val="24"/>
                <w:highlight w:val="none"/>
                <w:lang w:val="en-US" w:eastAsia="zh-CN"/>
              </w:rPr>
            </w:pPr>
          </w:p>
        </w:tc>
        <w:tc>
          <w:tcPr>
            <w:tcW w:w="1257" w:type="dxa"/>
            <w:vAlign w:val="center"/>
          </w:tcPr>
          <w:p w14:paraId="5D79B9FF">
            <w:pPr>
              <w:spacing w:line="440" w:lineRule="exact"/>
              <w:jc w:val="center"/>
              <w:rPr>
                <w:rFonts w:hint="eastAsia" w:ascii="宋体" w:hAnsi="宋体" w:eastAsia="宋体" w:cs="宋体"/>
                <w:color w:val="auto"/>
                <w:sz w:val="24"/>
                <w:szCs w:val="24"/>
                <w:highlight w:val="none"/>
                <w:lang w:val="en-US" w:eastAsia="zh-CN"/>
              </w:rPr>
            </w:pPr>
          </w:p>
        </w:tc>
        <w:tc>
          <w:tcPr>
            <w:tcW w:w="2095" w:type="dxa"/>
            <w:vAlign w:val="center"/>
          </w:tcPr>
          <w:p w14:paraId="77E64498">
            <w:pPr>
              <w:spacing w:line="440" w:lineRule="exact"/>
              <w:jc w:val="center"/>
              <w:rPr>
                <w:rFonts w:hint="eastAsia" w:ascii="宋体" w:hAnsi="宋体" w:eastAsia="宋体" w:cs="宋体"/>
                <w:color w:val="auto"/>
                <w:sz w:val="24"/>
                <w:szCs w:val="24"/>
                <w:highlight w:val="none"/>
                <w:lang w:val="en-US" w:eastAsia="zh-CN"/>
              </w:rPr>
            </w:pPr>
          </w:p>
        </w:tc>
        <w:tc>
          <w:tcPr>
            <w:tcW w:w="1328" w:type="dxa"/>
            <w:vAlign w:val="center"/>
          </w:tcPr>
          <w:p w14:paraId="0EF47BB8">
            <w:pPr>
              <w:spacing w:line="440" w:lineRule="exact"/>
              <w:jc w:val="center"/>
              <w:rPr>
                <w:rFonts w:hint="eastAsia" w:ascii="宋体" w:hAnsi="宋体" w:eastAsia="宋体" w:cs="宋体"/>
                <w:color w:val="auto"/>
                <w:sz w:val="24"/>
                <w:szCs w:val="24"/>
                <w:highlight w:val="none"/>
                <w:lang w:val="en-US" w:eastAsia="zh-CN"/>
              </w:rPr>
            </w:pPr>
          </w:p>
        </w:tc>
      </w:tr>
      <w:tr w14:paraId="5645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83" w:type="dxa"/>
            <w:vAlign w:val="center"/>
          </w:tcPr>
          <w:p w14:paraId="75F8CDEE">
            <w:pPr>
              <w:spacing w:line="440" w:lineRule="exact"/>
              <w:jc w:val="center"/>
              <w:rPr>
                <w:rFonts w:hint="eastAsia" w:ascii="宋体" w:hAnsi="宋体" w:eastAsia="宋体" w:cs="宋体"/>
                <w:color w:val="auto"/>
                <w:sz w:val="24"/>
                <w:szCs w:val="24"/>
                <w:highlight w:val="none"/>
                <w:lang w:val="en-US" w:eastAsia="zh-CN"/>
              </w:rPr>
            </w:pPr>
          </w:p>
        </w:tc>
        <w:tc>
          <w:tcPr>
            <w:tcW w:w="1558" w:type="dxa"/>
            <w:vAlign w:val="center"/>
          </w:tcPr>
          <w:p w14:paraId="3A02296F">
            <w:pPr>
              <w:spacing w:line="440" w:lineRule="exact"/>
              <w:jc w:val="center"/>
              <w:rPr>
                <w:rFonts w:hint="eastAsia" w:ascii="宋体" w:hAnsi="宋体" w:eastAsia="宋体" w:cs="宋体"/>
                <w:color w:val="auto"/>
                <w:sz w:val="24"/>
                <w:szCs w:val="24"/>
                <w:highlight w:val="none"/>
                <w:lang w:val="en-US" w:eastAsia="zh-CN"/>
              </w:rPr>
            </w:pPr>
          </w:p>
        </w:tc>
        <w:tc>
          <w:tcPr>
            <w:tcW w:w="1558" w:type="dxa"/>
            <w:vAlign w:val="center"/>
          </w:tcPr>
          <w:p w14:paraId="3CCEF244">
            <w:pPr>
              <w:spacing w:line="440" w:lineRule="exact"/>
              <w:jc w:val="center"/>
              <w:rPr>
                <w:rFonts w:hint="eastAsia" w:ascii="宋体" w:hAnsi="宋体" w:eastAsia="宋体" w:cs="宋体"/>
                <w:color w:val="auto"/>
                <w:sz w:val="24"/>
                <w:szCs w:val="24"/>
                <w:highlight w:val="none"/>
                <w:lang w:val="en-US" w:eastAsia="zh-CN"/>
              </w:rPr>
            </w:pPr>
          </w:p>
        </w:tc>
        <w:tc>
          <w:tcPr>
            <w:tcW w:w="1257" w:type="dxa"/>
            <w:vAlign w:val="center"/>
          </w:tcPr>
          <w:p w14:paraId="279DE675">
            <w:pPr>
              <w:spacing w:line="440" w:lineRule="exact"/>
              <w:jc w:val="center"/>
              <w:rPr>
                <w:rFonts w:hint="eastAsia" w:ascii="宋体" w:hAnsi="宋体" w:eastAsia="宋体" w:cs="宋体"/>
                <w:color w:val="auto"/>
                <w:sz w:val="24"/>
                <w:szCs w:val="24"/>
                <w:highlight w:val="none"/>
                <w:lang w:val="en-US" w:eastAsia="zh-CN"/>
              </w:rPr>
            </w:pPr>
          </w:p>
        </w:tc>
        <w:tc>
          <w:tcPr>
            <w:tcW w:w="2095" w:type="dxa"/>
            <w:vAlign w:val="center"/>
          </w:tcPr>
          <w:p w14:paraId="33C20897">
            <w:pPr>
              <w:spacing w:line="440" w:lineRule="exact"/>
              <w:jc w:val="center"/>
              <w:rPr>
                <w:rFonts w:hint="eastAsia" w:ascii="宋体" w:hAnsi="宋体" w:eastAsia="宋体" w:cs="宋体"/>
                <w:color w:val="auto"/>
                <w:sz w:val="24"/>
                <w:szCs w:val="24"/>
                <w:highlight w:val="none"/>
                <w:lang w:val="en-US" w:eastAsia="zh-CN"/>
              </w:rPr>
            </w:pPr>
          </w:p>
        </w:tc>
        <w:tc>
          <w:tcPr>
            <w:tcW w:w="1328" w:type="dxa"/>
            <w:vAlign w:val="center"/>
          </w:tcPr>
          <w:p w14:paraId="264FE032">
            <w:pPr>
              <w:spacing w:line="440" w:lineRule="exact"/>
              <w:jc w:val="center"/>
              <w:rPr>
                <w:rFonts w:hint="eastAsia" w:ascii="宋体" w:hAnsi="宋体" w:eastAsia="宋体" w:cs="宋体"/>
                <w:color w:val="auto"/>
                <w:sz w:val="24"/>
                <w:szCs w:val="24"/>
                <w:highlight w:val="none"/>
                <w:lang w:val="en-US" w:eastAsia="zh-CN"/>
              </w:rPr>
            </w:pPr>
          </w:p>
        </w:tc>
      </w:tr>
      <w:tr w14:paraId="6324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83" w:type="dxa"/>
            <w:vAlign w:val="center"/>
          </w:tcPr>
          <w:p w14:paraId="5D95C69C">
            <w:pPr>
              <w:spacing w:line="440" w:lineRule="exact"/>
              <w:jc w:val="center"/>
              <w:rPr>
                <w:rFonts w:hint="eastAsia" w:ascii="宋体" w:hAnsi="宋体" w:eastAsia="宋体" w:cs="宋体"/>
                <w:color w:val="auto"/>
                <w:sz w:val="24"/>
                <w:szCs w:val="24"/>
                <w:highlight w:val="none"/>
                <w:lang w:val="en-US" w:eastAsia="zh-CN"/>
              </w:rPr>
            </w:pPr>
          </w:p>
        </w:tc>
        <w:tc>
          <w:tcPr>
            <w:tcW w:w="1558" w:type="dxa"/>
            <w:vAlign w:val="center"/>
          </w:tcPr>
          <w:p w14:paraId="629AC4C5">
            <w:pPr>
              <w:spacing w:line="440" w:lineRule="exact"/>
              <w:jc w:val="center"/>
              <w:rPr>
                <w:rFonts w:hint="eastAsia" w:ascii="宋体" w:hAnsi="宋体" w:eastAsia="宋体" w:cs="宋体"/>
                <w:color w:val="auto"/>
                <w:sz w:val="24"/>
                <w:szCs w:val="24"/>
                <w:highlight w:val="none"/>
                <w:lang w:val="en-US" w:eastAsia="zh-CN"/>
              </w:rPr>
            </w:pPr>
          </w:p>
        </w:tc>
        <w:tc>
          <w:tcPr>
            <w:tcW w:w="1558" w:type="dxa"/>
            <w:vAlign w:val="center"/>
          </w:tcPr>
          <w:p w14:paraId="4212CA8E">
            <w:pPr>
              <w:spacing w:line="440" w:lineRule="exact"/>
              <w:jc w:val="center"/>
              <w:rPr>
                <w:rFonts w:hint="eastAsia" w:ascii="宋体" w:hAnsi="宋体" w:eastAsia="宋体" w:cs="宋体"/>
                <w:color w:val="auto"/>
                <w:sz w:val="24"/>
                <w:szCs w:val="24"/>
                <w:highlight w:val="none"/>
                <w:lang w:val="en-US" w:eastAsia="zh-CN"/>
              </w:rPr>
            </w:pPr>
          </w:p>
        </w:tc>
        <w:tc>
          <w:tcPr>
            <w:tcW w:w="1257" w:type="dxa"/>
            <w:vAlign w:val="center"/>
          </w:tcPr>
          <w:p w14:paraId="14F207F9">
            <w:pPr>
              <w:spacing w:line="440" w:lineRule="exact"/>
              <w:jc w:val="center"/>
              <w:rPr>
                <w:rFonts w:hint="eastAsia" w:ascii="宋体" w:hAnsi="宋体" w:eastAsia="宋体" w:cs="宋体"/>
                <w:color w:val="auto"/>
                <w:sz w:val="24"/>
                <w:szCs w:val="24"/>
                <w:highlight w:val="none"/>
                <w:lang w:val="en-US" w:eastAsia="zh-CN"/>
              </w:rPr>
            </w:pPr>
          </w:p>
        </w:tc>
        <w:tc>
          <w:tcPr>
            <w:tcW w:w="2095" w:type="dxa"/>
            <w:vAlign w:val="center"/>
          </w:tcPr>
          <w:p w14:paraId="158D70B2">
            <w:pPr>
              <w:spacing w:line="440" w:lineRule="exact"/>
              <w:jc w:val="center"/>
              <w:rPr>
                <w:rFonts w:hint="eastAsia" w:ascii="宋体" w:hAnsi="宋体" w:eastAsia="宋体" w:cs="宋体"/>
                <w:color w:val="auto"/>
                <w:sz w:val="24"/>
                <w:szCs w:val="24"/>
                <w:highlight w:val="none"/>
                <w:lang w:val="en-US" w:eastAsia="zh-CN"/>
              </w:rPr>
            </w:pPr>
          </w:p>
        </w:tc>
        <w:tc>
          <w:tcPr>
            <w:tcW w:w="1328" w:type="dxa"/>
            <w:vAlign w:val="center"/>
          </w:tcPr>
          <w:p w14:paraId="396A2AD3">
            <w:pPr>
              <w:spacing w:line="440" w:lineRule="exact"/>
              <w:jc w:val="center"/>
              <w:rPr>
                <w:rFonts w:hint="eastAsia" w:ascii="宋体" w:hAnsi="宋体" w:eastAsia="宋体" w:cs="宋体"/>
                <w:color w:val="auto"/>
                <w:sz w:val="24"/>
                <w:szCs w:val="24"/>
                <w:highlight w:val="none"/>
                <w:lang w:val="en-US" w:eastAsia="zh-CN"/>
              </w:rPr>
            </w:pPr>
          </w:p>
        </w:tc>
      </w:tr>
      <w:tr w14:paraId="435D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83" w:type="dxa"/>
            <w:vAlign w:val="center"/>
          </w:tcPr>
          <w:p w14:paraId="756CE112">
            <w:pPr>
              <w:spacing w:line="440" w:lineRule="exact"/>
              <w:jc w:val="center"/>
              <w:rPr>
                <w:rFonts w:hint="eastAsia" w:ascii="宋体" w:hAnsi="宋体" w:eastAsia="宋体" w:cs="宋体"/>
                <w:color w:val="auto"/>
                <w:sz w:val="24"/>
                <w:szCs w:val="24"/>
                <w:highlight w:val="none"/>
                <w:lang w:val="en-US" w:eastAsia="zh-CN"/>
              </w:rPr>
            </w:pPr>
          </w:p>
        </w:tc>
        <w:tc>
          <w:tcPr>
            <w:tcW w:w="1558" w:type="dxa"/>
            <w:vAlign w:val="center"/>
          </w:tcPr>
          <w:p w14:paraId="4B339E3D">
            <w:pPr>
              <w:spacing w:line="440" w:lineRule="exact"/>
              <w:jc w:val="center"/>
              <w:rPr>
                <w:rFonts w:hint="eastAsia" w:ascii="宋体" w:hAnsi="宋体" w:eastAsia="宋体" w:cs="宋体"/>
                <w:color w:val="auto"/>
                <w:sz w:val="24"/>
                <w:szCs w:val="24"/>
                <w:highlight w:val="none"/>
                <w:lang w:val="en-US" w:eastAsia="zh-CN"/>
              </w:rPr>
            </w:pPr>
          </w:p>
        </w:tc>
        <w:tc>
          <w:tcPr>
            <w:tcW w:w="1558" w:type="dxa"/>
            <w:vAlign w:val="center"/>
          </w:tcPr>
          <w:p w14:paraId="134F7824">
            <w:pPr>
              <w:spacing w:line="440" w:lineRule="exact"/>
              <w:jc w:val="center"/>
              <w:rPr>
                <w:rFonts w:hint="eastAsia" w:ascii="宋体" w:hAnsi="宋体" w:eastAsia="宋体" w:cs="宋体"/>
                <w:color w:val="auto"/>
                <w:sz w:val="24"/>
                <w:szCs w:val="24"/>
                <w:highlight w:val="none"/>
                <w:lang w:val="en-US" w:eastAsia="zh-CN"/>
              </w:rPr>
            </w:pPr>
          </w:p>
        </w:tc>
        <w:tc>
          <w:tcPr>
            <w:tcW w:w="1257" w:type="dxa"/>
            <w:vAlign w:val="center"/>
          </w:tcPr>
          <w:p w14:paraId="05321021">
            <w:pPr>
              <w:spacing w:line="440" w:lineRule="exact"/>
              <w:jc w:val="center"/>
              <w:rPr>
                <w:rFonts w:hint="eastAsia" w:ascii="宋体" w:hAnsi="宋体" w:eastAsia="宋体" w:cs="宋体"/>
                <w:color w:val="auto"/>
                <w:sz w:val="24"/>
                <w:szCs w:val="24"/>
                <w:highlight w:val="none"/>
                <w:lang w:val="en-US" w:eastAsia="zh-CN"/>
              </w:rPr>
            </w:pPr>
          </w:p>
        </w:tc>
        <w:tc>
          <w:tcPr>
            <w:tcW w:w="2095" w:type="dxa"/>
            <w:vAlign w:val="center"/>
          </w:tcPr>
          <w:p w14:paraId="292DE5D0">
            <w:pPr>
              <w:spacing w:line="440" w:lineRule="exact"/>
              <w:jc w:val="center"/>
              <w:rPr>
                <w:rFonts w:hint="eastAsia" w:ascii="宋体" w:hAnsi="宋体" w:eastAsia="宋体" w:cs="宋体"/>
                <w:color w:val="auto"/>
                <w:sz w:val="24"/>
                <w:szCs w:val="24"/>
                <w:highlight w:val="none"/>
                <w:lang w:val="en-US" w:eastAsia="zh-CN"/>
              </w:rPr>
            </w:pPr>
          </w:p>
        </w:tc>
        <w:tc>
          <w:tcPr>
            <w:tcW w:w="1328" w:type="dxa"/>
            <w:vAlign w:val="center"/>
          </w:tcPr>
          <w:p w14:paraId="2EA9B87A">
            <w:pPr>
              <w:spacing w:line="440" w:lineRule="exact"/>
              <w:jc w:val="center"/>
              <w:rPr>
                <w:rFonts w:hint="eastAsia" w:ascii="宋体" w:hAnsi="宋体" w:eastAsia="宋体" w:cs="宋体"/>
                <w:color w:val="auto"/>
                <w:sz w:val="24"/>
                <w:szCs w:val="24"/>
                <w:highlight w:val="none"/>
                <w:lang w:val="en-US" w:eastAsia="zh-CN"/>
              </w:rPr>
            </w:pPr>
          </w:p>
        </w:tc>
      </w:tr>
    </w:tbl>
    <w:p w14:paraId="5D76C269">
      <w:pPr>
        <w:rPr>
          <w:rFonts w:hint="eastAsia" w:ascii="宋体" w:hAnsi="宋体" w:eastAsia="宋体" w:cs="宋体"/>
          <w:b/>
          <w:bCs/>
          <w:color w:val="auto"/>
          <w:kern w:val="0"/>
          <w:sz w:val="28"/>
          <w:szCs w:val="28"/>
          <w:highlight w:val="none"/>
          <w:lang w:val="en-US" w:eastAsia="zh-CN"/>
        </w:rPr>
      </w:pPr>
    </w:p>
    <w:p w14:paraId="07FA23F1">
      <w:pPr>
        <w:rPr>
          <w:rFonts w:hint="eastAsia" w:ascii="宋体" w:hAnsi="宋体" w:eastAsia="宋体" w:cs="宋体"/>
          <w:b/>
          <w:bCs/>
          <w:color w:val="auto"/>
          <w:kern w:val="0"/>
          <w:sz w:val="28"/>
          <w:szCs w:val="28"/>
          <w:highlight w:val="none"/>
          <w:lang w:val="en-US" w:eastAsia="zh-CN"/>
        </w:rPr>
      </w:pPr>
    </w:p>
    <w:p w14:paraId="32B638C5">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b/>
          <w:bCs/>
          <w:color w:val="auto"/>
          <w:kern w:val="0"/>
          <w:sz w:val="24"/>
          <w:szCs w:val="24"/>
          <w:lang w:val="en-US" w:eastAsia="zh-CN" w:bidi="ar"/>
        </w:rPr>
        <w:t xml:space="preserve">注：1、后附业绩证明材料。 </w:t>
      </w:r>
    </w:p>
    <w:p w14:paraId="4652E13C">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b/>
          <w:bCs/>
          <w:color w:val="auto"/>
          <w:kern w:val="0"/>
          <w:sz w:val="24"/>
          <w:szCs w:val="24"/>
          <w:lang w:val="en-US" w:eastAsia="zh-CN" w:bidi="ar"/>
        </w:rPr>
        <w:t>2、投标人应如实填报，如有虚假，一经查实将导致其投标文件被拒绝。</w:t>
      </w:r>
    </w:p>
    <w:p w14:paraId="72FCD289">
      <w:pPr>
        <w:spacing w:line="360" w:lineRule="auto"/>
        <w:rPr>
          <w:rFonts w:hint="eastAsia" w:ascii="宋体" w:hAnsi="宋体" w:eastAsia="宋体" w:cs="宋体"/>
          <w:color w:val="auto"/>
          <w:sz w:val="28"/>
          <w:szCs w:val="28"/>
          <w:highlight w:val="none"/>
        </w:rPr>
      </w:pPr>
    </w:p>
    <w:p w14:paraId="67720AAB">
      <w:pPr>
        <w:spacing w:line="360" w:lineRule="auto"/>
        <w:rPr>
          <w:rFonts w:hint="eastAsia" w:ascii="宋体" w:hAnsi="宋体" w:eastAsia="宋体" w:cs="宋体"/>
          <w:color w:val="auto"/>
          <w:sz w:val="28"/>
          <w:szCs w:val="28"/>
          <w:highlight w:val="none"/>
        </w:rPr>
      </w:pPr>
    </w:p>
    <w:p w14:paraId="270B1DE2">
      <w:pPr>
        <w:spacing w:line="480" w:lineRule="auto"/>
        <w:ind w:firstLine="240" w:firstLineChars="1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14:paraId="213B7723">
      <w:pPr>
        <w:spacing w:line="48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p>
    <w:p w14:paraId="22BC9939">
      <w:pPr>
        <w:spacing w:line="360" w:lineRule="auto"/>
        <w:ind w:firstLine="240" w:firstLineChars="1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46B0069">
      <w:pP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br w:type="page"/>
      </w:r>
    </w:p>
    <w:p w14:paraId="51D8479F">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十一、陕西省政府采购供应商拒绝政府采购领域商业贿赂承诺书</w:t>
      </w:r>
    </w:p>
    <w:p w14:paraId="4CE520F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26DB098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1、在参与政府采购活动中遵纪守法、诚信经营、公平竞标。 </w:t>
      </w:r>
    </w:p>
    <w:p w14:paraId="794BE76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2、不向政府采购人、采购代理机构和政府采购评审专家进行任何形式的商业贿赂以谋取交易机会。 </w:t>
      </w:r>
    </w:p>
    <w:p w14:paraId="1FD4264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3、不向政府采购代理机构和采购人提供虚假资质文件或采用虚假应标方式参与政府采购市场竞争并谋取成交、成交。 </w:t>
      </w:r>
    </w:p>
    <w:p w14:paraId="2845E86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4、不采取“围标、陪标”等商业欺诈手段获得政府采购定单。 </w:t>
      </w:r>
    </w:p>
    <w:p w14:paraId="0A889E7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5、不采取不正当手段低毁、排挤其他供应商。 </w:t>
      </w:r>
    </w:p>
    <w:p w14:paraId="37B81AC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6、不在提供商品和服务时“偷梁换柱、以次充好”损害采购人的合法权益。 </w:t>
      </w:r>
    </w:p>
    <w:p w14:paraId="261A512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7、不与采购人、采购代理机构政府采购评审专家或其它供应商恶意串通，进行质疑和投诉，维护政府采购市场秩序。 </w:t>
      </w:r>
    </w:p>
    <w:p w14:paraId="2F1F632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8、尊重和接受政府采购监督管理部门的监督和政府采购代理机构招标采购要求，承担因违约行为给采购人造成的损失。 </w:t>
      </w:r>
    </w:p>
    <w:p w14:paraId="009F0AD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9、不发生其他有悖于政府采购公开、公平、公正和诚信原则的行为。 </w:t>
      </w:r>
    </w:p>
    <w:p w14:paraId="5BAA246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p>
    <w:p w14:paraId="16C25C5D">
      <w:pPr>
        <w:keepNext w:val="0"/>
        <w:keepLines w:val="0"/>
        <w:pageBreakBefore w:val="0"/>
        <w:widowControl/>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承诺单位：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（盖章）</w:t>
      </w:r>
    </w:p>
    <w:p w14:paraId="6642568B">
      <w:pPr>
        <w:keepNext w:val="0"/>
        <w:keepLines w:val="0"/>
        <w:pageBreakBefore w:val="0"/>
        <w:widowControl/>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（签字或盖章）</w:t>
      </w:r>
    </w:p>
    <w:p w14:paraId="4542FAE4">
      <w:pPr>
        <w:keepNext w:val="0"/>
        <w:keepLines w:val="0"/>
        <w:pageBreakBefore w:val="0"/>
        <w:widowControl/>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p w14:paraId="4F98B3A7">
      <w:pPr>
        <w:keepNext w:val="0"/>
        <w:keepLines w:val="0"/>
        <w:pageBreakBefore w:val="0"/>
        <w:widowControl/>
        <w:tabs>
          <w:tab w:val="left" w:pos="4680"/>
        </w:tabs>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78652EF">
      <w:pPr>
        <w:keepNext w:val="0"/>
        <w:keepLines w:val="0"/>
        <w:pageBreakBefore w:val="0"/>
        <w:kinsoku/>
        <w:wordWrap/>
        <w:overflowPunct/>
        <w:topLinePunct w:val="0"/>
        <w:autoSpaceDE/>
        <w:autoSpaceDN/>
        <w:bidi w:val="0"/>
        <w:adjustRightInd/>
        <w:snapToGrid/>
        <w:spacing w:line="500" w:lineRule="exact"/>
        <w:ind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年　　月　　日</w:t>
      </w:r>
    </w:p>
    <w:p w14:paraId="392D2BE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7B31D5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承诺书（</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175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00" w:type="dxa"/>
            <w:gridSpan w:val="3"/>
            <w:noWrap/>
            <w:vAlign w:val="center"/>
          </w:tcPr>
          <w:p w14:paraId="40DD32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安康华昊智远项目管理有限公司</w:t>
            </w:r>
          </w:p>
        </w:tc>
      </w:tr>
      <w:tr w14:paraId="3434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2D54DF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作为参加贵公司组织的采购项目的供应商，本公司承诺：在参加本项目招标之前不存在被依法禁止经营行为、财产被接管或冻结的情况，如有隐瞒实情，愿承担一切责任及后果。</w:t>
            </w:r>
          </w:p>
        </w:tc>
      </w:tr>
      <w:tr w14:paraId="60DA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240" w:type="dxa"/>
            <w:noWrap/>
            <w:vAlign w:val="center"/>
          </w:tcPr>
          <w:p w14:paraId="6CD4A3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3420" w:type="dxa"/>
            <w:noWrap/>
            <w:vAlign w:val="center"/>
          </w:tcPr>
          <w:p w14:paraId="78CB37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340" w:type="dxa"/>
            <w:noWrap/>
            <w:vAlign w:val="center"/>
          </w:tcPr>
          <w:p w14:paraId="1CB295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r w14:paraId="6C08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3240" w:type="dxa"/>
            <w:noWrap/>
            <w:vAlign w:val="center"/>
          </w:tcPr>
          <w:p w14:paraId="0242B0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3420" w:type="dxa"/>
            <w:noWrap/>
            <w:vAlign w:val="center"/>
          </w:tcPr>
          <w:p w14:paraId="58E0F9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c>
          <w:tcPr>
            <w:tcW w:w="2340" w:type="dxa"/>
            <w:noWrap/>
            <w:vAlign w:val="center"/>
          </w:tcPr>
          <w:p w14:paraId="36C3FA25">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7ECEE907">
      <w:pPr>
        <w:spacing w:line="360" w:lineRule="auto"/>
        <w:jc w:val="center"/>
        <w:rPr>
          <w:rFonts w:hint="eastAsia" w:ascii="宋体" w:hAnsi="宋体" w:eastAsia="宋体" w:cs="宋体"/>
          <w:b/>
          <w:color w:val="auto"/>
          <w:sz w:val="28"/>
          <w:szCs w:val="28"/>
          <w:highlight w:val="none"/>
        </w:rPr>
      </w:pPr>
    </w:p>
    <w:p w14:paraId="63B0DAE6">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承诺书（</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9A7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000" w:type="dxa"/>
            <w:gridSpan w:val="3"/>
            <w:noWrap/>
            <w:vAlign w:val="center"/>
          </w:tcPr>
          <w:p w14:paraId="6E0DDF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安康华昊智远项目管理有限公司</w:t>
            </w:r>
          </w:p>
        </w:tc>
      </w:tr>
      <w:tr w14:paraId="7FA2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313016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作为参加贵公司组织的采购项目的供应商，本公司郑重申告并承诺：近三年受到有关行政主管部门的行政处理、不良行为记录为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次（没有填零），如有隐瞒实情，愿承担一切责任及后果。</w:t>
            </w:r>
          </w:p>
        </w:tc>
      </w:tr>
      <w:tr w14:paraId="10F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240" w:type="dxa"/>
            <w:noWrap/>
            <w:vAlign w:val="center"/>
          </w:tcPr>
          <w:p w14:paraId="187A64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3420" w:type="dxa"/>
            <w:noWrap/>
            <w:vAlign w:val="center"/>
          </w:tcPr>
          <w:p w14:paraId="407B8B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340" w:type="dxa"/>
            <w:noWrap/>
            <w:vAlign w:val="center"/>
          </w:tcPr>
          <w:p w14:paraId="5E60E9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r w14:paraId="6954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3240" w:type="dxa"/>
            <w:noWrap/>
            <w:vAlign w:val="center"/>
          </w:tcPr>
          <w:p w14:paraId="4FCB2C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3420" w:type="dxa"/>
            <w:noWrap/>
            <w:vAlign w:val="center"/>
          </w:tcPr>
          <w:p w14:paraId="64BD3B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c>
          <w:tcPr>
            <w:tcW w:w="2340" w:type="dxa"/>
            <w:noWrap/>
            <w:vAlign w:val="center"/>
          </w:tcPr>
          <w:p w14:paraId="30B4AA3B">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0F0845E2">
      <w:pPr>
        <w:spacing w:line="360" w:lineRule="auto"/>
        <w:rPr>
          <w:rFonts w:hint="eastAsia" w:ascii="宋体" w:hAnsi="宋体" w:eastAsia="宋体" w:cs="宋体"/>
          <w:b/>
          <w:color w:val="auto"/>
          <w:sz w:val="28"/>
          <w:szCs w:val="28"/>
          <w:highlight w:val="none"/>
        </w:rPr>
      </w:pPr>
    </w:p>
    <w:p w14:paraId="1818534A">
      <w:pPr>
        <w:spacing w:line="360" w:lineRule="auto"/>
        <w:jc w:val="center"/>
        <w:rPr>
          <w:rFonts w:hint="eastAsia" w:ascii="宋体" w:hAnsi="宋体" w:eastAsia="宋体" w:cs="宋体"/>
          <w:b/>
          <w:color w:val="auto"/>
          <w:sz w:val="28"/>
          <w:szCs w:val="28"/>
          <w:highlight w:val="none"/>
        </w:rPr>
      </w:pPr>
    </w:p>
    <w:p w14:paraId="4BE62FB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C3C97CF">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承诺书（</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3FF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00" w:type="dxa"/>
            <w:gridSpan w:val="3"/>
            <w:noWrap/>
            <w:vAlign w:val="center"/>
          </w:tcPr>
          <w:p w14:paraId="18DD1F6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安康华昊智远项目管理有限公司</w:t>
            </w:r>
          </w:p>
        </w:tc>
      </w:tr>
      <w:tr w14:paraId="68C8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65170DD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作为参加贵公司组织的采购项目的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供应商，本公司郑重申告：近三年因产品供货问题（水货、替代品、次品、翻新品等）的不法行为记录为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次（没有填零），如有隐瞒实情，愿承担一切责任及后果。</w:t>
            </w:r>
          </w:p>
          <w:p w14:paraId="54E12DF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本公司承诺：本次谈判标的物为正品行货。</w:t>
            </w:r>
          </w:p>
        </w:tc>
      </w:tr>
      <w:tr w14:paraId="75E0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240" w:type="dxa"/>
            <w:noWrap/>
            <w:vAlign w:val="center"/>
          </w:tcPr>
          <w:p w14:paraId="767C055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3420" w:type="dxa"/>
            <w:noWrap/>
            <w:vAlign w:val="center"/>
          </w:tcPr>
          <w:p w14:paraId="20721DE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340" w:type="dxa"/>
            <w:noWrap/>
            <w:vAlign w:val="center"/>
          </w:tcPr>
          <w:p w14:paraId="5CDDF9D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r w14:paraId="057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3240" w:type="dxa"/>
            <w:noWrap/>
            <w:vAlign w:val="center"/>
          </w:tcPr>
          <w:p w14:paraId="0363086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3420" w:type="dxa"/>
            <w:noWrap/>
            <w:vAlign w:val="center"/>
          </w:tcPr>
          <w:p w14:paraId="2AC0171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c>
          <w:tcPr>
            <w:tcW w:w="2340" w:type="dxa"/>
            <w:noWrap/>
            <w:vAlign w:val="center"/>
          </w:tcPr>
          <w:p w14:paraId="5A94E06B">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5D2F3FD2">
      <w:pPr>
        <w:spacing w:line="360" w:lineRule="auto"/>
        <w:rPr>
          <w:rFonts w:hint="eastAsia" w:ascii="宋体" w:hAnsi="宋体" w:eastAsia="宋体" w:cs="宋体"/>
          <w:b/>
          <w:color w:val="auto"/>
          <w:sz w:val="40"/>
          <w:szCs w:val="40"/>
          <w:highlight w:val="none"/>
        </w:rPr>
      </w:pPr>
    </w:p>
    <w:p w14:paraId="5591AEB4">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承诺书（</w:t>
      </w: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A78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00" w:type="dxa"/>
            <w:gridSpan w:val="3"/>
            <w:noWrap/>
            <w:vAlign w:val="center"/>
          </w:tcPr>
          <w:p w14:paraId="088639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安康华昊智远项目管理有限公司</w:t>
            </w:r>
          </w:p>
        </w:tc>
      </w:tr>
      <w:tr w14:paraId="2A27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717B16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作为参加贵公司组织的采购项目的供应商，本公司承诺：参加本次</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提交的所有资质证明文件及业绩证明文件是真实的、有效的，如有隐瞒实情，愿承担一切责任及后果。</w:t>
            </w:r>
          </w:p>
        </w:tc>
      </w:tr>
      <w:tr w14:paraId="69C4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240" w:type="dxa"/>
            <w:noWrap/>
            <w:vAlign w:val="center"/>
          </w:tcPr>
          <w:p w14:paraId="57FB28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3420" w:type="dxa"/>
            <w:noWrap/>
            <w:vAlign w:val="center"/>
          </w:tcPr>
          <w:p w14:paraId="3E2634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340" w:type="dxa"/>
            <w:noWrap/>
            <w:vAlign w:val="center"/>
          </w:tcPr>
          <w:p w14:paraId="052F1E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r w14:paraId="0D7D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240" w:type="dxa"/>
            <w:noWrap/>
            <w:vAlign w:val="center"/>
          </w:tcPr>
          <w:p w14:paraId="69210B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3420" w:type="dxa"/>
            <w:noWrap/>
            <w:vAlign w:val="center"/>
          </w:tcPr>
          <w:p w14:paraId="369177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c>
          <w:tcPr>
            <w:tcW w:w="2340" w:type="dxa"/>
            <w:noWrap/>
            <w:vAlign w:val="center"/>
          </w:tcPr>
          <w:p w14:paraId="4258B8A0">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5E0E93F4">
      <w:pPr>
        <w:spacing w:line="360" w:lineRule="auto"/>
        <w:rPr>
          <w:rFonts w:hint="eastAsia" w:ascii="宋体" w:hAnsi="宋体" w:eastAsia="宋体" w:cs="宋体"/>
          <w:color w:val="auto"/>
          <w:highlight w:val="none"/>
        </w:rPr>
      </w:pPr>
    </w:p>
    <w:p w14:paraId="47E8C38A">
      <w:pP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br w:type="page"/>
      </w:r>
    </w:p>
    <w:p w14:paraId="7D03D994">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十二、其他证明资料</w:t>
      </w:r>
    </w:p>
    <w:p w14:paraId="4F788104">
      <w:pPr>
        <w:spacing w:line="360" w:lineRule="auto"/>
        <w:jc w:val="center"/>
        <w:rPr>
          <w:rFonts w:hint="eastAsia" w:ascii="宋体" w:hAnsi="宋体" w:eastAsia="宋体" w:cs="宋体"/>
          <w:b/>
          <w:bCs/>
          <w:color w:val="auto"/>
          <w:sz w:val="28"/>
          <w:szCs w:val="28"/>
          <w:highlight w:val="none"/>
        </w:rPr>
      </w:pPr>
    </w:p>
    <w:p w14:paraId="72D42C57">
      <w:pPr>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（供应商认为对其有利的</w:t>
      </w:r>
      <w:r>
        <w:rPr>
          <w:rFonts w:hint="eastAsia" w:ascii="宋体" w:hAnsi="宋体" w:eastAsia="宋体" w:cs="宋体"/>
          <w:b/>
          <w:bCs/>
          <w:color w:val="auto"/>
          <w:sz w:val="24"/>
          <w:szCs w:val="32"/>
          <w:highlight w:val="none"/>
          <w:lang w:val="en-US" w:eastAsia="zh-CN"/>
        </w:rPr>
        <w:t>资料</w:t>
      </w:r>
      <w:r>
        <w:rPr>
          <w:rFonts w:hint="eastAsia" w:ascii="宋体" w:hAnsi="宋体" w:eastAsia="宋体" w:cs="宋体"/>
          <w:b/>
          <w:bCs/>
          <w:color w:val="auto"/>
          <w:sz w:val="24"/>
          <w:szCs w:val="32"/>
          <w:highlight w:val="none"/>
        </w:rPr>
        <w:t>）</w:t>
      </w:r>
    </w:p>
    <w:p w14:paraId="0CB83AF6">
      <w:pPr>
        <w:rPr>
          <w:rFonts w:hint="eastAsia" w:ascii="宋体" w:hAnsi="宋体" w:eastAsia="宋体" w:cs="宋体"/>
          <w:color w:val="auto"/>
          <w:spacing w:val="12"/>
          <w:sz w:val="28"/>
          <w:szCs w:val="28"/>
          <w:highlight w:val="none"/>
          <w14:textOutline w14:w="5266" w14:cap="sq" w14:cmpd="sng">
            <w14:solidFill>
              <w14:srgbClr w14:val="000000"/>
            </w14:solidFill>
            <w14:prstDash w14:val="solid"/>
            <w14:bevel/>
          </w14:textOutline>
        </w:rPr>
      </w:pPr>
      <w:r>
        <w:rPr>
          <w:rFonts w:hint="eastAsia" w:ascii="宋体" w:hAnsi="宋体" w:eastAsia="宋体" w:cs="宋体"/>
          <w:color w:val="auto"/>
          <w:spacing w:val="12"/>
          <w:sz w:val="28"/>
          <w:szCs w:val="28"/>
          <w:highlight w:val="none"/>
          <w14:textOutline w14:w="5266" w14:cap="sq" w14:cmpd="sng">
            <w14:solidFill>
              <w14:srgbClr w14:val="000000"/>
            </w14:solidFill>
            <w14:prstDash w14:val="solid"/>
            <w14:bevel/>
          </w14:textOutline>
        </w:rPr>
        <w:br w:type="page"/>
      </w:r>
    </w:p>
    <w:p w14:paraId="40698350">
      <w:pPr>
        <w:spacing w:before="249" w:line="193" w:lineRule="auto"/>
        <w:ind w:left="55"/>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14:textOutline w14:w="5266" w14:cap="sq" w14:cmpd="sng">
            <w14:solidFill>
              <w14:srgbClr w14:val="000000"/>
            </w14:solidFill>
            <w14:prstDash w14:val="solid"/>
            <w14:bevel/>
          </w14:textOutline>
        </w:rPr>
        <w:t>附件</w:t>
      </w:r>
      <w:r>
        <w:rPr>
          <w:rFonts w:hint="eastAsia" w:ascii="宋体" w:hAnsi="宋体" w:eastAsia="宋体" w:cs="宋体"/>
          <w:color w:val="auto"/>
          <w:spacing w:val="12"/>
          <w:sz w:val="28"/>
          <w:szCs w:val="28"/>
          <w:highlight w:val="none"/>
          <w:lang w:val="en-US" w:eastAsia="zh-CN"/>
        </w:rPr>
        <w:t>1</w:t>
      </w:r>
      <w:r>
        <w:rPr>
          <w:rFonts w:hint="eastAsia" w:ascii="宋体" w:hAnsi="宋体" w:eastAsia="宋体" w:cs="宋体"/>
          <w:color w:val="auto"/>
          <w:spacing w:val="12"/>
          <w:sz w:val="28"/>
          <w:szCs w:val="28"/>
          <w:highlight w:val="none"/>
        </w:rPr>
        <w:t>：</w:t>
      </w:r>
    </w:p>
    <w:p w14:paraId="05B047B5">
      <w:pPr>
        <w:keepNext w:val="0"/>
        <w:keepLines w:val="0"/>
        <w:pageBreakBefore w:val="0"/>
        <w:widowControl w:val="0"/>
        <w:kinsoku/>
        <w:wordWrap/>
        <w:overflowPunct/>
        <w:topLinePunct w:val="0"/>
        <w:autoSpaceDE/>
        <w:autoSpaceDN/>
        <w:bidi w:val="0"/>
        <w:adjustRightInd/>
        <w:snapToGrid/>
        <w:spacing w:line="500" w:lineRule="exact"/>
        <w:ind w:left="0" w:right="0" w:firstLine="564"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1"/>
          <w:sz w:val="24"/>
          <w:szCs w:val="24"/>
          <w:highlight w:val="none"/>
          <w14:textOutline w14:w="4177" w14:cap="sq" w14:cmpd="sng">
            <w14:solidFill>
              <w14:srgbClr w14:val="000000"/>
            </w14:solidFill>
            <w14:prstDash w14:val="solid"/>
            <w14:bevel/>
          </w14:textOutline>
        </w:rPr>
        <w:t>★投标人对身份声明的真实性负责，提供《中小企业声明函》内容不实的,属于提供虚假材料谋取中标（成交</w:t>
      </w:r>
      <w:r>
        <w:rPr>
          <w:rFonts w:hint="eastAsia" w:ascii="宋体" w:hAnsi="宋体" w:eastAsia="宋体" w:cs="宋体"/>
          <w:b w:val="0"/>
          <w:bCs w:val="0"/>
          <w:color w:val="auto"/>
          <w:spacing w:val="6"/>
          <w:sz w:val="24"/>
          <w:szCs w:val="24"/>
          <w:highlight w:val="none"/>
          <w14:textOutline w14:w="4177" w14:cap="sq" w14:cmpd="sng">
            <w14:solidFill>
              <w14:srgbClr w14:val="000000"/>
            </w14:solidFill>
            <w14:prstDash w14:val="solid"/>
            <w14:bevel/>
          </w14:textOutline>
        </w:rPr>
        <w:t>），</w:t>
      </w:r>
      <w:r>
        <w:rPr>
          <w:rFonts w:hint="eastAsia" w:ascii="宋体" w:hAnsi="宋体" w:eastAsia="宋体" w:cs="宋体"/>
          <w:b w:val="0"/>
          <w:bCs w:val="0"/>
          <w:color w:val="auto"/>
          <w:spacing w:val="21"/>
          <w:sz w:val="24"/>
          <w:szCs w:val="24"/>
          <w:highlight w:val="none"/>
          <w14:textOutline w14:w="4177" w14:cap="sq" w14:cmpd="sng">
            <w14:solidFill>
              <w14:srgbClr w14:val="000000"/>
            </w14:solidFill>
            <w14:prstDash w14:val="solid"/>
            <w14:bevel/>
          </w14:textOutline>
        </w:rPr>
        <w:t>依照《政府采购法》有关规定追究相应</w:t>
      </w:r>
      <w:r>
        <w:rPr>
          <w:rFonts w:hint="eastAsia" w:ascii="宋体" w:hAnsi="宋体" w:eastAsia="宋体" w:cs="宋体"/>
          <w:b w:val="0"/>
          <w:bCs w:val="0"/>
          <w:color w:val="auto"/>
          <w:spacing w:val="8"/>
          <w:sz w:val="24"/>
          <w:szCs w:val="24"/>
          <w:highlight w:val="none"/>
          <w14:textOutline w14:w="4177" w14:cap="sq" w14:cmpd="sng">
            <w14:solidFill>
              <w14:srgbClr w14:val="000000"/>
            </w14:solidFill>
            <w14:prstDash w14:val="solid"/>
            <w14:bevel/>
          </w14:textOutline>
        </w:rPr>
        <w:t>责任。</w:t>
      </w:r>
    </w:p>
    <w:p w14:paraId="5B2B3A85">
      <w:pPr>
        <w:spacing w:before="329" w:line="231" w:lineRule="auto"/>
        <w:jc w:val="center"/>
        <w:rPr>
          <w:rFonts w:hint="eastAsia" w:ascii="宋体" w:hAnsi="宋体" w:eastAsia="宋体" w:cs="宋体"/>
          <w:color w:val="auto"/>
          <w:sz w:val="34"/>
          <w:szCs w:val="34"/>
          <w:highlight w:val="none"/>
        </w:rPr>
      </w:pPr>
      <w:r>
        <w:rPr>
          <w:rFonts w:hint="eastAsia" w:ascii="宋体" w:hAnsi="宋体" w:eastAsia="宋体" w:cs="宋体"/>
          <w:color w:val="auto"/>
          <w:spacing w:val="6"/>
          <w:sz w:val="34"/>
          <w:szCs w:val="34"/>
          <w:highlight w:val="none"/>
          <w14:textOutline w14:w="6356" w14:cap="sq" w14:cmpd="sng">
            <w14:solidFill>
              <w14:srgbClr w14:val="000000"/>
            </w14:solidFill>
            <w14:prstDash w14:val="solid"/>
            <w14:bevel/>
          </w14:textOutline>
        </w:rPr>
        <w:t>中小企业声明函</w:t>
      </w:r>
      <w:r>
        <w:rPr>
          <w:rFonts w:hint="eastAsia" w:ascii="宋体" w:hAnsi="宋体" w:eastAsia="宋体" w:cs="宋体"/>
          <w:color w:val="auto"/>
          <w:spacing w:val="6"/>
          <w:sz w:val="34"/>
          <w:szCs w:val="34"/>
          <w:highlight w:val="none"/>
          <w:lang w:val="en-US" w:eastAsia="zh-CN"/>
          <w14:textOutline w14:w="6356" w14:cap="sq" w14:cmpd="sng">
            <w14:solidFill>
              <w14:srgbClr w14:val="000000"/>
            </w14:solidFill>
            <w14:prstDash w14:val="solid"/>
            <w14:bevel/>
          </w14:textOutline>
        </w:rPr>
        <w:t>（货物</w:t>
      </w:r>
      <w:r>
        <w:rPr>
          <w:rFonts w:hint="eastAsia" w:ascii="宋体" w:hAnsi="宋体" w:eastAsia="宋体" w:cs="宋体"/>
          <w:color w:val="auto"/>
          <w:spacing w:val="6"/>
          <w:sz w:val="34"/>
          <w:szCs w:val="34"/>
          <w:highlight w:val="none"/>
          <w14:textOutline w14:w="6356" w14:cap="sq" w14:cmpd="sng">
            <w14:solidFill>
              <w14:srgbClr w14:val="000000"/>
            </w14:solidFill>
            <w14:prstDash w14:val="solid"/>
            <w14:bevel/>
          </w14:textOutline>
        </w:rPr>
        <w:t>）</w:t>
      </w:r>
    </w:p>
    <w:p w14:paraId="46119B21">
      <w:pPr>
        <w:spacing w:line="300" w:lineRule="auto"/>
        <w:rPr>
          <w:rFonts w:hint="eastAsia" w:ascii="宋体" w:hAnsi="宋体" w:eastAsia="宋体" w:cs="宋体"/>
          <w:color w:val="auto"/>
          <w:sz w:val="21"/>
          <w:highlight w:val="none"/>
        </w:rPr>
      </w:pPr>
    </w:p>
    <w:p w14:paraId="1C09379D">
      <w:pPr>
        <w:spacing w:before="73" w:line="390" w:lineRule="auto"/>
        <w:ind w:left="9" w:right="103" w:firstLine="496"/>
        <w:jc w:val="both"/>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本公司郑重声明，根据《政府采购促进</w:t>
      </w:r>
      <w:r>
        <w:rPr>
          <w:rFonts w:hint="eastAsia" w:ascii="宋体" w:hAnsi="宋体" w:eastAsia="宋体" w:cs="宋体"/>
          <w:color w:val="auto"/>
          <w:spacing w:val="21"/>
          <w:sz w:val="24"/>
          <w:szCs w:val="24"/>
          <w:highlight w:val="none"/>
        </w:rPr>
        <w:t>中小企业发展管理办法》(</w:t>
      </w:r>
      <w:r>
        <w:rPr>
          <w:rFonts w:hint="eastAsia" w:ascii="宋体" w:hAnsi="宋体" w:eastAsia="宋体" w:cs="宋体"/>
          <w:color w:val="auto"/>
          <w:spacing w:val="2"/>
          <w:sz w:val="24"/>
          <w:szCs w:val="24"/>
          <w:highlight w:val="none"/>
        </w:rPr>
        <w:t>财库﹝2020﹞46号）的规定，本公司</w:t>
      </w:r>
      <w:r>
        <w:rPr>
          <w:rFonts w:hint="eastAsia" w:ascii="宋体" w:hAnsi="宋体" w:eastAsia="宋体" w:cs="宋体"/>
          <w:color w:val="auto"/>
          <w:spacing w:val="1"/>
          <w:sz w:val="24"/>
          <w:szCs w:val="24"/>
          <w:highlight w:val="none"/>
        </w:rPr>
        <w:t>参加</w:t>
      </w:r>
      <w:r>
        <w:rPr>
          <w:rFonts w:hint="eastAsia" w:ascii="宋体" w:hAnsi="宋体" w:eastAsia="宋体" w:cs="宋体"/>
          <w:color w:val="auto"/>
          <w:spacing w:val="1"/>
          <w:sz w:val="24"/>
          <w:szCs w:val="24"/>
          <w:highlight w:val="none"/>
          <w:u w:val="single" w:color="auto"/>
        </w:rPr>
        <w:t>（单位名称）</w:t>
      </w:r>
      <w:r>
        <w:rPr>
          <w:rFonts w:hint="eastAsia" w:ascii="宋体" w:hAnsi="宋体" w:eastAsia="宋体" w:cs="宋体"/>
          <w:color w:val="auto"/>
          <w:spacing w:val="1"/>
          <w:sz w:val="24"/>
          <w:szCs w:val="24"/>
          <w:highlight w:val="none"/>
        </w:rPr>
        <w:t>的</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1"/>
          <w:sz w:val="24"/>
          <w:szCs w:val="24"/>
          <w:highlight w:val="none"/>
          <w:u w:val="single" w:color="auto"/>
          <w:lang w:val="en-US" w:eastAsia="zh-CN"/>
        </w:rPr>
        <w:t>标段</w:t>
      </w:r>
      <w:r>
        <w:rPr>
          <w:rFonts w:hint="eastAsia" w:ascii="宋体" w:hAnsi="宋体" w:eastAsia="宋体" w:cs="宋体"/>
          <w:color w:val="auto"/>
          <w:spacing w:val="1"/>
          <w:sz w:val="24"/>
          <w:szCs w:val="24"/>
          <w:highlight w:val="none"/>
          <w:u w:val="single" w:color="auto"/>
        </w:rPr>
        <w:t>名称）</w:t>
      </w:r>
      <w:r>
        <w:rPr>
          <w:rFonts w:hint="eastAsia" w:ascii="宋体" w:hAnsi="宋体" w:eastAsia="宋体" w:cs="宋体"/>
          <w:color w:val="auto"/>
          <w:spacing w:val="1"/>
          <w:sz w:val="24"/>
          <w:szCs w:val="24"/>
          <w:highlight w:val="none"/>
        </w:rPr>
        <w:t>采购</w:t>
      </w:r>
      <w:r>
        <w:rPr>
          <w:rFonts w:hint="eastAsia" w:ascii="宋体" w:hAnsi="宋体" w:eastAsia="宋体" w:cs="宋体"/>
          <w:color w:val="auto"/>
          <w:spacing w:val="21"/>
          <w:sz w:val="24"/>
          <w:szCs w:val="24"/>
          <w:highlight w:val="none"/>
        </w:rPr>
        <w:t>活动，提供的货物全部由符合政策要求的</w:t>
      </w:r>
      <w:r>
        <w:rPr>
          <w:rFonts w:hint="eastAsia" w:ascii="宋体" w:hAnsi="宋体" w:eastAsia="宋体" w:cs="宋体"/>
          <w:color w:val="auto"/>
          <w:spacing w:val="21"/>
          <w:sz w:val="24"/>
          <w:szCs w:val="24"/>
          <w:highlight w:val="none"/>
          <w:lang w:val="en-US" w:eastAsia="zh-CN"/>
        </w:rPr>
        <w:t>中小</w:t>
      </w:r>
      <w:r>
        <w:rPr>
          <w:rFonts w:hint="eastAsia" w:ascii="宋体" w:hAnsi="宋体" w:eastAsia="宋体" w:cs="宋体"/>
          <w:color w:val="auto"/>
          <w:spacing w:val="21"/>
          <w:sz w:val="24"/>
          <w:szCs w:val="24"/>
          <w:highlight w:val="none"/>
        </w:rPr>
        <w:t>企业制造。相关企业的具体情况如下。相关企业</w:t>
      </w:r>
      <w:r>
        <w:rPr>
          <w:rFonts w:hint="eastAsia" w:ascii="宋体" w:hAnsi="宋体" w:eastAsia="宋体" w:cs="宋体"/>
          <w:color w:val="auto"/>
          <w:spacing w:val="20"/>
          <w:sz w:val="24"/>
          <w:szCs w:val="24"/>
          <w:highlight w:val="none"/>
        </w:rPr>
        <w:t>的具体情况如下：</w:t>
      </w:r>
    </w:p>
    <w:p w14:paraId="5C21AD43">
      <w:pPr>
        <w:spacing w:before="71" w:line="392" w:lineRule="auto"/>
        <w:ind w:left="3" w:right="60" w:firstLine="511"/>
        <w:jc w:val="both"/>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1.</w:t>
      </w:r>
      <w:r>
        <w:rPr>
          <w:rFonts w:hint="eastAsia" w:ascii="宋体" w:hAnsi="宋体" w:eastAsia="宋体" w:cs="宋体"/>
          <w:color w:val="auto"/>
          <w:spacing w:val="19"/>
          <w:sz w:val="24"/>
          <w:szCs w:val="24"/>
          <w:highlight w:val="none"/>
          <w:u w:val="single" w:color="auto"/>
        </w:rPr>
        <w:t>（标的名称</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9"/>
          <w:sz w:val="24"/>
          <w:szCs w:val="24"/>
          <w:highlight w:val="none"/>
        </w:rPr>
        <w:t>属于</w:t>
      </w:r>
      <w:r>
        <w:rPr>
          <w:rFonts w:hint="eastAsia" w:ascii="宋体" w:hAnsi="宋体" w:eastAsia="宋体" w:cs="宋体"/>
          <w:color w:val="auto"/>
          <w:spacing w:val="19"/>
          <w:sz w:val="24"/>
          <w:szCs w:val="24"/>
          <w:highlight w:val="none"/>
          <w:u w:val="single" w:color="auto"/>
        </w:rPr>
        <w:t>（</w:t>
      </w:r>
      <w:r>
        <w:rPr>
          <w:rFonts w:hint="eastAsia" w:ascii="宋体" w:hAnsi="宋体" w:eastAsia="宋体" w:cs="宋体"/>
          <w:color w:val="auto"/>
          <w:spacing w:val="19"/>
          <w:sz w:val="24"/>
          <w:szCs w:val="24"/>
          <w:highlight w:val="none"/>
          <w:u w:val="single" w:color="auto"/>
          <w:lang w:eastAsia="zh-CN"/>
        </w:rPr>
        <w:t>采购文件</w:t>
      </w:r>
      <w:r>
        <w:rPr>
          <w:rFonts w:hint="eastAsia" w:ascii="宋体" w:hAnsi="宋体" w:eastAsia="宋体" w:cs="宋体"/>
          <w:color w:val="auto"/>
          <w:spacing w:val="19"/>
          <w:sz w:val="24"/>
          <w:szCs w:val="24"/>
          <w:highlight w:val="none"/>
          <w:u w:val="single" w:color="auto"/>
        </w:rPr>
        <w:t>中明确的所属行</w:t>
      </w:r>
      <w:r>
        <w:rPr>
          <w:rFonts w:hint="eastAsia" w:ascii="宋体" w:hAnsi="宋体" w:eastAsia="宋体" w:cs="宋体"/>
          <w:color w:val="auto"/>
          <w:spacing w:val="18"/>
          <w:sz w:val="24"/>
          <w:szCs w:val="24"/>
          <w:highlight w:val="none"/>
          <w:u w:val="single" w:color="auto"/>
        </w:rPr>
        <w:t>业）行业</w:t>
      </w:r>
      <w:r>
        <w:rPr>
          <w:rFonts w:hint="eastAsia" w:ascii="宋体" w:hAnsi="宋体" w:eastAsia="宋体" w:cs="宋体"/>
          <w:color w:val="auto"/>
          <w:spacing w:val="18"/>
          <w:sz w:val="24"/>
          <w:szCs w:val="24"/>
          <w:highlight w:val="none"/>
        </w:rPr>
        <w:t>；制造商为</w:t>
      </w:r>
      <w:r>
        <w:rPr>
          <w:rFonts w:hint="eastAsia" w:ascii="宋体" w:hAnsi="宋体" w:eastAsia="宋体" w:cs="宋体"/>
          <w:color w:val="auto"/>
          <w:spacing w:val="18"/>
          <w:sz w:val="24"/>
          <w:szCs w:val="24"/>
          <w:highlight w:val="none"/>
          <w:u w:val="single" w:color="auto"/>
        </w:rPr>
        <w:t>(</w:t>
      </w:r>
      <w:r>
        <w:rPr>
          <w:rFonts w:hint="eastAsia" w:ascii="宋体" w:hAnsi="宋体" w:eastAsia="宋体" w:cs="宋体"/>
          <w:color w:val="auto"/>
          <w:spacing w:val="10"/>
          <w:sz w:val="24"/>
          <w:szCs w:val="24"/>
          <w:highlight w:val="none"/>
          <w:u w:val="single" w:color="auto"/>
        </w:rPr>
        <w:t>企业名称</w:t>
      </w:r>
      <w:r>
        <w:rPr>
          <w:rFonts w:hint="eastAsia" w:ascii="宋体" w:hAnsi="宋体" w:eastAsia="宋体" w:cs="宋体"/>
          <w:color w:val="auto"/>
          <w:spacing w:val="12"/>
          <w:sz w:val="24"/>
          <w:szCs w:val="24"/>
          <w:highlight w:val="none"/>
          <w:u w:val="single" w:color="auto"/>
        </w:rPr>
        <w:t>）</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从业人员</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人，营业收入为</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万元，资产总额为</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万元，属</w:t>
      </w:r>
      <w:r>
        <w:rPr>
          <w:rFonts w:hint="eastAsia" w:ascii="宋体" w:hAnsi="宋体" w:eastAsia="宋体" w:cs="宋体"/>
          <w:color w:val="auto"/>
          <w:spacing w:val="16"/>
          <w:sz w:val="24"/>
          <w:szCs w:val="24"/>
          <w:highlight w:val="none"/>
        </w:rPr>
        <w:t>于</w:t>
      </w:r>
      <w:r>
        <w:rPr>
          <w:rFonts w:hint="eastAsia" w:ascii="宋体" w:hAnsi="宋体" w:eastAsia="宋体" w:cs="宋体"/>
          <w:color w:val="auto"/>
          <w:spacing w:val="16"/>
          <w:sz w:val="24"/>
          <w:szCs w:val="24"/>
          <w:highlight w:val="none"/>
          <w:u w:val="single" w:color="auto"/>
        </w:rPr>
        <w:t>（中型企业、小型企业、微型企业</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1"/>
          <w:sz w:val="24"/>
          <w:szCs w:val="24"/>
          <w:highlight w:val="none"/>
        </w:rPr>
        <w:t>；</w:t>
      </w:r>
    </w:p>
    <w:p w14:paraId="2EA86EE9">
      <w:pPr>
        <w:spacing w:before="72" w:line="391" w:lineRule="auto"/>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2.</w:t>
      </w:r>
      <w:r>
        <w:rPr>
          <w:rFonts w:hint="eastAsia" w:ascii="宋体" w:hAnsi="宋体" w:eastAsia="宋体" w:cs="宋体"/>
          <w:color w:val="auto"/>
          <w:spacing w:val="19"/>
          <w:sz w:val="24"/>
          <w:szCs w:val="24"/>
          <w:highlight w:val="none"/>
          <w:u w:val="single" w:color="auto"/>
        </w:rPr>
        <w:t>（标的名称</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9"/>
          <w:sz w:val="24"/>
          <w:szCs w:val="24"/>
          <w:highlight w:val="none"/>
        </w:rPr>
        <w:t>属于</w:t>
      </w:r>
      <w:r>
        <w:rPr>
          <w:rFonts w:hint="eastAsia" w:ascii="宋体" w:hAnsi="宋体" w:eastAsia="宋体" w:cs="宋体"/>
          <w:color w:val="auto"/>
          <w:spacing w:val="19"/>
          <w:sz w:val="24"/>
          <w:szCs w:val="24"/>
          <w:highlight w:val="none"/>
          <w:u w:val="single" w:color="auto"/>
        </w:rPr>
        <w:t>（</w:t>
      </w:r>
      <w:r>
        <w:rPr>
          <w:rFonts w:hint="eastAsia" w:ascii="宋体" w:hAnsi="宋体" w:eastAsia="宋体" w:cs="宋体"/>
          <w:color w:val="auto"/>
          <w:spacing w:val="19"/>
          <w:sz w:val="24"/>
          <w:szCs w:val="24"/>
          <w:highlight w:val="none"/>
          <w:u w:val="single" w:color="auto"/>
          <w:lang w:eastAsia="zh-CN"/>
        </w:rPr>
        <w:t>采购文件</w:t>
      </w:r>
      <w:r>
        <w:rPr>
          <w:rFonts w:hint="eastAsia" w:ascii="宋体" w:hAnsi="宋体" w:eastAsia="宋体" w:cs="宋体"/>
          <w:color w:val="auto"/>
          <w:spacing w:val="19"/>
          <w:sz w:val="24"/>
          <w:szCs w:val="24"/>
          <w:highlight w:val="none"/>
          <w:u w:val="single" w:color="auto"/>
        </w:rPr>
        <w:t>中明确的所属行</w:t>
      </w:r>
      <w:r>
        <w:rPr>
          <w:rFonts w:hint="eastAsia" w:ascii="宋体" w:hAnsi="宋体" w:eastAsia="宋体" w:cs="宋体"/>
          <w:color w:val="auto"/>
          <w:spacing w:val="18"/>
          <w:sz w:val="24"/>
          <w:szCs w:val="24"/>
          <w:highlight w:val="none"/>
          <w:u w:val="single" w:color="auto"/>
        </w:rPr>
        <w:t>业）行业</w:t>
      </w:r>
      <w:r>
        <w:rPr>
          <w:rFonts w:hint="eastAsia" w:ascii="宋体" w:hAnsi="宋体" w:eastAsia="宋体" w:cs="宋体"/>
          <w:color w:val="auto"/>
          <w:spacing w:val="18"/>
          <w:sz w:val="24"/>
          <w:szCs w:val="24"/>
          <w:highlight w:val="none"/>
        </w:rPr>
        <w:t>；制造商为</w:t>
      </w:r>
      <w:r>
        <w:rPr>
          <w:rFonts w:hint="eastAsia" w:ascii="宋体" w:hAnsi="宋体" w:eastAsia="宋体" w:cs="宋体"/>
          <w:color w:val="auto"/>
          <w:spacing w:val="18"/>
          <w:sz w:val="24"/>
          <w:szCs w:val="24"/>
          <w:highlight w:val="none"/>
          <w:u w:val="single" w:color="auto"/>
        </w:rPr>
        <w:t>(</w:t>
      </w:r>
      <w:r>
        <w:rPr>
          <w:rFonts w:hint="eastAsia" w:ascii="宋体" w:hAnsi="宋体" w:eastAsia="宋体" w:cs="宋体"/>
          <w:color w:val="auto"/>
          <w:spacing w:val="10"/>
          <w:sz w:val="24"/>
          <w:szCs w:val="24"/>
          <w:highlight w:val="none"/>
          <w:u w:val="single" w:color="auto"/>
        </w:rPr>
        <w:t>企业名称</w:t>
      </w:r>
      <w:r>
        <w:rPr>
          <w:rFonts w:hint="eastAsia" w:ascii="宋体" w:hAnsi="宋体" w:eastAsia="宋体" w:cs="宋体"/>
          <w:color w:val="auto"/>
          <w:spacing w:val="12"/>
          <w:sz w:val="24"/>
          <w:szCs w:val="24"/>
          <w:highlight w:val="none"/>
          <w:u w:val="single" w:color="auto"/>
        </w:rPr>
        <w:t>）</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从业人员</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人，营业收入为</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万元，资产总额为</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万元，属</w:t>
      </w:r>
      <w:r>
        <w:rPr>
          <w:rFonts w:hint="eastAsia" w:ascii="宋体" w:hAnsi="宋体" w:eastAsia="宋体" w:cs="宋体"/>
          <w:color w:val="auto"/>
          <w:spacing w:val="16"/>
          <w:sz w:val="24"/>
          <w:szCs w:val="24"/>
          <w:highlight w:val="none"/>
        </w:rPr>
        <w:t>于</w:t>
      </w:r>
      <w:r>
        <w:rPr>
          <w:rFonts w:hint="eastAsia" w:ascii="宋体" w:hAnsi="宋体" w:eastAsia="宋体" w:cs="宋体"/>
          <w:color w:val="auto"/>
          <w:spacing w:val="16"/>
          <w:sz w:val="24"/>
          <w:szCs w:val="24"/>
          <w:highlight w:val="none"/>
          <w:u w:val="single" w:color="auto"/>
        </w:rPr>
        <w:t>（中型企业、小型企业、微型企业</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z w:val="24"/>
          <w:szCs w:val="24"/>
          <w:highlight w:val="none"/>
        </w:rPr>
        <w:t>；</w:t>
      </w:r>
    </w:p>
    <w:p w14:paraId="1E4F5550">
      <w:pPr>
        <w:spacing w:before="72" w:line="360" w:lineRule="exact"/>
        <w:ind w:left="519"/>
        <w:rPr>
          <w:rFonts w:hint="eastAsia" w:ascii="宋体" w:hAnsi="宋体" w:eastAsia="宋体" w:cs="宋体"/>
          <w:color w:val="auto"/>
          <w:sz w:val="24"/>
          <w:szCs w:val="24"/>
          <w:highlight w:val="none"/>
        </w:rPr>
      </w:pPr>
      <w:r>
        <w:rPr>
          <w:rFonts w:hint="eastAsia" w:ascii="宋体" w:hAnsi="宋体" w:eastAsia="宋体" w:cs="宋体"/>
          <w:color w:val="auto"/>
          <w:spacing w:val="-3"/>
          <w:position w:val="3"/>
          <w:sz w:val="24"/>
          <w:szCs w:val="24"/>
          <w:highlight w:val="none"/>
        </w:rPr>
        <w:t>……</w:t>
      </w:r>
    </w:p>
    <w:p w14:paraId="32FE0012">
      <w:pPr>
        <w:spacing w:before="72" w:line="391"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以上企业，不属于大企业的分支机构，不存在控股股东为大企业的情形，也不存在与大企业的负责人为同一人的情形。</w:t>
      </w:r>
    </w:p>
    <w:p w14:paraId="7571CA4F">
      <w:pPr>
        <w:spacing w:line="284" w:lineRule="auto"/>
        <w:rPr>
          <w:rFonts w:hint="eastAsia" w:ascii="宋体" w:hAnsi="宋体" w:eastAsia="宋体" w:cs="宋体"/>
          <w:color w:val="auto"/>
          <w:sz w:val="24"/>
          <w:szCs w:val="24"/>
          <w:highlight w:val="none"/>
        </w:rPr>
      </w:pPr>
    </w:p>
    <w:p w14:paraId="06EBECBF">
      <w:pPr>
        <w:spacing w:before="71" w:line="229" w:lineRule="auto"/>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本企业对上述声明内容的真实性负责。如有虚</w:t>
      </w:r>
      <w:r>
        <w:rPr>
          <w:rFonts w:hint="eastAsia" w:ascii="宋体" w:hAnsi="宋体" w:eastAsia="宋体" w:cs="宋体"/>
          <w:color w:val="auto"/>
          <w:spacing w:val="22"/>
          <w:sz w:val="24"/>
          <w:szCs w:val="24"/>
          <w:highlight w:val="none"/>
        </w:rPr>
        <w:t>假，将依法承担相应责任。</w:t>
      </w:r>
    </w:p>
    <w:p w14:paraId="681B13E9">
      <w:pPr>
        <w:spacing w:line="258" w:lineRule="auto"/>
        <w:rPr>
          <w:rFonts w:hint="eastAsia" w:ascii="宋体" w:hAnsi="宋体" w:eastAsia="宋体" w:cs="宋体"/>
          <w:color w:val="auto"/>
          <w:sz w:val="24"/>
          <w:szCs w:val="24"/>
          <w:highlight w:val="none"/>
        </w:rPr>
      </w:pPr>
    </w:p>
    <w:p w14:paraId="4BBF2866">
      <w:pPr>
        <w:spacing w:before="72" w:line="487" w:lineRule="exact"/>
        <w:ind w:left="4683"/>
        <w:rPr>
          <w:rFonts w:hint="eastAsia" w:ascii="宋体" w:hAnsi="宋体" w:eastAsia="宋体" w:cs="宋体"/>
          <w:color w:val="auto"/>
          <w:sz w:val="24"/>
          <w:szCs w:val="24"/>
          <w:highlight w:val="none"/>
        </w:rPr>
      </w:pPr>
      <w:r>
        <w:rPr>
          <w:rFonts w:hint="eastAsia" w:ascii="宋体" w:hAnsi="宋体" w:eastAsia="宋体" w:cs="宋体"/>
          <w:color w:val="auto"/>
          <w:spacing w:val="29"/>
          <w:position w:val="19"/>
          <w:sz w:val="24"/>
          <w:szCs w:val="24"/>
          <w:highlight w:val="none"/>
        </w:rPr>
        <w:t>企业名称（盖章</w:t>
      </w:r>
      <w:r>
        <w:rPr>
          <w:rFonts w:hint="eastAsia" w:ascii="宋体" w:hAnsi="宋体" w:eastAsia="宋体" w:cs="宋体"/>
          <w:color w:val="auto"/>
          <w:spacing w:val="1"/>
          <w:position w:val="19"/>
          <w:sz w:val="24"/>
          <w:szCs w:val="24"/>
          <w:highlight w:val="none"/>
        </w:rPr>
        <w:t>）：</w:t>
      </w:r>
    </w:p>
    <w:p w14:paraId="10E42F95">
      <w:pPr>
        <w:spacing w:line="233" w:lineRule="auto"/>
        <w:ind w:firstLine="4784" w:firstLineChars="2300"/>
        <w:rPr>
          <w:rFonts w:hint="eastAsia" w:ascii="宋体" w:hAnsi="宋体" w:eastAsia="宋体" w:cs="宋体"/>
          <w:color w:val="auto"/>
          <w:highlight w:val="none"/>
        </w:rPr>
      </w:pPr>
      <w:r>
        <w:rPr>
          <w:rFonts w:hint="eastAsia" w:ascii="宋体" w:hAnsi="宋体" w:eastAsia="宋体" w:cs="宋体"/>
          <w:color w:val="auto"/>
          <w:spacing w:val="-16"/>
          <w:sz w:val="24"/>
          <w:szCs w:val="24"/>
          <w:highlight w:val="none"/>
        </w:rPr>
        <w:t>日</w:t>
      </w:r>
      <w:r>
        <w:rPr>
          <w:rFonts w:hint="eastAsia" w:ascii="宋体" w:hAnsi="宋体" w:eastAsia="宋体" w:cs="宋体"/>
          <w:color w:val="auto"/>
          <w:spacing w:val="-16"/>
          <w:sz w:val="24"/>
          <w:szCs w:val="24"/>
          <w:highlight w:val="none"/>
          <w:lang w:val="en-US" w:eastAsia="zh-CN"/>
        </w:rPr>
        <w:t xml:space="preserve">    </w:t>
      </w:r>
      <w:r>
        <w:rPr>
          <w:rFonts w:hint="eastAsia" w:ascii="宋体" w:hAnsi="宋体" w:eastAsia="宋体" w:cs="宋体"/>
          <w:color w:val="auto"/>
          <w:spacing w:val="-16"/>
          <w:sz w:val="24"/>
          <w:szCs w:val="24"/>
          <w:highlight w:val="none"/>
        </w:rPr>
        <w:t>期：</w:t>
      </w:r>
    </w:p>
    <w:p w14:paraId="77EE4ABC">
      <w:pPr>
        <w:spacing w:before="63" w:line="517" w:lineRule="exact"/>
        <w:jc w:val="left"/>
        <w:rPr>
          <w:rFonts w:hint="eastAsia" w:ascii="宋体" w:hAnsi="宋体" w:eastAsia="宋体" w:cs="宋体"/>
          <w:color w:val="auto"/>
          <w:spacing w:val="0"/>
          <w:position w:val="24"/>
          <w:sz w:val="19"/>
          <w:szCs w:val="19"/>
          <w:highlight w:val="none"/>
        </w:rPr>
      </w:pPr>
    </w:p>
    <w:p w14:paraId="0127083C">
      <w:pPr>
        <w:spacing w:before="63" w:line="517" w:lineRule="exact"/>
        <w:jc w:val="left"/>
        <w:rPr>
          <w:rFonts w:hint="eastAsia" w:ascii="宋体" w:hAnsi="宋体" w:eastAsia="宋体" w:cs="宋体"/>
          <w:color w:val="auto"/>
          <w:spacing w:val="21"/>
          <w:position w:val="25"/>
          <w:sz w:val="19"/>
          <w:szCs w:val="19"/>
          <w:highlight w:val="none"/>
          <w:lang w:eastAsia="zh-CN"/>
        </w:rPr>
      </w:pPr>
      <w:r>
        <w:rPr>
          <w:rFonts w:hint="eastAsia" w:ascii="宋体" w:hAnsi="宋体" w:eastAsia="宋体" w:cs="宋体"/>
          <w:color w:val="auto"/>
          <w:spacing w:val="0"/>
          <w:position w:val="24"/>
          <w:sz w:val="19"/>
          <w:szCs w:val="19"/>
          <w:highlight w:val="none"/>
        </w:rPr>
        <w:t>从业人员、营业收入、资产总额填报上一年度数据，无上一年度数据的新成立企业可不填报</w:t>
      </w:r>
      <w:r>
        <w:rPr>
          <w:rFonts w:hint="eastAsia" w:ascii="宋体" w:hAnsi="宋体" w:eastAsia="宋体" w:cs="宋体"/>
          <w:color w:val="auto"/>
          <w:spacing w:val="0"/>
          <w:position w:val="24"/>
          <w:sz w:val="19"/>
          <w:szCs w:val="19"/>
          <w:highlight w:val="none"/>
          <w:lang w:eastAsia="zh-CN"/>
        </w:rPr>
        <w:t>。</w:t>
      </w:r>
    </w:p>
    <w:p w14:paraId="2F1F4C39">
      <w:pPr>
        <w:rPr>
          <w:rFonts w:hint="eastAsia" w:ascii="宋体" w:hAnsi="宋体" w:eastAsia="宋体" w:cs="宋体"/>
          <w:color w:val="auto"/>
          <w:spacing w:val="21"/>
          <w:position w:val="25"/>
          <w:sz w:val="19"/>
          <w:szCs w:val="19"/>
          <w:highlight w:val="none"/>
        </w:rPr>
      </w:pPr>
      <w:r>
        <w:rPr>
          <w:rFonts w:hint="eastAsia" w:ascii="宋体" w:hAnsi="宋体" w:eastAsia="宋体" w:cs="宋体"/>
          <w:color w:val="auto"/>
          <w:spacing w:val="21"/>
          <w:position w:val="25"/>
          <w:sz w:val="19"/>
          <w:szCs w:val="19"/>
          <w:highlight w:val="none"/>
        </w:rPr>
        <w:br w:type="page"/>
      </w:r>
    </w:p>
    <w:p w14:paraId="21BC1C3B">
      <w:pPr>
        <w:spacing w:before="63" w:line="517" w:lineRule="exact"/>
        <w:jc w:val="both"/>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266" w14:cap="sq" w14:cmpd="sng">
            <w14:solidFill>
              <w14:srgbClr w14:val="000000"/>
            </w14:solidFill>
            <w14:prstDash w14:val="solid"/>
            <w14:bevel/>
          </w14:textOutline>
        </w:rPr>
        <w:t>附件</w:t>
      </w:r>
      <w:r>
        <w:rPr>
          <w:rFonts w:hint="eastAsia" w:ascii="宋体" w:hAnsi="宋体" w:eastAsia="宋体" w:cs="宋体"/>
          <w:color w:val="auto"/>
          <w:spacing w:val="-1"/>
          <w:sz w:val="28"/>
          <w:szCs w:val="28"/>
          <w:highlight w:val="none"/>
          <w:lang w:val="en-US" w:eastAsia="zh-CN"/>
        </w:rPr>
        <w:t>2</w:t>
      </w:r>
      <w:r>
        <w:rPr>
          <w:rFonts w:hint="eastAsia" w:ascii="宋体" w:hAnsi="宋体" w:eastAsia="宋体" w:cs="宋体"/>
          <w:color w:val="auto"/>
          <w:spacing w:val="-1"/>
          <w:sz w:val="28"/>
          <w:szCs w:val="28"/>
          <w:highlight w:val="none"/>
          <w14:textOutline w14:w="5266" w14:cap="sq" w14:cmpd="sng">
            <w14:solidFill>
              <w14:srgbClr w14:val="000000"/>
            </w14:solidFill>
            <w14:prstDash w14:val="solid"/>
            <w14:bevel/>
          </w14:textOutline>
        </w:rPr>
        <w:t>：</w:t>
      </w:r>
    </w:p>
    <w:p w14:paraId="3BD55F10">
      <w:pPr>
        <w:spacing w:line="415" w:lineRule="auto"/>
        <w:rPr>
          <w:rFonts w:hint="eastAsia" w:ascii="宋体" w:hAnsi="宋体" w:eastAsia="宋体" w:cs="宋体"/>
          <w:color w:val="auto"/>
          <w:sz w:val="21"/>
          <w:highlight w:val="none"/>
        </w:rPr>
      </w:pPr>
    </w:p>
    <w:p w14:paraId="650446B4">
      <w:pPr>
        <w:spacing w:before="111" w:line="231" w:lineRule="auto"/>
        <w:ind w:left="2030"/>
        <w:rPr>
          <w:rFonts w:hint="eastAsia" w:ascii="宋体" w:hAnsi="宋体" w:eastAsia="宋体" w:cs="宋体"/>
          <w:color w:val="auto"/>
          <w:sz w:val="34"/>
          <w:szCs w:val="34"/>
          <w:highlight w:val="none"/>
        </w:rPr>
      </w:pPr>
      <w:r>
        <w:rPr>
          <w:rFonts w:hint="eastAsia" w:ascii="宋体" w:hAnsi="宋体" w:eastAsia="宋体" w:cs="宋体"/>
          <w:color w:val="auto"/>
          <w:spacing w:val="11"/>
          <w:sz w:val="34"/>
          <w:szCs w:val="34"/>
          <w:highlight w:val="none"/>
          <w14:textOutline w14:w="6356" w14:cap="sq" w14:cmpd="sng">
            <w14:solidFill>
              <w14:srgbClr w14:val="000000"/>
            </w14:solidFill>
            <w14:prstDash w14:val="solid"/>
            <w14:bevel/>
          </w14:textOutline>
        </w:rPr>
        <w:t>残疾人福利性单位声明函(如有)</w:t>
      </w:r>
    </w:p>
    <w:p w14:paraId="338D2AF4">
      <w:pPr>
        <w:spacing w:line="383" w:lineRule="auto"/>
        <w:rPr>
          <w:rFonts w:hint="eastAsia" w:ascii="宋体" w:hAnsi="宋体" w:eastAsia="宋体" w:cs="宋体"/>
          <w:color w:val="auto"/>
          <w:sz w:val="21"/>
          <w:highlight w:val="none"/>
        </w:rPr>
      </w:pPr>
    </w:p>
    <w:p w14:paraId="72741821">
      <w:pPr>
        <w:spacing w:before="71" w:line="410" w:lineRule="auto"/>
        <w:ind w:left="3" w:firstLine="493"/>
        <w:jc w:val="both"/>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本单位郑重声明，根据《财政部民政部中国残疾人联合会关于促进残疾人就</w:t>
      </w:r>
      <w:r>
        <w:rPr>
          <w:rFonts w:hint="eastAsia" w:ascii="宋体" w:hAnsi="宋体" w:eastAsia="宋体" w:cs="宋体"/>
          <w:color w:val="auto"/>
          <w:spacing w:val="19"/>
          <w:sz w:val="24"/>
          <w:szCs w:val="24"/>
          <w:highlight w:val="none"/>
        </w:rPr>
        <w:t>业政府采购政策的通知》（财库〔2017〕</w:t>
      </w:r>
      <w:r>
        <w:rPr>
          <w:rFonts w:hint="eastAsia" w:ascii="宋体" w:hAnsi="宋体" w:eastAsia="宋体" w:cs="宋体"/>
          <w:color w:val="auto"/>
          <w:spacing w:val="18"/>
          <w:sz w:val="24"/>
          <w:szCs w:val="24"/>
          <w:highlight w:val="none"/>
        </w:rPr>
        <w:t>141号）的规定，本单位为符合条件的残</w:t>
      </w:r>
      <w:r>
        <w:rPr>
          <w:rFonts w:hint="eastAsia" w:ascii="宋体" w:hAnsi="宋体" w:eastAsia="宋体" w:cs="宋体"/>
          <w:color w:val="auto"/>
          <w:spacing w:val="19"/>
          <w:sz w:val="24"/>
          <w:szCs w:val="24"/>
          <w:highlight w:val="none"/>
        </w:rPr>
        <w:t>疾人福利性单位，且本单位参加单位的项目采购活动提供本单位制造</w:t>
      </w:r>
      <w:r>
        <w:rPr>
          <w:rFonts w:hint="eastAsia" w:ascii="宋体" w:hAnsi="宋体" w:eastAsia="宋体" w:cs="宋体"/>
          <w:color w:val="auto"/>
          <w:spacing w:val="28"/>
          <w:sz w:val="24"/>
          <w:szCs w:val="24"/>
          <w:highlight w:val="none"/>
        </w:rPr>
        <w:t>的货物（由本单位承担工程/提供服务</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28"/>
          <w:sz w:val="24"/>
          <w:szCs w:val="24"/>
          <w:highlight w:val="none"/>
        </w:rPr>
        <w:t>或者提供其他残疾人福利性单位制造的货</w:t>
      </w:r>
      <w:r>
        <w:rPr>
          <w:rFonts w:hint="eastAsia" w:ascii="宋体" w:hAnsi="宋体" w:eastAsia="宋体" w:cs="宋体"/>
          <w:color w:val="auto"/>
          <w:spacing w:val="25"/>
          <w:sz w:val="24"/>
          <w:szCs w:val="24"/>
          <w:highlight w:val="none"/>
        </w:rPr>
        <w:t>物（不包括使用非残疾人福利性单位注册商</w:t>
      </w:r>
      <w:r>
        <w:rPr>
          <w:rFonts w:hint="eastAsia" w:ascii="宋体" w:hAnsi="宋体" w:eastAsia="宋体" w:cs="宋体"/>
          <w:color w:val="auto"/>
          <w:spacing w:val="24"/>
          <w:sz w:val="24"/>
          <w:szCs w:val="24"/>
          <w:highlight w:val="none"/>
        </w:rPr>
        <w:t>标的货物）。</w:t>
      </w:r>
    </w:p>
    <w:p w14:paraId="577E5C0E">
      <w:pPr>
        <w:spacing w:line="325" w:lineRule="auto"/>
        <w:rPr>
          <w:rFonts w:hint="eastAsia" w:ascii="宋体" w:hAnsi="宋体" w:eastAsia="宋体" w:cs="宋体"/>
          <w:color w:val="auto"/>
          <w:sz w:val="24"/>
          <w:szCs w:val="24"/>
          <w:highlight w:val="none"/>
        </w:rPr>
      </w:pPr>
    </w:p>
    <w:p w14:paraId="3AD7D20F">
      <w:pPr>
        <w:spacing w:before="71" w:line="229" w:lineRule="auto"/>
        <w:ind w:left="377"/>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本单位对上述声明的真实性负责。如有虚假，将依法承担相</w:t>
      </w:r>
      <w:r>
        <w:rPr>
          <w:rFonts w:hint="eastAsia" w:ascii="宋体" w:hAnsi="宋体" w:eastAsia="宋体" w:cs="宋体"/>
          <w:color w:val="auto"/>
          <w:spacing w:val="24"/>
          <w:sz w:val="24"/>
          <w:szCs w:val="24"/>
          <w:highlight w:val="none"/>
        </w:rPr>
        <w:t>应责任。</w:t>
      </w:r>
    </w:p>
    <w:p w14:paraId="6ADDA6E7">
      <w:pPr>
        <w:spacing w:line="256" w:lineRule="auto"/>
        <w:rPr>
          <w:rFonts w:hint="eastAsia" w:ascii="宋体" w:hAnsi="宋体" w:eastAsia="宋体" w:cs="宋体"/>
          <w:color w:val="auto"/>
          <w:sz w:val="24"/>
          <w:szCs w:val="24"/>
          <w:highlight w:val="none"/>
        </w:rPr>
      </w:pPr>
    </w:p>
    <w:p w14:paraId="077AE9C5">
      <w:pPr>
        <w:spacing w:line="256" w:lineRule="auto"/>
        <w:rPr>
          <w:rFonts w:hint="eastAsia" w:ascii="宋体" w:hAnsi="宋体" w:eastAsia="宋体" w:cs="宋体"/>
          <w:color w:val="auto"/>
          <w:sz w:val="24"/>
          <w:szCs w:val="24"/>
          <w:highlight w:val="none"/>
        </w:rPr>
      </w:pPr>
    </w:p>
    <w:p w14:paraId="71612BED">
      <w:pPr>
        <w:spacing w:line="256" w:lineRule="auto"/>
        <w:rPr>
          <w:rFonts w:hint="eastAsia" w:ascii="宋体" w:hAnsi="宋体" w:eastAsia="宋体" w:cs="宋体"/>
          <w:color w:val="auto"/>
          <w:sz w:val="24"/>
          <w:szCs w:val="24"/>
          <w:highlight w:val="none"/>
        </w:rPr>
      </w:pPr>
    </w:p>
    <w:p w14:paraId="20D5C5E7">
      <w:pPr>
        <w:spacing w:line="256" w:lineRule="auto"/>
        <w:rPr>
          <w:rFonts w:hint="eastAsia" w:ascii="宋体" w:hAnsi="宋体" w:eastAsia="宋体" w:cs="宋体"/>
          <w:color w:val="auto"/>
          <w:sz w:val="24"/>
          <w:szCs w:val="24"/>
          <w:highlight w:val="none"/>
        </w:rPr>
      </w:pPr>
    </w:p>
    <w:p w14:paraId="0A39EEDE">
      <w:pPr>
        <w:spacing w:line="256" w:lineRule="auto"/>
        <w:rPr>
          <w:rFonts w:hint="eastAsia" w:ascii="宋体" w:hAnsi="宋体" w:eastAsia="宋体" w:cs="宋体"/>
          <w:color w:val="auto"/>
          <w:sz w:val="24"/>
          <w:szCs w:val="24"/>
          <w:highlight w:val="none"/>
        </w:rPr>
      </w:pPr>
    </w:p>
    <w:p w14:paraId="4C3BDD91">
      <w:pPr>
        <w:spacing w:line="256" w:lineRule="auto"/>
        <w:rPr>
          <w:rFonts w:hint="eastAsia" w:ascii="宋体" w:hAnsi="宋体" w:eastAsia="宋体" w:cs="宋体"/>
          <w:color w:val="auto"/>
          <w:sz w:val="24"/>
          <w:szCs w:val="24"/>
          <w:highlight w:val="none"/>
        </w:rPr>
      </w:pPr>
    </w:p>
    <w:p w14:paraId="4AC25B6E">
      <w:pPr>
        <w:spacing w:line="256" w:lineRule="auto"/>
        <w:rPr>
          <w:rFonts w:hint="eastAsia" w:ascii="宋体" w:hAnsi="宋体" w:eastAsia="宋体" w:cs="宋体"/>
          <w:color w:val="auto"/>
          <w:sz w:val="24"/>
          <w:szCs w:val="24"/>
          <w:highlight w:val="none"/>
        </w:rPr>
      </w:pPr>
    </w:p>
    <w:p w14:paraId="54C52617">
      <w:pPr>
        <w:spacing w:line="257" w:lineRule="auto"/>
        <w:rPr>
          <w:rFonts w:hint="eastAsia" w:ascii="宋体" w:hAnsi="宋体" w:eastAsia="宋体" w:cs="宋体"/>
          <w:color w:val="auto"/>
          <w:sz w:val="24"/>
          <w:szCs w:val="24"/>
          <w:highlight w:val="none"/>
        </w:rPr>
      </w:pPr>
    </w:p>
    <w:p w14:paraId="7B3922B9">
      <w:pPr>
        <w:spacing w:line="257" w:lineRule="auto"/>
        <w:rPr>
          <w:rFonts w:hint="eastAsia" w:ascii="宋体" w:hAnsi="宋体" w:eastAsia="宋体" w:cs="宋体"/>
          <w:color w:val="auto"/>
          <w:sz w:val="24"/>
          <w:szCs w:val="24"/>
          <w:highlight w:val="none"/>
        </w:rPr>
      </w:pPr>
    </w:p>
    <w:p w14:paraId="184060B9">
      <w:pPr>
        <w:spacing w:line="257" w:lineRule="auto"/>
        <w:rPr>
          <w:rFonts w:hint="eastAsia" w:ascii="宋体" w:hAnsi="宋体" w:eastAsia="宋体" w:cs="宋体"/>
          <w:color w:val="auto"/>
          <w:sz w:val="24"/>
          <w:szCs w:val="24"/>
          <w:highlight w:val="none"/>
        </w:rPr>
      </w:pPr>
    </w:p>
    <w:p w14:paraId="2CE0836F">
      <w:pPr>
        <w:spacing w:before="72" w:line="502" w:lineRule="exact"/>
        <w:ind w:left="4931"/>
        <w:rPr>
          <w:rFonts w:hint="eastAsia" w:ascii="宋体" w:hAnsi="宋体" w:eastAsia="宋体" w:cs="宋体"/>
          <w:color w:val="auto"/>
          <w:sz w:val="24"/>
          <w:szCs w:val="24"/>
          <w:highlight w:val="none"/>
        </w:rPr>
      </w:pPr>
      <w:r>
        <w:rPr>
          <w:rFonts w:hint="eastAsia" w:ascii="宋体" w:hAnsi="宋体" w:eastAsia="宋体" w:cs="宋体"/>
          <w:color w:val="auto"/>
          <w:spacing w:val="26"/>
          <w:position w:val="20"/>
          <w:sz w:val="24"/>
          <w:szCs w:val="24"/>
          <w:highlight w:val="none"/>
        </w:rPr>
        <w:t>单位名称（盖章</w:t>
      </w:r>
      <w:r>
        <w:rPr>
          <w:rFonts w:hint="eastAsia" w:ascii="宋体" w:hAnsi="宋体" w:eastAsia="宋体" w:cs="宋体"/>
          <w:color w:val="auto"/>
          <w:spacing w:val="2"/>
          <w:position w:val="20"/>
          <w:sz w:val="24"/>
          <w:szCs w:val="24"/>
          <w:highlight w:val="none"/>
        </w:rPr>
        <w:t>）：</w:t>
      </w:r>
    </w:p>
    <w:p w14:paraId="59403372">
      <w:pPr>
        <w:spacing w:line="233" w:lineRule="auto"/>
        <w:ind w:left="6220"/>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日</w:t>
      </w:r>
      <w:r>
        <w:rPr>
          <w:rFonts w:hint="eastAsia" w:ascii="宋体" w:hAnsi="宋体" w:eastAsia="宋体" w:cs="宋体"/>
          <w:color w:val="auto"/>
          <w:spacing w:val="-16"/>
          <w:sz w:val="24"/>
          <w:szCs w:val="24"/>
          <w:highlight w:val="none"/>
          <w:lang w:val="en-US" w:eastAsia="zh-CN"/>
        </w:rPr>
        <w:t xml:space="preserve">     </w:t>
      </w:r>
      <w:r>
        <w:rPr>
          <w:rFonts w:hint="eastAsia" w:ascii="宋体" w:hAnsi="宋体" w:eastAsia="宋体" w:cs="宋体"/>
          <w:color w:val="auto"/>
          <w:spacing w:val="-16"/>
          <w:sz w:val="24"/>
          <w:szCs w:val="24"/>
          <w:highlight w:val="none"/>
        </w:rPr>
        <w:t>期：</w:t>
      </w:r>
    </w:p>
    <w:p w14:paraId="2112F050">
      <w:pPr>
        <w:spacing w:line="256" w:lineRule="auto"/>
        <w:rPr>
          <w:rFonts w:hint="eastAsia" w:ascii="宋体" w:hAnsi="宋体" w:eastAsia="宋体" w:cs="宋体"/>
          <w:color w:val="auto"/>
          <w:sz w:val="24"/>
          <w:szCs w:val="24"/>
          <w:highlight w:val="none"/>
        </w:rPr>
      </w:pPr>
    </w:p>
    <w:p w14:paraId="0CF03971">
      <w:pPr>
        <w:spacing w:line="256" w:lineRule="auto"/>
        <w:rPr>
          <w:rFonts w:hint="eastAsia" w:ascii="宋体" w:hAnsi="宋体" w:eastAsia="宋体" w:cs="宋体"/>
          <w:color w:val="auto"/>
          <w:sz w:val="21"/>
          <w:highlight w:val="none"/>
        </w:rPr>
      </w:pPr>
    </w:p>
    <w:p w14:paraId="5F66A184">
      <w:pPr>
        <w:spacing w:line="257" w:lineRule="auto"/>
        <w:rPr>
          <w:rFonts w:hint="eastAsia" w:ascii="宋体" w:hAnsi="宋体" w:eastAsia="宋体" w:cs="宋体"/>
          <w:color w:val="auto"/>
          <w:sz w:val="21"/>
          <w:highlight w:val="none"/>
        </w:rPr>
      </w:pPr>
    </w:p>
    <w:p w14:paraId="75660F63">
      <w:pPr>
        <w:spacing w:line="257" w:lineRule="auto"/>
        <w:rPr>
          <w:rFonts w:hint="eastAsia" w:ascii="宋体" w:hAnsi="宋体" w:eastAsia="宋体" w:cs="宋体"/>
          <w:color w:val="auto"/>
          <w:sz w:val="21"/>
          <w:highlight w:val="none"/>
        </w:rPr>
      </w:pPr>
    </w:p>
    <w:p w14:paraId="3A557C40">
      <w:pPr>
        <w:spacing w:line="257" w:lineRule="auto"/>
        <w:rPr>
          <w:rFonts w:hint="eastAsia" w:ascii="宋体" w:hAnsi="宋体" w:eastAsia="宋体" w:cs="宋体"/>
          <w:color w:val="auto"/>
          <w:sz w:val="21"/>
          <w:highlight w:val="none"/>
        </w:rPr>
      </w:pPr>
    </w:p>
    <w:p w14:paraId="6F523240">
      <w:pPr>
        <w:spacing w:line="257" w:lineRule="auto"/>
        <w:rPr>
          <w:rFonts w:hint="eastAsia" w:ascii="宋体" w:hAnsi="宋体" w:eastAsia="宋体" w:cs="宋体"/>
          <w:color w:val="auto"/>
          <w:sz w:val="21"/>
          <w:highlight w:val="none"/>
        </w:rPr>
      </w:pPr>
    </w:p>
    <w:p w14:paraId="5F16EB5D">
      <w:pPr>
        <w:spacing w:line="257" w:lineRule="auto"/>
        <w:rPr>
          <w:rFonts w:hint="eastAsia" w:ascii="宋体" w:hAnsi="宋体" w:eastAsia="宋体" w:cs="宋体"/>
          <w:color w:val="auto"/>
          <w:sz w:val="21"/>
          <w:highlight w:val="none"/>
        </w:rPr>
      </w:pPr>
    </w:p>
    <w:p w14:paraId="0B5BF6C8">
      <w:pPr>
        <w:spacing w:line="257" w:lineRule="auto"/>
        <w:rPr>
          <w:rFonts w:hint="eastAsia" w:ascii="宋体" w:hAnsi="宋体" w:eastAsia="宋体" w:cs="宋体"/>
          <w:color w:val="auto"/>
          <w:sz w:val="21"/>
          <w:highlight w:val="none"/>
        </w:rPr>
      </w:pPr>
    </w:p>
    <w:p w14:paraId="163F21C5">
      <w:pPr>
        <w:spacing w:line="257" w:lineRule="auto"/>
        <w:rPr>
          <w:rFonts w:hint="eastAsia" w:ascii="宋体" w:hAnsi="宋体" w:eastAsia="宋体" w:cs="宋体"/>
          <w:color w:val="auto"/>
          <w:sz w:val="21"/>
          <w:highlight w:val="none"/>
        </w:rPr>
      </w:pPr>
    </w:p>
    <w:p w14:paraId="05F932F8">
      <w:pPr>
        <w:spacing w:line="257" w:lineRule="auto"/>
        <w:rPr>
          <w:rFonts w:hint="eastAsia" w:ascii="宋体" w:hAnsi="宋体" w:eastAsia="宋体" w:cs="宋体"/>
          <w:color w:val="auto"/>
          <w:sz w:val="21"/>
          <w:highlight w:val="none"/>
        </w:rPr>
      </w:pPr>
    </w:p>
    <w:p w14:paraId="146902B5">
      <w:pPr>
        <w:spacing w:before="72" w:line="232" w:lineRule="auto"/>
        <w:ind w:left="25"/>
        <w:rPr>
          <w:rFonts w:hint="eastAsia" w:ascii="宋体" w:hAnsi="宋体" w:eastAsia="宋体" w:cs="宋体"/>
          <w:color w:val="auto"/>
          <w:sz w:val="22"/>
          <w:szCs w:val="22"/>
          <w:highlight w:val="none"/>
        </w:rPr>
      </w:pPr>
      <w:r>
        <w:rPr>
          <w:rFonts w:hint="eastAsia" w:ascii="宋体" w:hAnsi="宋体" w:eastAsia="宋体" w:cs="宋体"/>
          <w:color w:val="auto"/>
          <w:spacing w:val="19"/>
          <w:sz w:val="22"/>
          <w:szCs w:val="22"/>
          <w:highlight w:val="none"/>
        </w:rPr>
        <w:t>注：如供应商不符合要求无需填写此表。</w:t>
      </w:r>
    </w:p>
    <w:p w14:paraId="636E35AD">
      <w:pPr>
        <w:spacing w:line="232" w:lineRule="auto"/>
        <w:rPr>
          <w:rFonts w:hint="eastAsia" w:ascii="宋体" w:hAnsi="宋体" w:eastAsia="宋体" w:cs="宋体"/>
          <w:color w:val="auto"/>
          <w:sz w:val="22"/>
          <w:szCs w:val="22"/>
          <w:highlight w:val="none"/>
        </w:rPr>
        <w:sectPr>
          <w:headerReference r:id="rId5" w:type="default"/>
          <w:footerReference r:id="rId6" w:type="default"/>
          <w:pgSz w:w="11905" w:h="16840"/>
          <w:pgMar w:top="1385" w:right="1361" w:bottom="1361" w:left="1474" w:header="0" w:footer="850" w:gutter="0"/>
          <w:pgNumType w:fmt="decimal"/>
          <w:cols w:space="720" w:num="1"/>
        </w:sectPr>
      </w:pPr>
    </w:p>
    <w:p w14:paraId="2997BBBD">
      <w:pPr>
        <w:spacing w:before="91" w:line="234" w:lineRule="auto"/>
        <w:ind w:left="3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14:textOutline w14:w="5266" w14:cap="sq" w14:cmpd="sng">
            <w14:solidFill>
              <w14:srgbClr w14:val="000000"/>
            </w14:solidFill>
            <w14:prstDash w14:val="solid"/>
            <w14:bevel/>
          </w14:textOutline>
        </w:rPr>
        <w:t>附件</w:t>
      </w:r>
      <w:r>
        <w:rPr>
          <w:rFonts w:hint="eastAsia" w:ascii="宋体" w:hAnsi="宋体" w:eastAsia="宋体" w:cs="宋体"/>
          <w:color w:val="auto"/>
          <w:spacing w:val="-3"/>
          <w:sz w:val="28"/>
          <w:szCs w:val="28"/>
          <w:highlight w:val="none"/>
          <w:lang w:val="en-US" w:eastAsia="zh-CN"/>
        </w:rPr>
        <w:t>3</w:t>
      </w:r>
      <w:r>
        <w:rPr>
          <w:rFonts w:hint="eastAsia" w:ascii="宋体" w:hAnsi="宋体" w:eastAsia="宋体" w:cs="宋体"/>
          <w:color w:val="auto"/>
          <w:spacing w:val="-3"/>
          <w:sz w:val="28"/>
          <w:szCs w:val="28"/>
          <w:highlight w:val="none"/>
          <w14:textOutline w14:w="5266" w14:cap="sq" w14:cmpd="sng">
            <w14:solidFill>
              <w14:srgbClr w14:val="000000"/>
            </w14:solidFill>
            <w14:prstDash w14:val="solid"/>
            <w14:bevel/>
          </w14:textOutline>
        </w:rPr>
        <w:t>：</w:t>
      </w:r>
    </w:p>
    <w:p w14:paraId="3A4A677A">
      <w:pPr>
        <w:spacing w:before="274" w:line="672" w:lineRule="exact"/>
        <w:ind w:left="170"/>
        <w:rPr>
          <w:rFonts w:hint="eastAsia" w:ascii="宋体" w:hAnsi="宋体" w:eastAsia="宋体" w:cs="宋体"/>
          <w:color w:val="auto"/>
          <w:sz w:val="28"/>
          <w:szCs w:val="28"/>
          <w:highlight w:val="none"/>
        </w:rPr>
      </w:pPr>
      <w:r>
        <w:rPr>
          <w:rFonts w:hint="eastAsia" w:ascii="宋体" w:hAnsi="宋体" w:eastAsia="宋体" w:cs="宋体"/>
          <w:color w:val="auto"/>
          <w:spacing w:val="-6"/>
          <w:position w:val="29"/>
          <w:sz w:val="28"/>
          <w:szCs w:val="28"/>
          <w:highlight w:val="none"/>
          <w14:textOutline w14:w="5103" w14:cap="sq" w14:cmpd="sng">
            <w14:solidFill>
              <w14:srgbClr w14:val="000000"/>
            </w14:solidFill>
            <w14:prstDash w14:val="solid"/>
            <w14:bevel/>
          </w14:textOutline>
        </w:rPr>
        <w:t>《中国政府采购网》最新颁布“节能产品政府采购</w:t>
      </w:r>
      <w:r>
        <w:rPr>
          <w:rFonts w:hint="eastAsia" w:ascii="宋体" w:hAnsi="宋体" w:eastAsia="宋体" w:cs="宋体"/>
          <w:color w:val="auto"/>
          <w:spacing w:val="-7"/>
          <w:position w:val="29"/>
          <w:sz w:val="28"/>
          <w:szCs w:val="28"/>
          <w:highlight w:val="none"/>
          <w14:textOutline w14:w="5103" w14:cap="sq" w14:cmpd="sng">
            <w14:solidFill>
              <w14:srgbClr w14:val="000000"/>
            </w14:solidFill>
            <w14:prstDash w14:val="solid"/>
            <w14:bevel/>
          </w14:textOutline>
        </w:rPr>
        <w:t>清单”和“环境标志</w:t>
      </w:r>
    </w:p>
    <w:p w14:paraId="76E2931A">
      <w:pPr>
        <w:spacing w:line="223" w:lineRule="auto"/>
        <w:ind w:left="2853"/>
        <w:rPr>
          <w:rFonts w:hint="eastAsia" w:ascii="宋体" w:hAnsi="宋体" w:eastAsia="宋体" w:cs="宋体"/>
          <w:color w:val="auto"/>
          <w:sz w:val="28"/>
          <w:szCs w:val="28"/>
          <w:highlight w:val="none"/>
        </w:rPr>
      </w:pPr>
      <w:r>
        <w:rPr>
          <w:rFonts w:hint="eastAsia" w:ascii="宋体" w:hAnsi="宋体" w:eastAsia="宋体" w:cs="宋体"/>
          <w:color w:val="auto"/>
          <w:spacing w:val="-17"/>
          <w:sz w:val="28"/>
          <w:szCs w:val="28"/>
          <w:highlight w:val="none"/>
          <w14:textOutline w14:w="5103" w14:cap="sq" w14:cmpd="sng">
            <w14:solidFill>
              <w14:srgbClr w14:val="000000"/>
            </w14:solidFill>
            <w14:prstDash w14:val="solid"/>
            <w14:bevel/>
          </w14:textOutline>
        </w:rPr>
        <w:t>产品政府采购清单”(如有)</w:t>
      </w:r>
    </w:p>
    <w:p w14:paraId="0038357E">
      <w:pPr>
        <w:spacing w:line="279" w:lineRule="auto"/>
        <w:rPr>
          <w:rFonts w:hint="eastAsia" w:ascii="宋体" w:hAnsi="宋体" w:eastAsia="宋体" w:cs="宋体"/>
          <w:color w:val="auto"/>
          <w:sz w:val="21"/>
          <w:highlight w:val="none"/>
        </w:rPr>
      </w:pPr>
    </w:p>
    <w:p w14:paraId="7D6517F2">
      <w:pPr>
        <w:spacing w:line="279" w:lineRule="auto"/>
        <w:rPr>
          <w:rFonts w:hint="eastAsia" w:ascii="宋体" w:hAnsi="宋体" w:eastAsia="宋体" w:cs="宋体"/>
          <w:color w:val="auto"/>
          <w:sz w:val="21"/>
          <w:highlight w:val="none"/>
        </w:rPr>
      </w:pPr>
    </w:p>
    <w:p w14:paraId="6C5F7527">
      <w:pPr>
        <w:spacing w:before="71" w:line="410" w:lineRule="auto"/>
        <w:ind w:left="3" w:firstLine="493"/>
        <w:jc w:val="both"/>
        <w:rPr>
          <w:rFonts w:hint="eastAsia" w:ascii="宋体" w:hAnsi="宋体" w:eastAsia="宋体" w:cs="宋体"/>
          <w:color w:val="auto"/>
          <w:spacing w:val="19"/>
          <w:sz w:val="24"/>
          <w:szCs w:val="24"/>
          <w:highlight w:val="none"/>
          <w:lang w:eastAsia="zh-CN"/>
        </w:rPr>
      </w:pPr>
      <w:r>
        <w:rPr>
          <w:rFonts w:hint="eastAsia" w:ascii="宋体" w:hAnsi="宋体" w:eastAsia="宋体" w:cs="宋体"/>
          <w:color w:val="auto"/>
          <w:spacing w:val="19"/>
          <w:sz w:val="24"/>
          <w:szCs w:val="24"/>
          <w:highlight w:val="none"/>
        </w:rPr>
        <w:t>注：供应商所投产品在《中国政府采购网》最新颁布“节能产品政府采购清单”和“环境标志产品政府采购清单”中的，有则提供复印件，没有不提供</w:t>
      </w:r>
      <w:r>
        <w:rPr>
          <w:rFonts w:hint="eastAsia" w:ascii="宋体" w:hAnsi="宋体" w:eastAsia="宋体" w:cs="宋体"/>
          <w:color w:val="auto"/>
          <w:spacing w:val="19"/>
          <w:sz w:val="24"/>
          <w:szCs w:val="24"/>
          <w:highlight w:val="none"/>
          <w:lang w:eastAsia="zh-CN"/>
        </w:rPr>
        <w:t>。</w:t>
      </w:r>
    </w:p>
    <w:p w14:paraId="10969152">
      <w:pPr>
        <w:spacing w:line="256" w:lineRule="auto"/>
        <w:rPr>
          <w:rFonts w:hint="eastAsia" w:ascii="宋体" w:hAnsi="宋体" w:eastAsia="宋体" w:cs="宋体"/>
          <w:color w:val="auto"/>
          <w:sz w:val="24"/>
          <w:szCs w:val="24"/>
          <w:highlight w:val="none"/>
        </w:rPr>
      </w:pPr>
    </w:p>
    <w:p w14:paraId="52CDB5D3">
      <w:pPr>
        <w:rPr>
          <w:rFonts w:hint="eastAsia" w:ascii="宋体" w:hAnsi="宋体" w:eastAsia="宋体" w:cs="宋体"/>
          <w:color w:val="auto"/>
          <w:highlight w:val="none"/>
        </w:rPr>
      </w:pPr>
    </w:p>
    <w:sectPr>
      <w:footerReference r:id="rId9" w:type="first"/>
      <w:headerReference r:id="rId7" w:type="default"/>
      <w:footerReference r:id="rId8" w:type="default"/>
      <w:pgSz w:w="11906" w:h="16838"/>
      <w:pgMar w:top="1418" w:right="1361" w:bottom="1304" w:left="1474" w:header="851" w:footer="992" w:gutter="34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1188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485C6">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9485C6">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2900">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73D09">
                          <w:pPr>
                            <w:pStyle w:val="11"/>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673D09">
                    <w:pPr>
                      <w:pStyle w:val="11"/>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DB09">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481C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3481C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73A4">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45ECF">
                          <w:pPr>
                            <w:pStyle w:val="11"/>
                          </w:pPr>
                          <w:r>
                            <w:t xml:space="preserve">第 </w:t>
                          </w:r>
                          <w:r>
                            <w:fldChar w:fldCharType="begin"/>
                          </w:r>
                          <w:r>
                            <w:instrText xml:space="preserve"> PAGE  \* MERGEFORMAT </w:instrText>
                          </w:r>
                          <w:r>
                            <w:fldChar w:fldCharType="separate"/>
                          </w:r>
                          <w:r>
                            <w:t>61</w:t>
                          </w:r>
                          <w:r>
                            <w:fldChar w:fldCharType="end"/>
                          </w:r>
                          <w:r>
                            <w:t xml:space="preserve"> 页 共 </w:t>
                          </w:r>
                          <w:r>
                            <w:rPr>
                              <w:rFonts w:hint="eastAsia"/>
                              <w:lang w:val="en-US" w:eastAsia="zh-CN"/>
                            </w:rPr>
                            <w:t>62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C45ECF">
                    <w:pPr>
                      <w:pStyle w:val="11"/>
                    </w:pPr>
                    <w:r>
                      <w:t xml:space="preserve">第 </w:t>
                    </w:r>
                    <w:r>
                      <w:fldChar w:fldCharType="begin"/>
                    </w:r>
                    <w:r>
                      <w:instrText xml:space="preserve"> PAGE  \* MERGEFORMAT </w:instrText>
                    </w:r>
                    <w:r>
                      <w:fldChar w:fldCharType="separate"/>
                    </w:r>
                    <w:r>
                      <w:t>61</w:t>
                    </w:r>
                    <w:r>
                      <w:fldChar w:fldCharType="end"/>
                    </w:r>
                    <w:r>
                      <w:t xml:space="preserve"> 页 共 </w:t>
                    </w:r>
                    <w:r>
                      <w:rPr>
                        <w:rFonts w:hint="eastAsia"/>
                        <w:lang w:val="en-US" w:eastAsia="zh-CN"/>
                      </w:rPr>
                      <w:t>62</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338B3">
    <w:pPr>
      <w:pStyle w:val="12"/>
    </w:pPr>
  </w:p>
  <w:p w14:paraId="0E2FD5B3">
    <w:pPr>
      <w:pStyle w:val="12"/>
    </w:pPr>
  </w:p>
  <w:p w14:paraId="4FFC167C">
    <w:pPr>
      <w:pStyle w:val="12"/>
    </w:pPr>
  </w:p>
  <w:p w14:paraId="438F07FC">
    <w:pPr>
      <w:pStyle w:val="12"/>
    </w:pPr>
  </w:p>
  <w:p w14:paraId="295A81C7">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5DF1B">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6521">
    <w:pPr>
      <w:spacing w:line="10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E7CC"/>
    <w:multiLevelType w:val="singleLevel"/>
    <w:tmpl w:val="A168E7CC"/>
    <w:lvl w:ilvl="0" w:tentative="0">
      <w:start w:val="4"/>
      <w:numFmt w:val="chineseCounting"/>
      <w:suff w:val="space"/>
      <w:lvlText w:val="第%1部分"/>
      <w:lvlJc w:val="left"/>
      <w:rPr>
        <w:rFonts w:hint="eastAsia"/>
      </w:rPr>
    </w:lvl>
  </w:abstractNum>
  <w:abstractNum w:abstractNumId="1">
    <w:nsid w:val="A97BB4E3"/>
    <w:multiLevelType w:val="singleLevel"/>
    <w:tmpl w:val="A97BB4E3"/>
    <w:lvl w:ilvl="0" w:tentative="0">
      <w:start w:val="1"/>
      <w:numFmt w:val="chineseCounting"/>
      <w:suff w:val="space"/>
      <w:lvlText w:val="（%1）"/>
      <w:lvlJc w:val="left"/>
      <w:rPr>
        <w:rFonts w:hint="eastAsia"/>
      </w:rPr>
    </w:lvl>
  </w:abstractNum>
  <w:abstractNum w:abstractNumId="2">
    <w:nsid w:val="B80A26E9"/>
    <w:multiLevelType w:val="multilevel"/>
    <w:tmpl w:val="B80A26E9"/>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CF189584"/>
    <w:multiLevelType w:val="singleLevel"/>
    <w:tmpl w:val="CF189584"/>
    <w:lvl w:ilvl="0" w:tentative="0">
      <w:start w:val="1"/>
      <w:numFmt w:val="decimal"/>
      <w:suff w:val="nothing"/>
      <w:lvlText w:val="（%1）"/>
      <w:lvlJc w:val="left"/>
    </w:lvl>
  </w:abstractNum>
  <w:abstractNum w:abstractNumId="4">
    <w:nsid w:val="D327CDC1"/>
    <w:multiLevelType w:val="singleLevel"/>
    <w:tmpl w:val="D327CDC1"/>
    <w:lvl w:ilvl="0" w:tentative="0">
      <w:start w:val="1"/>
      <w:numFmt w:val="chineseCounting"/>
      <w:suff w:val="nothing"/>
      <w:lvlText w:val="%1、"/>
      <w:lvlJc w:val="left"/>
      <w:rPr>
        <w:rFonts w:hint="eastAsia"/>
      </w:rPr>
    </w:lvl>
  </w:abstractNum>
  <w:abstractNum w:abstractNumId="5">
    <w:nsid w:val="FE9F4FD7"/>
    <w:multiLevelType w:val="singleLevel"/>
    <w:tmpl w:val="FE9F4FD7"/>
    <w:lvl w:ilvl="0" w:tentative="0">
      <w:start w:val="1"/>
      <w:numFmt w:val="decimal"/>
      <w:suff w:val="nothing"/>
      <w:lvlText w:val="%1、"/>
      <w:lvlJc w:val="left"/>
    </w:lvl>
  </w:abstractNum>
  <w:abstractNum w:abstractNumId="6">
    <w:nsid w:val="1344B99B"/>
    <w:multiLevelType w:val="singleLevel"/>
    <w:tmpl w:val="1344B99B"/>
    <w:lvl w:ilvl="0" w:tentative="0">
      <w:start w:val="4"/>
      <w:numFmt w:val="decimal"/>
      <w:suff w:val="nothing"/>
      <w:lvlText w:val="（%1）"/>
      <w:lvlJc w:val="left"/>
    </w:lvl>
  </w:abstractNum>
  <w:abstractNum w:abstractNumId="7">
    <w:nsid w:val="6E35316E"/>
    <w:multiLevelType w:val="multilevel"/>
    <w:tmpl w:val="6E35316E"/>
    <w:lvl w:ilvl="0" w:tentative="0">
      <w:start w:val="1"/>
      <w:numFmt w:val="decimal"/>
      <w:lvlText w:val="%1."/>
      <w:lvlJc w:val="left"/>
      <w:pPr>
        <w:ind w:left="562"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ZjRlMTFmMDBmYmY5YWViYjJlNzcyODE3N2E2MTEifQ=="/>
  </w:docVars>
  <w:rsids>
    <w:rsidRoot w:val="0E6D6D49"/>
    <w:rsid w:val="018C0E54"/>
    <w:rsid w:val="0206563A"/>
    <w:rsid w:val="021358C1"/>
    <w:rsid w:val="027D0F8C"/>
    <w:rsid w:val="02996D33"/>
    <w:rsid w:val="02CA2D3C"/>
    <w:rsid w:val="039D18E6"/>
    <w:rsid w:val="03BD120C"/>
    <w:rsid w:val="04006109"/>
    <w:rsid w:val="04044322"/>
    <w:rsid w:val="040A684F"/>
    <w:rsid w:val="044B7594"/>
    <w:rsid w:val="04812FB5"/>
    <w:rsid w:val="04C410F4"/>
    <w:rsid w:val="04D07A99"/>
    <w:rsid w:val="04DA35CD"/>
    <w:rsid w:val="05C649F8"/>
    <w:rsid w:val="05D72BD0"/>
    <w:rsid w:val="06020126"/>
    <w:rsid w:val="063E0A32"/>
    <w:rsid w:val="067E3643"/>
    <w:rsid w:val="07122BA3"/>
    <w:rsid w:val="073836D3"/>
    <w:rsid w:val="07D70435"/>
    <w:rsid w:val="07FB6BDB"/>
    <w:rsid w:val="08A23589"/>
    <w:rsid w:val="08E1392C"/>
    <w:rsid w:val="08E677FE"/>
    <w:rsid w:val="091C14FF"/>
    <w:rsid w:val="09DA6CC4"/>
    <w:rsid w:val="0A9F5D59"/>
    <w:rsid w:val="0AA01CBB"/>
    <w:rsid w:val="0B0E675C"/>
    <w:rsid w:val="0B195C36"/>
    <w:rsid w:val="0B4B5088"/>
    <w:rsid w:val="0B5302F5"/>
    <w:rsid w:val="0C823740"/>
    <w:rsid w:val="0C922D96"/>
    <w:rsid w:val="0CAF4196"/>
    <w:rsid w:val="0D501777"/>
    <w:rsid w:val="0D75742F"/>
    <w:rsid w:val="0DC72D2F"/>
    <w:rsid w:val="0DD51AD7"/>
    <w:rsid w:val="0DD561FF"/>
    <w:rsid w:val="0E252C04"/>
    <w:rsid w:val="0E6D6D49"/>
    <w:rsid w:val="0EBB301A"/>
    <w:rsid w:val="0EDD528C"/>
    <w:rsid w:val="0F195A79"/>
    <w:rsid w:val="0FFF7484"/>
    <w:rsid w:val="107728F9"/>
    <w:rsid w:val="116731A8"/>
    <w:rsid w:val="11F12DFD"/>
    <w:rsid w:val="12AD15F9"/>
    <w:rsid w:val="12B130A8"/>
    <w:rsid w:val="13286CF2"/>
    <w:rsid w:val="139511CE"/>
    <w:rsid w:val="13CE3643"/>
    <w:rsid w:val="13D11138"/>
    <w:rsid w:val="14B552A7"/>
    <w:rsid w:val="15915C59"/>
    <w:rsid w:val="15997A33"/>
    <w:rsid w:val="15AE1730"/>
    <w:rsid w:val="1723320B"/>
    <w:rsid w:val="17291E35"/>
    <w:rsid w:val="175E2CE2"/>
    <w:rsid w:val="185145F5"/>
    <w:rsid w:val="18E65B6A"/>
    <w:rsid w:val="19836A30"/>
    <w:rsid w:val="1990114D"/>
    <w:rsid w:val="19B968F6"/>
    <w:rsid w:val="1A443B02"/>
    <w:rsid w:val="1A8844E0"/>
    <w:rsid w:val="1AB37588"/>
    <w:rsid w:val="1C5648D0"/>
    <w:rsid w:val="1C613338"/>
    <w:rsid w:val="1C6E1C1A"/>
    <w:rsid w:val="1CE26164"/>
    <w:rsid w:val="1D1A0EC9"/>
    <w:rsid w:val="1D96071E"/>
    <w:rsid w:val="1EF673B7"/>
    <w:rsid w:val="1F56559A"/>
    <w:rsid w:val="1F737547"/>
    <w:rsid w:val="1FF73CD4"/>
    <w:rsid w:val="20556D26"/>
    <w:rsid w:val="22145011"/>
    <w:rsid w:val="22ED1F1E"/>
    <w:rsid w:val="23183C93"/>
    <w:rsid w:val="2342170A"/>
    <w:rsid w:val="23FB4BF7"/>
    <w:rsid w:val="2428519D"/>
    <w:rsid w:val="24BE3012"/>
    <w:rsid w:val="251B2213"/>
    <w:rsid w:val="257E7947"/>
    <w:rsid w:val="257F27A2"/>
    <w:rsid w:val="26B04515"/>
    <w:rsid w:val="26DB60FD"/>
    <w:rsid w:val="26FE7E5E"/>
    <w:rsid w:val="28011B94"/>
    <w:rsid w:val="28894FF8"/>
    <w:rsid w:val="28BC1F5F"/>
    <w:rsid w:val="28D31949"/>
    <w:rsid w:val="28E77A9F"/>
    <w:rsid w:val="29211DC2"/>
    <w:rsid w:val="292D4B55"/>
    <w:rsid w:val="29B42C36"/>
    <w:rsid w:val="2A6E6E8F"/>
    <w:rsid w:val="2A852EF6"/>
    <w:rsid w:val="2CA3146B"/>
    <w:rsid w:val="2CDD3231"/>
    <w:rsid w:val="2D4B38B1"/>
    <w:rsid w:val="2D8A262B"/>
    <w:rsid w:val="2ED46580"/>
    <w:rsid w:val="2EDD7195"/>
    <w:rsid w:val="2F0E13CD"/>
    <w:rsid w:val="308710A4"/>
    <w:rsid w:val="3120007C"/>
    <w:rsid w:val="32252923"/>
    <w:rsid w:val="32BC3287"/>
    <w:rsid w:val="332630AA"/>
    <w:rsid w:val="33956BAF"/>
    <w:rsid w:val="35043DA8"/>
    <w:rsid w:val="35483FFF"/>
    <w:rsid w:val="35735B23"/>
    <w:rsid w:val="359921C6"/>
    <w:rsid w:val="36056CF3"/>
    <w:rsid w:val="360D204B"/>
    <w:rsid w:val="36857806"/>
    <w:rsid w:val="369F304F"/>
    <w:rsid w:val="36EE59D9"/>
    <w:rsid w:val="372A6B8C"/>
    <w:rsid w:val="37A81B9B"/>
    <w:rsid w:val="380D1E8F"/>
    <w:rsid w:val="38417D8A"/>
    <w:rsid w:val="384358B1"/>
    <w:rsid w:val="389D6705"/>
    <w:rsid w:val="39202096"/>
    <w:rsid w:val="392723F5"/>
    <w:rsid w:val="39475874"/>
    <w:rsid w:val="397C5121"/>
    <w:rsid w:val="39F1694C"/>
    <w:rsid w:val="3A0D6176"/>
    <w:rsid w:val="3A125E82"/>
    <w:rsid w:val="3A914FF9"/>
    <w:rsid w:val="3ABC0741"/>
    <w:rsid w:val="3AE46B83"/>
    <w:rsid w:val="3AEC66D3"/>
    <w:rsid w:val="3B344E5D"/>
    <w:rsid w:val="3B60343F"/>
    <w:rsid w:val="3B783AC3"/>
    <w:rsid w:val="3BC66F24"/>
    <w:rsid w:val="3BD47645"/>
    <w:rsid w:val="3C5F6A31"/>
    <w:rsid w:val="3CEA09F1"/>
    <w:rsid w:val="3D0B738C"/>
    <w:rsid w:val="3DBE5134"/>
    <w:rsid w:val="3E6B6375"/>
    <w:rsid w:val="3E7C38CA"/>
    <w:rsid w:val="3EE15E23"/>
    <w:rsid w:val="3F6D43CA"/>
    <w:rsid w:val="3FAF1A7E"/>
    <w:rsid w:val="3FB377C0"/>
    <w:rsid w:val="4033495A"/>
    <w:rsid w:val="403A1C8F"/>
    <w:rsid w:val="40A952E6"/>
    <w:rsid w:val="40FE2CBD"/>
    <w:rsid w:val="414747BE"/>
    <w:rsid w:val="419101A7"/>
    <w:rsid w:val="41F2672D"/>
    <w:rsid w:val="425012F6"/>
    <w:rsid w:val="427003C2"/>
    <w:rsid w:val="42843695"/>
    <w:rsid w:val="42D127C6"/>
    <w:rsid w:val="42DC5CC8"/>
    <w:rsid w:val="4359242C"/>
    <w:rsid w:val="436F589B"/>
    <w:rsid w:val="43C71A36"/>
    <w:rsid w:val="440C3942"/>
    <w:rsid w:val="442944F4"/>
    <w:rsid w:val="445A2900"/>
    <w:rsid w:val="44B10046"/>
    <w:rsid w:val="450D0D63"/>
    <w:rsid w:val="457234CC"/>
    <w:rsid w:val="46325450"/>
    <w:rsid w:val="46AA2F9F"/>
    <w:rsid w:val="46CE1383"/>
    <w:rsid w:val="479E2B03"/>
    <w:rsid w:val="47D228E4"/>
    <w:rsid w:val="47F52016"/>
    <w:rsid w:val="4852063F"/>
    <w:rsid w:val="486B1545"/>
    <w:rsid w:val="48BA4BA1"/>
    <w:rsid w:val="4A0F1A96"/>
    <w:rsid w:val="4A1B668D"/>
    <w:rsid w:val="4AA35A82"/>
    <w:rsid w:val="4AAD3D85"/>
    <w:rsid w:val="4AB34B18"/>
    <w:rsid w:val="4ACB3A3E"/>
    <w:rsid w:val="4B7818BD"/>
    <w:rsid w:val="4B793796"/>
    <w:rsid w:val="4B891912"/>
    <w:rsid w:val="4BEF121D"/>
    <w:rsid w:val="4C2C209C"/>
    <w:rsid w:val="4C3C0B3D"/>
    <w:rsid w:val="4CAF7561"/>
    <w:rsid w:val="4CE511D4"/>
    <w:rsid w:val="4D173A14"/>
    <w:rsid w:val="4D247740"/>
    <w:rsid w:val="4D4A7330"/>
    <w:rsid w:val="4DCF6846"/>
    <w:rsid w:val="4E265601"/>
    <w:rsid w:val="4F42646A"/>
    <w:rsid w:val="4F7715DF"/>
    <w:rsid w:val="4FBF5D0D"/>
    <w:rsid w:val="4FEA6C60"/>
    <w:rsid w:val="500B2D00"/>
    <w:rsid w:val="50265D8C"/>
    <w:rsid w:val="51694182"/>
    <w:rsid w:val="51C4254F"/>
    <w:rsid w:val="52741D6A"/>
    <w:rsid w:val="527728CF"/>
    <w:rsid w:val="52CC1D29"/>
    <w:rsid w:val="52F442D9"/>
    <w:rsid w:val="5371731E"/>
    <w:rsid w:val="53DF072C"/>
    <w:rsid w:val="549362B3"/>
    <w:rsid w:val="5502034D"/>
    <w:rsid w:val="555667CB"/>
    <w:rsid w:val="566E7EDD"/>
    <w:rsid w:val="56C67981"/>
    <w:rsid w:val="57255445"/>
    <w:rsid w:val="572F6997"/>
    <w:rsid w:val="574B60D8"/>
    <w:rsid w:val="57526519"/>
    <w:rsid w:val="57672F12"/>
    <w:rsid w:val="580524F4"/>
    <w:rsid w:val="5869524C"/>
    <w:rsid w:val="58EC233D"/>
    <w:rsid w:val="5915699E"/>
    <w:rsid w:val="59CD7278"/>
    <w:rsid w:val="5A1E1882"/>
    <w:rsid w:val="5A315A59"/>
    <w:rsid w:val="5AB22199"/>
    <w:rsid w:val="5AEF1651"/>
    <w:rsid w:val="5B1030C1"/>
    <w:rsid w:val="5B8426D9"/>
    <w:rsid w:val="5BAD7BA6"/>
    <w:rsid w:val="5C8F6A67"/>
    <w:rsid w:val="5CFA4828"/>
    <w:rsid w:val="5D3715D8"/>
    <w:rsid w:val="5D635F29"/>
    <w:rsid w:val="5D704AEA"/>
    <w:rsid w:val="5D9500AD"/>
    <w:rsid w:val="5E59732C"/>
    <w:rsid w:val="5E8B242D"/>
    <w:rsid w:val="5EC52C04"/>
    <w:rsid w:val="5F117C07"/>
    <w:rsid w:val="5F1576F7"/>
    <w:rsid w:val="5FEF1CF6"/>
    <w:rsid w:val="602776E2"/>
    <w:rsid w:val="60702E3D"/>
    <w:rsid w:val="60C95CFC"/>
    <w:rsid w:val="60F35816"/>
    <w:rsid w:val="60FB46CB"/>
    <w:rsid w:val="60FC4ED8"/>
    <w:rsid w:val="61A66D2D"/>
    <w:rsid w:val="61DD05C5"/>
    <w:rsid w:val="61EA4737"/>
    <w:rsid w:val="62643A48"/>
    <w:rsid w:val="62CE02E9"/>
    <w:rsid w:val="63941E28"/>
    <w:rsid w:val="63BE01D7"/>
    <w:rsid w:val="63DD455C"/>
    <w:rsid w:val="648B6281"/>
    <w:rsid w:val="64DC3870"/>
    <w:rsid w:val="654F7E2F"/>
    <w:rsid w:val="65800EBE"/>
    <w:rsid w:val="65913C95"/>
    <w:rsid w:val="66003EC8"/>
    <w:rsid w:val="66FE3167"/>
    <w:rsid w:val="67017091"/>
    <w:rsid w:val="67F500C6"/>
    <w:rsid w:val="681B3D75"/>
    <w:rsid w:val="688E1EF6"/>
    <w:rsid w:val="690305C1"/>
    <w:rsid w:val="69196036"/>
    <w:rsid w:val="6A0510E9"/>
    <w:rsid w:val="6A70612A"/>
    <w:rsid w:val="6AB04778"/>
    <w:rsid w:val="6AE508C6"/>
    <w:rsid w:val="6C24033F"/>
    <w:rsid w:val="6C423AF6"/>
    <w:rsid w:val="6C991968"/>
    <w:rsid w:val="6CBC5656"/>
    <w:rsid w:val="6E02353D"/>
    <w:rsid w:val="6E5D4C17"/>
    <w:rsid w:val="6E684D47"/>
    <w:rsid w:val="6EFC7F8C"/>
    <w:rsid w:val="6F51568C"/>
    <w:rsid w:val="6F833FC3"/>
    <w:rsid w:val="70161521"/>
    <w:rsid w:val="70553DF8"/>
    <w:rsid w:val="707C55FA"/>
    <w:rsid w:val="711F4406"/>
    <w:rsid w:val="72037883"/>
    <w:rsid w:val="72270690"/>
    <w:rsid w:val="72354394"/>
    <w:rsid w:val="72640322"/>
    <w:rsid w:val="72785B7B"/>
    <w:rsid w:val="72DA6836"/>
    <w:rsid w:val="73130288"/>
    <w:rsid w:val="731A6C33"/>
    <w:rsid w:val="735465E8"/>
    <w:rsid w:val="736468E3"/>
    <w:rsid w:val="73A52FF1"/>
    <w:rsid w:val="73C27DC2"/>
    <w:rsid w:val="73DB0AB8"/>
    <w:rsid w:val="74AF5AA0"/>
    <w:rsid w:val="74C7147F"/>
    <w:rsid w:val="74FA31C0"/>
    <w:rsid w:val="74FC0CE6"/>
    <w:rsid w:val="755D54FC"/>
    <w:rsid w:val="7564169B"/>
    <w:rsid w:val="75E31EA6"/>
    <w:rsid w:val="76326989"/>
    <w:rsid w:val="764566BC"/>
    <w:rsid w:val="768014A2"/>
    <w:rsid w:val="768F16E6"/>
    <w:rsid w:val="76BB697E"/>
    <w:rsid w:val="77493F8A"/>
    <w:rsid w:val="78395DAD"/>
    <w:rsid w:val="78591FAB"/>
    <w:rsid w:val="787119EB"/>
    <w:rsid w:val="79464C25"/>
    <w:rsid w:val="798C2E7F"/>
    <w:rsid w:val="79986B03"/>
    <w:rsid w:val="7A3C1B84"/>
    <w:rsid w:val="7A543372"/>
    <w:rsid w:val="7B08551A"/>
    <w:rsid w:val="7B0A57DF"/>
    <w:rsid w:val="7BC0675C"/>
    <w:rsid w:val="7BE216C8"/>
    <w:rsid w:val="7BE91898"/>
    <w:rsid w:val="7BF90B2D"/>
    <w:rsid w:val="7C045000"/>
    <w:rsid w:val="7CD80A88"/>
    <w:rsid w:val="7D3923AB"/>
    <w:rsid w:val="7D5228AD"/>
    <w:rsid w:val="7D5B67C5"/>
    <w:rsid w:val="7DCC2B8F"/>
    <w:rsid w:val="7EF64ECC"/>
    <w:rsid w:val="7F3948E4"/>
    <w:rsid w:val="7FBB179D"/>
    <w:rsid w:val="7FCF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99"/>
    <w:pPr>
      <w:adjustRightInd w:val="0"/>
      <w:spacing w:line="360" w:lineRule="atLeast"/>
      <w:jc w:val="left"/>
    </w:pPr>
    <w:rPr>
      <w:kern w:val="0"/>
      <w:sz w:val="24"/>
      <w:szCs w:val="20"/>
    </w:rPr>
  </w:style>
  <w:style w:type="paragraph" w:styleId="8">
    <w:name w:val="Body Text"/>
    <w:basedOn w:val="1"/>
    <w:qFormat/>
    <w:uiPriority w:val="1"/>
    <w:rPr>
      <w:rFonts w:ascii="宋体" w:hAnsi="宋体" w:cs="宋体"/>
      <w:sz w:val="18"/>
      <w:szCs w:val="18"/>
      <w:lang w:val="zh-CN" w:bidi="zh-CN"/>
    </w:rPr>
  </w:style>
  <w:style w:type="paragraph" w:styleId="9">
    <w:name w:val="Body Text Indent"/>
    <w:basedOn w:val="1"/>
    <w:next w:val="10"/>
    <w:unhideWhenUsed/>
    <w:qFormat/>
    <w:uiPriority w:val="99"/>
    <w:pPr>
      <w:ind w:left="420" w:leftChars="200"/>
    </w:pPr>
  </w:style>
  <w:style w:type="paragraph" w:styleId="10">
    <w:name w:val="Body Text First Indent 2"/>
    <w:basedOn w:val="9"/>
    <w:qFormat/>
    <w:uiPriority w:val="0"/>
    <w:pPr>
      <w:ind w:firstLine="420" w:firstLineChars="200"/>
    </w:pPr>
    <w:rPr>
      <w:rFonts w:ascii="Times New Roman" w:hAnsi="Times New Roman" w:eastAsia="宋体" w:cs="Times New Roma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99"/>
    <w:pPr>
      <w:widowControl/>
      <w:spacing w:beforeAutospacing="1"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Emphasis"/>
    <w:basedOn w:val="17"/>
    <w:qFormat/>
    <w:uiPriority w:val="0"/>
    <w:rPr>
      <w:i/>
    </w:rPr>
  </w:style>
  <w:style w:type="character" w:styleId="21">
    <w:name w:val="Hyperlink"/>
    <w:basedOn w:val="17"/>
    <w:unhideWhenUsed/>
    <w:qFormat/>
    <w:uiPriority w:val="99"/>
    <w:rPr>
      <w:rFonts w:cs="Times New Roman"/>
      <w:color w:val="0000FF"/>
      <w:u w:val="single"/>
    </w:rPr>
  </w:style>
  <w:style w:type="paragraph" w:customStyle="1" w:styleId="22">
    <w:name w:val="TOC 标题1"/>
    <w:basedOn w:val="2"/>
    <w:next w:val="1"/>
    <w:qFormat/>
    <w:uiPriority w:val="0"/>
    <w:pPr>
      <w:spacing w:line="276" w:lineRule="auto"/>
      <w:outlineLvl w:val="9"/>
    </w:pPr>
    <w:rPr>
      <w:rFonts w:ascii="仿宋" w:hAnsi="仿宋" w:eastAsia="仿宋"/>
      <w:color w:val="000000"/>
      <w:kern w:val="0"/>
    </w:rPr>
  </w:style>
  <w:style w:type="paragraph" w:customStyle="1" w:styleId="23">
    <w:name w:val="NormalIndent"/>
    <w:basedOn w:val="1"/>
    <w:qFormat/>
    <w:uiPriority w:val="0"/>
    <w:pPr>
      <w:ind w:firstLine="420" w:firstLineChars="200"/>
    </w:pPr>
    <w:rPr>
      <w:rFonts w:ascii="Times New Roman"/>
    </w:rPr>
  </w:style>
  <w:style w:type="character" w:customStyle="1" w:styleId="24">
    <w:name w:val="NormalCharacter"/>
    <w:qFormat/>
    <w:uiPriority w:val="0"/>
    <w:rPr>
      <w:rFonts w:ascii="Times New Roman" w:hAnsi="Times New Roman" w:eastAsia="宋体"/>
    </w:rPr>
  </w:style>
  <w:style w:type="paragraph" w:customStyle="1" w:styleId="25">
    <w:name w:val="null3"/>
    <w:hidden/>
    <w:qFormat/>
    <w:uiPriority w:val="0"/>
    <w:rPr>
      <w:rFonts w:hint="eastAsia" w:asciiTheme="minorHAnsi" w:hAnsiTheme="minorHAnsi" w:eastAsiaTheme="minorEastAsia" w:cstheme="minorBidi"/>
      <w:lang w:val="en-US" w:eastAsia="zh-Hans"/>
    </w:rPr>
  </w:style>
  <w:style w:type="paragraph" w:customStyle="1" w:styleId="26">
    <w:name w:val="Table Paragraph"/>
    <w:basedOn w:val="1"/>
    <w:qFormat/>
    <w:uiPriority w:val="1"/>
    <w:rPr>
      <w:rFonts w:ascii="宋体" w:hAnsi="宋体" w:cs="宋体"/>
      <w:lang w:val="zh-CN" w:bidi="zh-CN"/>
    </w:rPr>
  </w:style>
  <w:style w:type="paragraph" w:customStyle="1" w:styleId="27">
    <w:name w:val="Table Text"/>
    <w:basedOn w:val="1"/>
    <w:semiHidden/>
    <w:qFormat/>
    <w:uiPriority w:val="0"/>
    <w:rPr>
      <w:rFonts w:ascii="宋体" w:hAnsi="宋体" w:eastAsia="宋体" w:cs="宋体"/>
      <w:sz w:val="18"/>
      <w:szCs w:val="18"/>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Heading4"/>
    <w:basedOn w:val="1"/>
    <w:next w:val="1"/>
    <w:qFormat/>
    <w:uiPriority w:val="0"/>
    <w:pPr>
      <w:keepNext/>
      <w:keepLines/>
      <w:spacing w:before="280" w:after="290" w:line="376" w:lineRule="atLeast"/>
    </w:pPr>
    <w:rPr>
      <w:rFonts w:ascii="Calibri Light" w:hAnsi="Calibri Light"/>
    </w:rPr>
  </w:style>
  <w:style w:type="paragraph" w:customStyle="1" w:styleId="30">
    <w:name w:val="正文缩进1"/>
    <w:basedOn w:val="1"/>
    <w:qFormat/>
    <w:uiPriority w:val="99"/>
    <w:pPr>
      <w:ind w:firstLine="420" w:firstLineChars="200"/>
    </w:pPr>
  </w:style>
  <w:style w:type="table" w:customStyle="1" w:styleId="31">
    <w:name w:val="网格型1"/>
    <w:basedOn w:val="15"/>
    <w:qFormat/>
    <w:uiPriority w:val="59"/>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List Paragraph"/>
    <w:basedOn w:val="1"/>
    <w:qFormat/>
    <w:uiPriority w:val="34"/>
    <w:pPr>
      <w:ind w:firstLine="420" w:firstLineChars="200"/>
    </w:pPr>
  </w:style>
  <w:style w:type="paragraph" w:customStyle="1" w:styleId="33">
    <w:name w:val="表格"/>
    <w:basedOn w:val="1"/>
    <w:qFormat/>
    <w:uiPriority w:val="0"/>
    <w:pPr>
      <w:spacing w:after="120" w:afterLines="0" w:line="240" w:lineRule="auto"/>
      <w:ind w:firstLine="0" w:firstLineChars="0"/>
      <w:jc w:val="center"/>
    </w:pPr>
    <w:rPr>
      <w:rFonts w:hint="eastAsia" w:ascii="Times New Roman" w:hAnsi="Times New Roman" w:eastAsia="宋体" w:cstheme="minorBidi"/>
      <w:kern w:val="2"/>
      <w:sz w:val="21"/>
      <w:szCs w:val="24"/>
    </w:rPr>
  </w:style>
  <w:style w:type="character" w:customStyle="1" w:styleId="34">
    <w:name w:val="font01"/>
    <w:basedOn w:val="17"/>
    <w:qFormat/>
    <w:uiPriority w:val="0"/>
    <w:rPr>
      <w:rFonts w:hint="eastAsia" w:ascii="宋体" w:hAnsi="宋体" w:eastAsia="宋体" w:cs="宋体"/>
      <w:color w:val="000000"/>
      <w:sz w:val="20"/>
      <w:szCs w:val="20"/>
      <w:u w:val="none"/>
    </w:rPr>
  </w:style>
  <w:style w:type="character" w:customStyle="1" w:styleId="35">
    <w:name w:val="font71"/>
    <w:basedOn w:val="17"/>
    <w:qFormat/>
    <w:uiPriority w:val="0"/>
    <w:rPr>
      <w:rFonts w:hint="default" w:ascii="Times New Roman" w:hAnsi="Times New Roman" w:cs="Times New Roman"/>
      <w:color w:val="000000"/>
      <w:sz w:val="20"/>
      <w:szCs w:val="20"/>
      <w:u w:val="none"/>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18652</Words>
  <Characters>20127</Characters>
  <Lines>0</Lines>
  <Paragraphs>0</Paragraphs>
  <TotalTime>3</TotalTime>
  <ScaleCrop>false</ScaleCrop>
  <LinksUpToDate>false</LinksUpToDate>
  <CharactersWithSpaces>21611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2024-01-16T04:20:00Z</dcterms:created>
  <dc:creator>mm</dc:creator>
  <cp:lastModifiedBy>mm</cp:lastModifiedBy>
  <cp:lastPrinted>2024-12-11T07:18:00Z</cp:lastPrinted>
  <dcterms:modified xsi:type="dcterms:W3CDTF">2025-07-29T17:03:55Z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4273F6FB62374A289A269344E2F781C1_13</vt:lpwstr>
  </property>
  <property fmtid="{D5CDD505-2E9C-101B-9397-08002B2CF9AE}" pid="4" name="KSOTemplateDocerSaveRecord">
    <vt:lpwstr>eyJoZGlkIjoiMGZmNzVhMTkyYTkzNjU1ZjkzZjU3ODhiZWFkM2Q1NTYiLCJ1c2VySWQiOiIyMzQxNDE4MjYifQ==</vt:lpwstr>
  </property>
</Properties>
</file>