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23D9E">
      <w:pPr>
        <w:keepNext w:val="0"/>
        <w:keepLines w:val="0"/>
        <w:pageBreakBefore w:val="0"/>
        <w:kinsoku/>
        <w:wordWrap/>
        <w:overflowPunct/>
        <w:topLinePunct w:val="0"/>
        <w:autoSpaceDE/>
        <w:autoSpaceDN/>
        <w:bidi w:val="0"/>
        <w:adjustRightInd w:val="0"/>
        <w:snapToGrid w:val="0"/>
        <w:spacing w:line="336" w:lineRule="auto"/>
        <w:jc w:val="center"/>
        <w:textAlignment w:val="auto"/>
        <w:outlineLvl w:val="0"/>
        <w:rPr>
          <w:rFonts w:hint="eastAsia" w:ascii="仿宋" w:hAnsi="仿宋" w:eastAsia="仿宋" w:cs="仿宋"/>
          <w:b/>
          <w:color w:val="auto"/>
          <w:kern w:val="2"/>
          <w:sz w:val="44"/>
          <w:szCs w:val="44"/>
          <w:highlight w:val="none"/>
        </w:rPr>
      </w:pPr>
      <w:r>
        <w:rPr>
          <w:rFonts w:hint="eastAsia" w:ascii="仿宋" w:hAnsi="仿宋" w:eastAsia="仿宋" w:cs="仿宋"/>
          <w:b/>
          <w:color w:val="auto"/>
          <w:kern w:val="2"/>
          <w:sz w:val="44"/>
          <w:szCs w:val="44"/>
          <w:highlight w:val="none"/>
        </w:rPr>
        <w:t>采购内容及技术要求</w:t>
      </w:r>
      <w:bookmarkStart w:id="0" w:name="_Toc317530110"/>
    </w:p>
    <w:bookmarkEnd w:id="0"/>
    <w:p w14:paraId="164425BF">
      <w:pPr>
        <w:keepNext w:val="0"/>
        <w:keepLines w:val="0"/>
        <w:pageBreakBefore w:val="0"/>
        <w:widowControl w:val="0"/>
        <w:kinsoku/>
        <w:wordWrap/>
        <w:overflowPunct/>
        <w:topLinePunct w:val="0"/>
        <w:autoSpaceDE/>
        <w:autoSpaceDN/>
        <w:bidi w:val="0"/>
        <w:spacing w:line="500" w:lineRule="exact"/>
        <w:ind w:firstLine="482" w:firstLineChars="200"/>
        <w:textAlignment w:val="auto"/>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一、项目概况</w:t>
      </w:r>
    </w:p>
    <w:p w14:paraId="77B0A974">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1.项目概况：</w:t>
      </w:r>
    </w:p>
    <w:p w14:paraId="5E5C3584">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本项目为辖区有集中托养需求的特困人员提供托养服务。</w:t>
      </w:r>
    </w:p>
    <w:p w14:paraId="185956B5">
      <w:pPr>
        <w:keepNext w:val="0"/>
        <w:keepLines w:val="0"/>
        <w:pageBreakBefore w:val="0"/>
        <w:widowControl w:val="0"/>
        <w:numPr>
          <w:ilvl w:val="0"/>
          <w:numId w:val="0"/>
        </w:numPr>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2.项目预算：</w:t>
      </w:r>
    </w:p>
    <w:p w14:paraId="1F1EF529">
      <w:pPr>
        <w:keepNext w:val="0"/>
        <w:keepLines w:val="0"/>
        <w:pageBreakBefore w:val="0"/>
        <w:widowControl w:val="0"/>
        <w:numPr>
          <w:ilvl w:val="0"/>
          <w:numId w:val="0"/>
        </w:numPr>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308万元。</w:t>
      </w:r>
    </w:p>
    <w:p w14:paraId="319595BF">
      <w:pPr>
        <w:keepNext w:val="0"/>
        <w:keepLines w:val="0"/>
        <w:pageBreakBefore w:val="0"/>
        <w:widowControl w:val="0"/>
        <w:numPr>
          <w:ilvl w:val="0"/>
          <w:numId w:val="0"/>
        </w:numPr>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3.项目概况：</w:t>
      </w:r>
    </w:p>
    <w:p w14:paraId="43D6DBD0">
      <w:pPr>
        <w:keepNext w:val="0"/>
        <w:keepLines w:val="0"/>
        <w:pageBreakBefore w:val="0"/>
        <w:widowControl w:val="0"/>
        <w:numPr>
          <w:ilvl w:val="0"/>
          <w:numId w:val="0"/>
        </w:numPr>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本项目分为四个包，一包是北部片区，服务对象为泾河新城、空港新城、秦汉新城三个新城非精神智力特困人员，预计托养人数31人，2年服务预算金额159万元；二包是东部片区，服务对象为沣东新城非精神智力特困人员，预计托养人数10人，2年服务预算金额52万元；三包是西部片区，服务对象为沣西新城非精神智力特困人员，预计托养人数4人，2年服务预算金额20万元；四包是新区辖区范围内精神智力特困人员，预计托养人员15人，2年服务预算金额77万元。</w:t>
      </w:r>
    </w:p>
    <w:p w14:paraId="6F8913CF">
      <w:pPr>
        <w:keepNext w:val="0"/>
        <w:keepLines w:val="0"/>
        <w:pageBreakBefore w:val="0"/>
        <w:widowControl w:val="0"/>
        <w:kinsoku/>
        <w:wordWrap/>
        <w:overflowPunct/>
        <w:topLinePunct w:val="0"/>
        <w:autoSpaceDE/>
        <w:autoSpaceDN/>
        <w:bidi w:val="0"/>
        <w:spacing w:line="500" w:lineRule="exact"/>
        <w:ind w:firstLine="482" w:firstLineChars="200"/>
        <w:textAlignment w:val="auto"/>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二、服务内容</w:t>
      </w:r>
    </w:p>
    <w:p w14:paraId="6ED25CA4">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1.按时提供符合食品卫生要求、适合特困人员特点和身心健康的膳食；</w:t>
      </w:r>
    </w:p>
    <w:p w14:paraId="1C10B0D8">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2.提供服装、被褥等用品，按季节添置、更换衣被等生活用品，及时提供保洁服务；</w:t>
      </w:r>
    </w:p>
    <w:p w14:paraId="0DA8D584">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3.保障特殊困难服务对象有病及时治疗，根据身体状况按</w:t>
      </w:r>
      <w:bookmarkStart w:id="1" w:name="_GoBack"/>
      <w:bookmarkEnd w:id="1"/>
      <w:r>
        <w:rPr>
          <w:rFonts w:hint="eastAsia" w:ascii="仿宋" w:hAnsi="仿宋" w:eastAsia="仿宋" w:cs="仿宋"/>
          <w:color w:val="auto"/>
          <w:kern w:val="2"/>
          <w:sz w:val="24"/>
          <w:szCs w:val="24"/>
          <w:highlight w:val="none"/>
          <w:lang w:val="en-US" w:eastAsia="zh-CN"/>
        </w:rPr>
        <w:t>照护理规范和标准给予相应照料和护理服务；</w:t>
      </w:r>
    </w:p>
    <w:p w14:paraId="28F94435">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4.提供每年一次健康体检服务；</w:t>
      </w:r>
    </w:p>
    <w:p w14:paraId="730E146B">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5.提供车辆接送、心理慰藉、送医陪护等其他服务。</w:t>
      </w:r>
    </w:p>
    <w:p w14:paraId="3C08B9DE">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6.除以上服务内容外，按照符合政策的原则，经双方协商同意，可以根据特困人员和家属需求提供其他服务。如出现紧急情况或者老人有特殊需求等情况，集中托养单位无法满足需要时，购买方有权对集中托养单位进行合理调配。</w:t>
      </w:r>
    </w:p>
    <w:p w14:paraId="77A4A0F8">
      <w:pPr>
        <w:keepNext w:val="0"/>
        <w:keepLines w:val="0"/>
        <w:pageBreakBefore w:val="0"/>
        <w:widowControl w:val="0"/>
        <w:kinsoku/>
        <w:wordWrap/>
        <w:overflowPunct/>
        <w:topLinePunct w:val="0"/>
        <w:autoSpaceDE/>
        <w:autoSpaceDN/>
        <w:bidi w:val="0"/>
        <w:spacing w:line="500" w:lineRule="exact"/>
        <w:ind w:firstLine="482" w:firstLineChars="200"/>
        <w:textAlignment w:val="auto"/>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三、服务标准</w:t>
      </w:r>
    </w:p>
    <w:p w14:paraId="4FEB483B">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1.膳食服务。特困人员的饮食应按照食品卫生要求操作，做到整洁、卫生；每周有食谱，荤素、干稀搭配合理， 注意膳食营养；一日三餐适时开饭，保证开水供应；根据特困托养人员特殊需求或不同饮食习惯，可制作软食，尊重少数民族的饮食习俗。</w:t>
      </w:r>
    </w:p>
    <w:p w14:paraId="49B9A400">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护理服务。对特困人员实行分级护理制度。对能自理的特困人员实行常规护理，提倡和促进特困人员自我服务、相互扶助，为行走不便的特困人员配备拐杖、轮椅等辅助器具；对生活不能自理的特困人员提供特殊护理，对重病号实行昼夜值班服务；还应注意对特困人员的心理护理，消除其心理障碍，保持其良好心态。</w:t>
      </w:r>
    </w:p>
    <w:p w14:paraId="343D4766">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医疗保健服务。及时了解特困人员的健康状况，应定期进行健康查体，建立托养服务对象病历档案；经常组织特困人员进行健康教育和自我保健、自我护理知识的学习，开展健身锻炼和康复活动；做好修养区和院内公共场所的消毒灭菌工作，防止疫病流行；对患病者要及时检查、合理用药、妥善治疗，不明原因的疾病要及时诊治；对患有传染病的应采取特殊保护措施，进行隔离治疗；患大病、重病的要及时送医院治疗。</w:t>
      </w:r>
    </w:p>
    <w:p w14:paraId="3E676F25">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4.供应商应当为特困人员提供精神生活保障，实行亲情服务，给予精神慰藉；组织特困人员开展健身娱乐和学习活动，活跃其精神生活。对病情垂危的特困人员应实施特殊护理和临终关怀。</w:t>
      </w:r>
    </w:p>
    <w:p w14:paraId="31C850FA">
      <w:pPr>
        <w:keepNext w:val="0"/>
        <w:keepLines w:val="0"/>
        <w:pageBreakBefore w:val="0"/>
        <w:widowControl w:val="0"/>
        <w:kinsoku/>
        <w:wordWrap/>
        <w:overflowPunct/>
        <w:topLinePunct w:val="0"/>
        <w:autoSpaceDE/>
        <w:autoSpaceDN/>
        <w:bidi w:val="0"/>
        <w:spacing w:line="500" w:lineRule="exact"/>
        <w:ind w:firstLine="482" w:firstLineChars="200"/>
        <w:textAlignment w:val="auto"/>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四、托养标准</w:t>
      </w:r>
    </w:p>
    <w:p w14:paraId="68E93ED6">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（一）基本托养标准</w:t>
      </w:r>
    </w:p>
    <w:p w14:paraId="51FF74D0">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按照《西安市民政局　西安市财政局关于提高农村特困人员基本生活标准的通知》（市民发</w:t>
      </w:r>
      <w:r>
        <w:rPr>
          <w:rStyle w:val="14"/>
          <w:rFonts w:hint="eastAsia" w:ascii="仿宋" w:hAnsi="仿宋" w:eastAsia="仿宋" w:cs="仿宋"/>
          <w:color w:val="auto"/>
          <w:sz w:val="24"/>
          <w:highlight w:val="none"/>
        </w:rPr>
        <w:t>〔20</w:t>
      </w:r>
      <w:r>
        <w:rPr>
          <w:rStyle w:val="14"/>
          <w:rFonts w:hint="eastAsia" w:ascii="仿宋" w:hAnsi="仿宋" w:eastAsia="仿宋" w:cs="仿宋"/>
          <w:color w:val="auto"/>
          <w:sz w:val="24"/>
          <w:highlight w:val="none"/>
          <w:lang w:val="en-US" w:eastAsia="zh-CN"/>
        </w:rPr>
        <w:t>20</w:t>
      </w:r>
      <w:r>
        <w:rPr>
          <w:rStyle w:val="14"/>
          <w:rFonts w:hint="eastAsia" w:ascii="仿宋" w:hAnsi="仿宋" w:eastAsia="仿宋" w:cs="仿宋"/>
          <w:color w:val="auto"/>
          <w:sz w:val="24"/>
          <w:highlight w:val="none"/>
        </w:rPr>
        <w:t>〕</w:t>
      </w:r>
      <w:r>
        <w:rPr>
          <w:rStyle w:val="14"/>
          <w:rFonts w:hint="eastAsia" w:ascii="仿宋" w:hAnsi="仿宋" w:eastAsia="仿宋" w:cs="仿宋"/>
          <w:color w:val="auto"/>
          <w:sz w:val="24"/>
          <w:highlight w:val="none"/>
          <w:lang w:val="en-US" w:eastAsia="zh-CN"/>
        </w:rPr>
        <w:t>1号</w:t>
      </w:r>
      <w:r>
        <w:rPr>
          <w:rFonts w:hint="eastAsia" w:ascii="仿宋" w:hAnsi="仿宋" w:eastAsia="仿宋" w:cs="仿宋"/>
          <w:b w:val="0"/>
          <w:bCs w:val="0"/>
          <w:color w:val="auto"/>
          <w:kern w:val="2"/>
          <w:sz w:val="24"/>
          <w:szCs w:val="24"/>
          <w:highlight w:val="none"/>
          <w:lang w:val="en-US" w:eastAsia="zh-CN"/>
        </w:rPr>
        <w:t>）和《西安市民政局 西安市财政局关于印发&lt;西安市特困人员救助供养实施办法&gt;的通知》（市民发</w:t>
      </w:r>
      <w:r>
        <w:rPr>
          <w:rStyle w:val="14"/>
          <w:rFonts w:hint="eastAsia" w:ascii="仿宋" w:hAnsi="仿宋" w:eastAsia="仿宋" w:cs="仿宋"/>
          <w:color w:val="auto"/>
          <w:sz w:val="24"/>
          <w:highlight w:val="none"/>
        </w:rPr>
        <w:t>〔20</w:t>
      </w:r>
      <w:r>
        <w:rPr>
          <w:rStyle w:val="14"/>
          <w:rFonts w:hint="eastAsia" w:ascii="仿宋" w:hAnsi="仿宋" w:eastAsia="仿宋" w:cs="仿宋"/>
          <w:color w:val="auto"/>
          <w:sz w:val="24"/>
          <w:highlight w:val="none"/>
          <w:lang w:val="en-US" w:eastAsia="zh-CN"/>
        </w:rPr>
        <w:t>24</w:t>
      </w:r>
      <w:r>
        <w:rPr>
          <w:rStyle w:val="14"/>
          <w:rFonts w:hint="eastAsia" w:ascii="仿宋" w:hAnsi="仿宋" w:eastAsia="仿宋" w:cs="仿宋"/>
          <w:color w:val="auto"/>
          <w:sz w:val="24"/>
          <w:highlight w:val="none"/>
        </w:rPr>
        <w:t>〕</w:t>
      </w:r>
      <w:r>
        <w:rPr>
          <w:rStyle w:val="14"/>
          <w:rFonts w:hint="eastAsia" w:ascii="仿宋" w:hAnsi="仿宋" w:eastAsia="仿宋" w:cs="仿宋"/>
          <w:color w:val="auto"/>
          <w:sz w:val="24"/>
          <w:highlight w:val="none"/>
          <w:lang w:val="en-US" w:eastAsia="zh-CN"/>
        </w:rPr>
        <w:t>73号</w:t>
      </w:r>
      <w:r>
        <w:rPr>
          <w:rFonts w:hint="eastAsia" w:ascii="仿宋" w:hAnsi="仿宋" w:eastAsia="仿宋" w:cs="仿宋"/>
          <w:b w:val="0"/>
          <w:bCs w:val="0"/>
          <w:color w:val="auto"/>
          <w:kern w:val="2"/>
          <w:sz w:val="24"/>
          <w:szCs w:val="24"/>
          <w:highlight w:val="none"/>
          <w:lang w:val="en-US" w:eastAsia="zh-CN"/>
        </w:rPr>
        <w:t>）相关规定标准执行。</w:t>
      </w:r>
    </w:p>
    <w:p w14:paraId="4F659FFE">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特困人员救助供养标准由基本生活标准、照料护理标准两部分构成。</w:t>
      </w:r>
    </w:p>
    <w:p w14:paraId="50685F7B">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基本生活标准。城市特困人员每月基本生活标准：集中供养为1320元;农村特困人员每月基本生活标准：集中供养为1320元。</w:t>
      </w:r>
    </w:p>
    <w:p w14:paraId="1046AB19">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照料护理标准。按照差异化服务的原则，依据特困人员生活自理能力评估结果和服务需求分为全自理、半护理、全护理三档，每档按照当地最低工资标准的一定比例确定，其中：全自理特困人员每月按照当地最低工资标准10%，半护理特困人员每月按照当地最低工资标准20%，全护理特困人员每月按照当地最低工资标准30%的标准执行(照料护理标准根据西安市及各区县最低工资标准变化同时进行调整)。</w:t>
      </w:r>
    </w:p>
    <w:p w14:paraId="710A59CC">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（二）其他费用</w:t>
      </w:r>
    </w:p>
    <w:p w14:paraId="02674439">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1.冬季取暖费</w:t>
      </w:r>
    </w:p>
    <w:p w14:paraId="6094D8F7">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按《关于做好2022年城乡低保对象和特困人员冬季取暖补助金发放工作的通知》（市民便函〔2022〕139 号）规定标准执行。</w:t>
      </w:r>
    </w:p>
    <w:p w14:paraId="77B3C7B4">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 xml:space="preserve">城市特困人员取暖季每人补助1200元；农村特困人员取暖季每人500元。 </w:t>
      </w:r>
    </w:p>
    <w:p w14:paraId="2758B0AD">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2.春节慰问</w:t>
      </w:r>
    </w:p>
    <w:p w14:paraId="60E80F8C">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按《西安市民政局办公室关于给城乡低保对象和城乡特困人员发放春节生活补助金的通知》（市民办发〔2023〕2号）规定标准执行。</w:t>
      </w:r>
    </w:p>
    <w:p w14:paraId="48497471">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具体发放标准为：城乡特困人员增发一个月供养金即1320元/人·年。</w:t>
      </w:r>
    </w:p>
    <w:p w14:paraId="0ACBE20E">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3.价格临时补贴：按照上级文件执行要求为准。</w:t>
      </w:r>
    </w:p>
    <w:p w14:paraId="4ED350AA">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4.以上费用含特困人员基本生活照料护理、被褥衣物配置、生活用品配置、管理费用、每年一次体检等费用，不再额外计算其他费用。</w:t>
      </w:r>
    </w:p>
    <w:p w14:paraId="267E88A5">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5.当本项目涉及到的相关服务内容收费标准因省市有关政策调整发生变化时，按最新政策标准执行。</w:t>
      </w:r>
    </w:p>
    <w:p w14:paraId="7B0B3CA1">
      <w:pPr>
        <w:keepNext w:val="0"/>
        <w:keepLines w:val="0"/>
        <w:pageBreakBefore w:val="0"/>
        <w:widowControl w:val="0"/>
        <w:kinsoku/>
        <w:wordWrap/>
        <w:overflowPunct/>
        <w:topLinePunct w:val="0"/>
        <w:autoSpaceDE/>
        <w:autoSpaceDN/>
        <w:bidi w:val="0"/>
        <w:spacing w:line="500" w:lineRule="exact"/>
        <w:ind w:firstLine="482" w:firstLineChars="200"/>
        <w:textAlignment w:val="auto"/>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五、考核办法</w:t>
      </w:r>
    </w:p>
    <w:p w14:paraId="0BCD71FD">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1.考核对象：乙方</w:t>
      </w:r>
    </w:p>
    <w:p w14:paraId="76F37701">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2.考核单位：甲方</w:t>
      </w:r>
    </w:p>
    <w:p w14:paraId="77BE115A">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3.考核方式：实行百分制考核，半年一次。通过随机检查和电话满意度调查两种方式进行。</w:t>
      </w:r>
    </w:p>
    <w:p w14:paraId="184E57EA">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（1）随机检查，分值20分。甲方不定时到养老机构进行检查，每发现一例卫生打扫不及时，房内异味重的，扣1分；每发现一位老人长褥疮的（入院前出现的除外），扣1分；每接到一例投诉的扣1分。</w:t>
      </w:r>
    </w:p>
    <w:p w14:paraId="33AC8B7E">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满意度电话随访，分值80分。对特困人员及其家属进行满意度电话随访，抽查比例不低于30%，分为非常满意、满意、基本满意、不满意四个等次，得分分别为80、75、70、65。综合全部抽查对象调查结果取平均值作为半年最终考核结果。</w:t>
      </w:r>
    </w:p>
    <w:p w14:paraId="4ECF560A">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leftChars="0" w:firstLine="470" w:firstLineChars="196"/>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4.考核结果使用。半年考核结果达到95分以上的养老机构，全额支付托养费；半年考核结果达到90—94分的，按照95%比例支付托养费；半年考核结果达到85—89分的，按照90%比例支付托养费；低于85分采购人有权取消其中标资格，有权与其终止合同。</w:t>
      </w:r>
    </w:p>
    <w:p w14:paraId="63EB8EE4">
      <w:pPr>
        <w:keepNext w:val="0"/>
        <w:keepLines w:val="0"/>
        <w:pageBreakBefore w:val="0"/>
        <w:widowControl w:val="0"/>
        <w:kinsoku/>
        <w:wordWrap/>
        <w:overflowPunct/>
        <w:topLinePunct w:val="0"/>
        <w:autoSpaceDE/>
        <w:autoSpaceDN/>
        <w:bidi w:val="0"/>
        <w:spacing w:line="500" w:lineRule="exact"/>
        <w:ind w:firstLine="482" w:firstLineChars="200"/>
        <w:textAlignment w:val="auto"/>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六、服务期限</w:t>
      </w:r>
    </w:p>
    <w:p w14:paraId="3AD865B2">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自合同签订之日起两年，合同一年一签</w:t>
      </w:r>
    </w:p>
    <w:p w14:paraId="7AF14DF1">
      <w:pPr>
        <w:keepNext w:val="0"/>
        <w:keepLines w:val="0"/>
        <w:pageBreakBefore w:val="0"/>
        <w:widowControl w:val="0"/>
        <w:kinsoku/>
        <w:wordWrap/>
        <w:overflowPunct/>
        <w:topLinePunct w:val="0"/>
        <w:autoSpaceDE/>
        <w:autoSpaceDN/>
        <w:bidi w:val="0"/>
        <w:spacing w:line="500" w:lineRule="exact"/>
        <w:ind w:firstLine="482" w:firstLineChars="200"/>
        <w:textAlignment w:val="auto"/>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七、其他</w:t>
      </w:r>
    </w:p>
    <w:p w14:paraId="320422C5">
      <w:pPr>
        <w:pStyle w:val="17"/>
        <w:keepNext w:val="0"/>
        <w:keepLines w:val="0"/>
        <w:pageBreakBefore w:val="0"/>
        <w:widowControl w:val="0"/>
        <w:kinsoku/>
        <w:wordWrap/>
        <w:overflowPunct/>
        <w:topLinePunct w:val="0"/>
        <w:autoSpaceDE/>
        <w:autoSpaceDN/>
        <w:bidi w:val="0"/>
        <w:spacing w:line="500" w:lineRule="atLeas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highlight w:val="none"/>
          <w:lang w:val="en-US" w:eastAsia="zh-CN"/>
        </w:rPr>
        <w:t>本项目按照“兼投不兼中”的原则确定中标人，即：每个投标人在第1、2、3、4包中最多只能中一个包，若同一投标人在多个包中综合得分排名第一时，确定其为包号顺序靠前一包中标人，其他相关包综合得分排名第二的投标人为该包中标人，当相关包综合得分第二的投标人在所投其他包已被确定为中标人，则由综合得分排名第三的投标人递补，以此类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GYXIQ+Frutiger-Cn">
    <w:altName w:val="宋体"/>
    <w:panose1 w:val="00000000000000000000"/>
    <w:charset w:val="86"/>
    <w:family w:val="swiss"/>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F3680"/>
    <w:rsid w:val="07BF18FD"/>
    <w:rsid w:val="09733BCD"/>
    <w:rsid w:val="119242E3"/>
    <w:rsid w:val="129C0D42"/>
    <w:rsid w:val="170219D5"/>
    <w:rsid w:val="17E74F00"/>
    <w:rsid w:val="18C33753"/>
    <w:rsid w:val="1A2A3B3E"/>
    <w:rsid w:val="1EFD169A"/>
    <w:rsid w:val="22E10413"/>
    <w:rsid w:val="252C351F"/>
    <w:rsid w:val="296C0B43"/>
    <w:rsid w:val="2BAC1149"/>
    <w:rsid w:val="2E3D66A4"/>
    <w:rsid w:val="3E27534E"/>
    <w:rsid w:val="44B91127"/>
    <w:rsid w:val="4E646531"/>
    <w:rsid w:val="50BF7D4B"/>
    <w:rsid w:val="5A515100"/>
    <w:rsid w:val="685D5026"/>
    <w:rsid w:val="6BA21785"/>
    <w:rsid w:val="71797846"/>
    <w:rsid w:val="72F23390"/>
    <w:rsid w:val="7D766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1"/>
    <w:pPr>
      <w:spacing w:before="30"/>
      <w:ind w:left="791" w:right="1168"/>
      <w:jc w:val="center"/>
      <w:outlineLvl w:val="0"/>
    </w:pPr>
    <w:rPr>
      <w:rFonts w:ascii="仿宋" w:hAnsi="仿宋" w:eastAsia="仿宋" w:cs="仿宋"/>
      <w:b/>
      <w:bCs/>
      <w:sz w:val="32"/>
      <w:szCs w:val="32"/>
    </w:rPr>
  </w:style>
  <w:style w:type="paragraph" w:styleId="4">
    <w:name w:val="heading 2"/>
    <w:basedOn w:val="1"/>
    <w:next w:val="1"/>
    <w:qFormat/>
    <w:uiPriority w:val="9"/>
    <w:pPr>
      <w:keepNext/>
      <w:keepLines/>
      <w:widowControl/>
      <w:spacing w:before="260" w:beforeLines="0" w:after="260" w:afterLines="0"/>
      <w:ind w:left="284"/>
      <w:jc w:val="left"/>
      <w:outlineLvl w:val="1"/>
    </w:pPr>
    <w:rPr>
      <w:rFonts w:ascii="Arial" w:hAnsi="Arial"/>
      <w:b/>
      <w:bCs/>
      <w:sz w:val="28"/>
      <w:szCs w:val="32"/>
    </w:rPr>
  </w:style>
  <w:style w:type="paragraph" w:styleId="5">
    <w:name w:val="heading 4"/>
    <w:basedOn w:val="1"/>
    <w:next w:val="1"/>
    <w:qFormat/>
    <w:uiPriority w:val="0"/>
    <w:pPr>
      <w:keepNext/>
      <w:keepLines/>
      <w:tabs>
        <w:tab w:val="left" w:pos="864"/>
      </w:tabs>
      <w:spacing w:before="120" w:line="360" w:lineRule="auto"/>
      <w:ind w:left="864" w:hanging="864"/>
      <w:outlineLvl w:val="3"/>
    </w:pPr>
    <w:rPr>
      <w:rFonts w:ascii="Arial" w:hAnsi="Arial"/>
      <w:bCs/>
      <w:kern w:val="2"/>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kern w:val="2"/>
      <w:sz w:val="21"/>
    </w:rPr>
  </w:style>
  <w:style w:type="paragraph" w:styleId="6">
    <w:name w:val="Normal Indent"/>
    <w:basedOn w:val="1"/>
    <w:qFormat/>
    <w:uiPriority w:val="0"/>
    <w:pPr>
      <w:spacing w:line="300" w:lineRule="auto"/>
      <w:ind w:firstLine="420" w:firstLineChars="200"/>
    </w:pPr>
    <w:rPr>
      <w:rFonts w:ascii="Times New Roman"/>
      <w:kern w:val="2"/>
      <w:sz w:val="21"/>
      <w:szCs w:val="24"/>
    </w:rPr>
  </w:style>
  <w:style w:type="paragraph" w:styleId="7">
    <w:name w:val="Body Text Indent"/>
    <w:basedOn w:val="1"/>
    <w:qFormat/>
    <w:uiPriority w:val="0"/>
    <w:pPr>
      <w:widowControl/>
      <w:ind w:firstLine="652" w:firstLineChars="233"/>
    </w:pPr>
    <w:rPr>
      <w:rFonts w:ascii="Times New Roman"/>
      <w:sz w:val="28"/>
    </w:rPr>
  </w:style>
  <w:style w:type="paragraph" w:styleId="8">
    <w:name w:val="Plain Text"/>
    <w:basedOn w:val="1"/>
    <w:qFormat/>
    <w:uiPriority w:val="0"/>
    <w:rPr>
      <w:rFonts w:hAnsi="Courier New"/>
      <w:kern w:val="2"/>
      <w:sz w:val="21"/>
    </w:rPr>
  </w:style>
  <w:style w:type="paragraph" w:styleId="9">
    <w:name w:val="footer"/>
    <w:basedOn w:val="1"/>
    <w:next w:val="2"/>
    <w:qFormat/>
    <w:uiPriority w:val="99"/>
    <w:pPr>
      <w:tabs>
        <w:tab w:val="center" w:pos="4153"/>
        <w:tab w:val="right" w:pos="8306"/>
      </w:tabs>
      <w:snapToGrid w:val="0"/>
      <w:jc w:val="left"/>
    </w:pPr>
    <w:rPr>
      <w:rFonts w:ascii="Times New Roman"/>
      <w:kern w:val="2"/>
      <w:sz w:val="18"/>
      <w:szCs w:val="18"/>
    </w:rPr>
  </w:style>
  <w:style w:type="paragraph" w:styleId="10">
    <w:name w:val="Body Text First Indent 2"/>
    <w:basedOn w:val="7"/>
    <w:unhideWhenUsed/>
    <w:qFormat/>
    <w:uiPriority w:val="99"/>
    <w:pPr>
      <w:widowControl/>
      <w:ind w:firstLine="420"/>
      <w:jc w:val="left"/>
    </w:pPr>
    <w:rPr>
      <w:rFonts w:ascii="宋体" w:hAnsi="宋体" w:cs="宋体"/>
      <w:sz w:val="21"/>
    </w:rPr>
  </w:style>
  <w:style w:type="paragraph" w:customStyle="1" w:styleId="13">
    <w:name w:val="正文文本 31"/>
    <w:basedOn w:val="1"/>
    <w:qFormat/>
    <w:uiPriority w:val="0"/>
    <w:rPr>
      <w:sz w:val="16"/>
      <w:szCs w:val="16"/>
    </w:rPr>
  </w:style>
  <w:style w:type="character" w:customStyle="1" w:styleId="14">
    <w:name w:val="NormalCharacter"/>
    <w:qFormat/>
    <w:uiPriority w:val="0"/>
  </w:style>
  <w:style w:type="paragraph" w:customStyle="1" w:styleId="15">
    <w:name w:val="Table Paragraph"/>
    <w:basedOn w:val="1"/>
    <w:qFormat/>
    <w:uiPriority w:val="1"/>
    <w:rPr>
      <w:rFonts w:ascii="宋体" w:hAnsi="宋体" w:eastAsia="宋体" w:cs="宋体"/>
      <w:lang w:val="zh-CN" w:eastAsia="zh-CN" w:bidi="zh-CN"/>
    </w:rPr>
  </w:style>
  <w:style w:type="paragraph" w:customStyle="1" w:styleId="16">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17">
    <w:name w:val="列出段落1"/>
    <w:basedOn w:val="1"/>
    <w:qFormat/>
    <w:uiPriority w:val="0"/>
    <w:pPr>
      <w:ind w:firstLine="420" w:firstLineChars="200"/>
    </w:pPr>
  </w:style>
  <w:style w:type="paragraph" w:styleId="18">
    <w:name w:val="List Paragraph"/>
    <w:basedOn w:val="1"/>
    <w:qFormat/>
    <w:uiPriority w:val="34"/>
    <w:pPr>
      <w:ind w:firstLine="420" w:firstLineChars="200"/>
    </w:pPr>
    <w:rPr>
      <w:rFonts w:ascii="Calibri" w:hAnsi="Calibri"/>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387</Words>
  <Characters>394</Characters>
  <Lines>0</Lines>
  <Paragraphs>0</Paragraphs>
  <TotalTime>1</TotalTime>
  <ScaleCrop>false</ScaleCrop>
  <LinksUpToDate>false</LinksUpToDate>
  <CharactersWithSpaces>394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2025-03-06T04:05:00Z</dcterms:created>
  <dc:creator>李江</dc:creator>
  <cp:lastModifiedBy>年少时代</cp:lastModifiedBy>
  <dcterms:modified xsi:type="dcterms:W3CDTF">2025-08-18T10:13:24Z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eyJoZGlkIjoiYzVkZjAwMTI1ODYzNjhmOTg0YjRhNjIwM2FkNTNlZjMiLCJ1c2VySWQiOiI3MDczMjM0OTYifQ==</vt:lpwstr>
  </property>
  <property fmtid="{D5CDD505-2E9C-101B-9397-08002B2CF9AE}" pid="4" name="ICV">
    <vt:lpwstr>FE5C44C39B7E49F5B6928CA06E070AC7_12</vt:lpwstr>
  </property>
</Properties>
</file>