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D2C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328" w:firstLineChars="68"/>
        <w:jc w:val="center"/>
        <w:textAlignment w:val="auto"/>
        <w:rPr>
          <w:rFonts w:hint="eastAsia" w:ascii="仿宋_GB2312" w:eastAsia="仿宋_GB2312" w:cs="Times New Roman"/>
          <w:sz w:val="48"/>
          <w:szCs w:val="48"/>
          <w:lang w:val="en-US" w:eastAsia="zh-CN"/>
        </w:rPr>
      </w:pPr>
      <w:r>
        <w:rPr>
          <w:rFonts w:hint="eastAsia" w:ascii="仿宋_GB2312" w:eastAsia="仿宋_GB2312" w:cs="Times New Roman"/>
          <w:sz w:val="48"/>
          <w:szCs w:val="48"/>
          <w:lang w:val="en-US" w:eastAsia="zh-CN"/>
        </w:rPr>
        <w:t>采购内容</w:t>
      </w:r>
    </w:p>
    <w:p w14:paraId="54A1A6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218" w:firstLineChars="68"/>
        <w:textAlignment w:val="auto"/>
        <w:rPr>
          <w:rFonts w:hint="default" w:ascii="仿宋_GB2312" w:eastAsia="仿宋_GB2312" w:cs="Times New Roman"/>
          <w:lang w:val="en-US" w:eastAsia="zh-CN"/>
        </w:rPr>
      </w:pPr>
      <w:r>
        <w:rPr>
          <w:rFonts w:hint="eastAsia" w:ascii="仿宋_GB2312" w:eastAsia="仿宋_GB2312" w:cs="Times New Roman"/>
          <w:lang w:val="en-US" w:eastAsia="zh-CN"/>
        </w:rPr>
        <w:t>一、审查内容</w:t>
      </w:r>
    </w:p>
    <w:p w14:paraId="6BD9BE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lang w:val="en-US" w:eastAsia="zh-CN" w:bidi="ar-SA"/>
        </w:rPr>
      </w:pPr>
      <w:r>
        <w:rPr>
          <w:rFonts w:hint="eastAsia" w:cs="仿宋_GB2312"/>
          <w:b/>
          <w:bCs/>
          <w:color w:val="auto"/>
          <w:sz w:val="28"/>
          <w:szCs w:val="2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lang w:val="en-US" w:eastAsia="zh-CN" w:bidi="ar-SA"/>
        </w:rPr>
        <w:t>控制性指标</w:t>
      </w:r>
    </w:p>
    <w:p w14:paraId="410E58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用地范围与总平面图四址是否一致</w:t>
      </w:r>
    </w:p>
    <w:p w14:paraId="4A5A060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用地性质</w:t>
      </w:r>
    </w:p>
    <w:p w14:paraId="45429A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建筑性质是否与用地性质相匹配</w:t>
      </w:r>
    </w:p>
    <w:p w14:paraId="734B86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容积率是否满足规划条件及现行规范要求</w:t>
      </w:r>
    </w:p>
    <w:p w14:paraId="166CBD7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绿地率是否满足规划条件及现行规范要求</w:t>
      </w:r>
    </w:p>
    <w:p w14:paraId="130DA9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建筑高度是否满足净空标准要求</w:t>
      </w:r>
    </w:p>
    <w:p w14:paraId="62D07F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建筑面积、计容面积、不计容面积、基底面积</w:t>
      </w:r>
    </w:p>
    <w:p w14:paraId="27DFE1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建筑密度是否满足规划条件要求</w:t>
      </w:r>
    </w:p>
    <w:p w14:paraId="70E28A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建筑退道路红线、退城市绿线、退用地界、建筑与周边建筑的间距、地下室退道路红线，退用地界是否满足《西安市城乡管理技术规定》</w:t>
      </w:r>
    </w:p>
    <w:p w14:paraId="5A12F4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出入口道路宽度、转弯半径、出入口位置是否满足规定。</w:t>
      </w:r>
    </w:p>
    <w:p w14:paraId="479677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停车位个数及尺寸（地上停车、地下停车、装卸车位、地面停车率、机械停车率）</w:t>
      </w:r>
    </w:p>
    <w:p w14:paraId="0B5F82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非机动车停车位个数及尺寸</w:t>
      </w:r>
    </w:p>
    <w:p w14:paraId="4B57E6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非机动车充电车位个数及尺寸</w:t>
      </w:r>
    </w:p>
    <w:p w14:paraId="032E4E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配套设置占地＜7%</w:t>
      </w:r>
    </w:p>
    <w:p w14:paraId="213F31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配套建筑面积占总建筑面积＜15%</w:t>
      </w:r>
    </w:p>
    <w:p w14:paraId="349B6E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内部交通组织与外部交通衔接</w:t>
      </w:r>
    </w:p>
    <w:p w14:paraId="3C8AB2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场地内管线与建筑间距</w:t>
      </w:r>
    </w:p>
    <w:p w14:paraId="342FFC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lang w:val="en-US" w:eastAsia="zh-CN" w:bidi="ar-SA"/>
        </w:rPr>
      </w:pPr>
      <w:r>
        <w:rPr>
          <w:rFonts w:hint="eastAsia" w:cs="仿宋_GB2312"/>
          <w:b/>
          <w:bCs/>
          <w:color w:val="auto"/>
          <w:sz w:val="28"/>
          <w:szCs w:val="2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lang w:val="en-US" w:eastAsia="zh-CN" w:bidi="ar-SA"/>
        </w:rPr>
        <w:t>竖向设计</w:t>
      </w:r>
    </w:p>
    <w:p w14:paraId="51FBDA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场地标高：场地标高设计是否合理，是否满足排水要求</w:t>
      </w:r>
    </w:p>
    <w:p w14:paraId="4EEEA7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坡度与排水：检查场地坡度、排水方向</w:t>
      </w:r>
    </w:p>
    <w:p w14:paraId="63F8E8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lang w:val="en-US" w:eastAsia="zh-CN" w:bidi="ar-SA"/>
        </w:rPr>
      </w:pPr>
      <w:r>
        <w:rPr>
          <w:rFonts w:hint="eastAsia" w:cs="仿宋_GB2312"/>
          <w:b/>
          <w:bCs/>
          <w:color w:val="auto"/>
          <w:sz w:val="28"/>
          <w:szCs w:val="2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2"/>
          <w:lang w:val="en-US" w:eastAsia="zh-CN" w:bidi="ar-SA"/>
        </w:rPr>
        <w:t>制图标准</w:t>
      </w:r>
    </w:p>
    <w:p w14:paraId="5214D3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图名、图例、区位图、风玫瑰图、比例尺、指北针是否齐全。</w:t>
      </w:r>
    </w:p>
    <w:p w14:paraId="2D4B3B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核实比例尺、尺寸是否准确。</w:t>
      </w:r>
    </w:p>
    <w:p w14:paraId="478F47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单体表达：标注正负零标高、坐标点、建筑高度、消防高度、建筑外轮廓表达。</w:t>
      </w:r>
    </w:p>
    <w:p w14:paraId="1B0E02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单体平面布局，是否符合建筑性质</w:t>
      </w:r>
    </w:p>
    <w:p w14:paraId="5B91F4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单体立面，是否与平面剖面图相对应，是否与效果图一致</w:t>
      </w:r>
    </w:p>
    <w:p w14:paraId="5FFCB4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线型与总图一致</w:t>
      </w:r>
    </w:p>
    <w:p w14:paraId="14DC0E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/>
        <w:textAlignment w:val="auto"/>
        <w:rPr>
          <w:rFonts w:hint="eastAsia" w:ascii="仿宋_GB2312" w:eastAsia="仿宋_GB2312" w:cs="Times New Roman"/>
          <w:lang w:val="en-US" w:eastAsia="zh-CN"/>
        </w:rPr>
      </w:pPr>
      <w:r>
        <w:rPr>
          <w:rFonts w:hint="eastAsia" w:ascii="仿宋_GB2312" w:eastAsia="仿宋_GB2312" w:cs="Times New Roman"/>
          <w:lang w:val="en-US" w:eastAsia="zh-CN"/>
        </w:rPr>
        <w:t>二、工作流程</w:t>
      </w:r>
    </w:p>
    <w:p w14:paraId="683D28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cs="仿宋_GB2312"/>
          <w:color w:val="auto"/>
          <w:sz w:val="28"/>
          <w:szCs w:val="2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建设单位进行设计方案技术规整。建设单位按照设计方案规整端的要求，对总平面图及单体进行规整，经分局接件后，发送</w:t>
      </w:r>
      <w:r>
        <w:rPr>
          <w:rFonts w:hint="eastAsia" w:cs="仿宋_GB2312"/>
          <w:color w:val="auto"/>
          <w:sz w:val="28"/>
          <w:szCs w:val="22"/>
          <w:lang w:val="en-US" w:eastAsia="zh-CN" w:bidi="ar-SA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经办人员。</w:t>
      </w:r>
    </w:p>
    <w:p w14:paraId="642BE7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cs="仿宋_GB2312"/>
          <w:color w:val="auto"/>
          <w:sz w:val="28"/>
          <w:szCs w:val="2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技术审查。由</w:t>
      </w:r>
      <w:r>
        <w:rPr>
          <w:rFonts w:hint="eastAsia" w:cs="仿宋_GB2312"/>
          <w:color w:val="auto"/>
          <w:sz w:val="28"/>
          <w:szCs w:val="22"/>
          <w:lang w:val="en-US" w:eastAsia="zh-CN" w:bidi="ar-SA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经办人员按照审查要求进行进行，形成初步审查报告，反馈分局，由分局告知建设单位对总平面图及单体进行修改，修改完成后报</w:t>
      </w:r>
      <w:r>
        <w:rPr>
          <w:rFonts w:hint="eastAsia" w:cs="仿宋_GB2312"/>
          <w:color w:val="auto"/>
          <w:sz w:val="28"/>
          <w:szCs w:val="22"/>
          <w:lang w:val="en-US" w:eastAsia="zh-CN" w:bidi="ar-SA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经办人员进行技术审查。</w:t>
      </w:r>
    </w:p>
    <w:p w14:paraId="107A4E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cs="仿宋_GB2312"/>
          <w:color w:val="auto"/>
          <w:sz w:val="28"/>
          <w:szCs w:val="2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出具报告。技术审查报告经建设单位确认不在修改后，召开审查会进行审查，并依据会议情况出具正式的技术审查报告，交建设单位。</w:t>
      </w:r>
    </w:p>
    <w:p w14:paraId="243D12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328" w:firstLineChars="68"/>
        <w:jc w:val="center"/>
        <w:textAlignment w:val="auto"/>
        <w:rPr>
          <w:rFonts w:hint="default" w:ascii="仿宋_GB2312" w:eastAsia="仿宋_GB2312" w:cs="Times New Roman"/>
          <w:sz w:val="48"/>
          <w:szCs w:val="48"/>
          <w:lang w:val="en-US" w:eastAsia="zh-CN"/>
        </w:rPr>
      </w:pPr>
      <w:r>
        <w:rPr>
          <w:rFonts w:hint="eastAsia" w:ascii="仿宋_GB2312" w:eastAsia="仿宋_GB2312" w:cs="Times New Roman"/>
          <w:sz w:val="48"/>
          <w:szCs w:val="48"/>
          <w:lang w:val="en-US" w:eastAsia="zh-CN"/>
        </w:rPr>
        <w:t>商务要求</w:t>
      </w:r>
    </w:p>
    <w:p w14:paraId="03E9A9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1、服务期：自合同签订之日起</w:t>
      </w:r>
      <w:r>
        <w:rPr>
          <w:rFonts w:hint="eastAsia" w:cs="仿宋_GB2312"/>
          <w:color w:val="auto"/>
          <w:sz w:val="28"/>
          <w:szCs w:val="22"/>
          <w:lang w:val="en-US" w:eastAsia="zh-CN" w:bidi="ar-SA"/>
        </w:rPr>
        <w:t>365日</w:t>
      </w: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。</w:t>
      </w:r>
    </w:p>
    <w:p w14:paraId="720A57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2、服务地点：采购人指定地点</w:t>
      </w:r>
      <w:bookmarkStart w:id="0" w:name="_GoBack"/>
      <w:bookmarkEnd w:id="0"/>
    </w:p>
    <w:p w14:paraId="143D4C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3、付款方式：合同签订后，达到付款条件起30日内，支付合同总金额的50%；项目验收合格后，达到付款条件起30日内，支付合同总金额的50%。</w:t>
      </w:r>
    </w:p>
    <w:p w14:paraId="23D646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2"/>
          <w:lang w:val="en-US" w:eastAsia="zh-CN" w:bidi="ar-SA"/>
        </w:rPr>
        <w:t>4、服务质量：达到国家现行的标准或国家行政部门颁布的法律法规、规章制度等。</w:t>
      </w:r>
    </w:p>
    <w:p w14:paraId="37C22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9151D"/>
    <w:rsid w:val="2DEE0B8D"/>
    <w:rsid w:val="3FB53328"/>
    <w:rsid w:val="58041037"/>
    <w:rsid w:val="6B9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360" w:lineRule="auto"/>
      <w:ind w:left="1037"/>
      <w:outlineLvl w:val="0"/>
    </w:pPr>
    <w:rPr>
      <w:rFonts w:ascii="黑体" w:hAnsi="黑体" w:eastAsia="黑体" w:cs="黑体"/>
      <w:b/>
      <w:bCs/>
      <w:sz w:val="32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spacing w:line="360" w:lineRule="auto"/>
      <w:ind w:firstLine="40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709</Characters>
  <Lines>0</Lines>
  <Paragraphs>0</Paragraphs>
  <TotalTime>0</TotalTime>
  <ScaleCrop>false</ScaleCrop>
  <LinksUpToDate>false</LinksUpToDate>
  <CharactersWithSpaces>709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2025-07-31T02:51:00Z</dcterms:created>
  <dc:creator>Administrator</dc:creator>
  <cp:lastModifiedBy>滴滴</cp:lastModifiedBy>
  <dcterms:modified xsi:type="dcterms:W3CDTF">2025-08-20T01:14:51Z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eyJoZGlkIjoiN2EzZTVkOGVjMTBjMGYwODY1N2Q5MjNjYjljMjBjOWMiLCJ1c2VySWQiOiIxMzY5MDczMjIyIn0=</vt:lpwstr>
  </property>
  <property fmtid="{D5CDD505-2E9C-101B-9397-08002B2CF9AE}" pid="4" name="ICV">
    <vt:lpwstr>223F8C77B8844D738D7A93B2AE827937_12</vt:lpwstr>
  </property>
</Properties>
</file>