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D2F3">
      <w:pPr>
        <w:pStyle w:val="4"/>
        <w:jc w:val="center"/>
        <w:outlineLvl w:val="1"/>
        <w:rPr>
          <w:rFonts w:hint="default"/>
        </w:rPr>
      </w:pPr>
      <w:r>
        <w:rPr>
          <w:rFonts w:ascii="仿宋_GB2312" w:hAnsi="仿宋_GB2312" w:eastAsia="仿宋_GB2312" w:cs="仿宋_GB2312"/>
          <w:b/>
          <w:sz w:val="36"/>
        </w:rPr>
        <w:t>第三章 谈判项目技术、服务、商务及其他要求</w:t>
      </w:r>
    </w:p>
    <w:p w14:paraId="49D75504">
      <w:pPr>
        <w:pStyle w:val="4"/>
        <w:ind w:firstLine="480"/>
        <w:rPr>
          <w:rFonts w:hint="default"/>
        </w:rPr>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DB5791A">
      <w:pPr>
        <w:pStyle w:val="4"/>
        <w:outlineLvl w:val="2"/>
        <w:rPr>
          <w:rFonts w:hint="default"/>
        </w:rPr>
      </w:pPr>
      <w:r>
        <w:rPr>
          <w:rFonts w:ascii="仿宋_GB2312" w:hAnsi="仿宋_GB2312" w:eastAsia="仿宋_GB2312" w:cs="仿宋_GB2312"/>
          <w:b/>
          <w:sz w:val="28"/>
        </w:rPr>
        <w:t>3.1采购项目概况</w:t>
      </w:r>
    </w:p>
    <w:p w14:paraId="7F3A1BD6">
      <w:pPr>
        <w:pStyle w:val="4"/>
        <w:ind w:firstLine="480"/>
        <w:rPr>
          <w:rFonts w:hint="default" w:ascii="仿宋_GB2312" w:hAnsi="仿宋_GB2312" w:eastAsia="仿宋_GB2312" w:cs="仿宋_GB2312"/>
        </w:rPr>
      </w:pPr>
      <w:r>
        <w:rPr>
          <w:rFonts w:ascii="仿宋_GB2312" w:hAnsi="仿宋_GB2312" w:eastAsia="仿宋_GB2312" w:cs="仿宋_GB2312"/>
          <w:lang w:eastAsia="zh-CN"/>
        </w:rPr>
        <w:t>本项目建设聚焦构建数字化教学支撑体系，打造集电子教材、电子教参、教学方案、多媒体课件、标准化题库、微课资源于一体的综合性教学服务平台。平台能够支持PDF文档、DOC文档、图表、音视频、演示文稿等多元呈现形式，构建标准化资源管理架构，实现教材、教参资源的全流程数字化管理、智能化存储与多终端适配阅览。</w:t>
      </w:r>
    </w:p>
    <w:p w14:paraId="741C1233">
      <w:pPr>
        <w:pStyle w:val="4"/>
        <w:outlineLvl w:val="2"/>
        <w:rPr>
          <w:rFonts w:hint="default"/>
        </w:rPr>
      </w:pPr>
      <w:r>
        <w:rPr>
          <w:rFonts w:ascii="仿宋_GB2312" w:hAnsi="仿宋_GB2312" w:eastAsia="仿宋_GB2312" w:cs="仿宋_GB2312"/>
          <w:b/>
          <w:sz w:val="28"/>
        </w:rPr>
        <w:t>3.2采购内容</w:t>
      </w:r>
    </w:p>
    <w:p w14:paraId="7F382A20">
      <w:pPr>
        <w:pStyle w:val="4"/>
        <w:rPr>
          <w:rFonts w:hint="default"/>
        </w:rPr>
      </w:pPr>
      <w:r>
        <w:rPr>
          <w:rFonts w:ascii="仿宋_GB2312" w:hAnsi="仿宋_GB2312" w:eastAsia="仿宋_GB2312" w:cs="仿宋_GB2312"/>
        </w:rPr>
        <w:t>采购包1：</w:t>
      </w:r>
    </w:p>
    <w:p w14:paraId="76591343">
      <w:pPr>
        <w:pStyle w:val="4"/>
        <w:rPr>
          <w:rFonts w:hint="default"/>
        </w:rPr>
      </w:pPr>
      <w:r>
        <w:rPr>
          <w:rFonts w:ascii="仿宋_GB2312" w:hAnsi="仿宋_GB2312" w:eastAsia="仿宋_GB2312" w:cs="仿宋_GB2312"/>
        </w:rPr>
        <w:t xml:space="preserve">采购包预算金额（元）: </w:t>
      </w:r>
      <w:r>
        <w:rPr>
          <w:rFonts w:hint="eastAsia" w:ascii="仿宋_GB2312" w:hAnsi="仿宋_GB2312" w:eastAsia="仿宋_GB2312" w:cs="仿宋_GB2312"/>
          <w:lang w:eastAsia="zh-CN"/>
        </w:rPr>
        <w:t>120</w:t>
      </w:r>
      <w:r>
        <w:rPr>
          <w:rFonts w:ascii="仿宋_GB2312" w:hAnsi="仿宋_GB2312" w:eastAsia="仿宋_GB2312" w:cs="仿宋_GB2312"/>
        </w:rPr>
        <w:t>,000.00</w:t>
      </w:r>
    </w:p>
    <w:p w14:paraId="2468ABEF">
      <w:pPr>
        <w:pStyle w:val="4"/>
        <w:rPr>
          <w:rFonts w:hint="default"/>
        </w:rPr>
      </w:pPr>
      <w:r>
        <w:rPr>
          <w:rFonts w:ascii="仿宋_GB2312" w:hAnsi="仿宋_GB2312" w:eastAsia="仿宋_GB2312" w:cs="仿宋_GB2312"/>
        </w:rPr>
        <w:t xml:space="preserve">采购包最高限价（元）: </w:t>
      </w:r>
      <w:r>
        <w:rPr>
          <w:rFonts w:hint="eastAsia" w:ascii="仿宋_GB2312" w:hAnsi="仿宋_GB2312" w:eastAsia="仿宋_GB2312" w:cs="仿宋_GB2312"/>
          <w:lang w:eastAsia="zh-CN"/>
        </w:rPr>
        <w:t>120</w:t>
      </w:r>
      <w:r>
        <w:rPr>
          <w:rFonts w:ascii="仿宋_GB2312" w:hAnsi="仿宋_GB2312" w:eastAsia="仿宋_GB2312" w:cs="仿宋_GB2312"/>
        </w:rPr>
        <w:t>,000.00</w:t>
      </w:r>
    </w:p>
    <w:p w14:paraId="6F1E9A58">
      <w:pPr>
        <w:pStyle w:val="4"/>
        <w:rPr>
          <w:rFonts w:hint="default"/>
        </w:rPr>
      </w:pPr>
      <w:r>
        <w:rPr>
          <w:rFonts w:ascii="仿宋_GB2312" w:hAnsi="仿宋_GB2312" w:eastAsia="仿宋_GB2312" w:cs="仿宋_GB2312"/>
        </w:rPr>
        <w:t>供应商报价不允许超过标的金额</w:t>
      </w:r>
    </w:p>
    <w:p w14:paraId="2986B8C2">
      <w:pPr>
        <w:pStyle w:val="4"/>
        <w:rPr>
          <w:rFonts w:hint="default"/>
        </w:rPr>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906F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1C4D6B">
            <w:pPr>
              <w:pStyle w:val="4"/>
              <w:rPr>
                <w:rFonts w:hint="default"/>
              </w:rPr>
            </w:pPr>
            <w:r>
              <w:rPr>
                <w:rFonts w:ascii="仿宋_GB2312" w:hAnsi="仿宋_GB2312" w:eastAsia="仿宋_GB2312" w:cs="仿宋_GB2312"/>
              </w:rPr>
              <w:t>序号</w:t>
            </w:r>
          </w:p>
        </w:tc>
        <w:tc>
          <w:tcPr>
            <w:tcW w:w="831" w:type="dxa"/>
          </w:tcPr>
          <w:p w14:paraId="30916E83">
            <w:pPr>
              <w:pStyle w:val="4"/>
              <w:rPr>
                <w:rFonts w:hint="default"/>
              </w:rPr>
            </w:pPr>
            <w:r>
              <w:rPr>
                <w:rFonts w:ascii="仿宋_GB2312" w:hAnsi="仿宋_GB2312" w:eastAsia="仿宋_GB2312" w:cs="仿宋_GB2312"/>
              </w:rPr>
              <w:t>标的名称</w:t>
            </w:r>
          </w:p>
        </w:tc>
        <w:tc>
          <w:tcPr>
            <w:tcW w:w="831" w:type="dxa"/>
          </w:tcPr>
          <w:p w14:paraId="67769C73">
            <w:pPr>
              <w:pStyle w:val="4"/>
              <w:rPr>
                <w:rFonts w:hint="default"/>
              </w:rPr>
            </w:pPr>
            <w:r>
              <w:rPr>
                <w:rFonts w:ascii="仿宋_GB2312" w:hAnsi="仿宋_GB2312" w:eastAsia="仿宋_GB2312" w:cs="仿宋_GB2312"/>
              </w:rPr>
              <w:t>数量</w:t>
            </w:r>
          </w:p>
        </w:tc>
        <w:tc>
          <w:tcPr>
            <w:tcW w:w="831" w:type="dxa"/>
          </w:tcPr>
          <w:p w14:paraId="05EE302C">
            <w:pPr>
              <w:pStyle w:val="4"/>
              <w:rPr>
                <w:rFonts w:hint="default"/>
              </w:rPr>
            </w:pPr>
            <w:r>
              <w:rPr>
                <w:rFonts w:ascii="仿宋_GB2312" w:hAnsi="仿宋_GB2312" w:eastAsia="仿宋_GB2312" w:cs="仿宋_GB2312"/>
              </w:rPr>
              <w:t>标的金额 （元）</w:t>
            </w:r>
          </w:p>
        </w:tc>
        <w:tc>
          <w:tcPr>
            <w:tcW w:w="831" w:type="dxa"/>
          </w:tcPr>
          <w:p w14:paraId="1DCE4F5E">
            <w:pPr>
              <w:pStyle w:val="4"/>
              <w:rPr>
                <w:rFonts w:hint="default"/>
              </w:rPr>
            </w:pPr>
            <w:r>
              <w:rPr>
                <w:rFonts w:ascii="仿宋_GB2312" w:hAnsi="仿宋_GB2312" w:eastAsia="仿宋_GB2312" w:cs="仿宋_GB2312"/>
              </w:rPr>
              <w:t>计量单位</w:t>
            </w:r>
          </w:p>
        </w:tc>
        <w:tc>
          <w:tcPr>
            <w:tcW w:w="831" w:type="dxa"/>
          </w:tcPr>
          <w:p w14:paraId="76259BE3">
            <w:pPr>
              <w:pStyle w:val="4"/>
              <w:rPr>
                <w:rFonts w:hint="default"/>
              </w:rPr>
            </w:pPr>
            <w:r>
              <w:rPr>
                <w:rFonts w:ascii="仿宋_GB2312" w:hAnsi="仿宋_GB2312" w:eastAsia="仿宋_GB2312" w:cs="仿宋_GB2312"/>
              </w:rPr>
              <w:t>所属行业</w:t>
            </w:r>
          </w:p>
        </w:tc>
        <w:tc>
          <w:tcPr>
            <w:tcW w:w="831" w:type="dxa"/>
          </w:tcPr>
          <w:p w14:paraId="23FE1C26">
            <w:pPr>
              <w:pStyle w:val="4"/>
              <w:rPr>
                <w:rFonts w:hint="default"/>
              </w:rPr>
            </w:pPr>
            <w:r>
              <w:rPr>
                <w:rFonts w:ascii="仿宋_GB2312" w:hAnsi="仿宋_GB2312" w:eastAsia="仿宋_GB2312" w:cs="仿宋_GB2312"/>
              </w:rPr>
              <w:t>是否核心产品</w:t>
            </w:r>
          </w:p>
        </w:tc>
        <w:tc>
          <w:tcPr>
            <w:tcW w:w="831" w:type="dxa"/>
          </w:tcPr>
          <w:p w14:paraId="246C3080">
            <w:pPr>
              <w:pStyle w:val="4"/>
              <w:rPr>
                <w:rFonts w:hint="default"/>
              </w:rPr>
            </w:pPr>
            <w:r>
              <w:rPr>
                <w:rFonts w:ascii="仿宋_GB2312" w:hAnsi="仿宋_GB2312" w:eastAsia="仿宋_GB2312" w:cs="仿宋_GB2312"/>
              </w:rPr>
              <w:t>是否允许进口产品</w:t>
            </w:r>
          </w:p>
        </w:tc>
        <w:tc>
          <w:tcPr>
            <w:tcW w:w="831" w:type="dxa"/>
          </w:tcPr>
          <w:p w14:paraId="5B220730">
            <w:pPr>
              <w:pStyle w:val="4"/>
              <w:rPr>
                <w:rFonts w:hint="default"/>
              </w:rPr>
            </w:pPr>
            <w:r>
              <w:rPr>
                <w:rFonts w:ascii="仿宋_GB2312" w:hAnsi="仿宋_GB2312" w:eastAsia="仿宋_GB2312" w:cs="仿宋_GB2312"/>
              </w:rPr>
              <w:t>是否属于节能产品</w:t>
            </w:r>
          </w:p>
        </w:tc>
        <w:tc>
          <w:tcPr>
            <w:tcW w:w="831" w:type="dxa"/>
          </w:tcPr>
          <w:p w14:paraId="5ED62F8A">
            <w:pPr>
              <w:pStyle w:val="4"/>
              <w:rPr>
                <w:rFonts w:hint="default"/>
              </w:rPr>
            </w:pPr>
            <w:r>
              <w:rPr>
                <w:rFonts w:ascii="仿宋_GB2312" w:hAnsi="仿宋_GB2312" w:eastAsia="仿宋_GB2312" w:cs="仿宋_GB2312"/>
              </w:rPr>
              <w:t>是否属于环境标志产品</w:t>
            </w:r>
          </w:p>
        </w:tc>
      </w:tr>
      <w:tr w14:paraId="35853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8850AC">
            <w:pPr>
              <w:pStyle w:val="4"/>
              <w:rPr>
                <w:rFonts w:hint="default"/>
              </w:rPr>
            </w:pPr>
            <w:r>
              <w:rPr>
                <w:rFonts w:ascii="仿宋_GB2312" w:hAnsi="仿宋_GB2312" w:eastAsia="仿宋_GB2312" w:cs="仿宋_GB2312"/>
              </w:rPr>
              <w:t>1</w:t>
            </w:r>
          </w:p>
        </w:tc>
        <w:tc>
          <w:tcPr>
            <w:tcW w:w="831" w:type="dxa"/>
          </w:tcPr>
          <w:p w14:paraId="3228A88F">
            <w:pPr>
              <w:pStyle w:val="4"/>
              <w:rPr>
                <w:rFonts w:hint="default" w:eastAsia="仿宋_GB2312"/>
                <w:lang w:eastAsia="zh-CN"/>
              </w:rPr>
            </w:pPr>
            <w:r>
              <w:rPr>
                <w:rFonts w:eastAsia="仿宋_GB2312"/>
                <w:lang w:eastAsia="zh-CN"/>
              </w:rPr>
              <w:t>图书馆电子教材教参平台建设项目</w:t>
            </w:r>
          </w:p>
        </w:tc>
        <w:tc>
          <w:tcPr>
            <w:tcW w:w="831" w:type="dxa"/>
          </w:tcPr>
          <w:p w14:paraId="7EBE5A4C">
            <w:pPr>
              <w:pStyle w:val="4"/>
              <w:jc w:val="right"/>
              <w:rPr>
                <w:rFonts w:hint="default"/>
              </w:rPr>
            </w:pPr>
            <w:r>
              <w:rPr>
                <w:rFonts w:ascii="仿宋_GB2312" w:hAnsi="仿宋_GB2312" w:eastAsia="仿宋_GB2312" w:cs="仿宋_GB2312"/>
              </w:rPr>
              <w:t>1.00</w:t>
            </w:r>
          </w:p>
        </w:tc>
        <w:tc>
          <w:tcPr>
            <w:tcW w:w="831" w:type="dxa"/>
          </w:tcPr>
          <w:p w14:paraId="0467A78F">
            <w:pPr>
              <w:pStyle w:val="4"/>
              <w:jc w:val="right"/>
              <w:rPr>
                <w:rFonts w:hint="default"/>
              </w:rPr>
            </w:pPr>
            <w:r>
              <w:rPr>
                <w:rFonts w:hint="eastAsia" w:ascii="仿宋_GB2312" w:hAnsi="仿宋_GB2312" w:eastAsia="仿宋_GB2312" w:cs="仿宋_GB2312"/>
                <w:lang w:eastAsia="zh-CN"/>
              </w:rPr>
              <w:t>120</w:t>
            </w:r>
            <w:r>
              <w:rPr>
                <w:rFonts w:ascii="仿宋_GB2312" w:hAnsi="仿宋_GB2312" w:eastAsia="仿宋_GB2312" w:cs="仿宋_GB2312"/>
              </w:rPr>
              <w:t>,000.00</w:t>
            </w:r>
          </w:p>
        </w:tc>
        <w:tc>
          <w:tcPr>
            <w:tcW w:w="831" w:type="dxa"/>
          </w:tcPr>
          <w:p w14:paraId="566E7DC6">
            <w:pPr>
              <w:pStyle w:val="4"/>
              <w:rPr>
                <w:rFonts w:hint="default"/>
              </w:rPr>
            </w:pPr>
            <w:r>
              <w:rPr>
                <w:rFonts w:ascii="仿宋_GB2312" w:hAnsi="仿宋_GB2312" w:eastAsia="仿宋_GB2312" w:cs="仿宋_GB2312"/>
              </w:rPr>
              <w:t>批</w:t>
            </w:r>
          </w:p>
        </w:tc>
        <w:tc>
          <w:tcPr>
            <w:tcW w:w="831" w:type="dxa"/>
          </w:tcPr>
          <w:p w14:paraId="28E0E629">
            <w:pPr>
              <w:pStyle w:val="4"/>
              <w:rPr>
                <w:rFonts w:hint="default" w:eastAsia="仿宋_GB2312"/>
                <w:lang w:eastAsia="zh-CN"/>
              </w:rPr>
            </w:pPr>
            <w:r>
              <w:rPr>
                <w:rFonts w:ascii="仿宋_GB2312" w:hAnsi="仿宋_GB2312" w:eastAsia="仿宋_GB2312" w:cs="仿宋_GB2312"/>
                <w:lang w:eastAsia="zh-CN"/>
              </w:rPr>
              <w:t>其他为列明行业</w:t>
            </w:r>
          </w:p>
        </w:tc>
        <w:tc>
          <w:tcPr>
            <w:tcW w:w="831" w:type="dxa"/>
          </w:tcPr>
          <w:p w14:paraId="0639C293">
            <w:pPr>
              <w:pStyle w:val="4"/>
              <w:rPr>
                <w:rFonts w:hint="default"/>
              </w:rPr>
            </w:pPr>
            <w:r>
              <w:rPr>
                <w:rFonts w:ascii="仿宋_GB2312" w:hAnsi="仿宋_GB2312" w:eastAsia="仿宋_GB2312" w:cs="仿宋_GB2312"/>
              </w:rPr>
              <w:t>否</w:t>
            </w:r>
          </w:p>
        </w:tc>
        <w:tc>
          <w:tcPr>
            <w:tcW w:w="831" w:type="dxa"/>
          </w:tcPr>
          <w:p w14:paraId="4D41FDE1">
            <w:pPr>
              <w:pStyle w:val="4"/>
              <w:rPr>
                <w:rFonts w:hint="default"/>
              </w:rPr>
            </w:pPr>
            <w:r>
              <w:rPr>
                <w:rFonts w:ascii="仿宋_GB2312" w:hAnsi="仿宋_GB2312" w:eastAsia="仿宋_GB2312" w:cs="仿宋_GB2312"/>
              </w:rPr>
              <w:t>否</w:t>
            </w:r>
          </w:p>
        </w:tc>
        <w:tc>
          <w:tcPr>
            <w:tcW w:w="831" w:type="dxa"/>
          </w:tcPr>
          <w:p w14:paraId="59E9E6BC">
            <w:pPr>
              <w:pStyle w:val="4"/>
              <w:rPr>
                <w:rFonts w:hint="default"/>
              </w:rPr>
            </w:pPr>
            <w:r>
              <w:rPr>
                <w:rFonts w:ascii="仿宋_GB2312" w:hAnsi="仿宋_GB2312" w:eastAsia="仿宋_GB2312" w:cs="仿宋_GB2312"/>
              </w:rPr>
              <w:t>否</w:t>
            </w:r>
          </w:p>
        </w:tc>
        <w:tc>
          <w:tcPr>
            <w:tcW w:w="831" w:type="dxa"/>
          </w:tcPr>
          <w:p w14:paraId="16FD3928">
            <w:pPr>
              <w:pStyle w:val="4"/>
              <w:rPr>
                <w:rFonts w:hint="default"/>
              </w:rPr>
            </w:pPr>
            <w:r>
              <w:rPr>
                <w:rFonts w:ascii="仿宋_GB2312" w:hAnsi="仿宋_GB2312" w:eastAsia="仿宋_GB2312" w:cs="仿宋_GB2312"/>
              </w:rPr>
              <w:t>否</w:t>
            </w:r>
          </w:p>
        </w:tc>
      </w:tr>
    </w:tbl>
    <w:p w14:paraId="1DDFC830">
      <w:pPr>
        <w:pStyle w:val="4"/>
        <w:outlineLvl w:val="2"/>
        <w:rPr>
          <w:rFonts w:hint="default"/>
        </w:rPr>
      </w:pPr>
      <w:r>
        <w:rPr>
          <w:rFonts w:ascii="仿宋_GB2312" w:hAnsi="仿宋_GB2312" w:eastAsia="仿宋_GB2312" w:cs="仿宋_GB2312"/>
          <w:b/>
          <w:sz w:val="28"/>
        </w:rPr>
        <w:t>3.3技术要求</w:t>
      </w:r>
    </w:p>
    <w:p w14:paraId="7E37822A">
      <w:pPr>
        <w:pStyle w:val="4"/>
        <w:rPr>
          <w:rFonts w:hint="default"/>
        </w:rPr>
      </w:pPr>
      <w:r>
        <w:rPr>
          <w:rFonts w:ascii="仿宋_GB2312" w:hAnsi="仿宋_GB2312" w:eastAsia="仿宋_GB2312" w:cs="仿宋_GB2312"/>
        </w:rPr>
        <w:t>采购包1：</w:t>
      </w:r>
    </w:p>
    <w:p w14:paraId="41A0E8C9">
      <w:pPr>
        <w:pStyle w:val="4"/>
        <w:rPr>
          <w:rFonts w:hint="default"/>
        </w:rPr>
      </w:pPr>
      <w:r>
        <w:rPr>
          <w:rFonts w:ascii="仿宋_GB2312" w:hAnsi="仿宋_GB2312" w:eastAsia="仿宋_GB2312" w:cs="仿宋_GB2312"/>
        </w:rPr>
        <w:t>供应商报价不允许超过标的金额</w:t>
      </w:r>
    </w:p>
    <w:p w14:paraId="3E9C6457">
      <w:pPr>
        <w:pStyle w:val="4"/>
        <w:rPr>
          <w:rFonts w:hint="default"/>
        </w:rPr>
      </w:pPr>
      <w:r>
        <w:rPr>
          <w:rFonts w:ascii="仿宋_GB2312" w:hAnsi="仿宋_GB2312" w:eastAsia="仿宋_GB2312" w:cs="仿宋_GB2312"/>
        </w:rPr>
        <w:t>（招单价的）供应商报价不允许超过标的单价</w:t>
      </w:r>
    </w:p>
    <w:p w14:paraId="234C1C44">
      <w:pPr>
        <w:pStyle w:val="4"/>
        <w:rPr>
          <w:rFonts w:hint="default" w:eastAsia="仿宋_GB2312"/>
          <w:lang w:eastAsia="zh-CN"/>
        </w:rPr>
      </w:pPr>
      <w:r>
        <w:rPr>
          <w:rFonts w:ascii="仿宋_GB2312" w:hAnsi="仿宋_GB2312" w:eastAsia="仿宋_GB2312" w:cs="仿宋_GB2312"/>
        </w:rPr>
        <w:t>标的名称：</w:t>
      </w:r>
      <w:r>
        <w:rPr>
          <w:rFonts w:ascii="仿宋_GB2312" w:hAnsi="仿宋_GB2312" w:eastAsia="仿宋_GB2312" w:cs="仿宋_GB2312"/>
          <w:lang w:eastAsia="zh-CN"/>
        </w:rPr>
        <w:t>图书馆电子教材教参平台建设项目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0"/>
        <w:gridCol w:w="945"/>
        <w:gridCol w:w="6267"/>
      </w:tblGrid>
      <w:tr w14:paraId="5B9FE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14:paraId="7CF53927">
            <w:pPr>
              <w:pStyle w:val="4"/>
              <w:rPr>
                <w:rFonts w:hint="default"/>
              </w:rPr>
            </w:pPr>
            <w:r>
              <w:rPr>
                <w:rFonts w:ascii="仿宋_GB2312" w:hAnsi="仿宋_GB2312" w:eastAsia="仿宋_GB2312" w:cs="仿宋_GB2312"/>
              </w:rPr>
              <w:t xml:space="preserve"> 参数性质</w:t>
            </w:r>
          </w:p>
        </w:tc>
        <w:tc>
          <w:tcPr>
            <w:tcW w:w="945" w:type="dxa"/>
          </w:tcPr>
          <w:p w14:paraId="0E36C6F7">
            <w:pPr>
              <w:pStyle w:val="4"/>
              <w:rPr>
                <w:rFonts w:hint="default"/>
              </w:rPr>
            </w:pPr>
            <w:r>
              <w:rPr>
                <w:rFonts w:ascii="仿宋_GB2312" w:hAnsi="仿宋_GB2312" w:eastAsia="仿宋_GB2312" w:cs="仿宋_GB2312"/>
              </w:rPr>
              <w:t xml:space="preserve"> 序号</w:t>
            </w:r>
          </w:p>
        </w:tc>
        <w:tc>
          <w:tcPr>
            <w:tcW w:w="6267" w:type="dxa"/>
          </w:tcPr>
          <w:p w14:paraId="16B0A7E8">
            <w:pPr>
              <w:pStyle w:val="4"/>
              <w:rPr>
                <w:rFonts w:hint="default"/>
              </w:rPr>
            </w:pPr>
            <w:r>
              <w:rPr>
                <w:rFonts w:ascii="仿宋_GB2312" w:hAnsi="仿宋_GB2312" w:eastAsia="仿宋_GB2312" w:cs="仿宋_GB2312"/>
              </w:rPr>
              <w:t xml:space="preserve"> 技术参数与性能指标</w:t>
            </w:r>
          </w:p>
        </w:tc>
      </w:tr>
      <w:tr w14:paraId="249DF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14:paraId="2AE402FE"/>
        </w:tc>
        <w:tc>
          <w:tcPr>
            <w:tcW w:w="945" w:type="dxa"/>
          </w:tcPr>
          <w:p w14:paraId="2A434D51">
            <w:pPr>
              <w:pStyle w:val="4"/>
              <w:rPr>
                <w:rFonts w:hint="default"/>
              </w:rPr>
            </w:pPr>
            <w:r>
              <w:rPr>
                <w:rFonts w:ascii="仿宋_GB2312" w:hAnsi="仿宋_GB2312" w:eastAsia="仿宋_GB2312" w:cs="仿宋_GB2312"/>
              </w:rPr>
              <w:t>1</w:t>
            </w:r>
          </w:p>
        </w:tc>
        <w:tc>
          <w:tcPr>
            <w:tcW w:w="6267" w:type="dxa"/>
          </w:tcPr>
          <w:p w14:paraId="420988D1">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一、项目概况</w:t>
            </w:r>
          </w:p>
          <w:p w14:paraId="0582D9B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本项目建设聚焦构建数字化教学支撑体系，打造集电子教材、电子教参、教学方案、多媒体课件、标准化题库、微课资源于一体的综合性教学服务平台。平台能够支持PDF文档、DOC文档、图表、音视频、演示文稿等多元呈现形式，构建标准化资源管理架构，实现教材、教参资源的全流程数字化管理、智能化存储与多终端适配阅览。</w:t>
            </w:r>
          </w:p>
          <w:p w14:paraId="6A8EEEE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二、采购内容（包括采购品目 、规格和数量）</w:t>
            </w:r>
          </w:p>
          <w:p w14:paraId="729E3C9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1、电子教材教参平台（含操作系统、数据库、平台后台服务系统）数量：1套</w:t>
            </w:r>
          </w:p>
          <w:p w14:paraId="18C3B319">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2、电子教材教参电子书（本地存储）数量：2500册，其中轨道交通相关专业类电子教材教参电子书不少于1250册，包含西铁院教师主编已正式出版发行的数字教材</w:t>
            </w:r>
          </w:p>
          <w:p w14:paraId="213FCA5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3、电子教参资料（本地存储）数量：100份，其中轨道交通相关专业电子教参资料不少于50份</w:t>
            </w:r>
          </w:p>
          <w:p w14:paraId="4A2DD430">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4、课程、读者数据整理，数量：20000条</w:t>
            </w:r>
          </w:p>
          <w:p w14:paraId="230E30A9">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三、技术要求（包括对产品的认证、检验报告等）</w:t>
            </w:r>
          </w:p>
          <w:p w14:paraId="6436B7FD">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3.1本项目的所需服务器操作系统、数据库、系统软件及用户页面需符合国产化信创产品要求。乙方必须提供平台系统的《计算机软件著作权登记证书》。甲方提供虚拟机服务器（硬件：CPU:6核12线程RAM:16GB硬盘：512GB，依据储存内容相应增加软件环境：操作系统版本：WindowsServer2008-2019（32/64位）企业版）环境用以部署平台及安装资源。待甲方能够提供新的平台部署环境，乙方需免费配合甲方完成符合国产化信创要求的平台后台服务系统重新部署及电子教材教参数据的迁移。</w:t>
            </w:r>
          </w:p>
          <w:p w14:paraId="684D5D57">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3.2系统支持B/S模式。支持对课程数据的统一检索，支持以课程为维度查看课程下的教材教参资源。检索结果中提供按照首字母、学院、学年学期、学段、专业等多种筛选方式进行聚类，可实现组合筛选。检索结果提供默认排序、入库时间、浏览量排序，支持检索时简繁互检。支持多种全文获取方式，包括本馆馆藏资源、已购买的全文数据库全文链接、本馆自加工数据。支持全文附件和全文链接。平台支持3万用户注册，可容纳不低于500门课程，不少于40万册电子教材教参资源。</w:t>
            </w:r>
          </w:p>
          <w:p w14:paraId="578770F5">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3.3支持多种阅读模式；提供阅读记录；支持按页添加自定义书签。</w:t>
            </w:r>
          </w:p>
          <w:p w14:paraId="7359EC94">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3.4完成与校园融合门户系统对接。支持按照课程检索、多维度可视化图标分析；</w:t>
            </w:r>
          </w:p>
          <w:p w14:paraId="6F0C6624">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3.5支持教师个人课程管理，查看所教课程列表，新建课程；支持对当前所教课程进行资源管理、教师管理、学生管理。学生：支持查看当前所学课程列表，并可加入其他课程；支持查看当前所学课程的课程信息、教材教参资源。</w:t>
            </w:r>
          </w:p>
          <w:p w14:paraId="3DAF081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3.6教材教参资源管理，支持按课程维度上传、管理相关教材教参资源；电子教材教参数字图书支持PDF和epub格式，电子教参资源格式支持txt、word、excel、PowerPoint、图片（如jpg、bmp）、视频（如mp4、flv、avi、rmvb、wmv）及音频（如mp3、wma、wav）。支持按照文献模版通过批量导入、单篇上传、批量修改，添加或修改数据；支持提供不少于10亿条元数据用于教参资源的检索、补充。可根据学校具体的教材数据字段情况，自定义平台教材、教参字段表，可以对字段的名称、字段填写方式、是否参与检索、聚类、是否列表页展示等信息进行设置，支持对字段进行拖拽式新增、顺序调整。</w:t>
            </w:r>
          </w:p>
          <w:p w14:paraId="7647E3D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3.7支持对课程下的教师/学生信息进行统一管理，增、删、改、查教师与课程的开课关系。添加教师信息或学生信息时，基于用户信息模板，提供批量导入、单条添加2种数据上传方式。</w:t>
            </w:r>
          </w:p>
          <w:p w14:paraId="48885881">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3.8完成对接学校融合门户，限定用户使用范围；教参门户支持以课程为维度查看本人所教/学课程。支持设置课程申请开关，开启后用户仅可查看本人所教/学课程，查看其他课程必须提交申请进行后台审核。支持管理员后台设置课程申请的审核模式。支持多层级版权保护： 支持后台的管理员权限设置，支持设置用户权限，包括：全文在线阅读、下载、在线全文查看等；对于无权限查看全文的用户，可支持试读设置，若支持试读，可设置能试读的页数。支持全文在线阅读页动态水印显示。</w:t>
            </w:r>
          </w:p>
          <w:p w14:paraId="5E4427C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3.9支持对教参资源平台里所有资源和使用情况等数据进行统计，包括：元数据统计、各资源占比、资源更新趋势统计。支持按时间段筛选门户访问统计，包括网站总访问量、今日访问量、日均访问量，访问量变化趋势等；支持多维度查看资源使用统计，包括：热门资源统计及相关用户信息、学院访问排行榜、课程访问排行榜；支持统计热门检索词及检索量；支持导出平台使用情况统计。提供前台使用日志，记录内容包括用户名、操作类型、操作详情和操作日期，能够按浏览、检索、资源获取操作类型进行查找和筛选，并支持导出记录信息。</w:t>
            </w:r>
          </w:p>
          <w:p w14:paraId="6BFCCB52">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四、服务要求</w:t>
            </w:r>
          </w:p>
          <w:p w14:paraId="34EEACE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1、系统建设中平台中提供的电子书资源需要拥有版权，数字化的纸质教材保证只在本校校园网内浏览，数字化的页面需加水印。</w:t>
            </w:r>
          </w:p>
          <w:p w14:paraId="7C2C0423">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2、按照规定时间完成项目建设，提供系统使用说明等必备资料。</w:t>
            </w:r>
          </w:p>
          <w:p w14:paraId="02142DA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卖方应保证合同项下所供货物是合同规定厂家制造的、全新的、未使用过的、并完全符合合同规定的质量、规格和性能要求的合格产品，提供的电子图书需拥有版权，数字化加工的电子图书的原始数据需加水印，并将原始数据提供给甲方。</w:t>
            </w:r>
          </w:p>
          <w:p w14:paraId="7D46366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4、质量保证期为终验合格之日起质保36个月。质保期内如产品硬件软件出现故障，由乙方在规定时间内以合理的速度进行免费维修或者更换。</w:t>
            </w:r>
          </w:p>
          <w:p w14:paraId="0185D98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5、乙方应对甲方设备管理人员进行技术培训，确保甲方人员能够具备各类设备和软件的管理能力。</w:t>
            </w:r>
          </w:p>
          <w:p w14:paraId="222A50A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五、商务要求</w:t>
            </w:r>
          </w:p>
          <w:p w14:paraId="0EB68F7C">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1、履约保证金：</w:t>
            </w:r>
          </w:p>
          <w:p w14:paraId="710710D8">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1）成交方在签订合同前须向采购方交纳合同总金额5%的履约保证金。</w:t>
            </w:r>
          </w:p>
          <w:p w14:paraId="0CBF0294">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2）成交方无正当理由不与采购方订立合同，在签订合同时向采购方提出附加条件，或者不按照招标文件要求提交履约保证金的，取消其成交资格，招标保证金不予退还。</w:t>
            </w:r>
          </w:p>
          <w:p w14:paraId="1326F44C">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3）项目验收合格后，采购方向成交方无息退还履约保证金。</w:t>
            </w:r>
          </w:p>
          <w:p w14:paraId="4D50A78B">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2、付款方式：</w:t>
            </w:r>
          </w:p>
          <w:p w14:paraId="6D40D61F">
            <w:pPr>
              <w:pStyle w:val="4"/>
              <w:ind w:firstLine="495" w:firstLineChars="236"/>
              <w:rPr>
                <w:rFonts w:hint="default" w:ascii="仿宋_GB2312" w:hAnsi="仿宋_GB2312" w:eastAsia="仿宋_GB2312" w:cs="仿宋_GB2312"/>
                <w:color w:val="000000"/>
                <w:sz w:val="21"/>
                <w:szCs w:val="16"/>
                <w:lang w:eastAsia="zh-CN"/>
              </w:rPr>
            </w:pPr>
            <w:r>
              <w:rPr>
                <w:rFonts w:hint="eastAsia" w:ascii="仿宋_GB2312" w:hAnsi="仿宋_GB2312" w:eastAsia="仿宋_GB2312" w:cs="仿宋_GB2312"/>
                <w:color w:val="000000"/>
                <w:sz w:val="21"/>
                <w:szCs w:val="16"/>
                <w:lang w:eastAsia="zh-CN"/>
              </w:rPr>
              <w:t>签订合同后30天内，成交方持履约保证金交纳凭证、合同、预付款发票，至买方处办理合同总价款的40%预付款项，项目完成并验收合格（达到使用标准）后，成交方持《终验合格单》原件及发票在采购方处办理剩余货款的支付手续</w:t>
            </w:r>
            <w:r>
              <w:rPr>
                <w:rFonts w:ascii="仿宋_GB2312" w:hAnsi="仿宋_GB2312" w:eastAsia="仿宋_GB2312" w:cs="仿宋_GB2312"/>
                <w:color w:val="000000"/>
                <w:sz w:val="21"/>
                <w:szCs w:val="16"/>
                <w:lang w:eastAsia="zh-CN"/>
              </w:rPr>
              <w:t>。</w:t>
            </w:r>
          </w:p>
          <w:p w14:paraId="37795D77">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3、交货时间：自合同签订后60个工作日供货完毕。</w:t>
            </w:r>
          </w:p>
          <w:p w14:paraId="3EE5AA03">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4、交货地点：采购方指定地点。</w:t>
            </w:r>
          </w:p>
          <w:p w14:paraId="3C7E725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六、其他</w:t>
            </w:r>
          </w:p>
          <w:p w14:paraId="1A301C3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（一）对供应商业绩的要求。</w:t>
            </w:r>
          </w:p>
          <w:p w14:paraId="66367AF3">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供应商须具有省内高校同类项目经验。</w:t>
            </w:r>
          </w:p>
          <w:p w14:paraId="5C80E405">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（二）质量验收标准或规范</w:t>
            </w:r>
          </w:p>
          <w:p w14:paraId="340A55C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产品符合国家相关检测标准，提供招标文件要求的相关佐证文件，系统运行符合行业标准。</w:t>
            </w:r>
          </w:p>
          <w:p w14:paraId="6CBB6AF7">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（三）产品质保期</w:t>
            </w:r>
          </w:p>
          <w:p w14:paraId="76FD46B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自验收合格之日起36个月.质保期内硬件、软件、数字资源故障应在规定时间内进行免费维修，重新安装或者返厂更换。</w:t>
            </w:r>
          </w:p>
          <w:p w14:paraId="10D2922D">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（四）违约责任</w:t>
            </w:r>
          </w:p>
          <w:p w14:paraId="20FBF4BF">
            <w:pPr>
              <w:pStyle w:val="4"/>
              <w:ind w:firstLine="420" w:firstLineChars="200"/>
              <w:jc w:val="both"/>
              <w:rPr>
                <w:rFonts w:hint="default"/>
                <w:lang w:eastAsia="zh-CN"/>
              </w:rPr>
            </w:pPr>
            <w:r>
              <w:rPr>
                <w:rFonts w:ascii="仿宋_GB2312" w:hAnsi="仿宋_GB2312" w:eastAsia="仿宋_GB2312" w:cs="仿宋_GB2312"/>
                <w:color w:val="000000"/>
                <w:sz w:val="21"/>
                <w:szCs w:val="16"/>
                <w:lang w:eastAsia="zh-CN"/>
              </w:rPr>
              <w:t>违反本协议导致合同无法继续履行的，除扣除履约保证金外赔偿所有实际损失。</w:t>
            </w:r>
          </w:p>
        </w:tc>
      </w:tr>
    </w:tbl>
    <w:p w14:paraId="65C7C5FD">
      <w:pPr>
        <w:pStyle w:val="4"/>
        <w:outlineLvl w:val="2"/>
        <w:rPr>
          <w:rFonts w:hint="default"/>
        </w:rPr>
      </w:pPr>
      <w:r>
        <w:rPr>
          <w:rFonts w:ascii="仿宋_GB2312" w:hAnsi="仿宋_GB2312" w:eastAsia="仿宋_GB2312" w:cs="仿宋_GB2312"/>
          <w:b/>
          <w:sz w:val="28"/>
        </w:rPr>
        <w:t>3.4商务要求</w:t>
      </w:r>
    </w:p>
    <w:p w14:paraId="1A416327">
      <w:pPr>
        <w:pStyle w:val="4"/>
        <w:outlineLvl w:val="3"/>
        <w:rPr>
          <w:rFonts w:hint="default"/>
        </w:rPr>
      </w:pPr>
      <w:r>
        <w:rPr>
          <w:rFonts w:ascii="仿宋_GB2312" w:hAnsi="仿宋_GB2312" w:eastAsia="仿宋_GB2312" w:cs="仿宋_GB2312"/>
          <w:b/>
          <w:sz w:val="24"/>
        </w:rPr>
        <w:t>3.4.1交货时间</w:t>
      </w:r>
    </w:p>
    <w:p w14:paraId="7AE8435B">
      <w:pPr>
        <w:pStyle w:val="4"/>
        <w:rPr>
          <w:rFonts w:hint="default"/>
        </w:rPr>
      </w:pPr>
      <w:r>
        <w:rPr>
          <w:rFonts w:ascii="仿宋_GB2312" w:hAnsi="仿宋_GB2312" w:eastAsia="仿宋_GB2312" w:cs="仿宋_GB2312"/>
        </w:rPr>
        <w:t>采购包1：</w:t>
      </w:r>
    </w:p>
    <w:p w14:paraId="15A4D678">
      <w:pPr>
        <w:pStyle w:val="4"/>
        <w:rPr>
          <w:rFonts w:hint="default"/>
        </w:rPr>
      </w:pPr>
      <w:r>
        <w:rPr>
          <w:rFonts w:ascii="仿宋_GB2312" w:hAnsi="仿宋_GB2312" w:eastAsia="仿宋_GB2312" w:cs="仿宋_GB2312"/>
          <w:lang w:eastAsia="zh-CN"/>
        </w:rPr>
        <w:t>自合同签订后60个工作日供货完毕</w:t>
      </w:r>
      <w:r>
        <w:rPr>
          <w:rFonts w:ascii="仿宋_GB2312" w:hAnsi="仿宋_GB2312" w:eastAsia="仿宋_GB2312" w:cs="仿宋_GB2312"/>
        </w:rPr>
        <w:t>。</w:t>
      </w:r>
    </w:p>
    <w:p w14:paraId="4BA4F698">
      <w:pPr>
        <w:pStyle w:val="4"/>
        <w:outlineLvl w:val="3"/>
        <w:rPr>
          <w:rFonts w:hint="default"/>
        </w:rPr>
      </w:pPr>
      <w:r>
        <w:rPr>
          <w:rFonts w:ascii="仿宋_GB2312" w:hAnsi="仿宋_GB2312" w:eastAsia="仿宋_GB2312" w:cs="仿宋_GB2312"/>
          <w:b/>
          <w:sz w:val="24"/>
        </w:rPr>
        <w:t>3.4.2交货地点和方式</w:t>
      </w:r>
    </w:p>
    <w:p w14:paraId="0F4B95D8">
      <w:pPr>
        <w:pStyle w:val="4"/>
        <w:rPr>
          <w:rFonts w:hint="default"/>
        </w:rPr>
      </w:pPr>
      <w:r>
        <w:rPr>
          <w:rFonts w:ascii="仿宋_GB2312" w:hAnsi="仿宋_GB2312" w:eastAsia="仿宋_GB2312" w:cs="仿宋_GB2312"/>
        </w:rPr>
        <w:t>采购包1：</w:t>
      </w:r>
    </w:p>
    <w:p w14:paraId="78B4D3F8">
      <w:pPr>
        <w:pStyle w:val="4"/>
        <w:rPr>
          <w:rFonts w:hint="default" w:ascii="仿宋_GB2312" w:hAnsi="仿宋_GB2312" w:eastAsia="仿宋_GB2312" w:cs="仿宋_GB2312"/>
        </w:rPr>
      </w:pPr>
      <w:r>
        <w:rPr>
          <w:rFonts w:ascii="仿宋_GB2312" w:hAnsi="仿宋_GB2312" w:eastAsia="仿宋_GB2312" w:cs="仿宋_GB2312"/>
          <w:lang w:eastAsia="zh-CN"/>
        </w:rPr>
        <w:t>采购方指定地点</w:t>
      </w:r>
    </w:p>
    <w:p w14:paraId="79E90D35">
      <w:pPr>
        <w:pStyle w:val="4"/>
        <w:outlineLvl w:val="3"/>
        <w:rPr>
          <w:rFonts w:hint="default"/>
        </w:rPr>
      </w:pPr>
      <w:r>
        <w:rPr>
          <w:rFonts w:ascii="仿宋_GB2312" w:hAnsi="仿宋_GB2312" w:eastAsia="仿宋_GB2312" w:cs="仿宋_GB2312"/>
          <w:b/>
          <w:sz w:val="24"/>
        </w:rPr>
        <w:t>3.4.3支付方式</w:t>
      </w:r>
    </w:p>
    <w:p w14:paraId="49AF8081">
      <w:pPr>
        <w:pStyle w:val="4"/>
        <w:rPr>
          <w:rFonts w:hint="default"/>
        </w:rPr>
      </w:pPr>
      <w:r>
        <w:rPr>
          <w:rFonts w:ascii="仿宋_GB2312" w:hAnsi="仿宋_GB2312" w:eastAsia="仿宋_GB2312" w:cs="仿宋_GB2312"/>
        </w:rPr>
        <w:t>采购包1：</w:t>
      </w:r>
    </w:p>
    <w:p w14:paraId="15F949E3">
      <w:pPr>
        <w:pStyle w:val="4"/>
        <w:rPr>
          <w:rFonts w:hint="eastAsia" w:eastAsia="仿宋_GB2312"/>
          <w:lang w:eastAsia="zh-CN"/>
        </w:rPr>
      </w:pPr>
      <w:r>
        <w:rPr>
          <w:rFonts w:hint="eastAsia" w:ascii="仿宋_GB2312" w:hAnsi="仿宋_GB2312" w:eastAsia="仿宋_GB2312" w:cs="仿宋_GB2312"/>
          <w:lang w:eastAsia="zh-CN"/>
        </w:rPr>
        <w:t>分期付款</w:t>
      </w:r>
    </w:p>
    <w:p w14:paraId="3BE94C52">
      <w:pPr>
        <w:pStyle w:val="4"/>
        <w:outlineLvl w:val="3"/>
        <w:rPr>
          <w:rFonts w:hint="default"/>
        </w:rPr>
      </w:pPr>
      <w:r>
        <w:rPr>
          <w:rFonts w:ascii="仿宋_GB2312" w:hAnsi="仿宋_GB2312" w:eastAsia="仿宋_GB2312" w:cs="仿宋_GB2312"/>
          <w:b/>
          <w:sz w:val="24"/>
        </w:rPr>
        <w:t>3.4.4支付约定</w:t>
      </w:r>
    </w:p>
    <w:p w14:paraId="4F99B782">
      <w:pPr>
        <w:pStyle w:val="4"/>
        <w:rPr>
          <w:rFonts w:hint="default" w:ascii="仿宋_GB2312" w:hAnsi="仿宋_GB2312" w:eastAsia="仿宋_GB2312" w:cs="仿宋_GB2312"/>
        </w:rPr>
      </w:pPr>
      <w:r>
        <w:rPr>
          <w:rFonts w:ascii="仿宋_GB2312" w:hAnsi="仿宋_GB2312" w:eastAsia="仿宋_GB2312" w:cs="仿宋_GB2312"/>
        </w:rPr>
        <w:t>采购包1：</w:t>
      </w:r>
    </w:p>
    <w:p w14:paraId="63479447">
      <w:pPr>
        <w:pStyle w:val="4"/>
        <w:ind w:firstLine="400" w:firstLineChars="200"/>
        <w:rPr>
          <w:rFonts w:hint="default"/>
        </w:rPr>
      </w:pPr>
      <w:r>
        <w:rPr>
          <w:rFonts w:hint="eastAsia" w:ascii="仿宋_GB2312" w:hAnsi="仿宋_GB2312" w:eastAsia="仿宋_GB2312" w:cs="仿宋_GB2312"/>
          <w:lang w:eastAsia="zh-CN"/>
        </w:rPr>
        <w:t>签订合同后30天内，成交方持履约保证金交纳凭证、合同、预付款发票，至买方处办理合同总价款的40%预付款项，项目完成并验收合格（达到使用标准）后，成交方持《终验合格单》原件及发票在采购方处办理剩余货款的支付手续</w:t>
      </w:r>
      <w:r>
        <w:rPr>
          <w:rFonts w:ascii="仿宋_GB2312" w:hAnsi="仿宋_GB2312" w:eastAsia="仿宋_GB2312" w:cs="仿宋_GB2312"/>
          <w:lang w:eastAsia="zh-CN"/>
        </w:rPr>
        <w:t>。</w:t>
      </w:r>
      <w:r>
        <w:rPr>
          <w:rFonts w:ascii="仿宋_GB2312" w:hAnsi="仿宋_GB2312" w:eastAsia="仿宋_GB2312" w:cs="仿宋_GB2312"/>
          <w:lang w:eastAsia="zh-CN"/>
        </w:rPr>
        <w:tab/>
      </w:r>
    </w:p>
    <w:p w14:paraId="483F0C8F">
      <w:pPr>
        <w:pStyle w:val="4"/>
        <w:outlineLvl w:val="3"/>
        <w:rPr>
          <w:rFonts w:hint="default"/>
        </w:rPr>
      </w:pPr>
      <w:r>
        <w:rPr>
          <w:rFonts w:ascii="仿宋_GB2312" w:hAnsi="仿宋_GB2312" w:eastAsia="仿宋_GB2312" w:cs="仿宋_GB2312"/>
          <w:b/>
          <w:sz w:val="24"/>
        </w:rPr>
        <w:t>3.4.5验收标准和方法</w:t>
      </w:r>
    </w:p>
    <w:p w14:paraId="3D98A4D1">
      <w:pPr>
        <w:pStyle w:val="4"/>
        <w:rPr>
          <w:rFonts w:hint="default"/>
        </w:rPr>
      </w:pPr>
      <w:r>
        <w:rPr>
          <w:rFonts w:ascii="仿宋_GB2312" w:hAnsi="仿宋_GB2312" w:eastAsia="仿宋_GB2312" w:cs="仿宋_GB2312"/>
        </w:rPr>
        <w:t>采购包1：</w:t>
      </w:r>
    </w:p>
    <w:p w14:paraId="4B4F71F6">
      <w:pPr>
        <w:pStyle w:val="4"/>
        <w:rPr>
          <w:rFonts w:hint="default" w:ascii="仿宋_GB2312" w:hAnsi="仿宋_GB2312" w:eastAsia="仿宋_GB2312" w:cs="仿宋_GB2312"/>
        </w:rPr>
      </w:pPr>
      <w:r>
        <w:rPr>
          <w:rFonts w:ascii="仿宋_GB2312" w:hAnsi="仿宋_GB2312" w:eastAsia="仿宋_GB2312" w:cs="仿宋_GB2312"/>
          <w:lang w:eastAsia="zh-CN"/>
        </w:rPr>
        <w:t>产品符合国家相关检测标准，提供招标文件要求的相关佐证文件，系统运行符合行业标准。</w:t>
      </w:r>
    </w:p>
    <w:p w14:paraId="62F97E36">
      <w:pPr>
        <w:pStyle w:val="4"/>
        <w:outlineLvl w:val="3"/>
        <w:rPr>
          <w:rFonts w:hint="default"/>
        </w:rPr>
      </w:pPr>
      <w:r>
        <w:rPr>
          <w:rFonts w:ascii="仿宋_GB2312" w:hAnsi="仿宋_GB2312" w:eastAsia="仿宋_GB2312" w:cs="仿宋_GB2312"/>
          <w:b/>
          <w:sz w:val="24"/>
        </w:rPr>
        <w:t>3.4.6包装方式及运输</w:t>
      </w:r>
    </w:p>
    <w:p w14:paraId="14A200D6">
      <w:pPr>
        <w:pStyle w:val="4"/>
        <w:rPr>
          <w:rFonts w:hint="default"/>
        </w:rPr>
      </w:pPr>
      <w:r>
        <w:rPr>
          <w:rFonts w:ascii="仿宋_GB2312" w:hAnsi="仿宋_GB2312" w:eastAsia="仿宋_GB2312" w:cs="仿宋_GB2312"/>
        </w:rPr>
        <w:t>采购包1：</w:t>
      </w:r>
    </w:p>
    <w:p w14:paraId="77CF1590">
      <w:pPr>
        <w:pStyle w:val="4"/>
        <w:ind w:firstLine="400" w:firstLineChars="200"/>
        <w:rPr>
          <w:rFonts w:hint="default" w:ascii="仿宋_GB2312" w:hAnsi="仿宋_GB2312" w:eastAsia="仿宋_GB2312" w:cs="仿宋_GB2312"/>
        </w:rPr>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22839CB">
      <w:pPr>
        <w:pStyle w:val="4"/>
        <w:outlineLvl w:val="3"/>
        <w:rPr>
          <w:rFonts w:hint="default"/>
        </w:rPr>
      </w:pPr>
      <w:r>
        <w:rPr>
          <w:rFonts w:ascii="仿宋_GB2312" w:hAnsi="仿宋_GB2312" w:eastAsia="仿宋_GB2312" w:cs="仿宋_GB2312"/>
          <w:b/>
          <w:sz w:val="24"/>
        </w:rPr>
        <w:t>3.4.7质量保修范围和保修期</w:t>
      </w:r>
    </w:p>
    <w:p w14:paraId="724E9B01">
      <w:pPr>
        <w:pStyle w:val="4"/>
        <w:rPr>
          <w:rFonts w:hint="default"/>
        </w:rPr>
      </w:pPr>
      <w:r>
        <w:rPr>
          <w:rFonts w:ascii="仿宋_GB2312" w:hAnsi="仿宋_GB2312" w:eastAsia="仿宋_GB2312" w:cs="仿宋_GB2312"/>
        </w:rPr>
        <w:t>采购包1：</w:t>
      </w:r>
      <w:r>
        <w:rPr>
          <w:rFonts w:ascii="仿宋_GB2312" w:hAnsi="仿宋_GB2312" w:eastAsia="仿宋_GB2312" w:cs="仿宋_GB2312"/>
          <w:lang w:eastAsia="zh-CN"/>
        </w:rPr>
        <w:t>终验合格之日起质保36个月</w:t>
      </w:r>
      <w:r>
        <w:rPr>
          <w:rFonts w:ascii="仿宋_GB2312" w:hAnsi="仿宋_GB2312" w:eastAsia="仿宋_GB2312" w:cs="仿宋_GB2312"/>
        </w:rPr>
        <w:t>。</w:t>
      </w:r>
    </w:p>
    <w:p w14:paraId="548A63A8">
      <w:pPr>
        <w:pStyle w:val="4"/>
        <w:outlineLvl w:val="3"/>
        <w:rPr>
          <w:rFonts w:hint="default"/>
        </w:rPr>
      </w:pPr>
      <w:r>
        <w:rPr>
          <w:rFonts w:ascii="仿宋_GB2312" w:hAnsi="仿宋_GB2312" w:eastAsia="仿宋_GB2312" w:cs="仿宋_GB2312"/>
          <w:b/>
          <w:sz w:val="24"/>
        </w:rPr>
        <w:t>3.4.8违约责任及解决争议的方法</w:t>
      </w:r>
    </w:p>
    <w:p w14:paraId="546ACF57">
      <w:pPr>
        <w:pStyle w:val="4"/>
        <w:rPr>
          <w:rFonts w:hint="default"/>
        </w:rPr>
      </w:pPr>
      <w:r>
        <w:rPr>
          <w:rFonts w:ascii="仿宋_GB2312" w:hAnsi="仿宋_GB2312" w:eastAsia="仿宋_GB2312" w:cs="仿宋_GB2312"/>
        </w:rPr>
        <w:t>采购包1：</w:t>
      </w:r>
    </w:p>
    <w:p w14:paraId="3F990555">
      <w:pPr>
        <w:pStyle w:val="4"/>
        <w:rPr>
          <w:rFonts w:hint="default" w:eastAsia="仿宋_GB2312"/>
          <w:lang w:eastAsia="zh-CN"/>
        </w:rPr>
      </w:pPr>
      <w:r>
        <w:rPr>
          <w:rFonts w:ascii="仿宋_GB2312" w:hAnsi="仿宋_GB2312" w:eastAsia="仿宋_GB2312" w:cs="仿宋_GB2312"/>
          <w:lang w:eastAsia="zh-CN"/>
        </w:rPr>
        <w:t>违反本协议导致合同无法继续履行的，除扣除履约保证金外赔偿所有实际损失。</w:t>
      </w:r>
    </w:p>
    <w:p w14:paraId="169595D0">
      <w:pPr>
        <w:pStyle w:val="4"/>
        <w:outlineLvl w:val="3"/>
        <w:rPr>
          <w:rFonts w:hint="default"/>
        </w:rPr>
      </w:pPr>
      <w:r>
        <w:rPr>
          <w:rFonts w:ascii="仿宋_GB2312" w:hAnsi="仿宋_GB2312" w:eastAsia="仿宋_GB2312" w:cs="仿宋_GB2312"/>
          <w:b/>
          <w:sz w:val="24"/>
        </w:rPr>
        <w:t>3.5其他要求</w:t>
      </w:r>
    </w:p>
    <w:p w14:paraId="3E85A11F">
      <w:pPr>
        <w:pStyle w:val="4"/>
        <w:rPr>
          <w:rFonts w:hint="default"/>
        </w:rPr>
      </w:pPr>
      <w:r>
        <w:rPr>
          <w:rFonts w:ascii="仿宋_GB2312" w:hAnsi="仿宋_GB2312" w:eastAsia="仿宋_GB2312" w:cs="仿宋_GB2312"/>
        </w:rPr>
        <w:t>采购包1：</w:t>
      </w:r>
    </w:p>
    <w:p w14:paraId="64E103ED">
      <w:pPr>
        <w:pStyle w:val="4"/>
        <w:ind w:firstLine="400" w:firstLineChars="200"/>
        <w:rPr>
          <w:rFonts w:hint="default"/>
        </w:rPr>
      </w:pPr>
      <w:r>
        <w:rPr>
          <w:rFonts w:ascii="仿宋_GB2312" w:hAnsi="仿宋_GB2312" w:eastAsia="仿宋_GB2312" w:cs="仿宋_GB2312"/>
          <w:lang w:eastAsia="zh-CN"/>
        </w:rPr>
        <w:t>一</w:t>
      </w:r>
      <w:r>
        <w:rPr>
          <w:rFonts w:ascii="仿宋_GB2312" w:hAnsi="仿宋_GB2312" w:eastAsia="仿宋_GB2312" w:cs="仿宋_GB2312"/>
        </w:rPr>
        <w:t xml:space="preserve">、供应商务必在开标截止时间30分钟前，通过项目电子化交易系统进行签到，如未进行签到，产生的一起后果由供应商自行承担。 </w:t>
      </w:r>
      <w:r>
        <w:rPr>
          <w:rFonts w:ascii="仿宋_GB2312" w:hAnsi="仿宋_GB2312" w:eastAsia="仿宋_GB2312" w:cs="仿宋_GB2312"/>
          <w:lang w:eastAsia="zh-CN"/>
        </w:rPr>
        <w:t>二</w:t>
      </w:r>
      <w:r>
        <w:rPr>
          <w:rFonts w:ascii="仿宋_GB2312" w:hAnsi="仿宋_GB2312" w:eastAsia="仿宋_GB2312" w:cs="仿宋_GB2312"/>
        </w:rPr>
        <w:t>、供应商的</w:t>
      </w:r>
      <w:r>
        <w:rPr>
          <w:rFonts w:ascii="仿宋_GB2312" w:hAnsi="仿宋_GB2312" w:eastAsia="仿宋_GB2312" w:cs="仿宋_GB2312"/>
          <w:lang w:eastAsia="zh-CN"/>
        </w:rPr>
        <w:t>谈判</w:t>
      </w:r>
      <w:r>
        <w:rPr>
          <w:rFonts w:ascii="仿宋_GB2312" w:hAnsi="仿宋_GB2312" w:eastAsia="仿宋_GB2312" w:cs="仿宋_GB2312"/>
        </w:rPr>
        <w:t>报价是供应商响应</w:t>
      </w:r>
      <w:r>
        <w:rPr>
          <w:rFonts w:ascii="仿宋_GB2312" w:hAnsi="仿宋_GB2312" w:eastAsia="仿宋_GB2312" w:cs="仿宋_GB2312"/>
          <w:lang w:eastAsia="zh-CN"/>
        </w:rPr>
        <w:t>谈判</w:t>
      </w:r>
      <w:r>
        <w:rPr>
          <w:rFonts w:ascii="仿宋_GB2312" w:hAnsi="仿宋_GB2312" w:eastAsia="仿宋_GB2312" w:cs="仿宋_GB2312"/>
        </w:rPr>
        <w:t xml:space="preserve">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w:t>
      </w:r>
      <w:r>
        <w:rPr>
          <w:rFonts w:ascii="仿宋_GB2312" w:hAnsi="仿宋_GB2312" w:eastAsia="仿宋_GB2312" w:cs="仿宋_GB2312"/>
          <w:lang w:eastAsia="zh-CN"/>
        </w:rPr>
        <w:t>三</w:t>
      </w:r>
      <w:r>
        <w:rPr>
          <w:rFonts w:ascii="仿宋_GB2312" w:hAnsi="仿宋_GB2312" w:eastAsia="仿宋_GB2312" w:cs="仿宋_GB2312"/>
        </w:rPr>
        <w:t xml:space="preserve">、签名是指手写签名或者加盖名章，盖章是指加盖单位印章。 </w:t>
      </w:r>
      <w:r>
        <w:rPr>
          <w:rFonts w:ascii="仿宋_GB2312" w:hAnsi="仿宋_GB2312" w:eastAsia="仿宋_GB2312" w:cs="仿宋_GB2312"/>
          <w:lang w:eastAsia="zh-CN"/>
        </w:rPr>
        <w:t>四</w:t>
      </w:r>
      <w:r>
        <w:rPr>
          <w:rFonts w:ascii="仿宋_GB2312" w:hAnsi="仿宋_GB2312" w:eastAsia="仿宋_GB2312" w:cs="仿宋_GB2312"/>
        </w:rPr>
        <w:t>、</w:t>
      </w:r>
      <w:r>
        <w:rPr>
          <w:rFonts w:ascii="仿宋_GB2312" w:hAnsi="仿宋_GB2312" w:eastAsia="仿宋_GB2312" w:cs="仿宋_GB2312"/>
          <w:lang w:eastAsia="zh-CN"/>
        </w:rPr>
        <w:t>谈判</w:t>
      </w:r>
      <w:r>
        <w:rPr>
          <w:rFonts w:ascii="仿宋_GB2312" w:hAnsi="仿宋_GB2312" w:eastAsia="仿宋_GB2312" w:cs="仿宋_GB2312"/>
        </w:rPr>
        <w:t>有效期 1.出现特殊情况需要延长</w:t>
      </w:r>
      <w:r>
        <w:rPr>
          <w:rFonts w:ascii="仿宋_GB2312" w:hAnsi="仿宋_GB2312" w:eastAsia="仿宋_GB2312" w:cs="仿宋_GB2312"/>
          <w:lang w:eastAsia="zh-CN"/>
        </w:rPr>
        <w:t>谈判</w:t>
      </w:r>
      <w:r>
        <w:rPr>
          <w:rFonts w:ascii="仿宋_GB2312" w:hAnsi="仿宋_GB2312" w:eastAsia="仿宋_GB2312" w:cs="仿宋_GB2312"/>
        </w:rPr>
        <w:t>有效期的，采购代理机构或采购人可于</w:t>
      </w:r>
      <w:r>
        <w:rPr>
          <w:rFonts w:ascii="仿宋_GB2312" w:hAnsi="仿宋_GB2312" w:eastAsia="仿宋_GB2312" w:cs="仿宋_GB2312"/>
          <w:lang w:eastAsia="zh-CN"/>
        </w:rPr>
        <w:t>谈判</w:t>
      </w:r>
      <w:r>
        <w:rPr>
          <w:rFonts w:ascii="仿宋_GB2312" w:hAnsi="仿宋_GB2312" w:eastAsia="仿宋_GB2312" w:cs="仿宋_GB2312"/>
        </w:rPr>
        <w:t>有效期满之前，以书面形式通知所有供应商延长</w:t>
      </w:r>
      <w:r>
        <w:rPr>
          <w:rFonts w:ascii="仿宋_GB2312" w:hAnsi="仿宋_GB2312" w:eastAsia="仿宋_GB2312" w:cs="仿宋_GB2312"/>
          <w:lang w:eastAsia="zh-CN"/>
        </w:rPr>
        <w:t>谈判</w:t>
      </w:r>
      <w:r>
        <w:rPr>
          <w:rFonts w:ascii="仿宋_GB2312" w:hAnsi="仿宋_GB2312" w:eastAsia="仿宋_GB2312" w:cs="仿宋_GB2312"/>
        </w:rPr>
        <w:t>有效期。供应商应予书面答复，同意延长的，应相应延长其</w:t>
      </w:r>
      <w:r>
        <w:rPr>
          <w:rFonts w:ascii="仿宋_GB2312" w:hAnsi="仿宋_GB2312" w:eastAsia="仿宋_GB2312" w:cs="仿宋_GB2312"/>
          <w:lang w:eastAsia="zh-CN"/>
        </w:rPr>
        <w:t>谈判</w:t>
      </w:r>
      <w:r>
        <w:rPr>
          <w:rFonts w:ascii="仿宋_GB2312" w:hAnsi="仿宋_GB2312" w:eastAsia="仿宋_GB2312" w:cs="仿宋_GB2312"/>
        </w:rPr>
        <w:t>保证金有效期，但不得要求或被允许修改其响应文件；供应商拒绝延长的，其响应文件失效，递交</w:t>
      </w:r>
      <w:r>
        <w:rPr>
          <w:rFonts w:ascii="仿宋_GB2312" w:hAnsi="仿宋_GB2312" w:eastAsia="仿宋_GB2312" w:cs="仿宋_GB2312"/>
          <w:lang w:eastAsia="zh-CN"/>
        </w:rPr>
        <w:t>谈判</w:t>
      </w:r>
      <w:r>
        <w:rPr>
          <w:rFonts w:ascii="仿宋_GB2312" w:hAnsi="仿宋_GB2312" w:eastAsia="仿宋_GB2312" w:cs="仿宋_GB2312"/>
        </w:rPr>
        <w:t>保证金的，供应商有权收回其</w:t>
      </w:r>
      <w:r>
        <w:rPr>
          <w:rFonts w:ascii="仿宋_GB2312" w:hAnsi="仿宋_GB2312" w:eastAsia="仿宋_GB2312" w:cs="仿宋_GB2312"/>
          <w:lang w:eastAsia="zh-CN"/>
        </w:rPr>
        <w:t>谈判</w:t>
      </w:r>
      <w:r>
        <w:rPr>
          <w:rFonts w:ascii="仿宋_GB2312" w:hAnsi="仿宋_GB2312" w:eastAsia="仿宋_GB2312" w:cs="仿宋_GB2312"/>
        </w:rPr>
        <w:t>保证金。 2.在</w:t>
      </w:r>
      <w:r>
        <w:rPr>
          <w:rFonts w:ascii="仿宋_GB2312" w:hAnsi="仿宋_GB2312" w:eastAsia="仿宋_GB2312" w:cs="仿宋_GB2312"/>
          <w:lang w:eastAsia="zh-CN"/>
        </w:rPr>
        <w:t>谈判</w:t>
      </w:r>
      <w:r>
        <w:rPr>
          <w:rFonts w:ascii="仿宋_GB2312" w:hAnsi="仿宋_GB2312" w:eastAsia="仿宋_GB2312" w:cs="仿宋_GB2312"/>
        </w:rPr>
        <w:t>有效期内，供应商撤销响应文件的，应承担</w:t>
      </w:r>
      <w:r>
        <w:rPr>
          <w:rFonts w:ascii="仿宋_GB2312" w:hAnsi="仿宋_GB2312" w:eastAsia="仿宋_GB2312" w:cs="仿宋_GB2312"/>
          <w:lang w:eastAsia="zh-CN"/>
        </w:rPr>
        <w:t>谈判</w:t>
      </w:r>
      <w:r>
        <w:rPr>
          <w:rFonts w:ascii="仿宋_GB2312" w:hAnsi="仿宋_GB2312" w:eastAsia="仿宋_GB2312" w:cs="仿宋_GB2312"/>
        </w:rPr>
        <w:t>文件和法律规定的责任。 3.成交供应商的</w:t>
      </w:r>
      <w:r>
        <w:rPr>
          <w:rFonts w:ascii="仿宋_GB2312" w:hAnsi="仿宋_GB2312" w:eastAsia="仿宋_GB2312" w:cs="仿宋_GB2312"/>
          <w:lang w:eastAsia="zh-CN"/>
        </w:rPr>
        <w:t>谈判</w:t>
      </w:r>
      <w:r>
        <w:rPr>
          <w:rFonts w:ascii="仿宋_GB2312" w:hAnsi="仿宋_GB2312" w:eastAsia="仿宋_GB2312" w:cs="仿宋_GB2312"/>
        </w:rPr>
        <w:t xml:space="preserve">有效期自动延长至合同终止为止。 </w:t>
      </w:r>
      <w:r>
        <w:rPr>
          <w:rFonts w:ascii="仿宋_GB2312" w:hAnsi="仿宋_GB2312" w:eastAsia="仿宋_GB2312" w:cs="仿宋_GB2312"/>
          <w:lang w:eastAsia="zh-CN"/>
        </w:rPr>
        <w:t>五</w:t>
      </w:r>
      <w:r>
        <w:rPr>
          <w:rFonts w:ascii="仿宋_GB2312" w:hAnsi="仿宋_GB2312" w:eastAsia="仿宋_GB2312" w:cs="仿宋_GB2312"/>
        </w:rPr>
        <w:t xml:space="preserve">、合格供应商少于3家的处理 评审过程中，合格供应商少于3家时，采购人应依法重新组织采购活动。 </w:t>
      </w:r>
      <w:r>
        <w:rPr>
          <w:rFonts w:ascii="仿宋_GB2312" w:hAnsi="仿宋_GB2312" w:eastAsia="仿宋_GB2312" w:cs="仿宋_GB2312"/>
          <w:lang w:eastAsia="zh-CN"/>
        </w:rPr>
        <w:t>六</w:t>
      </w:r>
      <w:r>
        <w:rPr>
          <w:rFonts w:ascii="仿宋_GB2312" w:hAnsi="仿宋_GB2312" w:eastAsia="仿宋_GB2312" w:cs="仿宋_GB2312"/>
        </w:rPr>
        <w:t>、分公司独立参与</w:t>
      </w:r>
      <w:r>
        <w:rPr>
          <w:rFonts w:ascii="仿宋_GB2312" w:hAnsi="仿宋_GB2312" w:eastAsia="仿宋_GB2312" w:cs="仿宋_GB2312"/>
          <w:lang w:eastAsia="zh-CN"/>
        </w:rPr>
        <w:t>谈判</w:t>
      </w:r>
      <w:r>
        <w:rPr>
          <w:rFonts w:ascii="仿宋_GB2312" w:hAnsi="仿宋_GB2312" w:eastAsia="仿宋_GB2312" w:cs="仿宋_GB2312"/>
        </w:rPr>
        <w:t>时，不能使用总公司的资质或业绩；总公司单独参与</w:t>
      </w:r>
      <w:r>
        <w:rPr>
          <w:rFonts w:ascii="仿宋_GB2312" w:hAnsi="仿宋_GB2312" w:eastAsia="仿宋_GB2312" w:cs="仿宋_GB2312"/>
          <w:lang w:eastAsia="zh-CN"/>
        </w:rPr>
        <w:t>谈判</w:t>
      </w:r>
      <w:r>
        <w:rPr>
          <w:rFonts w:ascii="仿宋_GB2312" w:hAnsi="仿宋_GB2312" w:eastAsia="仿宋_GB2312" w:cs="仿宋_GB2312"/>
        </w:rPr>
        <w:t>时，除总公司所投产品为分公司生产的产品外，不能使用分公司的资质或业绩。总公司授权分公司或分支机构参与</w:t>
      </w:r>
      <w:r>
        <w:rPr>
          <w:rFonts w:ascii="仿宋_GB2312" w:hAnsi="仿宋_GB2312" w:eastAsia="仿宋_GB2312" w:cs="仿宋_GB2312"/>
          <w:lang w:eastAsia="zh-CN"/>
        </w:rPr>
        <w:t>谈判</w:t>
      </w:r>
      <w:r>
        <w:rPr>
          <w:rFonts w:ascii="仿宋_GB2312" w:hAnsi="仿宋_GB2312" w:eastAsia="仿宋_GB2312" w:cs="仿宋_GB2312"/>
        </w:rPr>
        <w:t>，可以使用总公司的资质或业绩。</w:t>
      </w:r>
      <w:r>
        <w:rPr>
          <w:rFonts w:ascii="仿宋_GB2312" w:hAnsi="仿宋_GB2312" w:eastAsia="仿宋_GB2312" w:cs="仿宋_GB2312"/>
          <w:lang w:eastAsia="zh-CN"/>
        </w:rPr>
        <w:t>七</w:t>
      </w:r>
      <w:r>
        <w:rPr>
          <w:rFonts w:ascii="仿宋_GB2312" w:hAnsi="仿宋_GB2312" w:eastAsia="仿宋_GB2312" w:cs="仿宋_GB2312"/>
        </w:rPr>
        <w:t>、恶意质疑、投诉的法律后果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0416F6D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33781"/>
    <w:rsid w:val="4743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2025-08-20T11:38:00Z</dcterms:created>
  <dc:creator>一路向阳</dc:creator>
  <cp:lastModifiedBy>一路向阳</cp:lastModifiedBy>
  <dcterms:modified xsi:type="dcterms:W3CDTF">2025-08-20T11:38:53Z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098739EC22644412911F27AFAA7C5B90_11</vt:lpwstr>
  </property>
  <property fmtid="{D5CDD505-2E9C-101B-9397-08002B2CF9AE}" pid="4" name="KSOTemplateDocerSaveRecord">
    <vt:lpwstr>eyJoZGlkIjoiMzEwNTM5NzYwMDRjMzkwZTVkZjY2ODkwMGIxNGU0OTUiLCJ1c2VySWQiOiIyNTc4MTQ2NzUifQ==</vt:lpwstr>
  </property>
</Properties>
</file>