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95342C0">
      <w:pPr>
        <w:rPr>
          <w:rFonts w:hint="default" w:ascii="楷体" w:hAnsi="楷体" w:eastAsia="楷体" w:cs="楷体"/>
          <w:b/>
          <w:color w:val="FF0000"/>
          <w:sz w:val="36"/>
          <w:highlight w:val="none"/>
          <w:lang w:val="en-US" w:eastAsia="zh-CN"/>
        </w:rPr>
      </w:pPr>
      <w:r>
        <w:rPr>
          <w:rFonts w:hint="eastAsia" w:ascii="楷体" w:hAnsi="楷体" w:eastAsia="楷体" w:cs="楷体"/>
          <w:b/>
          <w:bCs/>
          <w:color w:val="auto"/>
          <w:sz w:val="32"/>
          <w:szCs w:val="32"/>
          <w:highlight w:val="none"/>
        </w:rPr>
        <w:t>项目编号：</w:t>
      </w:r>
      <w:r>
        <w:rPr>
          <w:rFonts w:hint="eastAsia" w:ascii="宋体" w:hAnsi="宋体" w:eastAsia="宋体" w:cs="宋体"/>
          <w:b/>
          <w:sz w:val="28"/>
          <w:highlight w:val="none"/>
          <w:lang w:eastAsia="zh-CN"/>
        </w:rPr>
        <w:t>ZY2025-ZB-CS10</w:t>
      </w:r>
      <w:r>
        <w:rPr>
          <w:rFonts w:hint="eastAsia" w:ascii="宋体" w:hAnsi="宋体" w:eastAsia="宋体" w:cs="宋体"/>
          <w:b/>
          <w:sz w:val="28"/>
          <w:highlight w:val="none"/>
          <w:lang w:val="en-US" w:eastAsia="zh-CN"/>
        </w:rPr>
        <w:t>71.1B</w:t>
      </w:r>
      <w:r>
        <w:rPr>
          <w:rFonts w:hint="eastAsia" w:hAnsi="宋体" w:cs="宋体"/>
          <w:b/>
          <w:sz w:val="28"/>
          <w:highlight w:val="none"/>
          <w:lang w:val="en-US" w:eastAsia="zh-CN"/>
        </w:rPr>
        <w:t>3</w:t>
      </w:r>
    </w:p>
    <w:p w14:paraId="55B0939C">
      <w:pPr>
        <w:jc w:val="center"/>
        <w:rPr>
          <w:rFonts w:hint="eastAsia" w:ascii="楷体" w:hAnsi="楷体" w:eastAsia="楷体" w:cs="楷体"/>
          <w:b/>
          <w:color w:val="auto"/>
          <w:sz w:val="36"/>
          <w:highlight w:val="none"/>
        </w:rPr>
      </w:pPr>
    </w:p>
    <w:p w14:paraId="12864D8A">
      <w:pPr>
        <w:jc w:val="center"/>
        <w:rPr>
          <w:rFonts w:hint="eastAsia" w:ascii="楷体" w:hAnsi="楷体" w:eastAsia="楷体" w:cs="楷体"/>
          <w:b/>
          <w:color w:val="auto"/>
          <w:sz w:val="56"/>
          <w:szCs w:val="56"/>
          <w:highlight w:val="none"/>
        </w:rPr>
      </w:pPr>
    </w:p>
    <w:p w14:paraId="5AF3C581">
      <w:pPr>
        <w:pStyle w:val="6"/>
        <w:rPr>
          <w:rFonts w:hint="eastAsia" w:ascii="楷体" w:hAnsi="楷体" w:eastAsia="楷体" w:cs="楷体"/>
          <w:b/>
          <w:color w:val="auto"/>
          <w:sz w:val="72"/>
          <w:szCs w:val="72"/>
          <w:highlight w:val="none"/>
        </w:rPr>
      </w:pPr>
      <w:bookmarkStart w:id="0" w:name="OLE_LINK5"/>
      <w:r>
        <w:rPr>
          <w:rFonts w:hint="eastAsia" w:ascii="楷体" w:hAnsi="楷体" w:eastAsia="楷体" w:cs="楷体"/>
          <w:b/>
          <w:color w:val="auto"/>
          <w:sz w:val="72"/>
          <w:szCs w:val="72"/>
          <w:highlight w:val="none"/>
          <w:lang w:eastAsia="zh-CN"/>
        </w:rPr>
        <w:t>生态环境和安全相关产品质量监督抽查</w:t>
      </w:r>
      <w:bookmarkEnd w:id="0"/>
      <w:r>
        <w:rPr>
          <w:rFonts w:hint="eastAsia" w:ascii="楷体" w:hAnsi="楷体" w:eastAsia="楷体" w:cs="楷体"/>
          <w:b/>
          <w:color w:val="auto"/>
          <w:sz w:val="72"/>
          <w:szCs w:val="72"/>
          <w:highlight w:val="none"/>
          <w:lang w:eastAsia="zh-CN"/>
        </w:rPr>
        <w:t>（</w:t>
      </w:r>
      <w:r>
        <w:rPr>
          <w:rFonts w:hint="eastAsia" w:ascii="楷体" w:hAnsi="楷体" w:eastAsia="楷体" w:cs="楷体"/>
          <w:b/>
          <w:color w:val="auto"/>
          <w:sz w:val="72"/>
          <w:szCs w:val="72"/>
          <w:highlight w:val="none"/>
          <w:lang w:val="en-US" w:eastAsia="zh-CN"/>
        </w:rPr>
        <w:t>四次</w:t>
      </w:r>
      <w:r>
        <w:rPr>
          <w:rFonts w:hint="eastAsia" w:ascii="楷体" w:hAnsi="楷体" w:eastAsia="楷体" w:cs="楷体"/>
          <w:b/>
          <w:color w:val="auto"/>
          <w:sz w:val="72"/>
          <w:szCs w:val="72"/>
          <w:highlight w:val="none"/>
          <w:lang w:eastAsia="zh-CN"/>
        </w:rPr>
        <w:t>）</w:t>
      </w:r>
    </w:p>
    <w:p w14:paraId="5313C495">
      <w:pPr>
        <w:rPr>
          <w:rFonts w:hint="eastAsia" w:ascii="楷体" w:hAnsi="楷体" w:eastAsia="楷体" w:cs="楷体"/>
          <w:color w:val="auto"/>
          <w:highlight w:val="none"/>
        </w:rPr>
      </w:pPr>
    </w:p>
    <w:p w14:paraId="5ECCADA5">
      <w:pPr>
        <w:pStyle w:val="9"/>
        <w:rPr>
          <w:rFonts w:hint="eastAsia" w:ascii="楷体" w:hAnsi="楷体" w:eastAsia="楷体" w:cs="楷体"/>
          <w:color w:val="auto"/>
          <w:highlight w:val="none"/>
        </w:rPr>
      </w:pPr>
    </w:p>
    <w:p w14:paraId="133805FC">
      <w:pPr>
        <w:pStyle w:val="9"/>
        <w:rPr>
          <w:rFonts w:hint="eastAsia" w:ascii="楷体" w:hAnsi="楷体" w:eastAsia="楷体" w:cs="楷体"/>
          <w:color w:val="auto"/>
          <w:highlight w:val="none"/>
        </w:rPr>
      </w:pPr>
    </w:p>
    <w:p w14:paraId="69B514A6">
      <w:pPr>
        <w:spacing w:line="780" w:lineRule="auto"/>
        <w:jc w:val="center"/>
        <w:rPr>
          <w:rFonts w:hint="eastAsia" w:ascii="楷体" w:hAnsi="楷体" w:eastAsia="楷体" w:cs="楷体"/>
          <w:b/>
          <w:color w:val="auto"/>
          <w:sz w:val="72"/>
          <w:szCs w:val="72"/>
          <w:highlight w:val="none"/>
        </w:rPr>
      </w:pPr>
      <w:r>
        <w:rPr>
          <w:rFonts w:hint="eastAsia" w:ascii="楷体" w:hAnsi="楷体" w:eastAsia="楷体" w:cs="楷体"/>
          <w:b/>
          <w:color w:val="auto"/>
          <w:sz w:val="72"/>
          <w:szCs w:val="72"/>
          <w:highlight w:val="none"/>
        </w:rPr>
        <w:t>磋商文件</w:t>
      </w:r>
    </w:p>
    <w:p w14:paraId="302F5F08">
      <w:pPr>
        <w:jc w:val="center"/>
        <w:rPr>
          <w:rFonts w:hint="eastAsia" w:ascii="楷体" w:hAnsi="楷体" w:eastAsia="楷体" w:cs="楷体"/>
          <w:color w:val="auto"/>
          <w:sz w:val="36"/>
          <w:szCs w:val="36"/>
          <w:highlight w:val="none"/>
        </w:rPr>
      </w:pPr>
      <w:bookmarkStart w:id="1" w:name="_Toc363463325"/>
    </w:p>
    <w:p w14:paraId="1704F582">
      <w:pPr>
        <w:jc w:val="center"/>
        <w:rPr>
          <w:rFonts w:hint="eastAsia" w:ascii="楷体" w:hAnsi="楷体" w:eastAsia="楷体" w:cs="楷体"/>
          <w:color w:val="auto"/>
          <w:sz w:val="36"/>
          <w:szCs w:val="36"/>
          <w:highlight w:val="none"/>
        </w:rPr>
      </w:pPr>
    </w:p>
    <w:bookmarkEnd w:id="1"/>
    <w:p w14:paraId="272D35FF">
      <w:pPr>
        <w:jc w:val="center"/>
        <w:rPr>
          <w:rFonts w:hint="eastAsia" w:ascii="楷体" w:hAnsi="楷体" w:eastAsia="楷体" w:cs="楷体"/>
          <w:b/>
          <w:color w:val="auto"/>
          <w:sz w:val="36"/>
          <w:szCs w:val="36"/>
          <w:highlight w:val="none"/>
        </w:rPr>
      </w:pPr>
    </w:p>
    <w:p w14:paraId="25E5B207">
      <w:pPr>
        <w:pStyle w:val="7"/>
        <w:rPr>
          <w:rFonts w:hint="eastAsia" w:ascii="楷体" w:hAnsi="楷体" w:eastAsia="楷体" w:cs="楷体"/>
          <w:color w:val="auto"/>
          <w:highlight w:val="none"/>
        </w:rPr>
      </w:pPr>
    </w:p>
    <w:p w14:paraId="65D921CD">
      <w:pPr>
        <w:pStyle w:val="7"/>
        <w:rPr>
          <w:rFonts w:hint="eastAsia" w:ascii="楷体" w:hAnsi="楷体" w:eastAsia="楷体" w:cs="楷体"/>
          <w:color w:val="auto"/>
          <w:highlight w:val="none"/>
        </w:rPr>
      </w:pPr>
    </w:p>
    <w:p w14:paraId="403794C0">
      <w:pPr>
        <w:pStyle w:val="7"/>
        <w:rPr>
          <w:rFonts w:hint="eastAsia" w:ascii="楷体" w:hAnsi="楷体" w:eastAsia="楷体" w:cs="楷体"/>
          <w:color w:val="auto"/>
          <w:highlight w:val="none"/>
        </w:rPr>
      </w:pPr>
    </w:p>
    <w:p w14:paraId="5C0C0251">
      <w:pPr>
        <w:pStyle w:val="21"/>
        <w:ind w:firstLine="480"/>
        <w:rPr>
          <w:rFonts w:hint="eastAsia" w:ascii="楷体" w:hAnsi="楷体" w:eastAsia="楷体" w:cs="楷体"/>
          <w:color w:val="auto"/>
          <w:highlight w:val="none"/>
        </w:rPr>
      </w:pPr>
    </w:p>
    <w:p w14:paraId="26419B92">
      <w:pPr>
        <w:pStyle w:val="21"/>
        <w:ind w:firstLine="480"/>
        <w:rPr>
          <w:rFonts w:hint="eastAsia" w:ascii="楷体" w:hAnsi="楷体" w:eastAsia="楷体" w:cs="楷体"/>
          <w:color w:val="auto"/>
          <w:highlight w:val="none"/>
        </w:rPr>
      </w:pPr>
    </w:p>
    <w:p w14:paraId="4B34B2C7">
      <w:pPr>
        <w:pStyle w:val="21"/>
        <w:ind w:firstLine="480"/>
        <w:rPr>
          <w:rFonts w:hint="eastAsia" w:ascii="楷体" w:hAnsi="楷体" w:eastAsia="楷体" w:cs="楷体"/>
          <w:color w:val="auto"/>
          <w:highlight w:val="none"/>
        </w:rPr>
      </w:pPr>
    </w:p>
    <w:p w14:paraId="0A51BC16">
      <w:pPr>
        <w:pStyle w:val="21"/>
        <w:ind w:firstLine="480"/>
        <w:rPr>
          <w:rFonts w:hint="eastAsia" w:ascii="楷体" w:hAnsi="楷体" w:eastAsia="楷体" w:cs="楷体"/>
          <w:color w:val="auto"/>
          <w:highlight w:val="none"/>
        </w:rPr>
      </w:pPr>
    </w:p>
    <w:p w14:paraId="7D49B05B">
      <w:pPr>
        <w:pStyle w:val="21"/>
        <w:ind w:firstLine="480"/>
        <w:rPr>
          <w:rFonts w:hint="eastAsia" w:ascii="楷体" w:hAnsi="楷体" w:eastAsia="楷体" w:cs="楷体"/>
          <w:color w:val="auto"/>
          <w:highlight w:val="none"/>
        </w:rPr>
      </w:pPr>
    </w:p>
    <w:p w14:paraId="09B74D7E">
      <w:pPr>
        <w:pStyle w:val="21"/>
        <w:ind w:firstLine="480"/>
        <w:rPr>
          <w:rFonts w:hint="eastAsia" w:ascii="楷体" w:hAnsi="楷体" w:eastAsia="楷体" w:cs="楷体"/>
          <w:color w:val="auto"/>
          <w:highlight w:val="none"/>
        </w:rPr>
      </w:pPr>
    </w:p>
    <w:p w14:paraId="126F698E">
      <w:pPr>
        <w:pStyle w:val="21"/>
        <w:ind w:firstLine="480"/>
        <w:rPr>
          <w:rFonts w:hint="eastAsia" w:ascii="楷体" w:hAnsi="楷体" w:eastAsia="楷体" w:cs="楷体"/>
          <w:color w:val="auto"/>
          <w:highlight w:val="none"/>
        </w:rPr>
      </w:pPr>
    </w:p>
    <w:p w14:paraId="4568F4B0">
      <w:pPr>
        <w:pStyle w:val="21"/>
        <w:ind w:firstLine="480"/>
        <w:rPr>
          <w:rFonts w:hint="eastAsia" w:ascii="楷体" w:hAnsi="楷体" w:eastAsia="楷体" w:cs="楷体"/>
          <w:color w:val="auto"/>
          <w:highlight w:val="none"/>
        </w:rPr>
      </w:pPr>
    </w:p>
    <w:p w14:paraId="6361192F">
      <w:pPr>
        <w:pStyle w:val="21"/>
        <w:ind w:firstLine="480"/>
        <w:rPr>
          <w:rFonts w:hint="eastAsia" w:ascii="楷体" w:hAnsi="楷体" w:eastAsia="楷体" w:cs="楷体"/>
          <w:color w:val="auto"/>
          <w:highlight w:val="none"/>
        </w:rPr>
      </w:pPr>
    </w:p>
    <w:p w14:paraId="47CC0511">
      <w:pPr>
        <w:jc w:val="center"/>
        <w:rPr>
          <w:rFonts w:hint="eastAsia" w:ascii="楷体" w:hAnsi="楷体" w:eastAsia="楷体" w:cs="楷体"/>
          <w:b/>
          <w:bCs/>
          <w:color w:val="auto"/>
          <w:sz w:val="32"/>
          <w:szCs w:val="32"/>
          <w:highlight w:val="none"/>
          <w:lang w:eastAsia="zh-CN"/>
        </w:rPr>
      </w:pPr>
      <w:r>
        <w:rPr>
          <w:rFonts w:hint="eastAsia" w:ascii="楷体" w:hAnsi="楷体" w:eastAsia="楷体" w:cs="楷体"/>
          <w:b/>
          <w:bCs/>
          <w:color w:val="auto"/>
          <w:sz w:val="32"/>
          <w:szCs w:val="32"/>
          <w:highlight w:val="none"/>
          <w:lang w:eastAsia="zh-CN"/>
        </w:rPr>
        <w:t>陕西正翼项目管理咨询有限公司</w:t>
      </w:r>
    </w:p>
    <w:p w14:paraId="7AD45318">
      <w:pPr>
        <w:tabs>
          <w:tab w:val="left" w:pos="525"/>
        </w:tabs>
        <w:ind w:left="-2" w:leftChars="-1" w:firstLine="1"/>
        <w:jc w:val="center"/>
        <w:rPr>
          <w:rFonts w:hint="eastAsia" w:ascii="楷体" w:hAnsi="楷体" w:eastAsia="楷体" w:cs="楷体"/>
          <w:b/>
          <w:bCs/>
          <w:color w:val="auto"/>
          <w:sz w:val="32"/>
          <w:szCs w:val="32"/>
          <w:highlight w:val="none"/>
        </w:rPr>
        <w:sectPr>
          <w:footerReference r:id="rId4" w:type="first"/>
          <w:footerReference r:id="rId3" w:type="default"/>
          <w:pgSz w:w="11906" w:h="16838"/>
          <w:pgMar w:top="1440" w:right="1800" w:bottom="1440" w:left="1800" w:header="851" w:footer="992" w:gutter="0"/>
          <w:pgNumType w:fmt="decimal" w:start="1"/>
          <w:cols w:space="720" w:num="1"/>
          <w:docGrid w:type="lines" w:linePitch="312" w:charSpace="0"/>
        </w:sectPr>
      </w:pPr>
      <w:r>
        <w:rPr>
          <w:rFonts w:hint="eastAsia" w:ascii="楷体" w:hAnsi="楷体" w:eastAsia="楷体" w:cs="楷体"/>
          <w:b/>
          <w:bCs/>
          <w:color w:val="auto"/>
          <w:sz w:val="32"/>
          <w:szCs w:val="32"/>
          <w:highlight w:val="none"/>
        </w:rPr>
        <w:t>202</w:t>
      </w:r>
      <w:r>
        <w:rPr>
          <w:rFonts w:hint="eastAsia" w:ascii="楷体" w:hAnsi="楷体" w:eastAsia="楷体" w:cs="楷体"/>
          <w:b/>
          <w:bCs/>
          <w:color w:val="auto"/>
          <w:sz w:val="32"/>
          <w:szCs w:val="32"/>
          <w:highlight w:val="none"/>
          <w:lang w:val="en-US" w:eastAsia="zh-CN"/>
        </w:rPr>
        <w:t>5</w:t>
      </w:r>
      <w:r>
        <w:rPr>
          <w:rFonts w:hint="eastAsia" w:ascii="楷体" w:hAnsi="楷体" w:eastAsia="楷体" w:cs="楷体"/>
          <w:b/>
          <w:bCs/>
          <w:color w:val="auto"/>
          <w:sz w:val="32"/>
          <w:szCs w:val="32"/>
          <w:highlight w:val="none"/>
        </w:rPr>
        <w:t>年</w:t>
      </w:r>
      <w:r>
        <w:rPr>
          <w:rFonts w:hint="eastAsia" w:ascii="楷体" w:hAnsi="楷体" w:eastAsia="楷体" w:cs="楷体"/>
          <w:b/>
          <w:bCs/>
          <w:color w:val="auto"/>
          <w:sz w:val="32"/>
          <w:szCs w:val="32"/>
          <w:highlight w:val="none"/>
          <w:lang w:val="en-US" w:eastAsia="zh-CN"/>
        </w:rPr>
        <w:t>8</w:t>
      </w:r>
      <w:r>
        <w:rPr>
          <w:rFonts w:hint="eastAsia" w:ascii="楷体" w:hAnsi="楷体" w:eastAsia="楷体" w:cs="楷体"/>
          <w:b/>
          <w:bCs/>
          <w:color w:val="auto"/>
          <w:sz w:val="32"/>
          <w:szCs w:val="32"/>
          <w:highlight w:val="none"/>
        </w:rPr>
        <w:t>月</w:t>
      </w:r>
    </w:p>
    <w:p w14:paraId="00BAF4C8">
      <w:pPr>
        <w:spacing w:line="360" w:lineRule="auto"/>
        <w:jc w:val="center"/>
        <w:rPr>
          <w:rFonts w:hint="eastAsia" w:ascii="楷体" w:hAnsi="楷体" w:eastAsia="楷体" w:cs="楷体"/>
          <w:b/>
          <w:color w:val="auto"/>
          <w:sz w:val="52"/>
          <w:szCs w:val="52"/>
          <w:highlight w:val="none"/>
        </w:rPr>
      </w:pPr>
      <w:r>
        <w:rPr>
          <w:rFonts w:hint="eastAsia" w:ascii="楷体" w:hAnsi="楷体" w:eastAsia="楷体" w:cs="楷体"/>
          <w:b/>
          <w:color w:val="auto"/>
          <w:sz w:val="52"/>
          <w:szCs w:val="52"/>
          <w:highlight w:val="none"/>
        </w:rPr>
        <w:t>注意事项</w:t>
      </w:r>
    </w:p>
    <w:p w14:paraId="7A432D60">
      <w:pPr>
        <w:numPr>
          <w:ilvl w:val="0"/>
          <w:numId w:val="0"/>
        </w:numPr>
        <w:tabs>
          <w:tab w:val="left" w:pos="525"/>
        </w:tabs>
        <w:spacing w:line="360" w:lineRule="auto"/>
        <w:ind w:firstLine="562" w:firstLineChars="200"/>
        <w:jc w:val="left"/>
        <w:rPr>
          <w:rFonts w:hint="eastAsia" w:ascii="楷体" w:hAnsi="楷体" w:eastAsia="楷体" w:cs="楷体"/>
          <w:b/>
          <w:bCs/>
          <w:color w:val="auto"/>
          <w:sz w:val="28"/>
          <w:szCs w:val="28"/>
          <w:highlight w:val="none"/>
          <w:shd w:val="clear" w:color="auto" w:fill="FFFFFF"/>
        </w:rPr>
      </w:pPr>
      <w:r>
        <w:rPr>
          <w:rFonts w:hint="eastAsia" w:ascii="楷体" w:hAnsi="楷体" w:eastAsia="楷体" w:cs="楷体"/>
          <w:b/>
          <w:bCs/>
          <w:color w:val="auto"/>
          <w:sz w:val="28"/>
          <w:szCs w:val="28"/>
          <w:highlight w:val="none"/>
          <w:shd w:val="clear" w:color="auto" w:fill="FFFFFF"/>
          <w:lang w:val="en-US" w:eastAsia="zh-CN"/>
        </w:rPr>
        <w:t>1.</w:t>
      </w:r>
      <w:r>
        <w:rPr>
          <w:rFonts w:hint="eastAsia" w:ascii="楷体" w:hAnsi="楷体" w:eastAsia="楷体" w:cs="楷体"/>
          <w:b/>
          <w:bCs/>
          <w:color w:val="auto"/>
          <w:sz w:val="28"/>
          <w:szCs w:val="28"/>
          <w:highlight w:val="none"/>
          <w:shd w:val="clear" w:color="auto" w:fill="FFFFFF"/>
        </w:rPr>
        <w:t>供应商登记免费领取磋商文件的，如不参与项目磋商，须在递交磋商响应文件截止时间至少前一日以书面形式告知采购代理机构（接收邮箱：</w:t>
      </w:r>
      <w:r>
        <w:rPr>
          <w:rFonts w:hint="eastAsia" w:ascii="楷体" w:hAnsi="楷体" w:eastAsia="楷体" w:cs="楷体"/>
          <w:b/>
          <w:bCs/>
          <w:color w:val="auto"/>
          <w:sz w:val="28"/>
          <w:szCs w:val="28"/>
          <w:highlight w:val="none"/>
          <w:shd w:val="clear" w:color="auto" w:fill="FFFFFF"/>
        </w:rPr>
        <w:fldChar w:fldCharType="begin"/>
      </w:r>
      <w:r>
        <w:rPr>
          <w:rFonts w:hint="eastAsia" w:ascii="楷体" w:hAnsi="楷体" w:eastAsia="楷体" w:cs="楷体"/>
          <w:b/>
          <w:bCs/>
          <w:color w:val="auto"/>
          <w:sz w:val="28"/>
          <w:szCs w:val="28"/>
          <w:highlight w:val="none"/>
          <w:shd w:val="clear" w:color="auto" w:fill="FFFFFF"/>
        </w:rPr>
        <w:instrText xml:space="preserve"> HYPERLINK "mailto:sxzyzbgs@163.com）。否则，采购代理机构将向财政部门如实反应相关情况。供应商一年内累计出现三次该情形，将被监督部门记录为失信行为。" </w:instrText>
      </w:r>
      <w:r>
        <w:rPr>
          <w:rFonts w:hint="eastAsia" w:ascii="楷体" w:hAnsi="楷体" w:eastAsia="楷体" w:cs="楷体"/>
          <w:b/>
          <w:bCs/>
          <w:color w:val="auto"/>
          <w:sz w:val="28"/>
          <w:szCs w:val="28"/>
          <w:highlight w:val="none"/>
          <w:shd w:val="clear" w:color="auto" w:fill="FFFFFF"/>
        </w:rPr>
        <w:fldChar w:fldCharType="separate"/>
      </w:r>
      <w:r>
        <w:rPr>
          <w:rFonts w:hint="eastAsia" w:ascii="楷体" w:hAnsi="楷体" w:eastAsia="楷体" w:cs="楷体"/>
          <w:b/>
          <w:bCs/>
          <w:color w:val="auto"/>
          <w:sz w:val="28"/>
          <w:szCs w:val="28"/>
          <w:highlight w:val="none"/>
          <w:shd w:val="clear" w:color="auto" w:fill="FFFFFF"/>
        </w:rPr>
        <w:t>sxzyzbgs@163.com）。否则，采购代理机构将向财政部门如实</w:t>
      </w:r>
      <w:r>
        <w:rPr>
          <w:rFonts w:hint="eastAsia" w:ascii="楷体" w:hAnsi="楷体" w:eastAsia="楷体" w:cs="楷体"/>
          <w:b/>
          <w:bCs/>
          <w:color w:val="auto"/>
          <w:sz w:val="28"/>
          <w:szCs w:val="28"/>
          <w:highlight w:val="none"/>
          <w:shd w:val="clear" w:color="auto" w:fill="FFFFFF"/>
          <w:lang w:val="en-US" w:eastAsia="zh-CN"/>
        </w:rPr>
        <w:t>反映</w:t>
      </w:r>
      <w:r>
        <w:rPr>
          <w:rFonts w:hint="eastAsia" w:ascii="楷体" w:hAnsi="楷体" w:eastAsia="楷体" w:cs="楷体"/>
          <w:b/>
          <w:bCs/>
          <w:color w:val="auto"/>
          <w:sz w:val="28"/>
          <w:szCs w:val="28"/>
          <w:highlight w:val="none"/>
          <w:shd w:val="clear" w:color="auto" w:fill="FFFFFF"/>
        </w:rPr>
        <w:t>相关情况。供应商一年内累计出现三次该情形，将被监督部门记录为失信行为。</w:t>
      </w:r>
      <w:r>
        <w:rPr>
          <w:rFonts w:hint="eastAsia" w:ascii="楷体" w:hAnsi="楷体" w:eastAsia="楷体" w:cs="楷体"/>
          <w:b/>
          <w:bCs/>
          <w:color w:val="auto"/>
          <w:sz w:val="28"/>
          <w:szCs w:val="28"/>
          <w:highlight w:val="none"/>
          <w:shd w:val="clear" w:color="auto" w:fill="FFFFFF"/>
        </w:rPr>
        <w:fldChar w:fldCharType="end"/>
      </w:r>
    </w:p>
    <w:p w14:paraId="5DDBDAE5">
      <w:pPr>
        <w:numPr>
          <w:ilvl w:val="0"/>
          <w:numId w:val="0"/>
        </w:numPr>
        <w:tabs>
          <w:tab w:val="left" w:pos="525"/>
        </w:tabs>
        <w:spacing w:line="360" w:lineRule="auto"/>
        <w:ind w:firstLine="562" w:firstLineChars="200"/>
        <w:rPr>
          <w:rFonts w:hint="eastAsia" w:ascii="楷体" w:hAnsi="楷体" w:eastAsia="楷体" w:cs="楷体"/>
          <w:b/>
          <w:color w:val="auto"/>
          <w:sz w:val="30"/>
          <w:szCs w:val="30"/>
          <w:highlight w:val="none"/>
        </w:rPr>
      </w:pPr>
      <w:r>
        <w:rPr>
          <w:rFonts w:hint="eastAsia" w:ascii="楷体" w:hAnsi="楷体" w:eastAsia="楷体" w:cs="楷体"/>
          <w:b/>
          <w:bCs/>
          <w:color w:val="auto"/>
          <w:sz w:val="28"/>
          <w:szCs w:val="28"/>
          <w:highlight w:val="none"/>
          <w:shd w:val="clear" w:color="auto" w:fill="FFFFFF"/>
          <w:lang w:val="en-US" w:eastAsia="zh-CN"/>
        </w:rPr>
        <w:t>2.</w:t>
      </w:r>
      <w:r>
        <w:rPr>
          <w:rFonts w:hint="eastAsia" w:ascii="楷体" w:hAnsi="楷体" w:eastAsia="楷体" w:cs="楷体"/>
          <w:b/>
          <w:bCs/>
          <w:color w:val="auto"/>
          <w:sz w:val="28"/>
          <w:szCs w:val="28"/>
          <w:highlight w:val="none"/>
          <w:shd w:val="clear" w:color="auto" w:fill="FFFFFF"/>
        </w:rPr>
        <w:t>根据陕西省财政厅关于政府采购供应商注册登记有关事项的通知，如所投本项目的供应商未在陕西省政府采购网（http://www.ccgp-shaanxi.gov.cn/）注册登记加入陕西省政府采购供应商库的，应按要求及时办理注册登记，并接受财政部门监督管理</w:t>
      </w:r>
      <w:r>
        <w:rPr>
          <w:rFonts w:hint="eastAsia" w:ascii="楷体" w:hAnsi="楷体" w:eastAsia="楷体" w:cs="楷体"/>
          <w:b/>
          <w:color w:val="auto"/>
          <w:sz w:val="30"/>
          <w:szCs w:val="30"/>
          <w:highlight w:val="none"/>
        </w:rPr>
        <w:t>。</w:t>
      </w:r>
    </w:p>
    <w:p w14:paraId="4EE0DA64">
      <w:pPr>
        <w:spacing w:line="480" w:lineRule="auto"/>
        <w:ind w:firstLine="602" w:firstLineChars="200"/>
        <w:rPr>
          <w:rFonts w:hint="eastAsia" w:ascii="楷体" w:hAnsi="楷体" w:eastAsia="楷体" w:cs="楷体"/>
          <w:b/>
          <w:color w:val="auto"/>
          <w:sz w:val="30"/>
          <w:szCs w:val="30"/>
          <w:highlight w:val="none"/>
        </w:rPr>
      </w:pPr>
    </w:p>
    <w:p w14:paraId="5E1B3802">
      <w:pPr>
        <w:pStyle w:val="9"/>
        <w:rPr>
          <w:rFonts w:hint="eastAsia" w:ascii="楷体" w:hAnsi="楷体" w:eastAsia="楷体" w:cs="楷体"/>
          <w:color w:val="auto"/>
          <w:highlight w:val="none"/>
        </w:rPr>
        <w:sectPr>
          <w:footerReference r:id="rId6" w:type="first"/>
          <w:footerReference r:id="rId5" w:type="default"/>
          <w:pgSz w:w="11906" w:h="16838"/>
          <w:pgMar w:top="1418" w:right="1418" w:bottom="1418" w:left="1701" w:header="851" w:footer="992" w:gutter="0"/>
          <w:pgNumType w:fmt="decimal"/>
          <w:cols w:space="720" w:num="1"/>
          <w:titlePg/>
          <w:docGrid w:type="lines" w:linePitch="312" w:charSpace="0"/>
        </w:sectPr>
      </w:pPr>
    </w:p>
    <w:p w14:paraId="5ACACAFB">
      <w:pPr>
        <w:rPr>
          <w:rFonts w:hint="eastAsia" w:ascii="楷体" w:hAnsi="楷体" w:eastAsia="楷体" w:cs="楷体"/>
          <w:color w:val="auto"/>
          <w:highlight w:val="none"/>
        </w:rPr>
      </w:pPr>
    </w:p>
    <w:p w14:paraId="4F92647A">
      <w:pPr>
        <w:jc w:val="center"/>
        <w:rPr>
          <w:rFonts w:hint="eastAsia" w:ascii="楷体" w:hAnsi="楷体" w:eastAsia="楷体" w:cs="楷体"/>
          <w:b/>
          <w:color w:val="auto"/>
          <w:sz w:val="52"/>
          <w:szCs w:val="52"/>
          <w:highlight w:val="none"/>
        </w:rPr>
      </w:pPr>
      <w:r>
        <w:rPr>
          <w:rFonts w:hint="eastAsia" w:ascii="楷体" w:hAnsi="楷体" w:eastAsia="楷体" w:cs="楷体"/>
          <w:b/>
          <w:color w:val="auto"/>
          <w:sz w:val="52"/>
          <w:szCs w:val="52"/>
          <w:highlight w:val="none"/>
        </w:rPr>
        <w:t>目  录</w:t>
      </w:r>
    </w:p>
    <w:p w14:paraId="5923EC88">
      <w:pPr>
        <w:pStyle w:val="12"/>
        <w:keepNext w:val="0"/>
        <w:keepLines w:val="0"/>
        <w:pageBreakBefore w:val="0"/>
        <w:widowControl w:val="0"/>
        <w:tabs>
          <w:tab w:val="right" w:leader="dot" w:pos="8306"/>
        </w:tabs>
        <w:kinsoku/>
        <w:wordWrap/>
        <w:overflowPunct/>
        <w:topLinePunct w:val="0"/>
        <w:autoSpaceDE/>
        <w:autoSpaceDN/>
        <w:bidi w:val="0"/>
        <w:adjustRightInd/>
        <w:snapToGrid/>
        <w:spacing w:line="720" w:lineRule="auto"/>
        <w:textAlignment w:val="auto"/>
        <w:rPr>
          <w:rFonts w:hint="eastAsia" w:ascii="楷体" w:hAnsi="楷体" w:eastAsia="楷体" w:cs="楷体"/>
          <w:b/>
          <w:bCs w:val="0"/>
          <w:sz w:val="30"/>
          <w:szCs w:val="30"/>
          <w:highlight w:val="none"/>
        </w:rPr>
      </w:pPr>
      <w:r>
        <w:rPr>
          <w:rFonts w:hint="eastAsia" w:ascii="楷体" w:hAnsi="楷体" w:eastAsia="楷体" w:cs="楷体"/>
          <w:b/>
          <w:bCs w:val="0"/>
          <w:color w:val="auto"/>
          <w:sz w:val="30"/>
          <w:szCs w:val="30"/>
          <w:highlight w:val="none"/>
        </w:rPr>
        <w:fldChar w:fldCharType="begin"/>
      </w:r>
      <w:r>
        <w:rPr>
          <w:rFonts w:hint="eastAsia" w:ascii="楷体" w:hAnsi="楷体" w:eastAsia="楷体" w:cs="楷体"/>
          <w:b/>
          <w:bCs w:val="0"/>
          <w:color w:val="auto"/>
          <w:sz w:val="30"/>
          <w:szCs w:val="30"/>
          <w:highlight w:val="none"/>
        </w:rPr>
        <w:instrText xml:space="preserve">TOC \o "1-3" \h \u </w:instrText>
      </w:r>
      <w:r>
        <w:rPr>
          <w:rFonts w:hint="eastAsia" w:ascii="楷体" w:hAnsi="楷体" w:eastAsia="楷体" w:cs="楷体"/>
          <w:b/>
          <w:bCs w:val="0"/>
          <w:color w:val="auto"/>
          <w:sz w:val="30"/>
          <w:szCs w:val="30"/>
          <w:highlight w:val="none"/>
        </w:rPr>
        <w:fldChar w:fldCharType="separate"/>
      </w:r>
      <w:r>
        <w:rPr>
          <w:rFonts w:hint="eastAsia" w:ascii="楷体" w:hAnsi="楷体" w:eastAsia="楷体" w:cs="楷体"/>
          <w:b/>
          <w:bCs w:val="0"/>
          <w:color w:val="auto"/>
          <w:sz w:val="30"/>
          <w:szCs w:val="30"/>
          <w:highlight w:val="none"/>
        </w:rPr>
        <w:fldChar w:fldCharType="begin"/>
      </w:r>
      <w:r>
        <w:rPr>
          <w:rFonts w:hint="eastAsia" w:ascii="楷体" w:hAnsi="楷体" w:eastAsia="楷体" w:cs="楷体"/>
          <w:b/>
          <w:bCs w:val="0"/>
          <w:sz w:val="30"/>
          <w:szCs w:val="30"/>
          <w:highlight w:val="none"/>
        </w:rPr>
        <w:instrText xml:space="preserve"> HYPERLINK \l _Toc20274 </w:instrText>
      </w:r>
      <w:r>
        <w:rPr>
          <w:rFonts w:hint="eastAsia" w:ascii="楷体" w:hAnsi="楷体" w:eastAsia="楷体" w:cs="楷体"/>
          <w:b/>
          <w:bCs w:val="0"/>
          <w:sz w:val="30"/>
          <w:szCs w:val="30"/>
          <w:highlight w:val="none"/>
        </w:rPr>
        <w:fldChar w:fldCharType="separate"/>
      </w:r>
      <w:r>
        <w:rPr>
          <w:rFonts w:hint="eastAsia" w:ascii="楷体" w:hAnsi="楷体" w:eastAsia="楷体" w:cs="楷体"/>
          <w:b/>
          <w:bCs w:val="0"/>
          <w:sz w:val="30"/>
          <w:szCs w:val="30"/>
          <w:highlight w:val="none"/>
        </w:rPr>
        <w:t>第一章  磋商公告</w:t>
      </w:r>
      <w:r>
        <w:rPr>
          <w:rFonts w:hint="eastAsia" w:ascii="楷体" w:hAnsi="楷体" w:eastAsia="楷体" w:cs="楷体"/>
          <w:b/>
          <w:bCs w:val="0"/>
          <w:sz w:val="30"/>
          <w:szCs w:val="30"/>
          <w:highlight w:val="none"/>
        </w:rPr>
        <w:tab/>
      </w:r>
      <w:r>
        <w:rPr>
          <w:rFonts w:hint="eastAsia" w:ascii="楷体" w:hAnsi="楷体" w:eastAsia="楷体" w:cs="楷体"/>
          <w:b/>
          <w:bCs w:val="0"/>
          <w:sz w:val="30"/>
          <w:szCs w:val="30"/>
          <w:highlight w:val="none"/>
        </w:rPr>
        <w:fldChar w:fldCharType="begin"/>
      </w:r>
      <w:r>
        <w:rPr>
          <w:rFonts w:hint="eastAsia" w:ascii="楷体" w:hAnsi="楷体" w:eastAsia="楷体" w:cs="楷体"/>
          <w:b/>
          <w:bCs w:val="0"/>
          <w:sz w:val="30"/>
          <w:szCs w:val="30"/>
          <w:highlight w:val="none"/>
        </w:rPr>
        <w:instrText xml:space="preserve"> PAGEREF _Toc20274 \h </w:instrText>
      </w:r>
      <w:r>
        <w:rPr>
          <w:rFonts w:hint="eastAsia" w:ascii="楷体" w:hAnsi="楷体" w:eastAsia="楷体" w:cs="楷体"/>
          <w:b/>
          <w:bCs w:val="0"/>
          <w:sz w:val="30"/>
          <w:szCs w:val="30"/>
          <w:highlight w:val="none"/>
        </w:rPr>
        <w:fldChar w:fldCharType="separate"/>
      </w:r>
      <w:r>
        <w:rPr>
          <w:rFonts w:hint="eastAsia" w:ascii="楷体" w:hAnsi="楷体" w:eastAsia="楷体" w:cs="楷体"/>
          <w:b/>
          <w:bCs w:val="0"/>
          <w:sz w:val="30"/>
          <w:szCs w:val="30"/>
          <w:highlight w:val="none"/>
        </w:rPr>
        <w:t>1</w:t>
      </w:r>
      <w:r>
        <w:rPr>
          <w:rFonts w:hint="eastAsia" w:ascii="楷体" w:hAnsi="楷体" w:eastAsia="楷体" w:cs="楷体"/>
          <w:b/>
          <w:bCs w:val="0"/>
          <w:sz w:val="30"/>
          <w:szCs w:val="30"/>
          <w:highlight w:val="none"/>
        </w:rPr>
        <w:fldChar w:fldCharType="end"/>
      </w:r>
      <w:r>
        <w:rPr>
          <w:rFonts w:hint="eastAsia" w:ascii="楷体" w:hAnsi="楷体" w:eastAsia="楷体" w:cs="楷体"/>
          <w:b/>
          <w:bCs w:val="0"/>
          <w:color w:val="auto"/>
          <w:sz w:val="30"/>
          <w:szCs w:val="30"/>
          <w:highlight w:val="none"/>
        </w:rPr>
        <w:fldChar w:fldCharType="end"/>
      </w:r>
    </w:p>
    <w:p w14:paraId="238476E1">
      <w:pPr>
        <w:pStyle w:val="12"/>
        <w:keepNext w:val="0"/>
        <w:keepLines w:val="0"/>
        <w:pageBreakBefore w:val="0"/>
        <w:widowControl w:val="0"/>
        <w:tabs>
          <w:tab w:val="right" w:leader="dot" w:pos="8306"/>
        </w:tabs>
        <w:kinsoku/>
        <w:wordWrap/>
        <w:overflowPunct/>
        <w:topLinePunct w:val="0"/>
        <w:autoSpaceDE/>
        <w:autoSpaceDN/>
        <w:bidi w:val="0"/>
        <w:adjustRightInd/>
        <w:snapToGrid/>
        <w:spacing w:line="720" w:lineRule="auto"/>
        <w:textAlignment w:val="auto"/>
        <w:rPr>
          <w:rFonts w:hint="eastAsia" w:ascii="楷体" w:hAnsi="楷体" w:eastAsia="楷体" w:cs="楷体"/>
          <w:b/>
          <w:bCs w:val="0"/>
          <w:sz w:val="30"/>
          <w:szCs w:val="30"/>
          <w:highlight w:val="none"/>
        </w:rPr>
      </w:pPr>
      <w:r>
        <w:rPr>
          <w:rFonts w:hint="eastAsia" w:ascii="楷体" w:hAnsi="楷体" w:eastAsia="楷体" w:cs="楷体"/>
          <w:b/>
          <w:bCs w:val="0"/>
          <w:color w:val="auto"/>
          <w:sz w:val="30"/>
          <w:szCs w:val="30"/>
          <w:highlight w:val="none"/>
        </w:rPr>
        <w:fldChar w:fldCharType="begin"/>
      </w:r>
      <w:r>
        <w:rPr>
          <w:rFonts w:hint="eastAsia" w:ascii="楷体" w:hAnsi="楷体" w:eastAsia="楷体" w:cs="楷体"/>
          <w:b/>
          <w:bCs w:val="0"/>
          <w:sz w:val="30"/>
          <w:szCs w:val="30"/>
          <w:highlight w:val="none"/>
        </w:rPr>
        <w:instrText xml:space="preserve"> HYPERLINK \l _Toc19158 </w:instrText>
      </w:r>
      <w:r>
        <w:rPr>
          <w:rFonts w:hint="eastAsia" w:ascii="楷体" w:hAnsi="楷体" w:eastAsia="楷体" w:cs="楷体"/>
          <w:b/>
          <w:bCs w:val="0"/>
          <w:sz w:val="30"/>
          <w:szCs w:val="30"/>
          <w:highlight w:val="none"/>
        </w:rPr>
        <w:fldChar w:fldCharType="separate"/>
      </w:r>
      <w:r>
        <w:rPr>
          <w:rFonts w:hint="eastAsia" w:ascii="楷体" w:hAnsi="楷体" w:eastAsia="楷体" w:cs="楷体"/>
          <w:b/>
          <w:bCs w:val="0"/>
          <w:sz w:val="30"/>
          <w:szCs w:val="30"/>
          <w:highlight w:val="none"/>
        </w:rPr>
        <w:t>第二章  供应商须知</w:t>
      </w:r>
      <w:r>
        <w:rPr>
          <w:rFonts w:hint="eastAsia" w:ascii="楷体" w:hAnsi="楷体" w:eastAsia="楷体" w:cs="楷体"/>
          <w:b/>
          <w:bCs w:val="0"/>
          <w:sz w:val="30"/>
          <w:szCs w:val="30"/>
          <w:highlight w:val="none"/>
        </w:rPr>
        <w:tab/>
      </w:r>
      <w:r>
        <w:rPr>
          <w:rFonts w:hint="eastAsia" w:ascii="楷体" w:hAnsi="楷体" w:eastAsia="楷体" w:cs="楷体"/>
          <w:b/>
          <w:bCs w:val="0"/>
          <w:sz w:val="30"/>
          <w:szCs w:val="30"/>
          <w:highlight w:val="none"/>
        </w:rPr>
        <w:fldChar w:fldCharType="begin"/>
      </w:r>
      <w:r>
        <w:rPr>
          <w:rFonts w:hint="eastAsia" w:ascii="楷体" w:hAnsi="楷体" w:eastAsia="楷体" w:cs="楷体"/>
          <w:b/>
          <w:bCs w:val="0"/>
          <w:sz w:val="30"/>
          <w:szCs w:val="30"/>
          <w:highlight w:val="none"/>
        </w:rPr>
        <w:instrText xml:space="preserve"> PAGEREF _Toc19158 \h </w:instrText>
      </w:r>
      <w:r>
        <w:rPr>
          <w:rFonts w:hint="eastAsia" w:ascii="楷体" w:hAnsi="楷体" w:eastAsia="楷体" w:cs="楷体"/>
          <w:b/>
          <w:bCs w:val="0"/>
          <w:sz w:val="30"/>
          <w:szCs w:val="30"/>
          <w:highlight w:val="none"/>
        </w:rPr>
        <w:fldChar w:fldCharType="separate"/>
      </w:r>
      <w:r>
        <w:rPr>
          <w:rFonts w:hint="eastAsia" w:ascii="楷体" w:hAnsi="楷体" w:eastAsia="楷体" w:cs="楷体"/>
          <w:b/>
          <w:bCs w:val="0"/>
          <w:sz w:val="30"/>
          <w:szCs w:val="30"/>
          <w:highlight w:val="none"/>
        </w:rPr>
        <w:t>8</w:t>
      </w:r>
      <w:r>
        <w:rPr>
          <w:rFonts w:hint="eastAsia" w:ascii="楷体" w:hAnsi="楷体" w:eastAsia="楷体" w:cs="楷体"/>
          <w:b/>
          <w:bCs w:val="0"/>
          <w:sz w:val="30"/>
          <w:szCs w:val="30"/>
          <w:highlight w:val="none"/>
        </w:rPr>
        <w:fldChar w:fldCharType="end"/>
      </w:r>
      <w:r>
        <w:rPr>
          <w:rFonts w:hint="eastAsia" w:ascii="楷体" w:hAnsi="楷体" w:eastAsia="楷体" w:cs="楷体"/>
          <w:b/>
          <w:bCs w:val="0"/>
          <w:color w:val="auto"/>
          <w:sz w:val="30"/>
          <w:szCs w:val="30"/>
          <w:highlight w:val="none"/>
        </w:rPr>
        <w:fldChar w:fldCharType="end"/>
      </w:r>
    </w:p>
    <w:p w14:paraId="09237FE7">
      <w:pPr>
        <w:pStyle w:val="12"/>
        <w:keepNext w:val="0"/>
        <w:keepLines w:val="0"/>
        <w:pageBreakBefore w:val="0"/>
        <w:widowControl w:val="0"/>
        <w:tabs>
          <w:tab w:val="right" w:leader="dot" w:pos="8306"/>
        </w:tabs>
        <w:kinsoku/>
        <w:wordWrap/>
        <w:overflowPunct/>
        <w:topLinePunct w:val="0"/>
        <w:autoSpaceDE/>
        <w:autoSpaceDN/>
        <w:bidi w:val="0"/>
        <w:adjustRightInd/>
        <w:snapToGrid/>
        <w:spacing w:line="720" w:lineRule="auto"/>
        <w:textAlignment w:val="auto"/>
        <w:rPr>
          <w:rFonts w:hint="eastAsia" w:ascii="楷体" w:hAnsi="楷体" w:eastAsia="楷体" w:cs="楷体"/>
          <w:b/>
          <w:bCs w:val="0"/>
          <w:sz w:val="30"/>
          <w:szCs w:val="30"/>
          <w:highlight w:val="none"/>
        </w:rPr>
      </w:pPr>
      <w:r>
        <w:rPr>
          <w:rFonts w:hint="eastAsia" w:ascii="楷体" w:hAnsi="楷体" w:eastAsia="楷体" w:cs="楷体"/>
          <w:b/>
          <w:bCs w:val="0"/>
          <w:color w:val="auto"/>
          <w:sz w:val="30"/>
          <w:szCs w:val="30"/>
          <w:highlight w:val="none"/>
        </w:rPr>
        <w:fldChar w:fldCharType="begin"/>
      </w:r>
      <w:r>
        <w:rPr>
          <w:rFonts w:hint="eastAsia" w:ascii="楷体" w:hAnsi="楷体" w:eastAsia="楷体" w:cs="楷体"/>
          <w:b/>
          <w:bCs w:val="0"/>
          <w:sz w:val="30"/>
          <w:szCs w:val="30"/>
          <w:highlight w:val="none"/>
        </w:rPr>
        <w:instrText xml:space="preserve"> HYPERLINK \l _Toc5613 </w:instrText>
      </w:r>
      <w:r>
        <w:rPr>
          <w:rFonts w:hint="eastAsia" w:ascii="楷体" w:hAnsi="楷体" w:eastAsia="楷体" w:cs="楷体"/>
          <w:b/>
          <w:bCs w:val="0"/>
          <w:sz w:val="30"/>
          <w:szCs w:val="30"/>
          <w:highlight w:val="none"/>
        </w:rPr>
        <w:fldChar w:fldCharType="separate"/>
      </w:r>
      <w:r>
        <w:rPr>
          <w:rFonts w:hint="eastAsia" w:ascii="楷体" w:hAnsi="楷体" w:eastAsia="楷体" w:cs="楷体"/>
          <w:b/>
          <w:bCs w:val="0"/>
          <w:sz w:val="30"/>
          <w:szCs w:val="30"/>
          <w:highlight w:val="none"/>
          <w:lang w:eastAsia="zh-CN"/>
        </w:rPr>
        <w:t>第三章</w:t>
      </w:r>
      <w:r>
        <w:rPr>
          <w:rFonts w:hint="eastAsia" w:ascii="楷体" w:hAnsi="楷体" w:eastAsia="楷体" w:cs="楷体"/>
          <w:b/>
          <w:bCs w:val="0"/>
          <w:sz w:val="30"/>
          <w:szCs w:val="30"/>
          <w:highlight w:val="none"/>
          <w:lang w:val="en-US" w:eastAsia="zh-CN"/>
        </w:rPr>
        <w:t xml:space="preserve">  </w:t>
      </w:r>
      <w:r>
        <w:rPr>
          <w:rFonts w:hint="eastAsia" w:ascii="楷体" w:hAnsi="楷体" w:eastAsia="楷体" w:cs="楷体"/>
          <w:b/>
          <w:bCs w:val="0"/>
          <w:sz w:val="30"/>
          <w:szCs w:val="30"/>
          <w:highlight w:val="none"/>
        </w:rPr>
        <w:t>合同条款及格式</w:t>
      </w:r>
      <w:r>
        <w:rPr>
          <w:rFonts w:hint="eastAsia" w:ascii="楷体" w:hAnsi="楷体" w:eastAsia="楷体" w:cs="楷体"/>
          <w:b/>
          <w:bCs w:val="0"/>
          <w:sz w:val="30"/>
          <w:szCs w:val="30"/>
          <w:highlight w:val="none"/>
        </w:rPr>
        <w:tab/>
      </w:r>
      <w:r>
        <w:rPr>
          <w:rFonts w:hint="eastAsia" w:ascii="楷体" w:hAnsi="楷体" w:eastAsia="楷体" w:cs="楷体"/>
          <w:b/>
          <w:bCs w:val="0"/>
          <w:sz w:val="30"/>
          <w:szCs w:val="30"/>
          <w:highlight w:val="none"/>
        </w:rPr>
        <w:fldChar w:fldCharType="begin"/>
      </w:r>
      <w:r>
        <w:rPr>
          <w:rFonts w:hint="eastAsia" w:ascii="楷体" w:hAnsi="楷体" w:eastAsia="楷体" w:cs="楷体"/>
          <w:b/>
          <w:bCs w:val="0"/>
          <w:sz w:val="30"/>
          <w:szCs w:val="30"/>
          <w:highlight w:val="none"/>
        </w:rPr>
        <w:instrText xml:space="preserve"> PAGEREF _Toc5613 \h </w:instrText>
      </w:r>
      <w:r>
        <w:rPr>
          <w:rFonts w:hint="eastAsia" w:ascii="楷体" w:hAnsi="楷体" w:eastAsia="楷体" w:cs="楷体"/>
          <w:b/>
          <w:bCs w:val="0"/>
          <w:sz w:val="30"/>
          <w:szCs w:val="30"/>
          <w:highlight w:val="none"/>
        </w:rPr>
        <w:fldChar w:fldCharType="separate"/>
      </w:r>
      <w:r>
        <w:rPr>
          <w:rFonts w:hint="eastAsia" w:ascii="楷体" w:hAnsi="楷体" w:eastAsia="楷体" w:cs="楷体"/>
          <w:b/>
          <w:bCs w:val="0"/>
          <w:sz w:val="30"/>
          <w:szCs w:val="30"/>
          <w:highlight w:val="none"/>
        </w:rPr>
        <w:t>31</w:t>
      </w:r>
      <w:r>
        <w:rPr>
          <w:rFonts w:hint="eastAsia" w:ascii="楷体" w:hAnsi="楷体" w:eastAsia="楷体" w:cs="楷体"/>
          <w:b/>
          <w:bCs w:val="0"/>
          <w:sz w:val="30"/>
          <w:szCs w:val="30"/>
          <w:highlight w:val="none"/>
        </w:rPr>
        <w:fldChar w:fldCharType="end"/>
      </w:r>
      <w:r>
        <w:rPr>
          <w:rFonts w:hint="eastAsia" w:ascii="楷体" w:hAnsi="楷体" w:eastAsia="楷体" w:cs="楷体"/>
          <w:b/>
          <w:bCs w:val="0"/>
          <w:color w:val="auto"/>
          <w:sz w:val="30"/>
          <w:szCs w:val="30"/>
          <w:highlight w:val="none"/>
        </w:rPr>
        <w:fldChar w:fldCharType="end"/>
      </w:r>
    </w:p>
    <w:p w14:paraId="66146B0B">
      <w:pPr>
        <w:pStyle w:val="12"/>
        <w:keepNext w:val="0"/>
        <w:keepLines w:val="0"/>
        <w:pageBreakBefore w:val="0"/>
        <w:widowControl w:val="0"/>
        <w:tabs>
          <w:tab w:val="right" w:leader="dot" w:pos="8306"/>
        </w:tabs>
        <w:kinsoku/>
        <w:wordWrap/>
        <w:overflowPunct/>
        <w:topLinePunct w:val="0"/>
        <w:autoSpaceDE/>
        <w:autoSpaceDN/>
        <w:bidi w:val="0"/>
        <w:adjustRightInd/>
        <w:snapToGrid/>
        <w:spacing w:line="720" w:lineRule="auto"/>
        <w:textAlignment w:val="auto"/>
        <w:rPr>
          <w:rFonts w:hint="eastAsia" w:ascii="楷体" w:hAnsi="楷体" w:eastAsia="楷体" w:cs="楷体"/>
          <w:b/>
          <w:bCs w:val="0"/>
          <w:sz w:val="30"/>
          <w:szCs w:val="30"/>
          <w:highlight w:val="none"/>
        </w:rPr>
      </w:pPr>
      <w:r>
        <w:rPr>
          <w:rFonts w:hint="eastAsia" w:ascii="楷体" w:hAnsi="楷体" w:eastAsia="楷体" w:cs="楷体"/>
          <w:b/>
          <w:bCs w:val="0"/>
          <w:color w:val="auto"/>
          <w:sz w:val="30"/>
          <w:szCs w:val="30"/>
          <w:highlight w:val="none"/>
        </w:rPr>
        <w:fldChar w:fldCharType="begin"/>
      </w:r>
      <w:r>
        <w:rPr>
          <w:rFonts w:hint="eastAsia" w:ascii="楷体" w:hAnsi="楷体" w:eastAsia="楷体" w:cs="楷体"/>
          <w:b/>
          <w:bCs w:val="0"/>
          <w:sz w:val="30"/>
          <w:szCs w:val="30"/>
          <w:highlight w:val="none"/>
        </w:rPr>
        <w:instrText xml:space="preserve"> HYPERLINK \l _Toc8719 </w:instrText>
      </w:r>
      <w:r>
        <w:rPr>
          <w:rFonts w:hint="eastAsia" w:ascii="楷体" w:hAnsi="楷体" w:eastAsia="楷体" w:cs="楷体"/>
          <w:b/>
          <w:bCs w:val="0"/>
          <w:sz w:val="30"/>
          <w:szCs w:val="30"/>
          <w:highlight w:val="none"/>
        </w:rPr>
        <w:fldChar w:fldCharType="separate"/>
      </w:r>
      <w:r>
        <w:rPr>
          <w:rFonts w:hint="eastAsia" w:ascii="楷体" w:hAnsi="楷体" w:eastAsia="楷体" w:cs="楷体"/>
          <w:b/>
          <w:bCs w:val="0"/>
          <w:sz w:val="30"/>
          <w:szCs w:val="30"/>
          <w:highlight w:val="none"/>
          <w:lang w:eastAsia="zh-CN"/>
        </w:rPr>
        <w:t>第四章</w:t>
      </w:r>
      <w:r>
        <w:rPr>
          <w:rFonts w:hint="eastAsia" w:ascii="楷体" w:hAnsi="楷体" w:eastAsia="楷体" w:cs="楷体"/>
          <w:b/>
          <w:bCs w:val="0"/>
          <w:sz w:val="30"/>
          <w:szCs w:val="30"/>
          <w:highlight w:val="none"/>
          <w:lang w:val="en-US" w:eastAsia="zh-CN"/>
        </w:rPr>
        <w:t xml:space="preserve">  </w:t>
      </w:r>
      <w:r>
        <w:rPr>
          <w:rFonts w:hint="eastAsia" w:ascii="楷体" w:hAnsi="楷体" w:eastAsia="楷体" w:cs="楷体"/>
          <w:b/>
          <w:bCs w:val="0"/>
          <w:sz w:val="30"/>
          <w:szCs w:val="30"/>
          <w:highlight w:val="none"/>
        </w:rPr>
        <w:t>磋商内容及技术要求</w:t>
      </w:r>
      <w:r>
        <w:rPr>
          <w:rFonts w:hint="eastAsia" w:ascii="楷体" w:hAnsi="楷体" w:eastAsia="楷体" w:cs="楷体"/>
          <w:b/>
          <w:bCs w:val="0"/>
          <w:sz w:val="30"/>
          <w:szCs w:val="30"/>
          <w:highlight w:val="none"/>
        </w:rPr>
        <w:tab/>
      </w:r>
      <w:r>
        <w:rPr>
          <w:rFonts w:hint="eastAsia" w:ascii="楷体" w:hAnsi="楷体" w:eastAsia="楷体" w:cs="楷体"/>
          <w:b/>
          <w:bCs w:val="0"/>
          <w:sz w:val="30"/>
          <w:szCs w:val="30"/>
          <w:highlight w:val="none"/>
        </w:rPr>
        <w:fldChar w:fldCharType="begin"/>
      </w:r>
      <w:r>
        <w:rPr>
          <w:rFonts w:hint="eastAsia" w:ascii="楷体" w:hAnsi="楷体" w:eastAsia="楷体" w:cs="楷体"/>
          <w:b/>
          <w:bCs w:val="0"/>
          <w:sz w:val="30"/>
          <w:szCs w:val="30"/>
          <w:highlight w:val="none"/>
        </w:rPr>
        <w:instrText xml:space="preserve"> PAGEREF _Toc8719 \h </w:instrText>
      </w:r>
      <w:r>
        <w:rPr>
          <w:rFonts w:hint="eastAsia" w:ascii="楷体" w:hAnsi="楷体" w:eastAsia="楷体" w:cs="楷体"/>
          <w:b/>
          <w:bCs w:val="0"/>
          <w:sz w:val="30"/>
          <w:szCs w:val="30"/>
          <w:highlight w:val="none"/>
        </w:rPr>
        <w:fldChar w:fldCharType="separate"/>
      </w:r>
      <w:r>
        <w:rPr>
          <w:rFonts w:hint="eastAsia" w:ascii="楷体" w:hAnsi="楷体" w:eastAsia="楷体" w:cs="楷体"/>
          <w:b/>
          <w:bCs w:val="0"/>
          <w:sz w:val="30"/>
          <w:szCs w:val="30"/>
          <w:highlight w:val="none"/>
        </w:rPr>
        <w:t>40</w:t>
      </w:r>
      <w:r>
        <w:rPr>
          <w:rFonts w:hint="eastAsia" w:ascii="楷体" w:hAnsi="楷体" w:eastAsia="楷体" w:cs="楷体"/>
          <w:b/>
          <w:bCs w:val="0"/>
          <w:sz w:val="30"/>
          <w:szCs w:val="30"/>
          <w:highlight w:val="none"/>
        </w:rPr>
        <w:fldChar w:fldCharType="end"/>
      </w:r>
      <w:r>
        <w:rPr>
          <w:rFonts w:hint="eastAsia" w:ascii="楷体" w:hAnsi="楷体" w:eastAsia="楷体" w:cs="楷体"/>
          <w:b/>
          <w:bCs w:val="0"/>
          <w:color w:val="auto"/>
          <w:sz w:val="30"/>
          <w:szCs w:val="30"/>
          <w:highlight w:val="none"/>
        </w:rPr>
        <w:fldChar w:fldCharType="end"/>
      </w:r>
    </w:p>
    <w:p w14:paraId="3E9AD9D9">
      <w:pPr>
        <w:pStyle w:val="12"/>
        <w:keepNext w:val="0"/>
        <w:keepLines w:val="0"/>
        <w:pageBreakBefore w:val="0"/>
        <w:widowControl w:val="0"/>
        <w:tabs>
          <w:tab w:val="right" w:leader="dot" w:pos="8306"/>
        </w:tabs>
        <w:kinsoku/>
        <w:wordWrap/>
        <w:overflowPunct/>
        <w:topLinePunct w:val="0"/>
        <w:autoSpaceDE/>
        <w:autoSpaceDN/>
        <w:bidi w:val="0"/>
        <w:adjustRightInd/>
        <w:snapToGrid/>
        <w:spacing w:line="720" w:lineRule="auto"/>
        <w:textAlignment w:val="auto"/>
        <w:rPr>
          <w:rFonts w:hint="eastAsia" w:ascii="楷体" w:hAnsi="楷体" w:eastAsia="楷体" w:cs="楷体"/>
          <w:b/>
          <w:bCs w:val="0"/>
          <w:sz w:val="30"/>
          <w:szCs w:val="30"/>
          <w:highlight w:val="none"/>
          <w:lang w:val="en-US" w:eastAsia="zh-CN"/>
        </w:rPr>
      </w:pPr>
      <w:r>
        <w:rPr>
          <w:rFonts w:hint="eastAsia" w:ascii="楷体" w:hAnsi="楷体" w:eastAsia="楷体" w:cs="楷体"/>
          <w:b/>
          <w:bCs w:val="0"/>
          <w:color w:val="auto"/>
          <w:sz w:val="30"/>
          <w:szCs w:val="30"/>
          <w:highlight w:val="none"/>
        </w:rPr>
        <w:fldChar w:fldCharType="begin"/>
      </w:r>
      <w:r>
        <w:rPr>
          <w:rFonts w:hint="eastAsia" w:ascii="楷体" w:hAnsi="楷体" w:eastAsia="楷体" w:cs="楷体"/>
          <w:b/>
          <w:bCs w:val="0"/>
          <w:sz w:val="30"/>
          <w:szCs w:val="30"/>
          <w:highlight w:val="none"/>
        </w:rPr>
        <w:instrText xml:space="preserve"> HYPERLINK \l _Toc32550 </w:instrText>
      </w:r>
      <w:r>
        <w:rPr>
          <w:rFonts w:hint="eastAsia" w:ascii="楷体" w:hAnsi="楷体" w:eastAsia="楷体" w:cs="楷体"/>
          <w:b/>
          <w:bCs w:val="0"/>
          <w:sz w:val="30"/>
          <w:szCs w:val="30"/>
          <w:highlight w:val="none"/>
        </w:rPr>
        <w:fldChar w:fldCharType="separate"/>
      </w:r>
      <w:r>
        <w:rPr>
          <w:rFonts w:hint="eastAsia" w:ascii="楷体" w:hAnsi="楷体" w:eastAsia="楷体" w:cs="楷体"/>
          <w:b/>
          <w:bCs w:val="0"/>
          <w:kern w:val="2"/>
          <w:sz w:val="30"/>
          <w:szCs w:val="30"/>
          <w:highlight w:val="none"/>
          <w:lang w:val="en-US" w:eastAsia="zh-CN" w:bidi="ar-SA"/>
        </w:rPr>
        <w:t>第五章  评审方法</w:t>
      </w:r>
      <w:r>
        <w:rPr>
          <w:rFonts w:hint="eastAsia" w:ascii="楷体" w:hAnsi="楷体" w:eastAsia="楷体" w:cs="楷体"/>
          <w:b/>
          <w:bCs w:val="0"/>
          <w:sz w:val="30"/>
          <w:szCs w:val="30"/>
          <w:highlight w:val="none"/>
        </w:rPr>
        <w:tab/>
      </w:r>
      <w:r>
        <w:rPr>
          <w:rFonts w:hint="eastAsia" w:ascii="楷体" w:hAnsi="楷体" w:eastAsia="楷体" w:cs="楷体"/>
          <w:b/>
          <w:bCs w:val="0"/>
          <w:sz w:val="30"/>
          <w:szCs w:val="30"/>
          <w:highlight w:val="none"/>
          <w:lang w:val="en-US" w:eastAsia="zh-CN"/>
        </w:rPr>
        <w:t>6</w:t>
      </w:r>
      <w:r>
        <w:rPr>
          <w:rFonts w:hint="eastAsia" w:ascii="楷体" w:hAnsi="楷体" w:eastAsia="楷体" w:cs="楷体"/>
          <w:b/>
          <w:bCs w:val="0"/>
          <w:color w:val="auto"/>
          <w:sz w:val="30"/>
          <w:szCs w:val="30"/>
          <w:highlight w:val="none"/>
        </w:rPr>
        <w:fldChar w:fldCharType="end"/>
      </w:r>
      <w:r>
        <w:rPr>
          <w:rFonts w:hint="eastAsia" w:ascii="楷体" w:hAnsi="楷体" w:eastAsia="楷体" w:cs="楷体"/>
          <w:b/>
          <w:bCs w:val="0"/>
          <w:color w:val="auto"/>
          <w:sz w:val="30"/>
          <w:szCs w:val="30"/>
          <w:highlight w:val="none"/>
          <w:lang w:val="en-US" w:eastAsia="zh-CN"/>
        </w:rPr>
        <w:t>1</w:t>
      </w:r>
    </w:p>
    <w:p w14:paraId="5C7782E0">
      <w:pPr>
        <w:pStyle w:val="12"/>
        <w:keepNext w:val="0"/>
        <w:keepLines w:val="0"/>
        <w:pageBreakBefore w:val="0"/>
        <w:widowControl w:val="0"/>
        <w:tabs>
          <w:tab w:val="right" w:leader="dot" w:pos="8306"/>
        </w:tabs>
        <w:kinsoku/>
        <w:wordWrap/>
        <w:overflowPunct/>
        <w:topLinePunct w:val="0"/>
        <w:autoSpaceDE/>
        <w:autoSpaceDN/>
        <w:bidi w:val="0"/>
        <w:adjustRightInd/>
        <w:snapToGrid/>
        <w:spacing w:line="720" w:lineRule="auto"/>
        <w:textAlignment w:val="auto"/>
        <w:rPr>
          <w:rFonts w:hint="eastAsia" w:ascii="楷体" w:hAnsi="楷体" w:eastAsia="楷体" w:cs="楷体"/>
          <w:b/>
          <w:bCs w:val="0"/>
          <w:sz w:val="30"/>
          <w:szCs w:val="30"/>
          <w:highlight w:val="none"/>
        </w:rPr>
      </w:pPr>
      <w:r>
        <w:rPr>
          <w:rFonts w:hint="eastAsia" w:ascii="楷体" w:hAnsi="楷体" w:eastAsia="楷体" w:cs="楷体"/>
          <w:b/>
          <w:bCs w:val="0"/>
          <w:color w:val="auto"/>
          <w:sz w:val="30"/>
          <w:szCs w:val="30"/>
          <w:highlight w:val="none"/>
        </w:rPr>
        <w:fldChar w:fldCharType="begin"/>
      </w:r>
      <w:r>
        <w:rPr>
          <w:rFonts w:hint="eastAsia" w:ascii="楷体" w:hAnsi="楷体" w:eastAsia="楷体" w:cs="楷体"/>
          <w:b/>
          <w:bCs w:val="0"/>
          <w:sz w:val="30"/>
          <w:szCs w:val="30"/>
          <w:highlight w:val="none"/>
        </w:rPr>
        <w:instrText xml:space="preserve"> HYPERLINK \l _Toc18014 </w:instrText>
      </w:r>
      <w:r>
        <w:rPr>
          <w:rFonts w:hint="eastAsia" w:ascii="楷体" w:hAnsi="楷体" w:eastAsia="楷体" w:cs="楷体"/>
          <w:b/>
          <w:bCs w:val="0"/>
          <w:sz w:val="30"/>
          <w:szCs w:val="30"/>
          <w:highlight w:val="none"/>
        </w:rPr>
        <w:fldChar w:fldCharType="separate"/>
      </w:r>
      <w:r>
        <w:rPr>
          <w:rFonts w:hint="eastAsia" w:ascii="楷体" w:hAnsi="楷体" w:eastAsia="楷体" w:cs="楷体"/>
          <w:b/>
          <w:bCs w:val="0"/>
          <w:sz w:val="30"/>
          <w:szCs w:val="30"/>
          <w:highlight w:val="none"/>
        </w:rPr>
        <w:t>第六章  磋商响应文件格式</w:t>
      </w:r>
      <w:r>
        <w:rPr>
          <w:rFonts w:hint="eastAsia" w:ascii="楷体" w:hAnsi="楷体" w:eastAsia="楷体" w:cs="楷体"/>
          <w:b/>
          <w:bCs w:val="0"/>
          <w:sz w:val="30"/>
          <w:szCs w:val="30"/>
          <w:highlight w:val="none"/>
        </w:rPr>
        <w:tab/>
      </w:r>
      <w:r>
        <w:rPr>
          <w:rFonts w:hint="eastAsia" w:ascii="楷体" w:hAnsi="楷体" w:eastAsia="楷体" w:cs="楷体"/>
          <w:b/>
          <w:bCs w:val="0"/>
          <w:sz w:val="30"/>
          <w:szCs w:val="30"/>
          <w:highlight w:val="none"/>
        </w:rPr>
        <w:fldChar w:fldCharType="begin"/>
      </w:r>
      <w:r>
        <w:rPr>
          <w:rFonts w:hint="eastAsia" w:ascii="楷体" w:hAnsi="楷体" w:eastAsia="楷体" w:cs="楷体"/>
          <w:b/>
          <w:bCs w:val="0"/>
          <w:sz w:val="30"/>
          <w:szCs w:val="30"/>
          <w:highlight w:val="none"/>
        </w:rPr>
        <w:instrText xml:space="preserve"> PAGEREF _Toc18014 \h </w:instrText>
      </w:r>
      <w:r>
        <w:rPr>
          <w:rFonts w:hint="eastAsia" w:ascii="楷体" w:hAnsi="楷体" w:eastAsia="楷体" w:cs="楷体"/>
          <w:b/>
          <w:bCs w:val="0"/>
          <w:sz w:val="30"/>
          <w:szCs w:val="30"/>
          <w:highlight w:val="none"/>
        </w:rPr>
        <w:fldChar w:fldCharType="separate"/>
      </w:r>
      <w:r>
        <w:rPr>
          <w:rFonts w:hint="eastAsia" w:ascii="楷体" w:hAnsi="楷体" w:eastAsia="楷体" w:cs="楷体"/>
          <w:b/>
          <w:bCs w:val="0"/>
          <w:sz w:val="30"/>
          <w:szCs w:val="30"/>
          <w:highlight w:val="none"/>
        </w:rPr>
        <w:t>75</w:t>
      </w:r>
      <w:r>
        <w:rPr>
          <w:rFonts w:hint="eastAsia" w:ascii="楷体" w:hAnsi="楷体" w:eastAsia="楷体" w:cs="楷体"/>
          <w:b/>
          <w:bCs w:val="0"/>
          <w:sz w:val="30"/>
          <w:szCs w:val="30"/>
          <w:highlight w:val="none"/>
        </w:rPr>
        <w:fldChar w:fldCharType="end"/>
      </w:r>
      <w:r>
        <w:rPr>
          <w:rFonts w:hint="eastAsia" w:ascii="楷体" w:hAnsi="楷体" w:eastAsia="楷体" w:cs="楷体"/>
          <w:b/>
          <w:bCs w:val="0"/>
          <w:color w:val="auto"/>
          <w:sz w:val="30"/>
          <w:szCs w:val="30"/>
          <w:highlight w:val="none"/>
        </w:rPr>
        <w:fldChar w:fldCharType="end"/>
      </w:r>
    </w:p>
    <w:p w14:paraId="246552EF">
      <w:pPr>
        <w:pStyle w:val="7"/>
        <w:keepNext w:val="0"/>
        <w:keepLines w:val="0"/>
        <w:pageBreakBefore w:val="0"/>
        <w:widowControl w:val="0"/>
        <w:kinsoku/>
        <w:wordWrap/>
        <w:overflowPunct/>
        <w:topLinePunct w:val="0"/>
        <w:autoSpaceDE/>
        <w:autoSpaceDN/>
        <w:bidi w:val="0"/>
        <w:adjustRightInd/>
        <w:snapToGrid/>
        <w:spacing w:line="720" w:lineRule="auto"/>
        <w:jc w:val="left"/>
        <w:textAlignment w:val="auto"/>
        <w:outlineLvl w:val="9"/>
        <w:rPr>
          <w:rFonts w:hint="eastAsia" w:ascii="楷体" w:hAnsi="楷体" w:eastAsia="楷体" w:cs="楷体"/>
          <w:b/>
          <w:bCs w:val="0"/>
          <w:color w:val="auto"/>
          <w:sz w:val="30"/>
          <w:szCs w:val="30"/>
          <w:highlight w:val="none"/>
        </w:rPr>
      </w:pPr>
      <w:r>
        <w:rPr>
          <w:rFonts w:hint="eastAsia" w:ascii="楷体" w:hAnsi="楷体" w:eastAsia="楷体" w:cs="楷体"/>
          <w:b/>
          <w:bCs w:val="0"/>
          <w:color w:val="auto"/>
          <w:sz w:val="30"/>
          <w:szCs w:val="30"/>
          <w:highlight w:val="none"/>
        </w:rPr>
        <w:fldChar w:fldCharType="end"/>
      </w:r>
    </w:p>
    <w:p w14:paraId="728515F3">
      <w:pPr>
        <w:pStyle w:val="2"/>
        <w:keepNext w:val="0"/>
        <w:keepLines/>
        <w:pageBreakBefore/>
        <w:spacing w:line="360" w:lineRule="auto"/>
        <w:jc w:val="center"/>
        <w:rPr>
          <w:rFonts w:hint="eastAsia" w:ascii="楷体" w:hAnsi="楷体" w:eastAsia="楷体" w:cs="楷体"/>
          <w:bCs/>
          <w:color w:val="auto"/>
          <w:sz w:val="36"/>
          <w:szCs w:val="36"/>
          <w:highlight w:val="none"/>
        </w:rPr>
        <w:sectPr>
          <w:headerReference r:id="rId7" w:type="default"/>
          <w:footerReference r:id="rId8" w:type="default"/>
          <w:pgSz w:w="11906" w:h="16838"/>
          <w:pgMar w:top="1440" w:right="1800" w:bottom="1440" w:left="1800" w:header="851" w:footer="992" w:gutter="0"/>
          <w:pgNumType w:fmt="decimal" w:start="1"/>
          <w:cols w:space="720" w:num="1"/>
          <w:docGrid w:type="lines" w:linePitch="312" w:charSpace="0"/>
        </w:sectPr>
      </w:pPr>
      <w:bookmarkStart w:id="2" w:name="_Toc8032_WPSOffice_Level1"/>
      <w:bookmarkStart w:id="3" w:name="_Toc17180"/>
      <w:bookmarkStart w:id="4" w:name="_Toc25452_WPSOffice_Level1"/>
      <w:bookmarkStart w:id="5" w:name="_Toc5566"/>
      <w:bookmarkStart w:id="6" w:name="_Toc16420"/>
      <w:bookmarkStart w:id="7" w:name="_Toc26257"/>
      <w:bookmarkStart w:id="8" w:name="_Toc24699"/>
      <w:bookmarkStart w:id="9" w:name="_Toc30973"/>
      <w:bookmarkStart w:id="10" w:name="_Toc7407"/>
      <w:bookmarkStart w:id="11" w:name="_Toc9811"/>
      <w:bookmarkStart w:id="12" w:name="_Toc27118"/>
      <w:bookmarkStart w:id="13" w:name="_Toc13148"/>
      <w:bookmarkStart w:id="14" w:name="_Toc24670"/>
      <w:bookmarkStart w:id="15" w:name="_Toc18732"/>
      <w:bookmarkStart w:id="16" w:name="_Toc10060"/>
    </w:p>
    <w:p w14:paraId="01A9D2AE">
      <w:pPr>
        <w:pStyle w:val="2"/>
        <w:keepNext w:val="0"/>
        <w:keepLines/>
        <w:pageBreakBefore/>
        <w:widowControl w:val="0"/>
        <w:kinsoku/>
        <w:wordWrap/>
        <w:overflowPunct/>
        <w:topLinePunct w:val="0"/>
        <w:autoSpaceDE/>
        <w:autoSpaceDN/>
        <w:bidi w:val="0"/>
        <w:adjustRightInd/>
        <w:snapToGrid/>
        <w:spacing w:line="500" w:lineRule="exact"/>
        <w:ind w:left="0"/>
        <w:jc w:val="center"/>
        <w:textAlignment w:val="auto"/>
        <w:rPr>
          <w:rFonts w:hint="eastAsia" w:ascii="楷体" w:hAnsi="楷体" w:eastAsia="楷体" w:cs="楷体"/>
          <w:bCs/>
          <w:color w:val="auto"/>
          <w:sz w:val="36"/>
          <w:szCs w:val="36"/>
          <w:highlight w:val="none"/>
        </w:rPr>
      </w:pPr>
      <w:bookmarkStart w:id="17" w:name="_Toc20274"/>
      <w:r>
        <w:rPr>
          <w:rFonts w:hint="eastAsia" w:ascii="楷体" w:hAnsi="楷体" w:eastAsia="楷体" w:cs="楷体"/>
          <w:bCs/>
          <w:color w:val="auto"/>
          <w:sz w:val="36"/>
          <w:szCs w:val="36"/>
          <w:highlight w:val="none"/>
        </w:rPr>
        <w:t>第一章  磋商公告</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p>
    <w:p w14:paraId="409FC201">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150" w:beforeAutospacing="0" w:after="150" w:afterAutospacing="0" w:line="360" w:lineRule="auto"/>
        <w:ind w:left="1150" w:leftChars="200" w:right="0" w:hanging="670" w:hangingChars="278"/>
        <w:jc w:val="left"/>
        <w:textAlignment w:val="auto"/>
        <w:rPr>
          <w:rFonts w:hint="eastAsia" w:ascii="楷体" w:hAnsi="楷体" w:eastAsia="楷体" w:cs="楷体"/>
          <w:b w:val="0"/>
          <w:bCs w:val="0"/>
          <w:color w:val="auto"/>
          <w:sz w:val="24"/>
          <w:szCs w:val="24"/>
          <w:highlight w:val="none"/>
        </w:rPr>
      </w:pPr>
      <w:bookmarkStart w:id="18" w:name="_Toc2929"/>
      <w:bookmarkStart w:id="19" w:name="_Toc389582035"/>
      <w:bookmarkStart w:id="20" w:name="_Toc2377"/>
      <w:bookmarkStart w:id="21" w:name="_Toc29249"/>
      <w:bookmarkStart w:id="22" w:name="_Toc2587"/>
      <w:bookmarkStart w:id="23" w:name="_Toc1177"/>
      <w:bookmarkStart w:id="24" w:name="_Toc7442"/>
      <w:r>
        <w:rPr>
          <w:rStyle w:val="20"/>
          <w:rFonts w:hint="eastAsia" w:ascii="楷体" w:hAnsi="楷体" w:eastAsia="楷体" w:cs="楷体"/>
          <w:b/>
          <w:bCs/>
          <w:i w:val="0"/>
          <w:iCs w:val="0"/>
          <w:caps w:val="0"/>
          <w:color w:val="auto"/>
          <w:spacing w:val="0"/>
          <w:sz w:val="24"/>
          <w:szCs w:val="24"/>
          <w:highlight w:val="none"/>
          <w:shd w:val="clear" w:color="auto" w:fill="FFFFFF"/>
        </w:rPr>
        <w:t>项目概况</w:t>
      </w:r>
    </w:p>
    <w:p w14:paraId="5AF22B1E">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150" w:beforeAutospacing="0" w:after="150" w:afterAutospacing="0" w:line="360" w:lineRule="auto"/>
        <w:ind w:left="0" w:right="0" w:firstLine="480"/>
        <w:jc w:val="both"/>
        <w:textAlignment w:val="auto"/>
        <w:rPr>
          <w:rFonts w:hint="eastAsia" w:ascii="楷体" w:hAnsi="楷体" w:eastAsia="楷体" w:cs="楷体"/>
          <w:i w:val="0"/>
          <w:iCs w:val="0"/>
          <w:caps w:val="0"/>
          <w:color w:val="auto"/>
          <w:spacing w:val="0"/>
          <w:sz w:val="24"/>
          <w:szCs w:val="24"/>
          <w:highlight w:val="none"/>
          <w:shd w:val="clear" w:color="auto" w:fill="FFFFFF"/>
        </w:rPr>
      </w:pPr>
      <w:r>
        <w:rPr>
          <w:rFonts w:hint="eastAsia" w:ascii="楷体" w:hAnsi="楷体" w:eastAsia="楷体" w:cs="楷体"/>
          <w:i w:val="0"/>
          <w:iCs w:val="0"/>
          <w:caps w:val="0"/>
          <w:color w:val="auto"/>
          <w:spacing w:val="0"/>
          <w:sz w:val="24"/>
          <w:szCs w:val="24"/>
          <w:highlight w:val="none"/>
          <w:shd w:val="clear" w:color="auto" w:fill="FFFFFF"/>
          <w:lang w:val="en-US" w:eastAsia="zh-CN"/>
        </w:rPr>
        <w:t>生态环境和安全相关产品质量监督抽查项目（四次）采购项目的潜在供应商应在西安经济技术开发区凤城一路6号利君V时代B座9F901室陕西正翼项目管理咨询有限公司获取采购文件，并于 2025年08月19日 09时30分 （北京时间）前提交响应文件。</w:t>
      </w:r>
    </w:p>
    <w:p w14:paraId="4C0C062C">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overflowPunct/>
        <w:topLinePunct w:val="0"/>
        <w:autoSpaceDE/>
        <w:autoSpaceDN/>
        <w:bidi w:val="0"/>
        <w:adjustRightInd/>
        <w:snapToGrid/>
        <w:spacing w:before="150" w:beforeAutospacing="0" w:after="0" w:afterAutospacing="0" w:line="360" w:lineRule="auto"/>
        <w:ind w:left="0" w:right="0" w:firstLine="0"/>
        <w:jc w:val="left"/>
        <w:textAlignment w:val="auto"/>
        <w:rPr>
          <w:rFonts w:hint="eastAsia" w:ascii="楷体" w:hAnsi="楷体" w:eastAsia="楷体" w:cs="楷体"/>
          <w:b w:val="0"/>
          <w:bCs w:val="0"/>
          <w:i w:val="0"/>
          <w:iCs w:val="0"/>
          <w:caps w:val="0"/>
          <w:color w:val="auto"/>
          <w:spacing w:val="0"/>
          <w:sz w:val="24"/>
          <w:szCs w:val="24"/>
          <w:highlight w:val="none"/>
        </w:rPr>
      </w:pPr>
      <w:r>
        <w:rPr>
          <w:rStyle w:val="20"/>
          <w:rFonts w:hint="eastAsia" w:ascii="楷体" w:hAnsi="楷体" w:eastAsia="楷体" w:cs="楷体"/>
          <w:b/>
          <w:bCs/>
          <w:i w:val="0"/>
          <w:iCs w:val="0"/>
          <w:caps w:val="0"/>
          <w:color w:val="auto"/>
          <w:spacing w:val="0"/>
          <w:sz w:val="24"/>
          <w:szCs w:val="24"/>
          <w:highlight w:val="none"/>
          <w:shd w:val="clear" w:color="auto" w:fill="FFFFFF"/>
        </w:rPr>
        <w:t>一、项目基本情况</w:t>
      </w:r>
    </w:p>
    <w:p w14:paraId="0EC90606">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楷体" w:hAnsi="楷体" w:eastAsia="楷体" w:cs="楷体"/>
          <w:i w:val="0"/>
          <w:iCs w:val="0"/>
          <w:caps w:val="0"/>
          <w:color w:val="auto"/>
          <w:spacing w:val="0"/>
          <w:sz w:val="24"/>
          <w:szCs w:val="24"/>
          <w:highlight w:val="none"/>
          <w:lang w:val="en-US" w:eastAsia="zh-CN"/>
        </w:rPr>
      </w:pPr>
      <w:r>
        <w:rPr>
          <w:rFonts w:hint="eastAsia" w:ascii="楷体" w:hAnsi="楷体" w:eastAsia="楷体" w:cs="楷体"/>
          <w:i w:val="0"/>
          <w:iCs w:val="0"/>
          <w:caps w:val="0"/>
          <w:color w:val="auto"/>
          <w:spacing w:val="0"/>
          <w:sz w:val="24"/>
          <w:szCs w:val="24"/>
          <w:highlight w:val="none"/>
          <w:shd w:val="clear" w:color="auto" w:fill="FFFFFF"/>
        </w:rPr>
        <w:t>项目编号：ZY2025-ZB-CS1071.1B</w:t>
      </w:r>
      <w:r>
        <w:rPr>
          <w:rFonts w:hint="eastAsia" w:ascii="楷体" w:hAnsi="楷体" w:eastAsia="楷体" w:cs="楷体"/>
          <w:i w:val="0"/>
          <w:iCs w:val="0"/>
          <w:caps w:val="0"/>
          <w:color w:val="auto"/>
          <w:spacing w:val="0"/>
          <w:sz w:val="24"/>
          <w:szCs w:val="24"/>
          <w:highlight w:val="none"/>
          <w:shd w:val="clear" w:color="auto" w:fill="FFFFFF"/>
          <w:lang w:val="en-US" w:eastAsia="zh-CN"/>
        </w:rPr>
        <w:t>3</w:t>
      </w:r>
    </w:p>
    <w:p w14:paraId="40B538F4">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楷体" w:hAnsi="楷体" w:eastAsia="楷体" w:cs="楷体"/>
          <w:i w:val="0"/>
          <w:iCs w:val="0"/>
          <w:caps w:val="0"/>
          <w:color w:val="auto"/>
          <w:spacing w:val="0"/>
          <w:sz w:val="24"/>
          <w:szCs w:val="24"/>
          <w:highlight w:val="none"/>
        </w:rPr>
      </w:pPr>
      <w:r>
        <w:rPr>
          <w:rFonts w:hint="eastAsia" w:ascii="楷体" w:hAnsi="楷体" w:eastAsia="楷体" w:cs="楷体"/>
          <w:i w:val="0"/>
          <w:iCs w:val="0"/>
          <w:caps w:val="0"/>
          <w:color w:val="auto"/>
          <w:spacing w:val="0"/>
          <w:sz w:val="24"/>
          <w:szCs w:val="24"/>
          <w:highlight w:val="none"/>
          <w:shd w:val="clear" w:color="auto" w:fill="FFFFFF"/>
        </w:rPr>
        <w:t>项目名称：</w:t>
      </w:r>
      <w:r>
        <w:rPr>
          <w:rFonts w:hint="eastAsia" w:ascii="楷体" w:hAnsi="楷体" w:eastAsia="楷体" w:cs="楷体"/>
          <w:i w:val="0"/>
          <w:iCs w:val="0"/>
          <w:caps w:val="0"/>
          <w:color w:val="auto"/>
          <w:spacing w:val="0"/>
          <w:sz w:val="24"/>
          <w:szCs w:val="24"/>
          <w:highlight w:val="none"/>
          <w:shd w:val="clear" w:color="auto" w:fill="FFFFFF"/>
          <w:lang w:val="en-US" w:eastAsia="zh-CN"/>
        </w:rPr>
        <w:t>生态环境和安全相关产品质量监督抽查项目（四次）</w:t>
      </w:r>
    </w:p>
    <w:p w14:paraId="776FBD43">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楷体" w:hAnsi="楷体" w:eastAsia="楷体" w:cs="楷体"/>
          <w:i w:val="0"/>
          <w:iCs w:val="0"/>
          <w:caps w:val="0"/>
          <w:color w:val="auto"/>
          <w:spacing w:val="0"/>
          <w:sz w:val="24"/>
          <w:szCs w:val="24"/>
          <w:highlight w:val="none"/>
        </w:rPr>
      </w:pPr>
      <w:r>
        <w:rPr>
          <w:rFonts w:hint="eastAsia" w:ascii="楷体" w:hAnsi="楷体" w:eastAsia="楷体" w:cs="楷体"/>
          <w:i w:val="0"/>
          <w:iCs w:val="0"/>
          <w:caps w:val="0"/>
          <w:color w:val="auto"/>
          <w:spacing w:val="0"/>
          <w:sz w:val="24"/>
          <w:szCs w:val="24"/>
          <w:highlight w:val="none"/>
          <w:shd w:val="clear" w:color="auto" w:fill="FFFFFF"/>
        </w:rPr>
        <w:t>采购方式：竞争性磋商</w:t>
      </w:r>
    </w:p>
    <w:p w14:paraId="23220DAB">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楷体" w:hAnsi="楷体" w:eastAsia="楷体" w:cs="楷体"/>
          <w:i w:val="0"/>
          <w:iCs w:val="0"/>
          <w:caps w:val="0"/>
          <w:color w:val="auto"/>
          <w:spacing w:val="0"/>
          <w:sz w:val="24"/>
          <w:szCs w:val="24"/>
          <w:highlight w:val="none"/>
        </w:rPr>
      </w:pPr>
      <w:r>
        <w:rPr>
          <w:rFonts w:hint="eastAsia" w:ascii="楷体" w:hAnsi="楷体" w:eastAsia="楷体" w:cs="楷体"/>
          <w:i w:val="0"/>
          <w:iCs w:val="0"/>
          <w:caps w:val="0"/>
          <w:color w:val="auto"/>
          <w:spacing w:val="0"/>
          <w:sz w:val="24"/>
          <w:szCs w:val="24"/>
          <w:highlight w:val="none"/>
          <w:shd w:val="clear" w:color="auto" w:fill="FFFFFF"/>
        </w:rPr>
        <w:t>预算金额：</w:t>
      </w:r>
      <w:r>
        <w:rPr>
          <w:rFonts w:hint="eastAsia" w:ascii="楷体" w:hAnsi="楷体" w:eastAsia="楷体" w:cs="楷体"/>
          <w:i w:val="0"/>
          <w:iCs w:val="0"/>
          <w:caps w:val="0"/>
          <w:color w:val="auto"/>
          <w:spacing w:val="0"/>
          <w:sz w:val="24"/>
          <w:szCs w:val="24"/>
          <w:highlight w:val="none"/>
          <w:shd w:val="clear" w:color="auto" w:fill="FFFFFF"/>
          <w:lang w:val="en-US" w:eastAsia="zh-CN"/>
        </w:rPr>
        <w:t>1000000.00</w:t>
      </w:r>
      <w:r>
        <w:rPr>
          <w:rFonts w:hint="eastAsia" w:ascii="楷体" w:hAnsi="楷体" w:eastAsia="楷体" w:cs="楷体"/>
          <w:i w:val="0"/>
          <w:iCs w:val="0"/>
          <w:caps w:val="0"/>
          <w:color w:val="auto"/>
          <w:spacing w:val="0"/>
          <w:sz w:val="24"/>
          <w:szCs w:val="24"/>
          <w:highlight w:val="none"/>
          <w:shd w:val="clear" w:color="auto" w:fill="FFFFFF"/>
        </w:rPr>
        <w:t>元</w:t>
      </w:r>
    </w:p>
    <w:p w14:paraId="74BBB31F">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楷体" w:hAnsi="楷体" w:eastAsia="楷体" w:cs="楷体"/>
          <w:i w:val="0"/>
          <w:iCs w:val="0"/>
          <w:caps w:val="0"/>
          <w:color w:val="auto"/>
          <w:spacing w:val="0"/>
          <w:sz w:val="24"/>
          <w:szCs w:val="24"/>
          <w:highlight w:val="none"/>
        </w:rPr>
      </w:pPr>
      <w:r>
        <w:rPr>
          <w:rFonts w:hint="eastAsia" w:ascii="楷体" w:hAnsi="楷体" w:eastAsia="楷体" w:cs="楷体"/>
          <w:i w:val="0"/>
          <w:iCs w:val="0"/>
          <w:caps w:val="0"/>
          <w:color w:val="auto"/>
          <w:spacing w:val="0"/>
          <w:sz w:val="24"/>
          <w:szCs w:val="24"/>
          <w:highlight w:val="none"/>
          <w:shd w:val="clear" w:color="auto" w:fill="FFFFFF"/>
        </w:rPr>
        <w:t>采购需求：</w:t>
      </w:r>
    </w:p>
    <w:p w14:paraId="421B7D59">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楷体" w:hAnsi="楷体" w:eastAsia="楷体" w:cs="楷体"/>
          <w:i w:val="0"/>
          <w:iCs w:val="0"/>
          <w:caps w:val="0"/>
          <w:color w:val="auto"/>
          <w:spacing w:val="0"/>
          <w:sz w:val="24"/>
          <w:szCs w:val="24"/>
          <w:highlight w:val="none"/>
          <w:shd w:val="clear" w:color="auto" w:fill="FFFFFF"/>
        </w:rPr>
      </w:pPr>
      <w:r>
        <w:rPr>
          <w:rFonts w:hint="eastAsia" w:ascii="楷体" w:hAnsi="楷体" w:eastAsia="楷体" w:cs="楷体"/>
          <w:i w:val="0"/>
          <w:iCs w:val="0"/>
          <w:caps w:val="0"/>
          <w:color w:val="auto"/>
          <w:spacing w:val="0"/>
          <w:sz w:val="24"/>
          <w:szCs w:val="24"/>
          <w:highlight w:val="none"/>
          <w:shd w:val="clear" w:color="auto" w:fill="FFFFFF"/>
        </w:rPr>
        <w:t>合同包1(车用成品油快速筛查):</w:t>
      </w:r>
    </w:p>
    <w:p w14:paraId="040E272C">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right="0" w:firstLine="480" w:firstLineChars="200"/>
        <w:jc w:val="both"/>
        <w:textAlignment w:val="auto"/>
        <w:rPr>
          <w:rFonts w:hint="eastAsia" w:ascii="楷体" w:hAnsi="楷体" w:eastAsia="楷体" w:cs="楷体"/>
          <w:color w:val="auto"/>
          <w:sz w:val="24"/>
          <w:szCs w:val="24"/>
          <w:highlight w:val="none"/>
        </w:rPr>
      </w:pPr>
      <w:r>
        <w:rPr>
          <w:rFonts w:hint="eastAsia" w:ascii="楷体" w:hAnsi="楷体" w:eastAsia="楷体" w:cs="楷体"/>
          <w:i w:val="0"/>
          <w:iCs w:val="0"/>
          <w:caps w:val="0"/>
          <w:color w:val="auto"/>
          <w:spacing w:val="0"/>
          <w:sz w:val="24"/>
          <w:szCs w:val="24"/>
          <w:highlight w:val="none"/>
          <w:shd w:val="clear" w:color="auto" w:fill="FFFFFF"/>
        </w:rPr>
        <w:t>合同包预算金额：</w:t>
      </w:r>
      <w:r>
        <w:rPr>
          <w:rFonts w:hint="eastAsia" w:ascii="楷体" w:hAnsi="楷体" w:eastAsia="楷体" w:cs="楷体"/>
          <w:i w:val="0"/>
          <w:iCs w:val="0"/>
          <w:caps w:val="0"/>
          <w:color w:val="auto"/>
          <w:spacing w:val="0"/>
          <w:sz w:val="24"/>
          <w:szCs w:val="24"/>
          <w:highlight w:val="none"/>
          <w:shd w:val="clear" w:color="auto" w:fill="FFFFFF"/>
          <w:lang w:val="en-US" w:eastAsia="zh-CN"/>
        </w:rPr>
        <w:t>300000.00</w:t>
      </w:r>
      <w:r>
        <w:rPr>
          <w:rFonts w:hint="eastAsia" w:ascii="楷体" w:hAnsi="楷体" w:eastAsia="楷体" w:cs="楷体"/>
          <w:i w:val="0"/>
          <w:iCs w:val="0"/>
          <w:caps w:val="0"/>
          <w:color w:val="auto"/>
          <w:spacing w:val="0"/>
          <w:sz w:val="24"/>
          <w:szCs w:val="24"/>
          <w:highlight w:val="none"/>
          <w:shd w:val="clear" w:color="auto" w:fill="FFFFFF"/>
        </w:rPr>
        <w:t>元</w:t>
      </w:r>
    </w:p>
    <w:p w14:paraId="37707454">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right="0" w:firstLine="480" w:firstLineChars="200"/>
        <w:jc w:val="both"/>
        <w:textAlignment w:val="auto"/>
        <w:rPr>
          <w:rFonts w:hint="eastAsia" w:ascii="楷体" w:hAnsi="楷体" w:eastAsia="楷体" w:cs="楷体"/>
          <w:color w:val="auto"/>
          <w:sz w:val="24"/>
          <w:szCs w:val="24"/>
          <w:highlight w:val="none"/>
        </w:rPr>
      </w:pPr>
      <w:r>
        <w:rPr>
          <w:rFonts w:hint="eastAsia" w:ascii="楷体" w:hAnsi="楷体" w:eastAsia="楷体" w:cs="楷体"/>
          <w:i w:val="0"/>
          <w:iCs w:val="0"/>
          <w:caps w:val="0"/>
          <w:color w:val="auto"/>
          <w:spacing w:val="0"/>
          <w:sz w:val="24"/>
          <w:szCs w:val="24"/>
          <w:highlight w:val="none"/>
          <w:shd w:val="clear" w:color="auto" w:fill="FFFFFF"/>
        </w:rPr>
        <w:t>合同包最高限价：</w:t>
      </w:r>
      <w:r>
        <w:rPr>
          <w:rFonts w:hint="eastAsia" w:ascii="楷体" w:hAnsi="楷体" w:eastAsia="楷体" w:cs="楷体"/>
          <w:i w:val="0"/>
          <w:iCs w:val="0"/>
          <w:caps w:val="0"/>
          <w:color w:val="auto"/>
          <w:spacing w:val="0"/>
          <w:sz w:val="24"/>
          <w:szCs w:val="24"/>
          <w:highlight w:val="none"/>
          <w:shd w:val="clear" w:color="auto" w:fill="FFFFFF"/>
          <w:lang w:val="en-US" w:eastAsia="zh-CN"/>
        </w:rPr>
        <w:t>300000.00</w:t>
      </w:r>
      <w:r>
        <w:rPr>
          <w:rFonts w:hint="eastAsia" w:ascii="楷体" w:hAnsi="楷体" w:eastAsia="楷体" w:cs="楷体"/>
          <w:i w:val="0"/>
          <w:iCs w:val="0"/>
          <w:caps w:val="0"/>
          <w:color w:val="auto"/>
          <w:spacing w:val="0"/>
          <w:sz w:val="24"/>
          <w:szCs w:val="24"/>
          <w:highlight w:val="none"/>
          <w:shd w:val="clear" w:color="auto" w:fill="FFFFFF"/>
        </w:rPr>
        <w:t>元</w:t>
      </w:r>
    </w:p>
    <w:tbl>
      <w:tblPr>
        <w:tblStyle w:val="17"/>
        <w:tblW w:w="0" w:type="auto"/>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autofit"/>
        <w:tblCellMar>
          <w:top w:w="0" w:type="dxa"/>
          <w:left w:w="0" w:type="dxa"/>
          <w:bottom w:w="0" w:type="dxa"/>
          <w:right w:w="0" w:type="dxa"/>
        </w:tblCellMar>
      </w:tblPr>
      <w:tblGrid>
        <w:gridCol w:w="632"/>
        <w:gridCol w:w="1008"/>
        <w:gridCol w:w="1686"/>
        <w:gridCol w:w="1024"/>
        <w:gridCol w:w="1326"/>
        <w:gridCol w:w="1435"/>
        <w:gridCol w:w="1435"/>
      </w:tblGrid>
      <w:tr w14:paraId="59838EAC">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728" w:hRule="atLeast"/>
          <w:tblHeader/>
        </w:trPr>
        <w:tc>
          <w:tcPr>
            <w:tcW w:w="0" w:type="auto"/>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046E9BEF">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楷体" w:hAnsi="楷体" w:eastAsia="楷体" w:cs="楷体"/>
                <w:b/>
                <w:bCs/>
                <w:color w:val="auto"/>
                <w:sz w:val="24"/>
                <w:szCs w:val="24"/>
                <w:highlight w:val="none"/>
              </w:rPr>
            </w:pPr>
            <w:r>
              <w:rPr>
                <w:rFonts w:hint="eastAsia" w:ascii="楷体" w:hAnsi="楷体" w:eastAsia="楷体" w:cs="楷体"/>
                <w:b/>
                <w:bCs/>
                <w:color w:val="auto"/>
                <w:kern w:val="0"/>
                <w:sz w:val="24"/>
                <w:szCs w:val="24"/>
                <w:highlight w:val="none"/>
                <w:lang w:val="en-US" w:eastAsia="zh-CN" w:bidi="ar"/>
              </w:rPr>
              <w:t>品目号</w:t>
            </w:r>
          </w:p>
        </w:tc>
        <w:tc>
          <w:tcPr>
            <w:tcW w:w="1008"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4E86F8D1">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楷体" w:hAnsi="楷体" w:eastAsia="楷体" w:cs="楷体"/>
                <w:b/>
                <w:bCs/>
                <w:color w:val="auto"/>
                <w:sz w:val="24"/>
                <w:szCs w:val="24"/>
                <w:highlight w:val="none"/>
              </w:rPr>
            </w:pPr>
            <w:r>
              <w:rPr>
                <w:rFonts w:hint="eastAsia" w:ascii="楷体" w:hAnsi="楷体" w:eastAsia="楷体" w:cs="楷体"/>
                <w:b/>
                <w:bCs/>
                <w:color w:val="auto"/>
                <w:kern w:val="0"/>
                <w:sz w:val="24"/>
                <w:szCs w:val="24"/>
                <w:highlight w:val="none"/>
                <w:lang w:val="en-US" w:eastAsia="zh-CN" w:bidi="ar"/>
              </w:rPr>
              <w:t>品目名称</w:t>
            </w:r>
          </w:p>
        </w:tc>
        <w:tc>
          <w:tcPr>
            <w:tcW w:w="1685"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3101C25F">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楷体" w:hAnsi="楷体" w:eastAsia="楷体" w:cs="楷体"/>
                <w:b/>
                <w:bCs/>
                <w:color w:val="auto"/>
                <w:sz w:val="24"/>
                <w:szCs w:val="24"/>
                <w:highlight w:val="none"/>
              </w:rPr>
            </w:pPr>
            <w:r>
              <w:rPr>
                <w:rFonts w:hint="eastAsia" w:ascii="楷体" w:hAnsi="楷体" w:eastAsia="楷体" w:cs="楷体"/>
                <w:b/>
                <w:bCs/>
                <w:color w:val="auto"/>
                <w:kern w:val="0"/>
                <w:sz w:val="24"/>
                <w:szCs w:val="24"/>
                <w:highlight w:val="none"/>
                <w:lang w:val="en-US" w:eastAsia="zh-CN" w:bidi="ar"/>
              </w:rPr>
              <w:t>采购标的</w:t>
            </w:r>
          </w:p>
        </w:tc>
        <w:tc>
          <w:tcPr>
            <w:tcW w:w="0" w:type="auto"/>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6BDA4951">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楷体" w:hAnsi="楷体" w:eastAsia="楷体" w:cs="楷体"/>
                <w:b/>
                <w:bCs/>
                <w:color w:val="auto"/>
                <w:sz w:val="24"/>
                <w:szCs w:val="24"/>
                <w:highlight w:val="none"/>
              </w:rPr>
            </w:pPr>
            <w:r>
              <w:rPr>
                <w:rFonts w:hint="eastAsia" w:ascii="楷体" w:hAnsi="楷体" w:eastAsia="楷体" w:cs="楷体"/>
                <w:b/>
                <w:bCs/>
                <w:color w:val="auto"/>
                <w:kern w:val="0"/>
                <w:sz w:val="24"/>
                <w:szCs w:val="24"/>
                <w:highlight w:val="none"/>
                <w:lang w:val="en-US" w:eastAsia="zh-CN" w:bidi="ar"/>
              </w:rPr>
              <w:t>数量（单位）</w:t>
            </w:r>
          </w:p>
        </w:tc>
        <w:tc>
          <w:tcPr>
            <w:tcW w:w="0" w:type="auto"/>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48DF3F6D">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楷体" w:hAnsi="楷体" w:eastAsia="楷体" w:cs="楷体"/>
                <w:b/>
                <w:bCs/>
                <w:color w:val="auto"/>
                <w:sz w:val="24"/>
                <w:szCs w:val="24"/>
                <w:highlight w:val="none"/>
              </w:rPr>
            </w:pPr>
            <w:r>
              <w:rPr>
                <w:rFonts w:hint="eastAsia" w:ascii="楷体" w:hAnsi="楷体" w:eastAsia="楷体" w:cs="楷体"/>
                <w:b/>
                <w:bCs/>
                <w:color w:val="auto"/>
                <w:kern w:val="0"/>
                <w:sz w:val="24"/>
                <w:szCs w:val="24"/>
                <w:highlight w:val="none"/>
                <w:lang w:val="en-US" w:eastAsia="zh-CN" w:bidi="ar"/>
              </w:rPr>
              <w:t>技术规格、参数及要求</w:t>
            </w:r>
          </w:p>
        </w:tc>
        <w:tc>
          <w:tcPr>
            <w:tcW w:w="0" w:type="auto"/>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71464651">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楷体" w:hAnsi="楷体" w:eastAsia="楷体" w:cs="楷体"/>
                <w:b/>
                <w:bCs/>
                <w:color w:val="auto"/>
                <w:sz w:val="24"/>
                <w:szCs w:val="24"/>
                <w:highlight w:val="none"/>
              </w:rPr>
            </w:pPr>
            <w:r>
              <w:rPr>
                <w:rFonts w:hint="eastAsia" w:ascii="楷体" w:hAnsi="楷体" w:eastAsia="楷体" w:cs="楷体"/>
                <w:b/>
                <w:bCs/>
                <w:color w:val="auto"/>
                <w:kern w:val="0"/>
                <w:sz w:val="24"/>
                <w:szCs w:val="24"/>
                <w:highlight w:val="none"/>
                <w:lang w:val="en-US" w:eastAsia="zh-CN" w:bidi="ar"/>
              </w:rPr>
              <w:t>品目预算(元)</w:t>
            </w:r>
          </w:p>
        </w:tc>
        <w:tc>
          <w:tcPr>
            <w:tcW w:w="0" w:type="auto"/>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6D146DCE">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楷体" w:hAnsi="楷体" w:eastAsia="楷体" w:cs="楷体"/>
                <w:b/>
                <w:bCs/>
                <w:color w:val="auto"/>
                <w:sz w:val="24"/>
                <w:szCs w:val="24"/>
                <w:highlight w:val="none"/>
              </w:rPr>
            </w:pPr>
            <w:r>
              <w:rPr>
                <w:rFonts w:hint="eastAsia" w:ascii="楷体" w:hAnsi="楷体" w:eastAsia="楷体" w:cs="楷体"/>
                <w:b/>
                <w:bCs/>
                <w:color w:val="auto"/>
                <w:kern w:val="0"/>
                <w:sz w:val="24"/>
                <w:szCs w:val="24"/>
                <w:highlight w:val="none"/>
                <w:lang w:val="en-US" w:eastAsia="zh-CN" w:bidi="ar"/>
              </w:rPr>
              <w:t>最高限价(元)</w:t>
            </w:r>
          </w:p>
        </w:tc>
      </w:tr>
      <w:tr w14:paraId="7E4000DE">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480" w:hRule="atLeast"/>
        </w:trPr>
        <w:tc>
          <w:tcPr>
            <w:tcW w:w="0" w:type="auto"/>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2007E025">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楷体" w:hAnsi="楷体" w:eastAsia="楷体" w:cs="楷体"/>
                <w:color w:val="auto"/>
                <w:sz w:val="24"/>
                <w:szCs w:val="24"/>
                <w:highlight w:val="none"/>
              </w:rPr>
            </w:pPr>
            <w:r>
              <w:rPr>
                <w:rFonts w:hint="eastAsia" w:ascii="楷体" w:hAnsi="楷体" w:eastAsia="楷体" w:cs="楷体"/>
                <w:color w:val="auto"/>
                <w:kern w:val="0"/>
                <w:sz w:val="24"/>
                <w:szCs w:val="24"/>
                <w:highlight w:val="none"/>
                <w:lang w:val="en-US" w:eastAsia="zh-CN" w:bidi="ar"/>
              </w:rPr>
              <w:t>1-1</w:t>
            </w:r>
          </w:p>
        </w:tc>
        <w:tc>
          <w:tcPr>
            <w:tcW w:w="1008"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1B824B0B">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楷体" w:hAnsi="楷体" w:eastAsia="楷体" w:cs="楷体"/>
                <w:color w:val="auto"/>
                <w:sz w:val="24"/>
                <w:szCs w:val="24"/>
                <w:highlight w:val="none"/>
              </w:rPr>
            </w:pPr>
            <w:r>
              <w:rPr>
                <w:rFonts w:hint="eastAsia" w:ascii="楷体" w:hAnsi="楷体" w:eastAsia="楷体" w:cs="楷体"/>
                <w:color w:val="auto"/>
                <w:kern w:val="0"/>
                <w:sz w:val="24"/>
                <w:szCs w:val="24"/>
                <w:highlight w:val="none"/>
                <w:lang w:val="en-US" w:eastAsia="zh-CN" w:bidi="ar"/>
              </w:rPr>
              <w:t>技术测试和分析服务</w:t>
            </w:r>
          </w:p>
        </w:tc>
        <w:tc>
          <w:tcPr>
            <w:tcW w:w="1685"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22D2EE13">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楷体" w:hAnsi="楷体" w:eastAsia="楷体" w:cs="楷体"/>
                <w:color w:val="auto"/>
                <w:sz w:val="24"/>
                <w:szCs w:val="24"/>
                <w:highlight w:val="none"/>
              </w:rPr>
            </w:pPr>
            <w:r>
              <w:rPr>
                <w:rFonts w:hint="eastAsia" w:ascii="楷体" w:hAnsi="楷体" w:eastAsia="楷体" w:cs="楷体"/>
                <w:color w:val="auto"/>
                <w:kern w:val="0"/>
                <w:sz w:val="24"/>
                <w:szCs w:val="24"/>
                <w:highlight w:val="none"/>
                <w:lang w:val="en-US" w:eastAsia="zh-CN" w:bidi="ar"/>
              </w:rPr>
              <w:t>生态环境和安全相关产品质量监督抽查项目（车用成品油快速筛查）</w:t>
            </w:r>
          </w:p>
        </w:tc>
        <w:tc>
          <w:tcPr>
            <w:tcW w:w="0" w:type="auto"/>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061960E3">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楷体" w:hAnsi="楷体" w:eastAsia="楷体" w:cs="楷体"/>
                <w:color w:val="auto"/>
                <w:sz w:val="24"/>
                <w:szCs w:val="24"/>
                <w:highlight w:val="none"/>
              </w:rPr>
            </w:pPr>
            <w:r>
              <w:rPr>
                <w:rFonts w:hint="eastAsia" w:ascii="楷体" w:hAnsi="楷体" w:eastAsia="楷体" w:cs="楷体"/>
                <w:color w:val="auto"/>
                <w:kern w:val="0"/>
                <w:sz w:val="24"/>
                <w:szCs w:val="24"/>
                <w:highlight w:val="none"/>
                <w:lang w:val="en-US" w:eastAsia="zh-CN" w:bidi="ar"/>
              </w:rPr>
              <w:t>1(项)</w:t>
            </w:r>
          </w:p>
        </w:tc>
        <w:tc>
          <w:tcPr>
            <w:tcW w:w="0" w:type="auto"/>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1FA08F7B">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楷体" w:hAnsi="楷体" w:eastAsia="楷体" w:cs="楷体"/>
                <w:color w:val="auto"/>
                <w:sz w:val="24"/>
                <w:szCs w:val="24"/>
                <w:highlight w:val="none"/>
              </w:rPr>
            </w:pPr>
            <w:r>
              <w:rPr>
                <w:rFonts w:hint="eastAsia" w:ascii="楷体" w:hAnsi="楷体" w:eastAsia="楷体" w:cs="楷体"/>
                <w:color w:val="auto"/>
                <w:kern w:val="0"/>
                <w:sz w:val="24"/>
                <w:szCs w:val="24"/>
                <w:highlight w:val="none"/>
                <w:lang w:val="en-US" w:eastAsia="zh-CN" w:bidi="ar"/>
              </w:rPr>
              <w:t>详见采购文件</w:t>
            </w:r>
          </w:p>
        </w:tc>
        <w:tc>
          <w:tcPr>
            <w:tcW w:w="0" w:type="auto"/>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383C2E8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right"/>
              <w:textAlignment w:val="auto"/>
              <w:rPr>
                <w:rFonts w:hint="default" w:ascii="楷体" w:hAnsi="楷体" w:eastAsia="楷体" w:cs="楷体"/>
                <w:color w:val="auto"/>
                <w:sz w:val="24"/>
                <w:szCs w:val="24"/>
                <w:highlight w:val="none"/>
                <w:lang w:val="en-US" w:eastAsia="zh-CN"/>
              </w:rPr>
            </w:pPr>
            <w:r>
              <w:rPr>
                <w:rFonts w:hint="eastAsia" w:ascii="楷体" w:hAnsi="楷体" w:eastAsia="楷体" w:cs="楷体"/>
                <w:color w:val="auto"/>
                <w:sz w:val="24"/>
                <w:szCs w:val="24"/>
                <w:highlight w:val="none"/>
                <w:lang w:val="en-US" w:eastAsia="zh-CN"/>
              </w:rPr>
              <w:t>300000.00</w:t>
            </w:r>
          </w:p>
        </w:tc>
        <w:tc>
          <w:tcPr>
            <w:tcW w:w="0" w:type="auto"/>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423D00C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right"/>
              <w:textAlignment w:val="auto"/>
              <w:rPr>
                <w:rFonts w:hint="default" w:ascii="楷体" w:hAnsi="楷体" w:eastAsia="楷体" w:cs="楷体"/>
                <w:color w:val="auto"/>
                <w:sz w:val="24"/>
                <w:szCs w:val="24"/>
                <w:highlight w:val="none"/>
                <w:lang w:val="en-US" w:eastAsia="zh-CN"/>
              </w:rPr>
            </w:pPr>
            <w:r>
              <w:rPr>
                <w:rFonts w:hint="eastAsia" w:ascii="楷体" w:hAnsi="楷体" w:eastAsia="楷体" w:cs="楷体"/>
                <w:color w:val="auto"/>
                <w:sz w:val="24"/>
                <w:szCs w:val="24"/>
                <w:highlight w:val="none"/>
                <w:lang w:val="en-US" w:eastAsia="zh-CN"/>
              </w:rPr>
              <w:t>300000.00</w:t>
            </w:r>
          </w:p>
        </w:tc>
      </w:tr>
    </w:tbl>
    <w:p w14:paraId="48349CC5">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630"/>
        <w:jc w:val="both"/>
        <w:textAlignment w:val="auto"/>
        <w:rPr>
          <w:rFonts w:hint="eastAsia" w:ascii="楷体" w:hAnsi="楷体" w:eastAsia="楷体" w:cs="楷体"/>
          <w:i w:val="0"/>
          <w:iCs w:val="0"/>
          <w:caps w:val="0"/>
          <w:color w:val="auto"/>
          <w:spacing w:val="0"/>
          <w:sz w:val="24"/>
          <w:szCs w:val="24"/>
          <w:highlight w:val="none"/>
          <w:shd w:val="clear" w:color="auto" w:fill="FFFFFF"/>
        </w:rPr>
      </w:pPr>
      <w:r>
        <w:rPr>
          <w:rFonts w:hint="eastAsia" w:ascii="楷体" w:hAnsi="楷体" w:eastAsia="楷体" w:cs="楷体"/>
          <w:i w:val="0"/>
          <w:iCs w:val="0"/>
          <w:caps w:val="0"/>
          <w:color w:val="auto"/>
          <w:spacing w:val="0"/>
          <w:sz w:val="24"/>
          <w:szCs w:val="24"/>
          <w:highlight w:val="none"/>
          <w:shd w:val="clear" w:color="auto" w:fill="FFFFFF"/>
        </w:rPr>
        <w:t>本合同包不接受联合体投标</w:t>
      </w:r>
    </w:p>
    <w:p w14:paraId="20AAC13F">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630"/>
        <w:jc w:val="both"/>
        <w:textAlignment w:val="auto"/>
        <w:rPr>
          <w:rFonts w:hint="eastAsia" w:ascii="楷体" w:hAnsi="楷体" w:eastAsia="楷体" w:cs="楷体"/>
          <w:i w:val="0"/>
          <w:iCs w:val="0"/>
          <w:caps w:val="0"/>
          <w:color w:val="auto"/>
          <w:spacing w:val="0"/>
          <w:sz w:val="24"/>
          <w:szCs w:val="24"/>
          <w:highlight w:val="none"/>
          <w:shd w:val="clear" w:color="auto" w:fill="FFFFFF"/>
        </w:rPr>
      </w:pPr>
      <w:r>
        <w:rPr>
          <w:rFonts w:hint="eastAsia" w:ascii="楷体" w:hAnsi="楷体" w:eastAsia="楷体" w:cs="楷体"/>
          <w:i w:val="0"/>
          <w:iCs w:val="0"/>
          <w:caps w:val="0"/>
          <w:color w:val="auto"/>
          <w:spacing w:val="0"/>
          <w:sz w:val="24"/>
          <w:szCs w:val="24"/>
          <w:highlight w:val="none"/>
          <w:shd w:val="clear" w:color="auto" w:fill="FFFFFF"/>
        </w:rPr>
        <w:t>合同履行期限：自合同签订之日起至12月底，分批次完成质量监督抽查。</w:t>
      </w:r>
    </w:p>
    <w:p w14:paraId="04E5C0E2">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overflowPunct/>
        <w:topLinePunct w:val="0"/>
        <w:autoSpaceDE/>
        <w:autoSpaceDN/>
        <w:bidi w:val="0"/>
        <w:adjustRightInd/>
        <w:snapToGrid/>
        <w:spacing w:before="0" w:beforeAutospacing="0" w:after="0" w:afterAutospacing="0" w:line="360" w:lineRule="auto"/>
        <w:ind w:right="0" w:firstLine="480" w:firstLineChars="200"/>
        <w:jc w:val="both"/>
        <w:textAlignment w:val="auto"/>
        <w:rPr>
          <w:rFonts w:hint="eastAsia" w:ascii="楷体" w:hAnsi="楷体" w:eastAsia="楷体" w:cs="楷体"/>
          <w:i w:val="0"/>
          <w:iCs w:val="0"/>
          <w:caps w:val="0"/>
          <w:color w:val="auto"/>
          <w:spacing w:val="0"/>
          <w:sz w:val="24"/>
          <w:szCs w:val="24"/>
          <w:highlight w:val="none"/>
        </w:rPr>
      </w:pPr>
      <w:r>
        <w:rPr>
          <w:rFonts w:hint="eastAsia" w:ascii="楷体" w:hAnsi="楷体" w:eastAsia="楷体" w:cs="楷体"/>
          <w:i w:val="0"/>
          <w:iCs w:val="0"/>
          <w:caps w:val="0"/>
          <w:color w:val="auto"/>
          <w:spacing w:val="0"/>
          <w:sz w:val="24"/>
          <w:szCs w:val="24"/>
          <w:highlight w:val="none"/>
          <w:shd w:val="clear" w:color="auto" w:fill="FFFFFF"/>
        </w:rPr>
        <w:t>采购需求：</w:t>
      </w:r>
    </w:p>
    <w:p w14:paraId="38D7B3CE">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楷体" w:hAnsi="楷体" w:eastAsia="楷体" w:cs="楷体"/>
          <w:i w:val="0"/>
          <w:iCs w:val="0"/>
          <w:caps w:val="0"/>
          <w:color w:val="auto"/>
          <w:spacing w:val="0"/>
          <w:sz w:val="24"/>
          <w:szCs w:val="24"/>
          <w:highlight w:val="none"/>
          <w:shd w:val="clear" w:color="auto" w:fill="FFFFFF"/>
        </w:rPr>
      </w:pPr>
      <w:r>
        <w:rPr>
          <w:rFonts w:hint="eastAsia" w:ascii="楷体" w:hAnsi="楷体" w:eastAsia="楷体" w:cs="楷体"/>
          <w:i w:val="0"/>
          <w:iCs w:val="0"/>
          <w:caps w:val="0"/>
          <w:color w:val="auto"/>
          <w:spacing w:val="0"/>
          <w:sz w:val="24"/>
          <w:szCs w:val="24"/>
          <w:highlight w:val="none"/>
          <w:shd w:val="clear" w:color="auto" w:fill="FFFFFF"/>
        </w:rPr>
        <w:t>合同包</w:t>
      </w:r>
      <w:r>
        <w:rPr>
          <w:rFonts w:hint="eastAsia" w:ascii="楷体" w:hAnsi="楷体" w:eastAsia="楷体" w:cs="楷体"/>
          <w:i w:val="0"/>
          <w:iCs w:val="0"/>
          <w:caps w:val="0"/>
          <w:color w:val="auto"/>
          <w:spacing w:val="0"/>
          <w:sz w:val="24"/>
          <w:szCs w:val="24"/>
          <w:highlight w:val="none"/>
          <w:shd w:val="clear" w:color="auto" w:fill="FFFFFF"/>
          <w:lang w:val="en-US" w:eastAsia="zh-CN"/>
        </w:rPr>
        <w:t>2</w:t>
      </w:r>
      <w:r>
        <w:rPr>
          <w:rFonts w:hint="eastAsia" w:ascii="楷体" w:hAnsi="楷体" w:eastAsia="楷体" w:cs="楷体"/>
          <w:i w:val="0"/>
          <w:iCs w:val="0"/>
          <w:caps w:val="0"/>
          <w:color w:val="auto"/>
          <w:spacing w:val="0"/>
          <w:sz w:val="24"/>
          <w:szCs w:val="24"/>
          <w:highlight w:val="none"/>
          <w:shd w:val="clear" w:color="auto" w:fill="FFFFFF"/>
        </w:rPr>
        <w:t>(挥发性有机物):</w:t>
      </w:r>
    </w:p>
    <w:p w14:paraId="05A5433A">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630"/>
        <w:jc w:val="both"/>
        <w:textAlignment w:val="auto"/>
        <w:rPr>
          <w:rFonts w:hint="eastAsia" w:ascii="楷体" w:hAnsi="楷体" w:eastAsia="楷体" w:cs="楷体"/>
          <w:color w:val="auto"/>
          <w:sz w:val="24"/>
          <w:szCs w:val="24"/>
          <w:highlight w:val="none"/>
        </w:rPr>
      </w:pPr>
      <w:r>
        <w:rPr>
          <w:rFonts w:hint="eastAsia" w:ascii="楷体" w:hAnsi="楷体" w:eastAsia="楷体" w:cs="楷体"/>
          <w:i w:val="0"/>
          <w:iCs w:val="0"/>
          <w:caps w:val="0"/>
          <w:color w:val="auto"/>
          <w:spacing w:val="0"/>
          <w:sz w:val="24"/>
          <w:szCs w:val="24"/>
          <w:highlight w:val="none"/>
          <w:shd w:val="clear" w:color="auto" w:fill="FFFFFF"/>
        </w:rPr>
        <w:t>合同包预算金额：</w:t>
      </w:r>
      <w:r>
        <w:rPr>
          <w:rFonts w:hint="eastAsia" w:ascii="楷体" w:hAnsi="楷体" w:eastAsia="楷体" w:cs="楷体"/>
          <w:i w:val="0"/>
          <w:iCs w:val="0"/>
          <w:caps w:val="0"/>
          <w:color w:val="auto"/>
          <w:spacing w:val="0"/>
          <w:sz w:val="24"/>
          <w:szCs w:val="24"/>
          <w:highlight w:val="none"/>
          <w:shd w:val="clear" w:color="auto" w:fill="FFFFFF"/>
          <w:lang w:val="en-US" w:eastAsia="zh-CN"/>
        </w:rPr>
        <w:t>200000.00</w:t>
      </w:r>
      <w:r>
        <w:rPr>
          <w:rFonts w:hint="eastAsia" w:ascii="楷体" w:hAnsi="楷体" w:eastAsia="楷体" w:cs="楷体"/>
          <w:i w:val="0"/>
          <w:iCs w:val="0"/>
          <w:caps w:val="0"/>
          <w:color w:val="auto"/>
          <w:spacing w:val="0"/>
          <w:sz w:val="24"/>
          <w:szCs w:val="24"/>
          <w:highlight w:val="none"/>
          <w:shd w:val="clear" w:color="auto" w:fill="FFFFFF"/>
        </w:rPr>
        <w:t>元</w:t>
      </w:r>
    </w:p>
    <w:p w14:paraId="30978563">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630"/>
        <w:jc w:val="both"/>
        <w:textAlignment w:val="auto"/>
        <w:rPr>
          <w:rFonts w:hint="eastAsia" w:ascii="楷体" w:hAnsi="楷体" w:eastAsia="楷体" w:cs="楷体"/>
          <w:color w:val="auto"/>
          <w:sz w:val="24"/>
          <w:szCs w:val="24"/>
          <w:highlight w:val="none"/>
        </w:rPr>
      </w:pPr>
      <w:r>
        <w:rPr>
          <w:rFonts w:hint="eastAsia" w:ascii="楷体" w:hAnsi="楷体" w:eastAsia="楷体" w:cs="楷体"/>
          <w:i w:val="0"/>
          <w:iCs w:val="0"/>
          <w:caps w:val="0"/>
          <w:color w:val="auto"/>
          <w:spacing w:val="0"/>
          <w:sz w:val="24"/>
          <w:szCs w:val="24"/>
          <w:highlight w:val="none"/>
          <w:shd w:val="clear" w:color="auto" w:fill="FFFFFF"/>
        </w:rPr>
        <w:t>合同包最高限价：</w:t>
      </w:r>
      <w:r>
        <w:rPr>
          <w:rFonts w:hint="eastAsia" w:ascii="楷体" w:hAnsi="楷体" w:eastAsia="楷体" w:cs="楷体"/>
          <w:i w:val="0"/>
          <w:iCs w:val="0"/>
          <w:caps w:val="0"/>
          <w:color w:val="auto"/>
          <w:spacing w:val="0"/>
          <w:sz w:val="24"/>
          <w:szCs w:val="24"/>
          <w:highlight w:val="none"/>
          <w:shd w:val="clear" w:color="auto" w:fill="FFFFFF"/>
          <w:lang w:val="en-US" w:eastAsia="zh-CN"/>
        </w:rPr>
        <w:t>200000.00</w:t>
      </w:r>
      <w:r>
        <w:rPr>
          <w:rFonts w:hint="eastAsia" w:ascii="楷体" w:hAnsi="楷体" w:eastAsia="楷体" w:cs="楷体"/>
          <w:i w:val="0"/>
          <w:iCs w:val="0"/>
          <w:caps w:val="0"/>
          <w:color w:val="auto"/>
          <w:spacing w:val="0"/>
          <w:sz w:val="24"/>
          <w:szCs w:val="24"/>
          <w:highlight w:val="none"/>
          <w:shd w:val="clear" w:color="auto" w:fill="FFFFFF"/>
        </w:rPr>
        <w:t>元</w:t>
      </w:r>
    </w:p>
    <w:tbl>
      <w:tblPr>
        <w:tblStyle w:val="17"/>
        <w:tblW w:w="0" w:type="auto"/>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autofit"/>
        <w:tblCellMar>
          <w:top w:w="0" w:type="dxa"/>
          <w:left w:w="0" w:type="dxa"/>
          <w:bottom w:w="0" w:type="dxa"/>
          <w:right w:w="0" w:type="dxa"/>
        </w:tblCellMar>
      </w:tblPr>
      <w:tblGrid>
        <w:gridCol w:w="632"/>
        <w:gridCol w:w="1008"/>
        <w:gridCol w:w="1686"/>
        <w:gridCol w:w="1024"/>
        <w:gridCol w:w="1326"/>
        <w:gridCol w:w="1435"/>
        <w:gridCol w:w="1435"/>
      </w:tblGrid>
      <w:tr w14:paraId="0DB57CB8">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728" w:hRule="atLeast"/>
          <w:tblHeader/>
        </w:trPr>
        <w:tc>
          <w:tcPr>
            <w:tcW w:w="0" w:type="auto"/>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57ABC4C7">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楷体" w:hAnsi="楷体" w:eastAsia="楷体" w:cs="楷体"/>
                <w:b/>
                <w:bCs/>
                <w:color w:val="auto"/>
                <w:sz w:val="24"/>
                <w:szCs w:val="24"/>
                <w:highlight w:val="none"/>
              </w:rPr>
            </w:pPr>
            <w:r>
              <w:rPr>
                <w:rFonts w:hint="eastAsia" w:ascii="楷体" w:hAnsi="楷体" w:eastAsia="楷体" w:cs="楷体"/>
                <w:b/>
                <w:bCs/>
                <w:color w:val="auto"/>
                <w:kern w:val="0"/>
                <w:sz w:val="24"/>
                <w:szCs w:val="24"/>
                <w:highlight w:val="none"/>
                <w:lang w:val="en-US" w:eastAsia="zh-CN" w:bidi="ar"/>
              </w:rPr>
              <w:t>品目号</w:t>
            </w:r>
          </w:p>
        </w:tc>
        <w:tc>
          <w:tcPr>
            <w:tcW w:w="1008"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5E0E1898">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楷体" w:hAnsi="楷体" w:eastAsia="楷体" w:cs="楷体"/>
                <w:b/>
                <w:bCs/>
                <w:color w:val="auto"/>
                <w:sz w:val="24"/>
                <w:szCs w:val="24"/>
                <w:highlight w:val="none"/>
              </w:rPr>
            </w:pPr>
            <w:r>
              <w:rPr>
                <w:rFonts w:hint="eastAsia" w:ascii="楷体" w:hAnsi="楷体" w:eastAsia="楷体" w:cs="楷体"/>
                <w:b/>
                <w:bCs/>
                <w:color w:val="auto"/>
                <w:kern w:val="0"/>
                <w:sz w:val="24"/>
                <w:szCs w:val="24"/>
                <w:highlight w:val="none"/>
                <w:lang w:val="en-US" w:eastAsia="zh-CN" w:bidi="ar"/>
              </w:rPr>
              <w:t>品目名称</w:t>
            </w:r>
          </w:p>
        </w:tc>
        <w:tc>
          <w:tcPr>
            <w:tcW w:w="1685"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5827F267">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楷体" w:hAnsi="楷体" w:eastAsia="楷体" w:cs="楷体"/>
                <w:b/>
                <w:bCs/>
                <w:color w:val="auto"/>
                <w:sz w:val="24"/>
                <w:szCs w:val="24"/>
                <w:highlight w:val="none"/>
              </w:rPr>
            </w:pPr>
            <w:r>
              <w:rPr>
                <w:rFonts w:hint="eastAsia" w:ascii="楷体" w:hAnsi="楷体" w:eastAsia="楷体" w:cs="楷体"/>
                <w:b/>
                <w:bCs/>
                <w:color w:val="auto"/>
                <w:kern w:val="0"/>
                <w:sz w:val="24"/>
                <w:szCs w:val="24"/>
                <w:highlight w:val="none"/>
                <w:lang w:val="en-US" w:eastAsia="zh-CN" w:bidi="ar"/>
              </w:rPr>
              <w:t>采购标的</w:t>
            </w:r>
          </w:p>
        </w:tc>
        <w:tc>
          <w:tcPr>
            <w:tcW w:w="0" w:type="auto"/>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6E6E638F">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楷体" w:hAnsi="楷体" w:eastAsia="楷体" w:cs="楷体"/>
                <w:b/>
                <w:bCs/>
                <w:color w:val="auto"/>
                <w:sz w:val="24"/>
                <w:szCs w:val="24"/>
                <w:highlight w:val="none"/>
              </w:rPr>
            </w:pPr>
            <w:r>
              <w:rPr>
                <w:rFonts w:hint="eastAsia" w:ascii="楷体" w:hAnsi="楷体" w:eastAsia="楷体" w:cs="楷体"/>
                <w:b/>
                <w:bCs/>
                <w:color w:val="auto"/>
                <w:kern w:val="0"/>
                <w:sz w:val="24"/>
                <w:szCs w:val="24"/>
                <w:highlight w:val="none"/>
                <w:lang w:val="en-US" w:eastAsia="zh-CN" w:bidi="ar"/>
              </w:rPr>
              <w:t>数量（单位）</w:t>
            </w:r>
          </w:p>
        </w:tc>
        <w:tc>
          <w:tcPr>
            <w:tcW w:w="0" w:type="auto"/>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47566460">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楷体" w:hAnsi="楷体" w:eastAsia="楷体" w:cs="楷体"/>
                <w:b/>
                <w:bCs/>
                <w:color w:val="auto"/>
                <w:sz w:val="24"/>
                <w:szCs w:val="24"/>
                <w:highlight w:val="none"/>
              </w:rPr>
            </w:pPr>
            <w:r>
              <w:rPr>
                <w:rFonts w:hint="eastAsia" w:ascii="楷体" w:hAnsi="楷体" w:eastAsia="楷体" w:cs="楷体"/>
                <w:b/>
                <w:bCs/>
                <w:color w:val="auto"/>
                <w:kern w:val="0"/>
                <w:sz w:val="24"/>
                <w:szCs w:val="24"/>
                <w:highlight w:val="none"/>
                <w:lang w:val="en-US" w:eastAsia="zh-CN" w:bidi="ar"/>
              </w:rPr>
              <w:t>技术规格、参数及要求</w:t>
            </w:r>
          </w:p>
        </w:tc>
        <w:tc>
          <w:tcPr>
            <w:tcW w:w="0" w:type="auto"/>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197C92AD">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楷体" w:hAnsi="楷体" w:eastAsia="楷体" w:cs="楷体"/>
                <w:b/>
                <w:bCs/>
                <w:color w:val="auto"/>
                <w:sz w:val="24"/>
                <w:szCs w:val="24"/>
                <w:highlight w:val="none"/>
              </w:rPr>
            </w:pPr>
            <w:r>
              <w:rPr>
                <w:rFonts w:hint="eastAsia" w:ascii="楷体" w:hAnsi="楷体" w:eastAsia="楷体" w:cs="楷体"/>
                <w:b/>
                <w:bCs/>
                <w:color w:val="auto"/>
                <w:kern w:val="0"/>
                <w:sz w:val="24"/>
                <w:szCs w:val="24"/>
                <w:highlight w:val="none"/>
                <w:lang w:val="en-US" w:eastAsia="zh-CN" w:bidi="ar"/>
              </w:rPr>
              <w:t>品目预算(元)</w:t>
            </w:r>
          </w:p>
        </w:tc>
        <w:tc>
          <w:tcPr>
            <w:tcW w:w="0" w:type="auto"/>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39255E92">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楷体" w:hAnsi="楷体" w:eastAsia="楷体" w:cs="楷体"/>
                <w:b/>
                <w:bCs/>
                <w:color w:val="auto"/>
                <w:sz w:val="24"/>
                <w:szCs w:val="24"/>
                <w:highlight w:val="none"/>
              </w:rPr>
            </w:pPr>
            <w:r>
              <w:rPr>
                <w:rFonts w:hint="eastAsia" w:ascii="楷体" w:hAnsi="楷体" w:eastAsia="楷体" w:cs="楷体"/>
                <w:b/>
                <w:bCs/>
                <w:color w:val="auto"/>
                <w:kern w:val="0"/>
                <w:sz w:val="24"/>
                <w:szCs w:val="24"/>
                <w:highlight w:val="none"/>
                <w:lang w:val="en-US" w:eastAsia="zh-CN" w:bidi="ar"/>
              </w:rPr>
              <w:t>最高限价(元)</w:t>
            </w:r>
          </w:p>
        </w:tc>
      </w:tr>
      <w:tr w14:paraId="4E14A835">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480" w:hRule="atLeast"/>
        </w:trPr>
        <w:tc>
          <w:tcPr>
            <w:tcW w:w="0" w:type="auto"/>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3E89B06B">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楷体" w:hAnsi="楷体" w:eastAsia="楷体" w:cs="楷体"/>
                <w:color w:val="auto"/>
                <w:sz w:val="24"/>
                <w:szCs w:val="24"/>
                <w:highlight w:val="none"/>
              </w:rPr>
            </w:pPr>
            <w:r>
              <w:rPr>
                <w:rFonts w:hint="eastAsia" w:ascii="楷体" w:hAnsi="楷体" w:eastAsia="楷体" w:cs="楷体"/>
                <w:color w:val="auto"/>
                <w:kern w:val="0"/>
                <w:sz w:val="24"/>
                <w:szCs w:val="24"/>
                <w:highlight w:val="none"/>
                <w:lang w:val="en-US" w:eastAsia="zh-CN" w:bidi="ar"/>
              </w:rPr>
              <w:t>2-1</w:t>
            </w:r>
          </w:p>
        </w:tc>
        <w:tc>
          <w:tcPr>
            <w:tcW w:w="1008"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6B956547">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楷体" w:hAnsi="楷体" w:eastAsia="楷体" w:cs="楷体"/>
                <w:color w:val="auto"/>
                <w:sz w:val="24"/>
                <w:szCs w:val="24"/>
                <w:highlight w:val="none"/>
              </w:rPr>
            </w:pPr>
            <w:r>
              <w:rPr>
                <w:rFonts w:hint="eastAsia" w:ascii="楷体" w:hAnsi="楷体" w:eastAsia="楷体" w:cs="楷体"/>
                <w:color w:val="auto"/>
                <w:kern w:val="0"/>
                <w:sz w:val="24"/>
                <w:szCs w:val="24"/>
                <w:highlight w:val="none"/>
                <w:lang w:val="en-US" w:eastAsia="zh-CN" w:bidi="ar"/>
              </w:rPr>
              <w:t>技术测试和分析服务</w:t>
            </w:r>
          </w:p>
        </w:tc>
        <w:tc>
          <w:tcPr>
            <w:tcW w:w="1685"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5835E357">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楷体" w:hAnsi="楷体" w:eastAsia="楷体" w:cs="楷体"/>
                <w:color w:val="auto"/>
                <w:sz w:val="24"/>
                <w:szCs w:val="24"/>
                <w:highlight w:val="none"/>
              </w:rPr>
            </w:pPr>
            <w:r>
              <w:rPr>
                <w:rFonts w:hint="eastAsia" w:ascii="楷体" w:hAnsi="楷体" w:eastAsia="楷体" w:cs="楷体"/>
                <w:color w:val="auto"/>
                <w:kern w:val="0"/>
                <w:sz w:val="24"/>
                <w:szCs w:val="24"/>
                <w:highlight w:val="none"/>
                <w:lang w:val="en-US" w:eastAsia="zh-CN" w:bidi="ar"/>
              </w:rPr>
              <w:t>生态环境和安全相关产品质量监督抽查项目（</w:t>
            </w:r>
            <w:r>
              <w:rPr>
                <w:rFonts w:hint="eastAsia" w:ascii="楷体" w:hAnsi="楷体" w:eastAsia="楷体" w:cs="楷体"/>
                <w:i w:val="0"/>
                <w:iCs w:val="0"/>
                <w:caps w:val="0"/>
                <w:color w:val="auto"/>
                <w:spacing w:val="0"/>
                <w:sz w:val="24"/>
                <w:szCs w:val="24"/>
                <w:highlight w:val="none"/>
                <w:shd w:val="clear" w:color="auto" w:fill="FFFFFF"/>
              </w:rPr>
              <w:t>挥发性有机物</w:t>
            </w:r>
            <w:r>
              <w:rPr>
                <w:rFonts w:hint="eastAsia" w:ascii="楷体" w:hAnsi="楷体" w:eastAsia="楷体" w:cs="楷体"/>
                <w:color w:val="auto"/>
                <w:kern w:val="0"/>
                <w:sz w:val="24"/>
                <w:szCs w:val="24"/>
                <w:highlight w:val="none"/>
                <w:lang w:val="en-US" w:eastAsia="zh-CN" w:bidi="ar"/>
              </w:rPr>
              <w:t>）</w:t>
            </w:r>
          </w:p>
        </w:tc>
        <w:tc>
          <w:tcPr>
            <w:tcW w:w="0" w:type="auto"/>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297B58F2">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楷体" w:hAnsi="楷体" w:eastAsia="楷体" w:cs="楷体"/>
                <w:color w:val="auto"/>
                <w:sz w:val="24"/>
                <w:szCs w:val="24"/>
                <w:highlight w:val="none"/>
              </w:rPr>
            </w:pPr>
            <w:r>
              <w:rPr>
                <w:rFonts w:hint="eastAsia" w:ascii="楷体" w:hAnsi="楷体" w:eastAsia="楷体" w:cs="楷体"/>
                <w:color w:val="auto"/>
                <w:kern w:val="0"/>
                <w:sz w:val="24"/>
                <w:szCs w:val="24"/>
                <w:highlight w:val="none"/>
                <w:lang w:val="en-US" w:eastAsia="zh-CN" w:bidi="ar"/>
              </w:rPr>
              <w:t>1(项)</w:t>
            </w:r>
          </w:p>
        </w:tc>
        <w:tc>
          <w:tcPr>
            <w:tcW w:w="0" w:type="auto"/>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236A964D">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楷体" w:hAnsi="楷体" w:eastAsia="楷体" w:cs="楷体"/>
                <w:color w:val="auto"/>
                <w:sz w:val="24"/>
                <w:szCs w:val="24"/>
                <w:highlight w:val="none"/>
              </w:rPr>
            </w:pPr>
            <w:r>
              <w:rPr>
                <w:rFonts w:hint="eastAsia" w:ascii="楷体" w:hAnsi="楷体" w:eastAsia="楷体" w:cs="楷体"/>
                <w:color w:val="auto"/>
                <w:kern w:val="0"/>
                <w:sz w:val="24"/>
                <w:szCs w:val="24"/>
                <w:highlight w:val="none"/>
                <w:lang w:val="en-US" w:eastAsia="zh-CN" w:bidi="ar"/>
              </w:rPr>
              <w:t>详见采购文件</w:t>
            </w:r>
          </w:p>
        </w:tc>
        <w:tc>
          <w:tcPr>
            <w:tcW w:w="0" w:type="auto"/>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37CD9FA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right"/>
              <w:textAlignment w:val="auto"/>
              <w:rPr>
                <w:rFonts w:hint="default" w:ascii="楷体" w:hAnsi="楷体" w:eastAsia="楷体" w:cs="楷体"/>
                <w:color w:val="auto"/>
                <w:sz w:val="24"/>
                <w:szCs w:val="24"/>
                <w:highlight w:val="none"/>
                <w:lang w:val="en-US" w:eastAsia="zh-CN"/>
              </w:rPr>
            </w:pPr>
            <w:r>
              <w:rPr>
                <w:rFonts w:hint="eastAsia" w:ascii="楷体" w:hAnsi="楷体" w:eastAsia="楷体" w:cs="楷体"/>
                <w:color w:val="auto"/>
                <w:sz w:val="24"/>
                <w:szCs w:val="24"/>
                <w:highlight w:val="none"/>
                <w:lang w:val="en-US" w:eastAsia="zh-CN"/>
              </w:rPr>
              <w:t>200000.00</w:t>
            </w:r>
          </w:p>
        </w:tc>
        <w:tc>
          <w:tcPr>
            <w:tcW w:w="0" w:type="auto"/>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6060910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right"/>
              <w:textAlignment w:val="auto"/>
              <w:rPr>
                <w:rFonts w:hint="default" w:ascii="楷体" w:hAnsi="楷体" w:eastAsia="楷体" w:cs="楷体"/>
                <w:color w:val="auto"/>
                <w:sz w:val="24"/>
                <w:szCs w:val="24"/>
                <w:highlight w:val="none"/>
                <w:lang w:val="en-US" w:eastAsia="zh-CN"/>
              </w:rPr>
            </w:pPr>
            <w:r>
              <w:rPr>
                <w:rFonts w:hint="eastAsia" w:ascii="楷体" w:hAnsi="楷体" w:eastAsia="楷体" w:cs="楷体"/>
                <w:color w:val="auto"/>
                <w:sz w:val="24"/>
                <w:szCs w:val="24"/>
                <w:highlight w:val="none"/>
                <w:lang w:val="en-US" w:eastAsia="zh-CN"/>
              </w:rPr>
              <w:t>200000.00</w:t>
            </w:r>
          </w:p>
        </w:tc>
      </w:tr>
    </w:tbl>
    <w:p w14:paraId="167CDAD1">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630"/>
        <w:jc w:val="both"/>
        <w:textAlignment w:val="auto"/>
        <w:rPr>
          <w:rFonts w:hint="eastAsia" w:ascii="楷体" w:hAnsi="楷体" w:eastAsia="楷体" w:cs="楷体"/>
          <w:i w:val="0"/>
          <w:iCs w:val="0"/>
          <w:caps w:val="0"/>
          <w:color w:val="auto"/>
          <w:spacing w:val="0"/>
          <w:sz w:val="24"/>
          <w:szCs w:val="24"/>
          <w:highlight w:val="none"/>
          <w:shd w:val="clear" w:color="auto" w:fill="FFFFFF"/>
        </w:rPr>
      </w:pPr>
      <w:r>
        <w:rPr>
          <w:rFonts w:hint="eastAsia" w:ascii="楷体" w:hAnsi="楷体" w:eastAsia="楷体" w:cs="楷体"/>
          <w:i w:val="0"/>
          <w:iCs w:val="0"/>
          <w:caps w:val="0"/>
          <w:color w:val="auto"/>
          <w:spacing w:val="0"/>
          <w:sz w:val="24"/>
          <w:szCs w:val="24"/>
          <w:highlight w:val="none"/>
          <w:shd w:val="clear" w:color="auto" w:fill="FFFFFF"/>
        </w:rPr>
        <w:t>本合同包不接受联合体投标</w:t>
      </w:r>
    </w:p>
    <w:p w14:paraId="78404970">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630"/>
        <w:jc w:val="both"/>
        <w:textAlignment w:val="auto"/>
        <w:rPr>
          <w:rFonts w:hint="eastAsia" w:ascii="楷体" w:hAnsi="楷体" w:eastAsia="楷体" w:cs="楷体"/>
          <w:i w:val="0"/>
          <w:iCs w:val="0"/>
          <w:caps w:val="0"/>
          <w:color w:val="auto"/>
          <w:spacing w:val="0"/>
          <w:sz w:val="24"/>
          <w:szCs w:val="24"/>
          <w:highlight w:val="none"/>
          <w:shd w:val="clear" w:color="auto" w:fill="FFFFFF"/>
        </w:rPr>
      </w:pPr>
      <w:r>
        <w:rPr>
          <w:rFonts w:hint="eastAsia" w:ascii="楷体" w:hAnsi="楷体" w:eastAsia="楷体" w:cs="楷体"/>
          <w:i w:val="0"/>
          <w:iCs w:val="0"/>
          <w:caps w:val="0"/>
          <w:color w:val="auto"/>
          <w:spacing w:val="0"/>
          <w:sz w:val="24"/>
          <w:szCs w:val="24"/>
          <w:highlight w:val="none"/>
          <w:shd w:val="clear" w:color="auto" w:fill="FFFFFF"/>
        </w:rPr>
        <w:t>合同履行期限：自合同签订之日起至12月底，分批次完成质量监督抽查。</w:t>
      </w:r>
    </w:p>
    <w:p w14:paraId="50E3109E">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楷体" w:hAnsi="楷体" w:eastAsia="楷体" w:cs="楷体"/>
          <w:i w:val="0"/>
          <w:iCs w:val="0"/>
          <w:caps w:val="0"/>
          <w:color w:val="auto"/>
          <w:spacing w:val="0"/>
          <w:sz w:val="24"/>
          <w:szCs w:val="24"/>
          <w:highlight w:val="none"/>
          <w:shd w:val="clear" w:color="auto" w:fill="FFFFFF"/>
        </w:rPr>
      </w:pPr>
      <w:r>
        <w:rPr>
          <w:rFonts w:hint="eastAsia" w:ascii="楷体" w:hAnsi="楷体" w:eastAsia="楷体" w:cs="楷体"/>
          <w:i w:val="0"/>
          <w:iCs w:val="0"/>
          <w:caps w:val="0"/>
          <w:color w:val="auto"/>
          <w:spacing w:val="0"/>
          <w:sz w:val="24"/>
          <w:szCs w:val="24"/>
          <w:highlight w:val="none"/>
          <w:shd w:val="clear" w:color="auto" w:fill="FFFFFF"/>
        </w:rPr>
        <w:t>合同包</w:t>
      </w:r>
      <w:r>
        <w:rPr>
          <w:rFonts w:hint="eastAsia" w:ascii="楷体" w:hAnsi="楷体" w:eastAsia="楷体" w:cs="楷体"/>
          <w:i w:val="0"/>
          <w:iCs w:val="0"/>
          <w:caps w:val="0"/>
          <w:color w:val="auto"/>
          <w:spacing w:val="0"/>
          <w:sz w:val="24"/>
          <w:szCs w:val="24"/>
          <w:highlight w:val="none"/>
          <w:shd w:val="clear" w:color="auto" w:fill="FFFFFF"/>
          <w:lang w:val="en-US" w:eastAsia="zh-CN"/>
        </w:rPr>
        <w:t>3</w:t>
      </w:r>
      <w:r>
        <w:rPr>
          <w:rFonts w:hint="eastAsia" w:ascii="楷体" w:hAnsi="楷体" w:eastAsia="楷体" w:cs="楷体"/>
          <w:i w:val="0"/>
          <w:iCs w:val="0"/>
          <w:caps w:val="0"/>
          <w:color w:val="auto"/>
          <w:spacing w:val="0"/>
          <w:sz w:val="24"/>
          <w:szCs w:val="24"/>
          <w:highlight w:val="none"/>
          <w:shd w:val="clear" w:color="auto" w:fill="FFFFFF"/>
        </w:rPr>
        <w:t>(</w:t>
      </w:r>
      <w:r>
        <w:rPr>
          <w:rFonts w:hint="eastAsia" w:ascii="楷体" w:hAnsi="楷体" w:eastAsia="楷体" w:cs="楷体"/>
          <w:color w:val="auto"/>
          <w:kern w:val="0"/>
          <w:sz w:val="24"/>
          <w:szCs w:val="24"/>
          <w:highlight w:val="none"/>
          <w:lang w:val="en-US" w:eastAsia="zh-CN" w:bidi="ar"/>
        </w:rPr>
        <w:t>燃气器具</w:t>
      </w:r>
      <w:r>
        <w:rPr>
          <w:rFonts w:hint="eastAsia" w:ascii="楷体" w:hAnsi="楷体" w:eastAsia="楷体" w:cs="楷体"/>
          <w:i w:val="0"/>
          <w:iCs w:val="0"/>
          <w:caps w:val="0"/>
          <w:color w:val="auto"/>
          <w:spacing w:val="0"/>
          <w:sz w:val="24"/>
          <w:szCs w:val="24"/>
          <w:highlight w:val="none"/>
          <w:shd w:val="clear" w:color="auto" w:fill="FFFFFF"/>
        </w:rPr>
        <w:t>):</w:t>
      </w:r>
    </w:p>
    <w:p w14:paraId="358A3DCA">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630"/>
        <w:jc w:val="both"/>
        <w:textAlignment w:val="auto"/>
        <w:rPr>
          <w:rFonts w:hint="eastAsia" w:ascii="楷体" w:hAnsi="楷体" w:eastAsia="楷体" w:cs="楷体"/>
          <w:color w:val="auto"/>
          <w:sz w:val="24"/>
          <w:szCs w:val="24"/>
          <w:highlight w:val="none"/>
        </w:rPr>
      </w:pPr>
      <w:r>
        <w:rPr>
          <w:rFonts w:hint="eastAsia" w:ascii="楷体" w:hAnsi="楷体" w:eastAsia="楷体" w:cs="楷体"/>
          <w:i w:val="0"/>
          <w:iCs w:val="0"/>
          <w:caps w:val="0"/>
          <w:color w:val="auto"/>
          <w:spacing w:val="0"/>
          <w:sz w:val="24"/>
          <w:szCs w:val="24"/>
          <w:highlight w:val="none"/>
          <w:shd w:val="clear" w:color="auto" w:fill="FFFFFF"/>
        </w:rPr>
        <w:t>合同包预算金额：</w:t>
      </w:r>
      <w:r>
        <w:rPr>
          <w:rFonts w:hint="eastAsia" w:ascii="楷体" w:hAnsi="楷体" w:eastAsia="楷体" w:cs="楷体"/>
          <w:i w:val="0"/>
          <w:iCs w:val="0"/>
          <w:caps w:val="0"/>
          <w:color w:val="auto"/>
          <w:spacing w:val="0"/>
          <w:sz w:val="24"/>
          <w:szCs w:val="24"/>
          <w:highlight w:val="none"/>
          <w:shd w:val="clear" w:color="auto" w:fill="FFFFFF"/>
          <w:lang w:val="en-US" w:eastAsia="zh-CN"/>
        </w:rPr>
        <w:t>250000.00</w:t>
      </w:r>
      <w:r>
        <w:rPr>
          <w:rFonts w:hint="eastAsia" w:ascii="楷体" w:hAnsi="楷体" w:eastAsia="楷体" w:cs="楷体"/>
          <w:i w:val="0"/>
          <w:iCs w:val="0"/>
          <w:caps w:val="0"/>
          <w:color w:val="auto"/>
          <w:spacing w:val="0"/>
          <w:sz w:val="24"/>
          <w:szCs w:val="24"/>
          <w:highlight w:val="none"/>
          <w:shd w:val="clear" w:color="auto" w:fill="FFFFFF"/>
        </w:rPr>
        <w:t>元</w:t>
      </w:r>
    </w:p>
    <w:p w14:paraId="57B4ACAE">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630"/>
        <w:jc w:val="both"/>
        <w:textAlignment w:val="auto"/>
        <w:rPr>
          <w:rFonts w:hint="eastAsia" w:ascii="楷体" w:hAnsi="楷体" w:eastAsia="楷体" w:cs="楷体"/>
          <w:color w:val="auto"/>
          <w:sz w:val="24"/>
          <w:szCs w:val="24"/>
          <w:highlight w:val="none"/>
        </w:rPr>
      </w:pPr>
      <w:r>
        <w:rPr>
          <w:rFonts w:hint="eastAsia" w:ascii="楷体" w:hAnsi="楷体" w:eastAsia="楷体" w:cs="楷体"/>
          <w:i w:val="0"/>
          <w:iCs w:val="0"/>
          <w:caps w:val="0"/>
          <w:color w:val="auto"/>
          <w:spacing w:val="0"/>
          <w:sz w:val="24"/>
          <w:szCs w:val="24"/>
          <w:highlight w:val="none"/>
          <w:shd w:val="clear" w:color="auto" w:fill="FFFFFF"/>
        </w:rPr>
        <w:t>合同包最高限价：</w:t>
      </w:r>
      <w:r>
        <w:rPr>
          <w:rFonts w:hint="eastAsia" w:ascii="楷体" w:hAnsi="楷体" w:eastAsia="楷体" w:cs="楷体"/>
          <w:i w:val="0"/>
          <w:iCs w:val="0"/>
          <w:caps w:val="0"/>
          <w:color w:val="auto"/>
          <w:spacing w:val="0"/>
          <w:sz w:val="24"/>
          <w:szCs w:val="24"/>
          <w:highlight w:val="none"/>
          <w:shd w:val="clear" w:color="auto" w:fill="FFFFFF"/>
          <w:lang w:val="en-US" w:eastAsia="zh-CN"/>
        </w:rPr>
        <w:t>250000.00</w:t>
      </w:r>
      <w:r>
        <w:rPr>
          <w:rFonts w:hint="eastAsia" w:ascii="楷体" w:hAnsi="楷体" w:eastAsia="楷体" w:cs="楷体"/>
          <w:i w:val="0"/>
          <w:iCs w:val="0"/>
          <w:caps w:val="0"/>
          <w:color w:val="auto"/>
          <w:spacing w:val="0"/>
          <w:sz w:val="24"/>
          <w:szCs w:val="24"/>
          <w:highlight w:val="none"/>
          <w:shd w:val="clear" w:color="auto" w:fill="FFFFFF"/>
        </w:rPr>
        <w:t>元</w:t>
      </w:r>
    </w:p>
    <w:tbl>
      <w:tblPr>
        <w:tblStyle w:val="17"/>
        <w:tblW w:w="0" w:type="auto"/>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autofit"/>
        <w:tblCellMar>
          <w:top w:w="0" w:type="dxa"/>
          <w:left w:w="0" w:type="dxa"/>
          <w:bottom w:w="0" w:type="dxa"/>
          <w:right w:w="0" w:type="dxa"/>
        </w:tblCellMar>
      </w:tblPr>
      <w:tblGrid>
        <w:gridCol w:w="632"/>
        <w:gridCol w:w="1008"/>
        <w:gridCol w:w="1686"/>
        <w:gridCol w:w="1024"/>
        <w:gridCol w:w="1326"/>
        <w:gridCol w:w="1435"/>
        <w:gridCol w:w="1435"/>
      </w:tblGrid>
      <w:tr w14:paraId="32C7B906">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728" w:hRule="atLeast"/>
          <w:tblHeader/>
        </w:trPr>
        <w:tc>
          <w:tcPr>
            <w:tcW w:w="0" w:type="auto"/>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145C3305">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楷体" w:hAnsi="楷体" w:eastAsia="楷体" w:cs="楷体"/>
                <w:b/>
                <w:bCs/>
                <w:color w:val="auto"/>
                <w:sz w:val="24"/>
                <w:szCs w:val="24"/>
                <w:highlight w:val="none"/>
              </w:rPr>
            </w:pPr>
            <w:r>
              <w:rPr>
                <w:rFonts w:hint="eastAsia" w:ascii="楷体" w:hAnsi="楷体" w:eastAsia="楷体" w:cs="楷体"/>
                <w:b/>
                <w:bCs/>
                <w:color w:val="auto"/>
                <w:kern w:val="0"/>
                <w:sz w:val="24"/>
                <w:szCs w:val="24"/>
                <w:highlight w:val="none"/>
                <w:lang w:val="en-US" w:eastAsia="zh-CN" w:bidi="ar"/>
              </w:rPr>
              <w:t>品目号</w:t>
            </w:r>
          </w:p>
        </w:tc>
        <w:tc>
          <w:tcPr>
            <w:tcW w:w="1008"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1E811457">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楷体" w:hAnsi="楷体" w:eastAsia="楷体" w:cs="楷体"/>
                <w:b/>
                <w:bCs/>
                <w:color w:val="auto"/>
                <w:sz w:val="24"/>
                <w:szCs w:val="24"/>
                <w:highlight w:val="none"/>
              </w:rPr>
            </w:pPr>
            <w:r>
              <w:rPr>
                <w:rFonts w:hint="eastAsia" w:ascii="楷体" w:hAnsi="楷体" w:eastAsia="楷体" w:cs="楷体"/>
                <w:b/>
                <w:bCs/>
                <w:color w:val="auto"/>
                <w:kern w:val="0"/>
                <w:sz w:val="24"/>
                <w:szCs w:val="24"/>
                <w:highlight w:val="none"/>
                <w:lang w:val="en-US" w:eastAsia="zh-CN" w:bidi="ar"/>
              </w:rPr>
              <w:t>品目名称</w:t>
            </w:r>
          </w:p>
        </w:tc>
        <w:tc>
          <w:tcPr>
            <w:tcW w:w="1685"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5B0AC627">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楷体" w:hAnsi="楷体" w:eastAsia="楷体" w:cs="楷体"/>
                <w:b/>
                <w:bCs/>
                <w:color w:val="auto"/>
                <w:sz w:val="24"/>
                <w:szCs w:val="24"/>
                <w:highlight w:val="none"/>
              </w:rPr>
            </w:pPr>
            <w:r>
              <w:rPr>
                <w:rFonts w:hint="eastAsia" w:ascii="楷体" w:hAnsi="楷体" w:eastAsia="楷体" w:cs="楷体"/>
                <w:b/>
                <w:bCs/>
                <w:color w:val="auto"/>
                <w:kern w:val="0"/>
                <w:sz w:val="24"/>
                <w:szCs w:val="24"/>
                <w:highlight w:val="none"/>
                <w:lang w:val="en-US" w:eastAsia="zh-CN" w:bidi="ar"/>
              </w:rPr>
              <w:t>采购标的</w:t>
            </w:r>
          </w:p>
        </w:tc>
        <w:tc>
          <w:tcPr>
            <w:tcW w:w="0" w:type="auto"/>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760C9E88">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楷体" w:hAnsi="楷体" w:eastAsia="楷体" w:cs="楷体"/>
                <w:b/>
                <w:bCs/>
                <w:color w:val="auto"/>
                <w:sz w:val="24"/>
                <w:szCs w:val="24"/>
                <w:highlight w:val="none"/>
              </w:rPr>
            </w:pPr>
            <w:r>
              <w:rPr>
                <w:rFonts w:hint="eastAsia" w:ascii="楷体" w:hAnsi="楷体" w:eastAsia="楷体" w:cs="楷体"/>
                <w:b/>
                <w:bCs/>
                <w:color w:val="auto"/>
                <w:kern w:val="0"/>
                <w:sz w:val="24"/>
                <w:szCs w:val="24"/>
                <w:highlight w:val="none"/>
                <w:lang w:val="en-US" w:eastAsia="zh-CN" w:bidi="ar"/>
              </w:rPr>
              <w:t>数量（单位）</w:t>
            </w:r>
          </w:p>
        </w:tc>
        <w:tc>
          <w:tcPr>
            <w:tcW w:w="0" w:type="auto"/>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1EEF9E6C">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楷体" w:hAnsi="楷体" w:eastAsia="楷体" w:cs="楷体"/>
                <w:b/>
                <w:bCs/>
                <w:color w:val="auto"/>
                <w:sz w:val="24"/>
                <w:szCs w:val="24"/>
                <w:highlight w:val="none"/>
              </w:rPr>
            </w:pPr>
            <w:r>
              <w:rPr>
                <w:rFonts w:hint="eastAsia" w:ascii="楷体" w:hAnsi="楷体" w:eastAsia="楷体" w:cs="楷体"/>
                <w:b/>
                <w:bCs/>
                <w:color w:val="auto"/>
                <w:kern w:val="0"/>
                <w:sz w:val="24"/>
                <w:szCs w:val="24"/>
                <w:highlight w:val="none"/>
                <w:lang w:val="en-US" w:eastAsia="zh-CN" w:bidi="ar"/>
              </w:rPr>
              <w:t>技术规格、参数及要求</w:t>
            </w:r>
          </w:p>
        </w:tc>
        <w:tc>
          <w:tcPr>
            <w:tcW w:w="0" w:type="auto"/>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063A27EF">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楷体" w:hAnsi="楷体" w:eastAsia="楷体" w:cs="楷体"/>
                <w:b/>
                <w:bCs/>
                <w:color w:val="auto"/>
                <w:sz w:val="24"/>
                <w:szCs w:val="24"/>
                <w:highlight w:val="none"/>
              </w:rPr>
            </w:pPr>
            <w:r>
              <w:rPr>
                <w:rFonts w:hint="eastAsia" w:ascii="楷体" w:hAnsi="楷体" w:eastAsia="楷体" w:cs="楷体"/>
                <w:b/>
                <w:bCs/>
                <w:color w:val="auto"/>
                <w:kern w:val="0"/>
                <w:sz w:val="24"/>
                <w:szCs w:val="24"/>
                <w:highlight w:val="none"/>
                <w:lang w:val="en-US" w:eastAsia="zh-CN" w:bidi="ar"/>
              </w:rPr>
              <w:t>品目预算(元)</w:t>
            </w:r>
          </w:p>
        </w:tc>
        <w:tc>
          <w:tcPr>
            <w:tcW w:w="0" w:type="auto"/>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281A2017">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楷体" w:hAnsi="楷体" w:eastAsia="楷体" w:cs="楷体"/>
                <w:b/>
                <w:bCs/>
                <w:color w:val="auto"/>
                <w:sz w:val="24"/>
                <w:szCs w:val="24"/>
                <w:highlight w:val="none"/>
              </w:rPr>
            </w:pPr>
            <w:r>
              <w:rPr>
                <w:rFonts w:hint="eastAsia" w:ascii="楷体" w:hAnsi="楷体" w:eastAsia="楷体" w:cs="楷体"/>
                <w:b/>
                <w:bCs/>
                <w:color w:val="auto"/>
                <w:kern w:val="0"/>
                <w:sz w:val="24"/>
                <w:szCs w:val="24"/>
                <w:highlight w:val="none"/>
                <w:lang w:val="en-US" w:eastAsia="zh-CN" w:bidi="ar"/>
              </w:rPr>
              <w:t>最高限价(元)</w:t>
            </w:r>
          </w:p>
        </w:tc>
      </w:tr>
      <w:tr w14:paraId="4C161B73">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480" w:hRule="atLeast"/>
        </w:trPr>
        <w:tc>
          <w:tcPr>
            <w:tcW w:w="0" w:type="auto"/>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6B57B793">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楷体" w:hAnsi="楷体" w:eastAsia="楷体" w:cs="楷体"/>
                <w:color w:val="auto"/>
                <w:sz w:val="24"/>
                <w:szCs w:val="24"/>
                <w:highlight w:val="none"/>
              </w:rPr>
            </w:pPr>
            <w:r>
              <w:rPr>
                <w:rFonts w:hint="eastAsia" w:ascii="楷体" w:hAnsi="楷体" w:eastAsia="楷体" w:cs="楷体"/>
                <w:color w:val="auto"/>
                <w:kern w:val="0"/>
                <w:sz w:val="24"/>
                <w:szCs w:val="24"/>
                <w:highlight w:val="none"/>
                <w:lang w:val="en-US" w:eastAsia="zh-CN" w:bidi="ar"/>
              </w:rPr>
              <w:t>3-1</w:t>
            </w:r>
          </w:p>
        </w:tc>
        <w:tc>
          <w:tcPr>
            <w:tcW w:w="1008"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3349E202">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楷体" w:hAnsi="楷体" w:eastAsia="楷体" w:cs="楷体"/>
                <w:color w:val="auto"/>
                <w:sz w:val="24"/>
                <w:szCs w:val="24"/>
                <w:highlight w:val="none"/>
              </w:rPr>
            </w:pPr>
            <w:r>
              <w:rPr>
                <w:rFonts w:hint="eastAsia" w:ascii="楷体" w:hAnsi="楷体" w:eastAsia="楷体" w:cs="楷体"/>
                <w:color w:val="auto"/>
                <w:kern w:val="0"/>
                <w:sz w:val="24"/>
                <w:szCs w:val="24"/>
                <w:highlight w:val="none"/>
                <w:lang w:val="en-US" w:eastAsia="zh-CN" w:bidi="ar"/>
              </w:rPr>
              <w:t>技术测试和分析服务</w:t>
            </w:r>
          </w:p>
        </w:tc>
        <w:tc>
          <w:tcPr>
            <w:tcW w:w="1685"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61EB500B">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楷体" w:hAnsi="楷体" w:eastAsia="楷体" w:cs="楷体"/>
                <w:color w:val="auto"/>
                <w:sz w:val="24"/>
                <w:szCs w:val="24"/>
                <w:highlight w:val="none"/>
              </w:rPr>
            </w:pPr>
            <w:r>
              <w:rPr>
                <w:rFonts w:hint="eastAsia" w:ascii="楷体" w:hAnsi="楷体" w:eastAsia="楷体" w:cs="楷体"/>
                <w:color w:val="auto"/>
                <w:kern w:val="0"/>
                <w:sz w:val="24"/>
                <w:szCs w:val="24"/>
                <w:highlight w:val="none"/>
                <w:lang w:val="en-US" w:eastAsia="zh-CN" w:bidi="ar"/>
              </w:rPr>
              <w:t>生态环境和安全相关产品质量监督抽查（燃气器具）</w:t>
            </w:r>
          </w:p>
        </w:tc>
        <w:tc>
          <w:tcPr>
            <w:tcW w:w="0" w:type="auto"/>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63379221">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楷体" w:hAnsi="楷体" w:eastAsia="楷体" w:cs="楷体"/>
                <w:color w:val="auto"/>
                <w:sz w:val="24"/>
                <w:szCs w:val="24"/>
                <w:highlight w:val="none"/>
              </w:rPr>
            </w:pPr>
            <w:r>
              <w:rPr>
                <w:rFonts w:hint="eastAsia" w:ascii="楷体" w:hAnsi="楷体" w:eastAsia="楷体" w:cs="楷体"/>
                <w:color w:val="auto"/>
                <w:kern w:val="0"/>
                <w:sz w:val="24"/>
                <w:szCs w:val="24"/>
                <w:highlight w:val="none"/>
                <w:lang w:val="en-US" w:eastAsia="zh-CN" w:bidi="ar"/>
              </w:rPr>
              <w:t>1(项)</w:t>
            </w:r>
          </w:p>
        </w:tc>
        <w:tc>
          <w:tcPr>
            <w:tcW w:w="0" w:type="auto"/>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35D0D37E">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楷体" w:hAnsi="楷体" w:eastAsia="楷体" w:cs="楷体"/>
                <w:color w:val="auto"/>
                <w:sz w:val="24"/>
                <w:szCs w:val="24"/>
                <w:highlight w:val="none"/>
              </w:rPr>
            </w:pPr>
            <w:r>
              <w:rPr>
                <w:rFonts w:hint="eastAsia" w:ascii="楷体" w:hAnsi="楷体" w:eastAsia="楷体" w:cs="楷体"/>
                <w:color w:val="auto"/>
                <w:kern w:val="0"/>
                <w:sz w:val="24"/>
                <w:szCs w:val="24"/>
                <w:highlight w:val="none"/>
                <w:lang w:val="en-US" w:eastAsia="zh-CN" w:bidi="ar"/>
              </w:rPr>
              <w:t>详见采购文件</w:t>
            </w:r>
          </w:p>
        </w:tc>
        <w:tc>
          <w:tcPr>
            <w:tcW w:w="0" w:type="auto"/>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13F7014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right"/>
              <w:textAlignment w:val="auto"/>
              <w:rPr>
                <w:rFonts w:hint="default" w:ascii="楷体" w:hAnsi="楷体" w:eastAsia="楷体" w:cs="楷体"/>
                <w:color w:val="auto"/>
                <w:sz w:val="24"/>
                <w:szCs w:val="24"/>
                <w:highlight w:val="none"/>
                <w:lang w:val="en-US" w:eastAsia="zh-CN"/>
              </w:rPr>
            </w:pPr>
            <w:r>
              <w:rPr>
                <w:rFonts w:hint="eastAsia" w:ascii="楷体" w:hAnsi="楷体" w:eastAsia="楷体" w:cs="楷体"/>
                <w:color w:val="auto"/>
                <w:sz w:val="24"/>
                <w:szCs w:val="24"/>
                <w:highlight w:val="none"/>
                <w:lang w:val="en-US" w:eastAsia="zh-CN"/>
              </w:rPr>
              <w:t>250000.00</w:t>
            </w:r>
          </w:p>
        </w:tc>
        <w:tc>
          <w:tcPr>
            <w:tcW w:w="0" w:type="auto"/>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0AE4BBE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right"/>
              <w:textAlignment w:val="auto"/>
              <w:rPr>
                <w:rFonts w:hint="default" w:ascii="楷体" w:hAnsi="楷体" w:eastAsia="楷体" w:cs="楷体"/>
                <w:color w:val="auto"/>
                <w:sz w:val="24"/>
                <w:szCs w:val="24"/>
                <w:highlight w:val="none"/>
                <w:lang w:val="en-US" w:eastAsia="zh-CN"/>
              </w:rPr>
            </w:pPr>
            <w:r>
              <w:rPr>
                <w:rFonts w:hint="eastAsia" w:ascii="楷体" w:hAnsi="楷体" w:eastAsia="楷体" w:cs="楷体"/>
                <w:color w:val="auto"/>
                <w:sz w:val="24"/>
                <w:szCs w:val="24"/>
                <w:highlight w:val="none"/>
                <w:lang w:val="en-US" w:eastAsia="zh-CN"/>
              </w:rPr>
              <w:t>250000.00</w:t>
            </w:r>
          </w:p>
        </w:tc>
      </w:tr>
    </w:tbl>
    <w:p w14:paraId="7347A155">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630"/>
        <w:jc w:val="both"/>
        <w:textAlignment w:val="auto"/>
        <w:rPr>
          <w:rFonts w:hint="eastAsia" w:ascii="楷体" w:hAnsi="楷体" w:eastAsia="楷体" w:cs="楷体"/>
          <w:i w:val="0"/>
          <w:iCs w:val="0"/>
          <w:caps w:val="0"/>
          <w:color w:val="auto"/>
          <w:spacing w:val="0"/>
          <w:sz w:val="24"/>
          <w:szCs w:val="24"/>
          <w:highlight w:val="none"/>
          <w:shd w:val="clear" w:color="auto" w:fill="FFFFFF"/>
        </w:rPr>
      </w:pPr>
      <w:r>
        <w:rPr>
          <w:rFonts w:hint="eastAsia" w:ascii="楷体" w:hAnsi="楷体" w:eastAsia="楷体" w:cs="楷体"/>
          <w:i w:val="0"/>
          <w:iCs w:val="0"/>
          <w:caps w:val="0"/>
          <w:color w:val="auto"/>
          <w:spacing w:val="0"/>
          <w:sz w:val="24"/>
          <w:szCs w:val="24"/>
          <w:highlight w:val="none"/>
          <w:shd w:val="clear" w:color="auto" w:fill="FFFFFF"/>
        </w:rPr>
        <w:t>本合同包不接受联合体投标</w:t>
      </w:r>
    </w:p>
    <w:p w14:paraId="595E417C">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630"/>
        <w:jc w:val="both"/>
        <w:textAlignment w:val="auto"/>
        <w:rPr>
          <w:rFonts w:hint="eastAsia" w:ascii="楷体" w:hAnsi="楷体" w:eastAsia="楷体" w:cs="楷体"/>
          <w:i w:val="0"/>
          <w:iCs w:val="0"/>
          <w:caps w:val="0"/>
          <w:color w:val="auto"/>
          <w:spacing w:val="0"/>
          <w:sz w:val="24"/>
          <w:szCs w:val="24"/>
          <w:highlight w:val="none"/>
          <w:shd w:val="clear" w:color="auto" w:fill="FFFFFF"/>
        </w:rPr>
      </w:pPr>
      <w:r>
        <w:rPr>
          <w:rFonts w:hint="eastAsia" w:ascii="楷体" w:hAnsi="楷体" w:eastAsia="楷体" w:cs="楷体"/>
          <w:i w:val="0"/>
          <w:iCs w:val="0"/>
          <w:caps w:val="0"/>
          <w:color w:val="auto"/>
          <w:spacing w:val="0"/>
          <w:sz w:val="24"/>
          <w:szCs w:val="24"/>
          <w:highlight w:val="none"/>
          <w:shd w:val="clear" w:color="auto" w:fill="FFFFFF"/>
        </w:rPr>
        <w:t>合同履行期限：自合同签订之日起至12月底，分批次完成质量监督抽查。</w:t>
      </w:r>
    </w:p>
    <w:p w14:paraId="7737A2B4">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right="0" w:firstLine="480" w:firstLineChars="200"/>
        <w:jc w:val="both"/>
        <w:textAlignment w:val="auto"/>
        <w:rPr>
          <w:rFonts w:hint="eastAsia" w:ascii="楷体" w:hAnsi="楷体" w:eastAsia="楷体" w:cs="楷体"/>
          <w:i w:val="0"/>
          <w:iCs w:val="0"/>
          <w:caps w:val="0"/>
          <w:color w:val="auto"/>
          <w:spacing w:val="0"/>
          <w:sz w:val="24"/>
          <w:szCs w:val="24"/>
          <w:highlight w:val="none"/>
          <w:shd w:val="clear" w:color="auto" w:fill="FFFFFF"/>
        </w:rPr>
      </w:pPr>
      <w:r>
        <w:rPr>
          <w:rFonts w:hint="eastAsia" w:ascii="楷体" w:hAnsi="楷体" w:eastAsia="楷体" w:cs="楷体"/>
          <w:i w:val="0"/>
          <w:iCs w:val="0"/>
          <w:caps w:val="0"/>
          <w:color w:val="auto"/>
          <w:spacing w:val="0"/>
          <w:sz w:val="24"/>
          <w:szCs w:val="24"/>
          <w:highlight w:val="none"/>
          <w:shd w:val="clear" w:color="auto" w:fill="FFFFFF"/>
        </w:rPr>
        <w:t>合同包</w:t>
      </w:r>
      <w:r>
        <w:rPr>
          <w:rFonts w:hint="eastAsia" w:ascii="楷体" w:hAnsi="楷体" w:eastAsia="楷体" w:cs="楷体"/>
          <w:i w:val="0"/>
          <w:iCs w:val="0"/>
          <w:caps w:val="0"/>
          <w:color w:val="auto"/>
          <w:spacing w:val="0"/>
          <w:sz w:val="24"/>
          <w:szCs w:val="24"/>
          <w:highlight w:val="none"/>
          <w:shd w:val="clear" w:color="auto" w:fill="FFFFFF"/>
          <w:lang w:val="en-US" w:eastAsia="zh-CN"/>
        </w:rPr>
        <w:t>4</w:t>
      </w:r>
      <w:r>
        <w:rPr>
          <w:rFonts w:hint="eastAsia" w:ascii="楷体" w:hAnsi="楷体" w:eastAsia="楷体" w:cs="楷体"/>
          <w:i w:val="0"/>
          <w:iCs w:val="0"/>
          <w:caps w:val="0"/>
          <w:color w:val="auto"/>
          <w:spacing w:val="0"/>
          <w:sz w:val="24"/>
          <w:szCs w:val="24"/>
          <w:highlight w:val="none"/>
          <w:shd w:val="clear" w:color="auto" w:fill="FFFFFF"/>
        </w:rPr>
        <w:t>(消防产品):</w:t>
      </w:r>
    </w:p>
    <w:p w14:paraId="48AA554B">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630"/>
        <w:jc w:val="both"/>
        <w:textAlignment w:val="auto"/>
        <w:rPr>
          <w:rFonts w:hint="eastAsia" w:ascii="楷体" w:hAnsi="楷体" w:eastAsia="楷体" w:cs="楷体"/>
          <w:color w:val="auto"/>
          <w:sz w:val="24"/>
          <w:szCs w:val="24"/>
          <w:highlight w:val="none"/>
        </w:rPr>
      </w:pPr>
      <w:r>
        <w:rPr>
          <w:rFonts w:hint="eastAsia" w:ascii="楷体" w:hAnsi="楷体" w:eastAsia="楷体" w:cs="楷体"/>
          <w:i w:val="0"/>
          <w:iCs w:val="0"/>
          <w:caps w:val="0"/>
          <w:color w:val="auto"/>
          <w:spacing w:val="0"/>
          <w:sz w:val="24"/>
          <w:szCs w:val="24"/>
          <w:highlight w:val="none"/>
          <w:shd w:val="clear" w:color="auto" w:fill="FFFFFF"/>
        </w:rPr>
        <w:t>合同包预算金额：</w:t>
      </w:r>
      <w:r>
        <w:rPr>
          <w:rFonts w:hint="eastAsia" w:ascii="楷体" w:hAnsi="楷体" w:eastAsia="楷体" w:cs="楷体"/>
          <w:i w:val="0"/>
          <w:iCs w:val="0"/>
          <w:caps w:val="0"/>
          <w:color w:val="auto"/>
          <w:spacing w:val="0"/>
          <w:sz w:val="24"/>
          <w:szCs w:val="24"/>
          <w:highlight w:val="none"/>
          <w:shd w:val="clear" w:color="auto" w:fill="FFFFFF"/>
          <w:lang w:val="en-US" w:eastAsia="zh-CN"/>
        </w:rPr>
        <w:t>250000.00</w:t>
      </w:r>
      <w:r>
        <w:rPr>
          <w:rFonts w:hint="eastAsia" w:ascii="楷体" w:hAnsi="楷体" w:eastAsia="楷体" w:cs="楷体"/>
          <w:i w:val="0"/>
          <w:iCs w:val="0"/>
          <w:caps w:val="0"/>
          <w:color w:val="auto"/>
          <w:spacing w:val="0"/>
          <w:sz w:val="24"/>
          <w:szCs w:val="24"/>
          <w:highlight w:val="none"/>
          <w:shd w:val="clear" w:color="auto" w:fill="FFFFFF"/>
        </w:rPr>
        <w:t>元</w:t>
      </w:r>
    </w:p>
    <w:p w14:paraId="45E1DE0D">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630"/>
        <w:jc w:val="both"/>
        <w:textAlignment w:val="auto"/>
        <w:rPr>
          <w:rFonts w:hint="eastAsia" w:ascii="楷体" w:hAnsi="楷体" w:eastAsia="楷体" w:cs="楷体"/>
          <w:color w:val="auto"/>
          <w:sz w:val="24"/>
          <w:szCs w:val="24"/>
          <w:highlight w:val="none"/>
        </w:rPr>
      </w:pPr>
      <w:r>
        <w:rPr>
          <w:rFonts w:hint="eastAsia" w:ascii="楷体" w:hAnsi="楷体" w:eastAsia="楷体" w:cs="楷体"/>
          <w:i w:val="0"/>
          <w:iCs w:val="0"/>
          <w:caps w:val="0"/>
          <w:color w:val="auto"/>
          <w:spacing w:val="0"/>
          <w:sz w:val="24"/>
          <w:szCs w:val="24"/>
          <w:highlight w:val="none"/>
          <w:shd w:val="clear" w:color="auto" w:fill="FFFFFF"/>
        </w:rPr>
        <w:t>合同包最高限价：</w:t>
      </w:r>
      <w:r>
        <w:rPr>
          <w:rFonts w:hint="eastAsia" w:ascii="楷体" w:hAnsi="楷体" w:eastAsia="楷体" w:cs="楷体"/>
          <w:i w:val="0"/>
          <w:iCs w:val="0"/>
          <w:caps w:val="0"/>
          <w:color w:val="auto"/>
          <w:spacing w:val="0"/>
          <w:sz w:val="24"/>
          <w:szCs w:val="24"/>
          <w:highlight w:val="none"/>
          <w:shd w:val="clear" w:color="auto" w:fill="FFFFFF"/>
          <w:lang w:val="en-US" w:eastAsia="zh-CN"/>
        </w:rPr>
        <w:t>250000.00</w:t>
      </w:r>
      <w:r>
        <w:rPr>
          <w:rFonts w:hint="eastAsia" w:ascii="楷体" w:hAnsi="楷体" w:eastAsia="楷体" w:cs="楷体"/>
          <w:i w:val="0"/>
          <w:iCs w:val="0"/>
          <w:caps w:val="0"/>
          <w:color w:val="auto"/>
          <w:spacing w:val="0"/>
          <w:sz w:val="24"/>
          <w:szCs w:val="24"/>
          <w:highlight w:val="none"/>
          <w:shd w:val="clear" w:color="auto" w:fill="FFFFFF"/>
        </w:rPr>
        <w:t>元</w:t>
      </w:r>
    </w:p>
    <w:tbl>
      <w:tblPr>
        <w:tblStyle w:val="17"/>
        <w:tblW w:w="0" w:type="auto"/>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autofit"/>
        <w:tblCellMar>
          <w:top w:w="0" w:type="dxa"/>
          <w:left w:w="0" w:type="dxa"/>
          <w:bottom w:w="0" w:type="dxa"/>
          <w:right w:w="0" w:type="dxa"/>
        </w:tblCellMar>
      </w:tblPr>
      <w:tblGrid>
        <w:gridCol w:w="632"/>
        <w:gridCol w:w="1008"/>
        <w:gridCol w:w="1686"/>
        <w:gridCol w:w="1024"/>
        <w:gridCol w:w="1326"/>
        <w:gridCol w:w="1435"/>
        <w:gridCol w:w="1435"/>
      </w:tblGrid>
      <w:tr w14:paraId="5DC2D564">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728" w:hRule="atLeast"/>
          <w:tblHeader/>
        </w:trPr>
        <w:tc>
          <w:tcPr>
            <w:tcW w:w="0" w:type="auto"/>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759AEA02">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楷体" w:hAnsi="楷体" w:eastAsia="楷体" w:cs="楷体"/>
                <w:b/>
                <w:bCs/>
                <w:color w:val="auto"/>
                <w:sz w:val="24"/>
                <w:szCs w:val="24"/>
                <w:highlight w:val="none"/>
              </w:rPr>
            </w:pPr>
            <w:r>
              <w:rPr>
                <w:rFonts w:hint="eastAsia" w:ascii="楷体" w:hAnsi="楷体" w:eastAsia="楷体" w:cs="楷体"/>
                <w:b/>
                <w:bCs/>
                <w:color w:val="auto"/>
                <w:kern w:val="0"/>
                <w:sz w:val="24"/>
                <w:szCs w:val="24"/>
                <w:highlight w:val="none"/>
                <w:lang w:val="en-US" w:eastAsia="zh-CN" w:bidi="ar"/>
              </w:rPr>
              <w:t>品目号</w:t>
            </w:r>
          </w:p>
        </w:tc>
        <w:tc>
          <w:tcPr>
            <w:tcW w:w="1008"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0B4F6F36">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楷体" w:hAnsi="楷体" w:eastAsia="楷体" w:cs="楷体"/>
                <w:b/>
                <w:bCs/>
                <w:color w:val="auto"/>
                <w:sz w:val="24"/>
                <w:szCs w:val="24"/>
                <w:highlight w:val="none"/>
              </w:rPr>
            </w:pPr>
            <w:r>
              <w:rPr>
                <w:rFonts w:hint="eastAsia" w:ascii="楷体" w:hAnsi="楷体" w:eastAsia="楷体" w:cs="楷体"/>
                <w:b/>
                <w:bCs/>
                <w:color w:val="auto"/>
                <w:kern w:val="0"/>
                <w:sz w:val="24"/>
                <w:szCs w:val="24"/>
                <w:highlight w:val="none"/>
                <w:lang w:val="en-US" w:eastAsia="zh-CN" w:bidi="ar"/>
              </w:rPr>
              <w:t>品目名称</w:t>
            </w:r>
          </w:p>
        </w:tc>
        <w:tc>
          <w:tcPr>
            <w:tcW w:w="1685"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6E1E803E">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楷体" w:hAnsi="楷体" w:eastAsia="楷体" w:cs="楷体"/>
                <w:b/>
                <w:bCs/>
                <w:color w:val="auto"/>
                <w:sz w:val="24"/>
                <w:szCs w:val="24"/>
                <w:highlight w:val="none"/>
              </w:rPr>
            </w:pPr>
            <w:r>
              <w:rPr>
                <w:rFonts w:hint="eastAsia" w:ascii="楷体" w:hAnsi="楷体" w:eastAsia="楷体" w:cs="楷体"/>
                <w:b/>
                <w:bCs/>
                <w:color w:val="auto"/>
                <w:kern w:val="0"/>
                <w:sz w:val="24"/>
                <w:szCs w:val="24"/>
                <w:highlight w:val="none"/>
                <w:lang w:val="en-US" w:eastAsia="zh-CN" w:bidi="ar"/>
              </w:rPr>
              <w:t>采购标的</w:t>
            </w:r>
          </w:p>
        </w:tc>
        <w:tc>
          <w:tcPr>
            <w:tcW w:w="0" w:type="auto"/>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6926FCEC">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楷体" w:hAnsi="楷体" w:eastAsia="楷体" w:cs="楷体"/>
                <w:b/>
                <w:bCs/>
                <w:color w:val="auto"/>
                <w:sz w:val="24"/>
                <w:szCs w:val="24"/>
                <w:highlight w:val="none"/>
              </w:rPr>
            </w:pPr>
            <w:r>
              <w:rPr>
                <w:rFonts w:hint="eastAsia" w:ascii="楷体" w:hAnsi="楷体" w:eastAsia="楷体" w:cs="楷体"/>
                <w:b/>
                <w:bCs/>
                <w:color w:val="auto"/>
                <w:kern w:val="0"/>
                <w:sz w:val="24"/>
                <w:szCs w:val="24"/>
                <w:highlight w:val="none"/>
                <w:lang w:val="en-US" w:eastAsia="zh-CN" w:bidi="ar"/>
              </w:rPr>
              <w:t>数量（单位）</w:t>
            </w:r>
          </w:p>
        </w:tc>
        <w:tc>
          <w:tcPr>
            <w:tcW w:w="0" w:type="auto"/>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041B559B">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楷体" w:hAnsi="楷体" w:eastAsia="楷体" w:cs="楷体"/>
                <w:b/>
                <w:bCs/>
                <w:color w:val="auto"/>
                <w:sz w:val="24"/>
                <w:szCs w:val="24"/>
                <w:highlight w:val="none"/>
              </w:rPr>
            </w:pPr>
            <w:r>
              <w:rPr>
                <w:rFonts w:hint="eastAsia" w:ascii="楷体" w:hAnsi="楷体" w:eastAsia="楷体" w:cs="楷体"/>
                <w:b/>
                <w:bCs/>
                <w:color w:val="auto"/>
                <w:kern w:val="0"/>
                <w:sz w:val="24"/>
                <w:szCs w:val="24"/>
                <w:highlight w:val="none"/>
                <w:lang w:val="en-US" w:eastAsia="zh-CN" w:bidi="ar"/>
              </w:rPr>
              <w:t>技术规格、参数及要求</w:t>
            </w:r>
          </w:p>
        </w:tc>
        <w:tc>
          <w:tcPr>
            <w:tcW w:w="0" w:type="auto"/>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29887FF4">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楷体" w:hAnsi="楷体" w:eastAsia="楷体" w:cs="楷体"/>
                <w:b/>
                <w:bCs/>
                <w:color w:val="auto"/>
                <w:sz w:val="24"/>
                <w:szCs w:val="24"/>
                <w:highlight w:val="none"/>
              </w:rPr>
            </w:pPr>
            <w:r>
              <w:rPr>
                <w:rFonts w:hint="eastAsia" w:ascii="楷体" w:hAnsi="楷体" w:eastAsia="楷体" w:cs="楷体"/>
                <w:b/>
                <w:bCs/>
                <w:color w:val="auto"/>
                <w:kern w:val="0"/>
                <w:sz w:val="24"/>
                <w:szCs w:val="24"/>
                <w:highlight w:val="none"/>
                <w:lang w:val="en-US" w:eastAsia="zh-CN" w:bidi="ar"/>
              </w:rPr>
              <w:t>品目预算(元)</w:t>
            </w:r>
          </w:p>
        </w:tc>
        <w:tc>
          <w:tcPr>
            <w:tcW w:w="0" w:type="auto"/>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36560038">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楷体" w:hAnsi="楷体" w:eastAsia="楷体" w:cs="楷体"/>
                <w:b/>
                <w:bCs/>
                <w:color w:val="auto"/>
                <w:sz w:val="24"/>
                <w:szCs w:val="24"/>
                <w:highlight w:val="none"/>
              </w:rPr>
            </w:pPr>
            <w:r>
              <w:rPr>
                <w:rFonts w:hint="eastAsia" w:ascii="楷体" w:hAnsi="楷体" w:eastAsia="楷体" w:cs="楷体"/>
                <w:b/>
                <w:bCs/>
                <w:color w:val="auto"/>
                <w:kern w:val="0"/>
                <w:sz w:val="24"/>
                <w:szCs w:val="24"/>
                <w:highlight w:val="none"/>
                <w:lang w:val="en-US" w:eastAsia="zh-CN" w:bidi="ar"/>
              </w:rPr>
              <w:t>最高限价(元)</w:t>
            </w:r>
          </w:p>
        </w:tc>
      </w:tr>
      <w:tr w14:paraId="136B9B54">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480" w:hRule="atLeast"/>
        </w:trPr>
        <w:tc>
          <w:tcPr>
            <w:tcW w:w="0" w:type="auto"/>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0A8F8E0B">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楷体" w:hAnsi="楷体" w:eastAsia="楷体" w:cs="楷体"/>
                <w:color w:val="auto"/>
                <w:sz w:val="24"/>
                <w:szCs w:val="24"/>
                <w:highlight w:val="none"/>
              </w:rPr>
            </w:pPr>
            <w:r>
              <w:rPr>
                <w:rFonts w:hint="eastAsia" w:ascii="楷体" w:hAnsi="楷体" w:eastAsia="楷体" w:cs="楷体"/>
                <w:color w:val="auto"/>
                <w:kern w:val="0"/>
                <w:sz w:val="24"/>
                <w:szCs w:val="24"/>
                <w:highlight w:val="none"/>
                <w:lang w:val="en-US" w:eastAsia="zh-CN" w:bidi="ar"/>
              </w:rPr>
              <w:t>4-1</w:t>
            </w:r>
          </w:p>
        </w:tc>
        <w:tc>
          <w:tcPr>
            <w:tcW w:w="1008"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2CFBF260">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楷体" w:hAnsi="楷体" w:eastAsia="楷体" w:cs="楷体"/>
                <w:color w:val="auto"/>
                <w:sz w:val="24"/>
                <w:szCs w:val="24"/>
                <w:highlight w:val="none"/>
              </w:rPr>
            </w:pPr>
            <w:r>
              <w:rPr>
                <w:rFonts w:hint="eastAsia" w:ascii="楷体" w:hAnsi="楷体" w:eastAsia="楷体" w:cs="楷体"/>
                <w:color w:val="auto"/>
                <w:kern w:val="0"/>
                <w:sz w:val="24"/>
                <w:szCs w:val="24"/>
                <w:highlight w:val="none"/>
                <w:lang w:val="en-US" w:eastAsia="zh-CN" w:bidi="ar"/>
              </w:rPr>
              <w:t>技术测试和分析服务</w:t>
            </w:r>
          </w:p>
        </w:tc>
        <w:tc>
          <w:tcPr>
            <w:tcW w:w="1685"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47671986">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楷体" w:hAnsi="楷体" w:eastAsia="楷体" w:cs="楷体"/>
                <w:color w:val="auto"/>
                <w:sz w:val="24"/>
                <w:szCs w:val="24"/>
                <w:highlight w:val="none"/>
              </w:rPr>
            </w:pPr>
            <w:r>
              <w:rPr>
                <w:rFonts w:hint="eastAsia" w:ascii="楷体" w:hAnsi="楷体" w:eastAsia="楷体" w:cs="楷体"/>
                <w:color w:val="auto"/>
                <w:kern w:val="0"/>
                <w:sz w:val="24"/>
                <w:szCs w:val="24"/>
                <w:highlight w:val="none"/>
                <w:lang w:val="en-US" w:eastAsia="zh-CN" w:bidi="ar"/>
              </w:rPr>
              <w:t>生态环境和安全相关产品质量监督抽查（消防产品）</w:t>
            </w:r>
          </w:p>
        </w:tc>
        <w:tc>
          <w:tcPr>
            <w:tcW w:w="0" w:type="auto"/>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068EC2B7">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楷体" w:hAnsi="楷体" w:eastAsia="楷体" w:cs="楷体"/>
                <w:color w:val="auto"/>
                <w:sz w:val="24"/>
                <w:szCs w:val="24"/>
                <w:highlight w:val="none"/>
              </w:rPr>
            </w:pPr>
            <w:r>
              <w:rPr>
                <w:rFonts w:hint="eastAsia" w:ascii="楷体" w:hAnsi="楷体" w:eastAsia="楷体" w:cs="楷体"/>
                <w:color w:val="auto"/>
                <w:kern w:val="0"/>
                <w:sz w:val="24"/>
                <w:szCs w:val="24"/>
                <w:highlight w:val="none"/>
                <w:lang w:val="en-US" w:eastAsia="zh-CN" w:bidi="ar"/>
              </w:rPr>
              <w:t>1(项)</w:t>
            </w:r>
          </w:p>
        </w:tc>
        <w:tc>
          <w:tcPr>
            <w:tcW w:w="0" w:type="auto"/>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7050079D">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楷体" w:hAnsi="楷体" w:eastAsia="楷体" w:cs="楷体"/>
                <w:color w:val="auto"/>
                <w:sz w:val="24"/>
                <w:szCs w:val="24"/>
                <w:highlight w:val="none"/>
              </w:rPr>
            </w:pPr>
            <w:r>
              <w:rPr>
                <w:rFonts w:hint="eastAsia" w:ascii="楷体" w:hAnsi="楷体" w:eastAsia="楷体" w:cs="楷体"/>
                <w:color w:val="auto"/>
                <w:kern w:val="0"/>
                <w:sz w:val="24"/>
                <w:szCs w:val="24"/>
                <w:highlight w:val="none"/>
                <w:lang w:val="en-US" w:eastAsia="zh-CN" w:bidi="ar"/>
              </w:rPr>
              <w:t>详见采购文件</w:t>
            </w:r>
          </w:p>
        </w:tc>
        <w:tc>
          <w:tcPr>
            <w:tcW w:w="0" w:type="auto"/>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361BBD0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right"/>
              <w:textAlignment w:val="auto"/>
              <w:rPr>
                <w:rFonts w:hint="default" w:ascii="楷体" w:hAnsi="楷体" w:eastAsia="楷体" w:cs="楷体"/>
                <w:color w:val="auto"/>
                <w:sz w:val="24"/>
                <w:szCs w:val="24"/>
                <w:highlight w:val="none"/>
                <w:lang w:val="en-US" w:eastAsia="zh-CN"/>
              </w:rPr>
            </w:pPr>
            <w:r>
              <w:rPr>
                <w:rFonts w:hint="eastAsia" w:ascii="楷体" w:hAnsi="楷体" w:eastAsia="楷体" w:cs="楷体"/>
                <w:color w:val="auto"/>
                <w:sz w:val="24"/>
                <w:szCs w:val="24"/>
                <w:highlight w:val="none"/>
                <w:lang w:val="en-US" w:eastAsia="zh-CN"/>
              </w:rPr>
              <w:t>250000.00</w:t>
            </w:r>
          </w:p>
        </w:tc>
        <w:tc>
          <w:tcPr>
            <w:tcW w:w="0" w:type="auto"/>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360FC0B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right"/>
              <w:textAlignment w:val="auto"/>
              <w:rPr>
                <w:rFonts w:hint="default" w:ascii="楷体" w:hAnsi="楷体" w:eastAsia="楷体" w:cs="楷体"/>
                <w:color w:val="auto"/>
                <w:sz w:val="24"/>
                <w:szCs w:val="24"/>
                <w:highlight w:val="none"/>
                <w:lang w:val="en-US" w:eastAsia="zh-CN"/>
              </w:rPr>
            </w:pPr>
            <w:r>
              <w:rPr>
                <w:rFonts w:hint="eastAsia" w:ascii="楷体" w:hAnsi="楷体" w:eastAsia="楷体" w:cs="楷体"/>
                <w:color w:val="auto"/>
                <w:sz w:val="24"/>
                <w:szCs w:val="24"/>
                <w:highlight w:val="none"/>
                <w:lang w:val="en-US" w:eastAsia="zh-CN"/>
              </w:rPr>
              <w:t>250000.00</w:t>
            </w:r>
          </w:p>
        </w:tc>
      </w:tr>
    </w:tbl>
    <w:p w14:paraId="58E48D99">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630"/>
        <w:jc w:val="both"/>
        <w:textAlignment w:val="auto"/>
        <w:rPr>
          <w:rFonts w:hint="eastAsia" w:ascii="楷体" w:hAnsi="楷体" w:eastAsia="楷体" w:cs="楷体"/>
          <w:i w:val="0"/>
          <w:iCs w:val="0"/>
          <w:caps w:val="0"/>
          <w:color w:val="auto"/>
          <w:spacing w:val="0"/>
          <w:sz w:val="24"/>
          <w:szCs w:val="24"/>
          <w:highlight w:val="none"/>
          <w:shd w:val="clear" w:color="auto" w:fill="FFFFFF"/>
        </w:rPr>
      </w:pPr>
      <w:r>
        <w:rPr>
          <w:rFonts w:hint="eastAsia" w:ascii="楷体" w:hAnsi="楷体" w:eastAsia="楷体" w:cs="楷体"/>
          <w:i w:val="0"/>
          <w:iCs w:val="0"/>
          <w:caps w:val="0"/>
          <w:color w:val="auto"/>
          <w:spacing w:val="0"/>
          <w:sz w:val="24"/>
          <w:szCs w:val="24"/>
          <w:highlight w:val="none"/>
          <w:shd w:val="clear" w:color="auto" w:fill="FFFFFF"/>
        </w:rPr>
        <w:t>本合同包不接受联合体投标</w:t>
      </w:r>
    </w:p>
    <w:p w14:paraId="1D4ADE69">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630"/>
        <w:jc w:val="both"/>
        <w:textAlignment w:val="auto"/>
        <w:rPr>
          <w:rFonts w:hint="eastAsia" w:ascii="楷体" w:hAnsi="楷体" w:eastAsia="楷体" w:cs="楷体"/>
          <w:i w:val="0"/>
          <w:iCs w:val="0"/>
          <w:caps w:val="0"/>
          <w:color w:val="auto"/>
          <w:spacing w:val="0"/>
          <w:sz w:val="24"/>
          <w:szCs w:val="24"/>
          <w:highlight w:val="none"/>
          <w:shd w:val="clear" w:color="auto" w:fill="FFFFFF"/>
        </w:rPr>
      </w:pPr>
      <w:r>
        <w:rPr>
          <w:rFonts w:hint="eastAsia" w:ascii="楷体" w:hAnsi="楷体" w:eastAsia="楷体" w:cs="楷体"/>
          <w:i w:val="0"/>
          <w:iCs w:val="0"/>
          <w:caps w:val="0"/>
          <w:color w:val="auto"/>
          <w:spacing w:val="0"/>
          <w:sz w:val="24"/>
          <w:szCs w:val="24"/>
          <w:highlight w:val="none"/>
          <w:shd w:val="clear" w:color="auto" w:fill="FFFFFF"/>
        </w:rPr>
        <w:t>合同履行期限：自合同签订之日起至12月底，分批次完成质量监督抽查。</w:t>
      </w:r>
    </w:p>
    <w:p w14:paraId="6E5865AD">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overflowPunct/>
        <w:topLinePunct w:val="0"/>
        <w:autoSpaceDE/>
        <w:autoSpaceDN/>
        <w:bidi w:val="0"/>
        <w:adjustRightInd/>
        <w:snapToGrid/>
        <w:spacing w:before="150" w:beforeAutospacing="0" w:after="0" w:afterAutospacing="0" w:line="360" w:lineRule="auto"/>
        <w:ind w:left="0" w:right="0" w:firstLine="0"/>
        <w:jc w:val="left"/>
        <w:textAlignment w:val="auto"/>
        <w:rPr>
          <w:rFonts w:hint="eastAsia" w:ascii="楷体" w:hAnsi="楷体" w:eastAsia="楷体" w:cs="楷体"/>
          <w:b w:val="0"/>
          <w:bCs w:val="0"/>
          <w:i w:val="0"/>
          <w:iCs w:val="0"/>
          <w:caps w:val="0"/>
          <w:color w:val="auto"/>
          <w:spacing w:val="0"/>
          <w:sz w:val="24"/>
          <w:szCs w:val="24"/>
          <w:highlight w:val="none"/>
        </w:rPr>
      </w:pPr>
      <w:r>
        <w:rPr>
          <w:rStyle w:val="20"/>
          <w:rFonts w:hint="eastAsia" w:ascii="楷体" w:hAnsi="楷体" w:eastAsia="楷体" w:cs="楷体"/>
          <w:b/>
          <w:bCs/>
          <w:i w:val="0"/>
          <w:iCs w:val="0"/>
          <w:caps w:val="0"/>
          <w:color w:val="auto"/>
          <w:spacing w:val="0"/>
          <w:sz w:val="24"/>
          <w:szCs w:val="24"/>
          <w:highlight w:val="none"/>
          <w:shd w:val="clear" w:color="auto" w:fill="FFFFFF"/>
        </w:rPr>
        <w:t>二、申请人的资格要求：</w:t>
      </w:r>
    </w:p>
    <w:p w14:paraId="0F308B25">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right="0"/>
        <w:jc w:val="both"/>
        <w:textAlignment w:val="auto"/>
        <w:rPr>
          <w:rFonts w:hint="eastAsia" w:ascii="楷体" w:hAnsi="楷体" w:eastAsia="楷体" w:cs="楷体"/>
          <w:i w:val="0"/>
          <w:iCs w:val="0"/>
          <w:caps w:val="0"/>
          <w:color w:val="auto"/>
          <w:spacing w:val="0"/>
          <w:sz w:val="24"/>
          <w:szCs w:val="24"/>
          <w:highlight w:val="none"/>
          <w:shd w:val="clear" w:color="auto" w:fill="FFFFFF"/>
        </w:rPr>
      </w:pPr>
      <w:r>
        <w:rPr>
          <w:rFonts w:hint="eastAsia" w:ascii="楷体" w:hAnsi="楷体" w:eastAsia="楷体" w:cs="楷体"/>
          <w:i w:val="0"/>
          <w:iCs w:val="0"/>
          <w:caps w:val="0"/>
          <w:color w:val="auto"/>
          <w:spacing w:val="0"/>
          <w:sz w:val="24"/>
          <w:szCs w:val="24"/>
          <w:highlight w:val="none"/>
          <w:shd w:val="clear" w:color="auto" w:fill="FFFFFF"/>
        </w:rPr>
        <w:t>1.满足《中华人民共和国政府采购法》第二十二条规定;</w:t>
      </w:r>
    </w:p>
    <w:p w14:paraId="614BC5EF">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right="0"/>
        <w:jc w:val="both"/>
        <w:textAlignment w:val="auto"/>
        <w:rPr>
          <w:rFonts w:hint="eastAsia" w:ascii="楷体" w:hAnsi="楷体" w:eastAsia="楷体" w:cs="楷体"/>
          <w:i w:val="0"/>
          <w:iCs w:val="0"/>
          <w:caps w:val="0"/>
          <w:color w:val="auto"/>
          <w:spacing w:val="0"/>
          <w:sz w:val="24"/>
          <w:szCs w:val="24"/>
          <w:highlight w:val="none"/>
          <w:shd w:val="clear" w:color="auto" w:fill="FFFFFF"/>
        </w:rPr>
      </w:pPr>
      <w:r>
        <w:rPr>
          <w:rFonts w:hint="eastAsia" w:ascii="楷体" w:hAnsi="楷体" w:eastAsia="楷体" w:cs="楷体"/>
          <w:i w:val="0"/>
          <w:iCs w:val="0"/>
          <w:caps w:val="0"/>
          <w:color w:val="auto"/>
          <w:spacing w:val="0"/>
          <w:sz w:val="24"/>
          <w:szCs w:val="24"/>
          <w:highlight w:val="none"/>
          <w:shd w:val="clear" w:color="auto" w:fill="FFFFFF"/>
        </w:rPr>
        <w:t>2.落实政府采购政策需满足的资格要求：</w:t>
      </w:r>
    </w:p>
    <w:p w14:paraId="130FD7A3">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right="0" w:firstLine="480" w:firstLineChars="200"/>
        <w:jc w:val="both"/>
        <w:textAlignment w:val="auto"/>
        <w:rPr>
          <w:rFonts w:hint="eastAsia" w:ascii="楷体" w:hAnsi="楷体" w:eastAsia="楷体" w:cs="楷体"/>
          <w:i w:val="0"/>
          <w:iCs w:val="0"/>
          <w:caps w:val="0"/>
          <w:color w:val="auto"/>
          <w:spacing w:val="0"/>
          <w:sz w:val="24"/>
          <w:szCs w:val="24"/>
          <w:highlight w:val="none"/>
          <w:shd w:val="clear" w:color="auto" w:fill="FFFFFF"/>
        </w:rPr>
      </w:pPr>
      <w:r>
        <w:rPr>
          <w:rFonts w:hint="eastAsia" w:ascii="楷体" w:hAnsi="楷体" w:eastAsia="楷体" w:cs="楷体"/>
          <w:i w:val="0"/>
          <w:iCs w:val="0"/>
          <w:caps w:val="0"/>
          <w:color w:val="auto"/>
          <w:spacing w:val="0"/>
          <w:sz w:val="24"/>
          <w:szCs w:val="24"/>
          <w:highlight w:val="none"/>
          <w:shd w:val="clear" w:color="auto" w:fill="FFFFFF"/>
        </w:rPr>
        <w:t>合同包1(车用成品油快速筛查)落实政府采购政策需满足的资格要求如下:</w:t>
      </w:r>
    </w:p>
    <w:p w14:paraId="25C20F2C">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楷体" w:hAnsi="楷体" w:eastAsia="楷体" w:cs="楷体"/>
          <w:i w:val="0"/>
          <w:iCs w:val="0"/>
          <w:caps w:val="0"/>
          <w:color w:val="auto"/>
          <w:spacing w:val="0"/>
          <w:sz w:val="24"/>
          <w:szCs w:val="24"/>
          <w:highlight w:val="none"/>
          <w:shd w:val="clear" w:color="auto" w:fill="FFFFFF"/>
        </w:rPr>
      </w:pPr>
      <w:r>
        <w:rPr>
          <w:rFonts w:hint="eastAsia" w:ascii="楷体" w:hAnsi="楷体" w:eastAsia="楷体" w:cs="楷体"/>
          <w:i w:val="0"/>
          <w:iCs w:val="0"/>
          <w:caps w:val="0"/>
          <w:color w:val="auto"/>
          <w:spacing w:val="0"/>
          <w:sz w:val="24"/>
          <w:szCs w:val="24"/>
          <w:highlight w:val="none"/>
          <w:shd w:val="clear" w:color="auto" w:fill="FFFFFF"/>
        </w:rPr>
        <w:t>本包非专门面向中小企业采购。</w:t>
      </w:r>
    </w:p>
    <w:p w14:paraId="6D06B2C2">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right="0" w:firstLine="480" w:firstLineChars="200"/>
        <w:jc w:val="both"/>
        <w:textAlignment w:val="auto"/>
        <w:rPr>
          <w:rFonts w:hint="eastAsia" w:ascii="楷体" w:hAnsi="楷体" w:eastAsia="楷体" w:cs="楷体"/>
          <w:i w:val="0"/>
          <w:iCs w:val="0"/>
          <w:caps w:val="0"/>
          <w:color w:val="auto"/>
          <w:spacing w:val="0"/>
          <w:sz w:val="24"/>
          <w:szCs w:val="24"/>
          <w:highlight w:val="none"/>
          <w:shd w:val="clear" w:color="auto" w:fill="FFFFFF"/>
        </w:rPr>
      </w:pPr>
      <w:r>
        <w:rPr>
          <w:rFonts w:hint="eastAsia" w:ascii="楷体" w:hAnsi="楷体" w:eastAsia="楷体" w:cs="楷体"/>
          <w:i w:val="0"/>
          <w:iCs w:val="0"/>
          <w:caps w:val="0"/>
          <w:color w:val="auto"/>
          <w:spacing w:val="0"/>
          <w:sz w:val="24"/>
          <w:szCs w:val="24"/>
          <w:highlight w:val="none"/>
          <w:shd w:val="clear" w:color="auto" w:fill="FFFFFF"/>
        </w:rPr>
        <w:t>合同包2(挥发性有机物)落实政府采购政策需满足的资格要求如下:</w:t>
      </w:r>
    </w:p>
    <w:p w14:paraId="410731B2">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楷体" w:hAnsi="楷体" w:eastAsia="楷体" w:cs="楷体"/>
          <w:i w:val="0"/>
          <w:iCs w:val="0"/>
          <w:caps w:val="0"/>
          <w:color w:val="auto"/>
          <w:spacing w:val="0"/>
          <w:sz w:val="24"/>
          <w:szCs w:val="24"/>
          <w:highlight w:val="none"/>
          <w:shd w:val="clear" w:color="auto" w:fill="FFFFFF"/>
        </w:rPr>
      </w:pPr>
      <w:r>
        <w:rPr>
          <w:rFonts w:hint="eastAsia" w:ascii="楷体" w:hAnsi="楷体" w:eastAsia="楷体" w:cs="楷体"/>
          <w:i w:val="0"/>
          <w:iCs w:val="0"/>
          <w:caps w:val="0"/>
          <w:color w:val="auto"/>
          <w:spacing w:val="0"/>
          <w:sz w:val="24"/>
          <w:szCs w:val="24"/>
          <w:highlight w:val="none"/>
          <w:shd w:val="clear" w:color="auto" w:fill="FFFFFF"/>
        </w:rPr>
        <w:t>本包非专门面向中小企业采购。</w:t>
      </w:r>
    </w:p>
    <w:p w14:paraId="6711E7C6">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right="0" w:firstLine="480" w:firstLineChars="200"/>
        <w:jc w:val="both"/>
        <w:textAlignment w:val="auto"/>
        <w:rPr>
          <w:rFonts w:hint="eastAsia" w:ascii="楷体" w:hAnsi="楷体" w:eastAsia="楷体" w:cs="楷体"/>
          <w:i w:val="0"/>
          <w:iCs w:val="0"/>
          <w:caps w:val="0"/>
          <w:color w:val="auto"/>
          <w:spacing w:val="0"/>
          <w:sz w:val="24"/>
          <w:szCs w:val="24"/>
          <w:highlight w:val="none"/>
          <w:shd w:val="clear" w:color="auto" w:fill="FFFFFF"/>
        </w:rPr>
      </w:pPr>
      <w:r>
        <w:rPr>
          <w:rFonts w:hint="eastAsia" w:ascii="楷体" w:hAnsi="楷体" w:eastAsia="楷体" w:cs="楷体"/>
          <w:i w:val="0"/>
          <w:iCs w:val="0"/>
          <w:caps w:val="0"/>
          <w:color w:val="auto"/>
          <w:spacing w:val="0"/>
          <w:sz w:val="24"/>
          <w:szCs w:val="24"/>
          <w:highlight w:val="none"/>
          <w:shd w:val="clear" w:color="auto" w:fill="FFFFFF"/>
        </w:rPr>
        <w:t>合同包3(燃气器具)落实政府采购政策需满足的资格要求如下:</w:t>
      </w:r>
    </w:p>
    <w:p w14:paraId="35B1A314">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楷体" w:hAnsi="楷体" w:eastAsia="楷体" w:cs="楷体"/>
          <w:i w:val="0"/>
          <w:iCs w:val="0"/>
          <w:caps w:val="0"/>
          <w:color w:val="auto"/>
          <w:spacing w:val="0"/>
          <w:sz w:val="24"/>
          <w:szCs w:val="24"/>
          <w:highlight w:val="none"/>
          <w:shd w:val="clear" w:color="auto" w:fill="FFFFFF"/>
        </w:rPr>
      </w:pPr>
      <w:r>
        <w:rPr>
          <w:rFonts w:hint="eastAsia" w:ascii="楷体" w:hAnsi="楷体" w:eastAsia="楷体" w:cs="楷体"/>
          <w:i w:val="0"/>
          <w:iCs w:val="0"/>
          <w:caps w:val="0"/>
          <w:color w:val="auto"/>
          <w:spacing w:val="0"/>
          <w:sz w:val="24"/>
          <w:szCs w:val="24"/>
          <w:highlight w:val="none"/>
          <w:shd w:val="clear" w:color="auto" w:fill="FFFFFF"/>
        </w:rPr>
        <w:t>本包专门面向中小企业采购。</w:t>
      </w:r>
    </w:p>
    <w:p w14:paraId="4D91CA68">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right="0" w:firstLine="480" w:firstLineChars="200"/>
        <w:jc w:val="both"/>
        <w:textAlignment w:val="auto"/>
        <w:rPr>
          <w:rFonts w:hint="eastAsia" w:ascii="楷体" w:hAnsi="楷体" w:eastAsia="楷体" w:cs="楷体"/>
          <w:i w:val="0"/>
          <w:iCs w:val="0"/>
          <w:caps w:val="0"/>
          <w:color w:val="auto"/>
          <w:spacing w:val="0"/>
          <w:sz w:val="24"/>
          <w:szCs w:val="24"/>
          <w:highlight w:val="none"/>
          <w:shd w:val="clear" w:color="auto" w:fill="FFFFFF"/>
        </w:rPr>
      </w:pPr>
      <w:r>
        <w:rPr>
          <w:rFonts w:hint="eastAsia" w:ascii="楷体" w:hAnsi="楷体" w:eastAsia="楷体" w:cs="楷体"/>
          <w:i w:val="0"/>
          <w:iCs w:val="0"/>
          <w:caps w:val="0"/>
          <w:color w:val="auto"/>
          <w:spacing w:val="0"/>
          <w:sz w:val="24"/>
          <w:szCs w:val="24"/>
          <w:highlight w:val="none"/>
          <w:shd w:val="clear" w:color="auto" w:fill="FFFFFF"/>
        </w:rPr>
        <w:t>合同包4(消防产品)落实政府采购政策需满足的资格要求如下:</w:t>
      </w:r>
    </w:p>
    <w:p w14:paraId="69F20584">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楷体" w:hAnsi="楷体" w:eastAsia="楷体" w:cs="楷体"/>
          <w:i w:val="0"/>
          <w:iCs w:val="0"/>
          <w:caps w:val="0"/>
          <w:color w:val="auto"/>
          <w:spacing w:val="0"/>
          <w:sz w:val="24"/>
          <w:szCs w:val="24"/>
          <w:highlight w:val="none"/>
          <w:shd w:val="clear" w:color="auto" w:fill="FFFFFF"/>
        </w:rPr>
      </w:pPr>
      <w:r>
        <w:rPr>
          <w:rFonts w:hint="eastAsia" w:ascii="楷体" w:hAnsi="楷体" w:eastAsia="楷体" w:cs="楷体"/>
          <w:i w:val="0"/>
          <w:iCs w:val="0"/>
          <w:caps w:val="0"/>
          <w:color w:val="auto"/>
          <w:spacing w:val="0"/>
          <w:sz w:val="24"/>
          <w:szCs w:val="24"/>
          <w:highlight w:val="none"/>
          <w:shd w:val="clear" w:color="auto" w:fill="FFFFFF"/>
        </w:rPr>
        <w:t>本包专门面向中小企业采购。</w:t>
      </w:r>
    </w:p>
    <w:p w14:paraId="0988687B">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right="0"/>
        <w:jc w:val="both"/>
        <w:textAlignment w:val="auto"/>
        <w:rPr>
          <w:rFonts w:hint="eastAsia" w:ascii="楷体" w:hAnsi="楷体" w:eastAsia="楷体" w:cs="楷体"/>
          <w:i w:val="0"/>
          <w:iCs w:val="0"/>
          <w:caps w:val="0"/>
          <w:color w:val="auto"/>
          <w:spacing w:val="0"/>
          <w:sz w:val="24"/>
          <w:szCs w:val="24"/>
          <w:highlight w:val="none"/>
          <w:shd w:val="clear" w:color="auto" w:fill="FFFFFF"/>
        </w:rPr>
      </w:pPr>
      <w:r>
        <w:rPr>
          <w:rFonts w:hint="eastAsia" w:ascii="楷体" w:hAnsi="楷体" w:eastAsia="楷体" w:cs="楷体"/>
          <w:i w:val="0"/>
          <w:iCs w:val="0"/>
          <w:caps w:val="0"/>
          <w:color w:val="auto"/>
          <w:spacing w:val="0"/>
          <w:sz w:val="24"/>
          <w:szCs w:val="24"/>
          <w:highlight w:val="none"/>
          <w:shd w:val="clear" w:color="auto" w:fill="FFFFFF"/>
        </w:rPr>
        <w:t>3.本项目的特定资格要求：</w:t>
      </w:r>
    </w:p>
    <w:p w14:paraId="57F5F04F">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楷体" w:hAnsi="楷体" w:eastAsia="楷体" w:cs="楷体"/>
          <w:i w:val="0"/>
          <w:iCs w:val="0"/>
          <w:caps w:val="0"/>
          <w:color w:val="auto"/>
          <w:spacing w:val="0"/>
          <w:sz w:val="24"/>
          <w:szCs w:val="24"/>
          <w:highlight w:val="none"/>
          <w:shd w:val="clear" w:color="auto" w:fill="FFFFFF"/>
        </w:rPr>
      </w:pPr>
      <w:r>
        <w:rPr>
          <w:rFonts w:hint="eastAsia" w:ascii="楷体" w:hAnsi="楷体" w:eastAsia="楷体" w:cs="楷体"/>
          <w:i w:val="0"/>
          <w:iCs w:val="0"/>
          <w:caps w:val="0"/>
          <w:color w:val="auto"/>
          <w:spacing w:val="0"/>
          <w:sz w:val="24"/>
          <w:szCs w:val="24"/>
          <w:highlight w:val="none"/>
          <w:shd w:val="clear" w:color="auto" w:fill="FFFFFF"/>
        </w:rPr>
        <w:t>合同包1(车用成品油快速筛查)特定资格要求如下:</w:t>
      </w:r>
    </w:p>
    <w:p w14:paraId="504F5192">
      <w:pPr>
        <w:pStyle w:val="14"/>
        <w:keepNext w:val="0"/>
        <w:keepLines w:val="0"/>
        <w:pageBreakBefore w:val="0"/>
        <w:widowControl/>
        <w:numPr>
          <w:ilvl w:val="0"/>
          <w:numId w:val="1"/>
        </w:numPr>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楷体" w:hAnsi="楷体" w:eastAsia="楷体" w:cs="楷体"/>
          <w:i w:val="0"/>
          <w:iCs w:val="0"/>
          <w:caps w:val="0"/>
          <w:color w:val="auto"/>
          <w:spacing w:val="0"/>
          <w:sz w:val="24"/>
          <w:szCs w:val="24"/>
          <w:highlight w:val="none"/>
          <w:shd w:val="clear" w:color="auto" w:fill="FFFFFF"/>
        </w:rPr>
      </w:pPr>
      <w:r>
        <w:rPr>
          <w:rFonts w:hint="eastAsia" w:ascii="楷体" w:hAnsi="楷体" w:eastAsia="楷体" w:cs="楷体"/>
          <w:i w:val="0"/>
          <w:iCs w:val="0"/>
          <w:caps w:val="0"/>
          <w:color w:val="auto"/>
          <w:spacing w:val="0"/>
          <w:sz w:val="24"/>
          <w:szCs w:val="24"/>
          <w:highlight w:val="none"/>
          <w:shd w:val="clear" w:color="auto" w:fill="FFFFFF"/>
        </w:rPr>
        <w:t>信用查询：供应商未被列入信用中国网站(www.creditchina.gov.cn)“失信被执行人、重大税收违法失信主体”；不处于中国政府采购网(www.ccgp.gov.cn)“政府采购严重违法失信行为信息记录”中的禁止参加政府采购活动期间；</w:t>
      </w:r>
      <w:r>
        <w:rPr>
          <w:rFonts w:hint="eastAsia" w:ascii="楷体" w:hAnsi="楷体" w:eastAsia="楷体" w:cs="楷体"/>
          <w:i w:val="0"/>
          <w:iCs w:val="0"/>
          <w:caps w:val="0"/>
          <w:color w:val="auto"/>
          <w:spacing w:val="0"/>
          <w:sz w:val="24"/>
          <w:szCs w:val="24"/>
          <w:highlight w:val="none"/>
          <w:shd w:val="clear" w:color="auto" w:fill="FFFFFF"/>
        </w:rPr>
        <w:br w:type="textWrapping"/>
      </w:r>
      <w:r>
        <w:rPr>
          <w:rFonts w:hint="eastAsia" w:ascii="楷体" w:hAnsi="楷体" w:eastAsia="楷体" w:cs="楷体"/>
          <w:i w:val="0"/>
          <w:iCs w:val="0"/>
          <w:caps w:val="0"/>
          <w:color w:val="auto"/>
          <w:spacing w:val="0"/>
          <w:sz w:val="24"/>
          <w:szCs w:val="24"/>
          <w:highlight w:val="none"/>
          <w:shd w:val="clear" w:color="auto" w:fill="FFFFFF"/>
          <w:lang w:val="en-US" w:eastAsia="zh-CN"/>
        </w:rPr>
        <w:t xml:space="preserve">    </w:t>
      </w:r>
      <w:r>
        <w:rPr>
          <w:rFonts w:hint="eastAsia" w:ascii="楷体" w:hAnsi="楷体" w:eastAsia="楷体" w:cs="楷体"/>
          <w:i w:val="0"/>
          <w:iCs w:val="0"/>
          <w:caps w:val="0"/>
          <w:color w:val="auto"/>
          <w:spacing w:val="0"/>
          <w:sz w:val="24"/>
          <w:szCs w:val="24"/>
          <w:highlight w:val="none"/>
          <w:shd w:val="clear" w:color="auto" w:fill="FFFFFF"/>
        </w:rPr>
        <w:t>（2）授权委托书：法定代表人授权委托书、被授权人身份证（法定代表人参加磋商时,只需提供法定代表人身份证；被授权人参加磋商时，需提供开标前三个月投标人为其缴纳的社保证明材料）</w:t>
      </w:r>
      <w:r>
        <w:rPr>
          <w:rFonts w:hint="eastAsia" w:ascii="楷体" w:hAnsi="楷体" w:eastAsia="楷体" w:cs="楷体"/>
          <w:i w:val="0"/>
          <w:iCs w:val="0"/>
          <w:caps w:val="0"/>
          <w:color w:val="auto"/>
          <w:spacing w:val="0"/>
          <w:sz w:val="24"/>
          <w:szCs w:val="24"/>
          <w:highlight w:val="none"/>
          <w:shd w:val="clear" w:color="auto" w:fill="FFFFFF"/>
          <w:lang w:eastAsia="zh-CN"/>
        </w:rPr>
        <w:t>；</w:t>
      </w:r>
    </w:p>
    <w:p w14:paraId="660D1C98">
      <w:pPr>
        <w:pStyle w:val="22"/>
        <w:pageBreakBefore w:val="0"/>
        <w:kinsoku/>
        <w:wordWrap/>
        <w:overflowPunct/>
        <w:topLinePunct w:val="0"/>
        <w:autoSpaceDE/>
        <w:autoSpaceDN/>
        <w:bidi w:val="0"/>
        <w:adjustRightInd/>
        <w:snapToGrid/>
        <w:spacing w:line="360" w:lineRule="auto"/>
        <w:ind w:firstLine="480" w:firstLineChars="200"/>
        <w:textAlignment w:val="auto"/>
        <w:rPr>
          <w:rFonts w:hint="eastAsia" w:ascii="楷体" w:hAnsi="楷体" w:eastAsia="楷体" w:cs="楷体"/>
          <w:i w:val="0"/>
          <w:iCs w:val="0"/>
          <w:caps w:val="0"/>
          <w:color w:val="auto"/>
          <w:spacing w:val="0"/>
          <w:sz w:val="24"/>
          <w:szCs w:val="24"/>
          <w:highlight w:val="none"/>
          <w:shd w:val="clear" w:color="auto" w:fill="FFFFFF"/>
          <w:lang w:val="en-US" w:eastAsia="zh-CN"/>
        </w:rPr>
      </w:pPr>
      <w:r>
        <w:rPr>
          <w:rFonts w:hint="eastAsia" w:ascii="楷体" w:hAnsi="楷体" w:eastAsia="楷体" w:cs="楷体"/>
          <w:i w:val="0"/>
          <w:iCs w:val="0"/>
          <w:caps w:val="0"/>
          <w:color w:val="auto"/>
          <w:spacing w:val="0"/>
          <w:sz w:val="24"/>
          <w:szCs w:val="24"/>
          <w:highlight w:val="none"/>
          <w:shd w:val="clear" w:color="auto" w:fill="FFFFFF"/>
          <w:lang w:eastAsia="zh-CN"/>
        </w:rPr>
        <w:t>（</w:t>
      </w:r>
      <w:r>
        <w:rPr>
          <w:rFonts w:hint="eastAsia" w:ascii="楷体" w:hAnsi="楷体" w:eastAsia="楷体" w:cs="楷体"/>
          <w:i w:val="0"/>
          <w:iCs w:val="0"/>
          <w:caps w:val="0"/>
          <w:color w:val="auto"/>
          <w:spacing w:val="0"/>
          <w:sz w:val="24"/>
          <w:szCs w:val="24"/>
          <w:highlight w:val="none"/>
          <w:shd w:val="clear" w:color="auto" w:fill="FFFFFF"/>
          <w:lang w:val="en-US" w:eastAsia="zh-CN"/>
        </w:rPr>
        <w:t>3</w:t>
      </w:r>
      <w:r>
        <w:rPr>
          <w:rFonts w:hint="eastAsia" w:ascii="楷体" w:hAnsi="楷体" w:eastAsia="楷体" w:cs="楷体"/>
          <w:i w:val="0"/>
          <w:iCs w:val="0"/>
          <w:caps w:val="0"/>
          <w:color w:val="auto"/>
          <w:spacing w:val="0"/>
          <w:sz w:val="24"/>
          <w:szCs w:val="24"/>
          <w:highlight w:val="none"/>
          <w:shd w:val="clear" w:color="auto" w:fill="FFFFFF"/>
          <w:lang w:eastAsia="zh-CN"/>
        </w:rPr>
        <w:t>）</w:t>
      </w:r>
      <w:r>
        <w:rPr>
          <w:rFonts w:hint="eastAsia" w:ascii="楷体" w:hAnsi="楷体" w:eastAsia="楷体" w:cs="楷体"/>
          <w:i w:val="0"/>
          <w:iCs w:val="0"/>
          <w:caps w:val="0"/>
          <w:color w:val="auto"/>
          <w:spacing w:val="0"/>
          <w:sz w:val="24"/>
          <w:szCs w:val="24"/>
          <w:highlight w:val="none"/>
          <w:shd w:val="clear" w:color="auto" w:fill="FFFFFF"/>
          <w:lang w:val="en-US" w:eastAsia="zh-CN"/>
        </w:rPr>
        <w:t>供应商须提供合法有效的计量认证证书（CMA）及附符合响应采购包采购要求批准检测范围及限制要求的附表（检测范围能力必须全部符合该采购包项目要求并进行标记）；</w:t>
      </w:r>
    </w:p>
    <w:p w14:paraId="7577BC0C">
      <w:pPr>
        <w:pStyle w:val="1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right="0" w:rightChars="0" w:firstLine="480" w:firstLineChars="200"/>
        <w:jc w:val="both"/>
        <w:textAlignment w:val="auto"/>
        <w:rPr>
          <w:rFonts w:hint="eastAsia" w:ascii="楷体" w:hAnsi="楷体" w:eastAsia="楷体" w:cs="楷体"/>
          <w:i w:val="0"/>
          <w:iCs w:val="0"/>
          <w:caps w:val="0"/>
          <w:color w:val="auto"/>
          <w:spacing w:val="0"/>
          <w:kern w:val="0"/>
          <w:sz w:val="24"/>
          <w:szCs w:val="24"/>
          <w:highlight w:val="none"/>
          <w:shd w:val="clear" w:color="auto" w:fill="FFFFFF"/>
          <w:lang w:val="en-US" w:eastAsia="zh-CN"/>
        </w:rPr>
      </w:pPr>
      <w:r>
        <w:rPr>
          <w:rFonts w:hint="eastAsia" w:ascii="楷体" w:hAnsi="楷体" w:eastAsia="楷体" w:cs="楷体"/>
          <w:i w:val="0"/>
          <w:iCs w:val="0"/>
          <w:caps w:val="0"/>
          <w:color w:val="auto"/>
          <w:spacing w:val="0"/>
          <w:kern w:val="0"/>
          <w:sz w:val="24"/>
          <w:szCs w:val="24"/>
          <w:highlight w:val="none"/>
          <w:shd w:val="clear" w:color="auto" w:fill="FFFFFF"/>
          <w:lang w:val="en-US" w:eastAsia="zh-CN"/>
        </w:rPr>
        <w:t>（4）不接受从事承检产（商）品生产、经营活动的企业实验室参与磋商，供应商须提供书面声明；</w:t>
      </w:r>
    </w:p>
    <w:p w14:paraId="467ACD41">
      <w:pPr>
        <w:pStyle w:val="1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right="0" w:rightChars="0" w:firstLine="480" w:firstLineChars="200"/>
        <w:jc w:val="both"/>
        <w:textAlignment w:val="auto"/>
        <w:rPr>
          <w:rFonts w:hint="eastAsia" w:ascii="楷体" w:hAnsi="楷体" w:eastAsia="楷体" w:cs="楷体"/>
          <w:i w:val="0"/>
          <w:iCs w:val="0"/>
          <w:caps w:val="0"/>
          <w:color w:val="auto"/>
          <w:spacing w:val="0"/>
          <w:kern w:val="0"/>
          <w:sz w:val="24"/>
          <w:szCs w:val="24"/>
          <w:highlight w:val="none"/>
          <w:shd w:val="clear" w:color="auto" w:fill="FFFFFF"/>
          <w:lang w:val="en-US" w:eastAsia="zh-CN"/>
        </w:rPr>
      </w:pPr>
      <w:r>
        <w:rPr>
          <w:rFonts w:hint="eastAsia" w:ascii="楷体" w:hAnsi="楷体" w:eastAsia="楷体" w:cs="楷体"/>
          <w:i w:val="0"/>
          <w:iCs w:val="0"/>
          <w:caps w:val="0"/>
          <w:color w:val="auto"/>
          <w:spacing w:val="0"/>
          <w:kern w:val="0"/>
          <w:sz w:val="24"/>
          <w:szCs w:val="24"/>
          <w:highlight w:val="none"/>
          <w:shd w:val="clear" w:color="auto" w:fill="FFFFFF"/>
          <w:lang w:val="en-US" w:eastAsia="zh-CN"/>
        </w:rPr>
        <w:t>（5）不接受联合体磋商。</w:t>
      </w:r>
    </w:p>
    <w:p w14:paraId="136F0DCA">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楷体" w:hAnsi="楷体" w:eastAsia="楷体" w:cs="楷体"/>
          <w:i w:val="0"/>
          <w:iCs w:val="0"/>
          <w:caps w:val="0"/>
          <w:color w:val="auto"/>
          <w:spacing w:val="0"/>
          <w:sz w:val="24"/>
          <w:szCs w:val="24"/>
          <w:highlight w:val="none"/>
          <w:shd w:val="clear" w:color="auto" w:fill="FFFFFF"/>
        </w:rPr>
      </w:pPr>
      <w:r>
        <w:rPr>
          <w:rFonts w:hint="eastAsia" w:ascii="楷体" w:hAnsi="楷体" w:eastAsia="楷体" w:cs="楷体"/>
          <w:i w:val="0"/>
          <w:iCs w:val="0"/>
          <w:caps w:val="0"/>
          <w:color w:val="auto"/>
          <w:spacing w:val="0"/>
          <w:sz w:val="24"/>
          <w:szCs w:val="24"/>
          <w:highlight w:val="none"/>
          <w:shd w:val="clear" w:color="auto" w:fill="FFFFFF"/>
        </w:rPr>
        <w:t>合同包2(挥发性有机物)特定资格要求如下:</w:t>
      </w:r>
    </w:p>
    <w:p w14:paraId="439AC0EE">
      <w:pPr>
        <w:pStyle w:val="14"/>
        <w:keepNext w:val="0"/>
        <w:keepLines w:val="0"/>
        <w:pageBreakBefore w:val="0"/>
        <w:widowControl/>
        <w:numPr>
          <w:ilvl w:val="0"/>
          <w:numId w:val="2"/>
        </w:numPr>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楷体" w:hAnsi="楷体" w:eastAsia="楷体" w:cs="楷体"/>
          <w:i w:val="0"/>
          <w:iCs w:val="0"/>
          <w:caps w:val="0"/>
          <w:color w:val="auto"/>
          <w:spacing w:val="0"/>
          <w:sz w:val="24"/>
          <w:szCs w:val="24"/>
          <w:highlight w:val="none"/>
          <w:shd w:val="clear" w:color="auto" w:fill="FFFFFF"/>
          <w:lang w:eastAsia="zh-CN"/>
        </w:rPr>
      </w:pPr>
      <w:r>
        <w:rPr>
          <w:rFonts w:hint="eastAsia" w:ascii="楷体" w:hAnsi="楷体" w:eastAsia="楷体" w:cs="楷体"/>
          <w:i w:val="0"/>
          <w:iCs w:val="0"/>
          <w:caps w:val="0"/>
          <w:color w:val="auto"/>
          <w:spacing w:val="0"/>
          <w:sz w:val="24"/>
          <w:szCs w:val="24"/>
          <w:highlight w:val="none"/>
          <w:shd w:val="clear" w:color="auto" w:fill="FFFFFF"/>
        </w:rPr>
        <w:t>信用查询：供应商未被列入信用中国网站(www.creditchina.gov.cn)“失信被执行人、重大税收违法失信主体”；不处于中国政府采购网(www.ccgp.gov.cn)“政府采购严重违法失信行为信息记录”中的禁止参加政府采购活动期间；</w:t>
      </w:r>
      <w:r>
        <w:rPr>
          <w:rFonts w:hint="eastAsia" w:ascii="楷体" w:hAnsi="楷体" w:eastAsia="楷体" w:cs="楷体"/>
          <w:i w:val="0"/>
          <w:iCs w:val="0"/>
          <w:caps w:val="0"/>
          <w:color w:val="auto"/>
          <w:spacing w:val="0"/>
          <w:sz w:val="24"/>
          <w:szCs w:val="24"/>
          <w:highlight w:val="none"/>
          <w:shd w:val="clear" w:color="auto" w:fill="FFFFFF"/>
        </w:rPr>
        <w:br w:type="textWrapping"/>
      </w:r>
      <w:r>
        <w:rPr>
          <w:rFonts w:hint="eastAsia" w:ascii="楷体" w:hAnsi="楷体" w:eastAsia="楷体" w:cs="楷体"/>
          <w:i w:val="0"/>
          <w:iCs w:val="0"/>
          <w:caps w:val="0"/>
          <w:color w:val="auto"/>
          <w:spacing w:val="0"/>
          <w:sz w:val="24"/>
          <w:szCs w:val="24"/>
          <w:highlight w:val="none"/>
          <w:shd w:val="clear" w:color="auto" w:fill="FFFFFF"/>
          <w:lang w:val="en-US" w:eastAsia="zh-CN"/>
        </w:rPr>
        <w:t xml:space="preserve">    </w:t>
      </w:r>
      <w:r>
        <w:rPr>
          <w:rFonts w:hint="eastAsia" w:ascii="楷体" w:hAnsi="楷体" w:eastAsia="楷体" w:cs="楷体"/>
          <w:i w:val="0"/>
          <w:iCs w:val="0"/>
          <w:caps w:val="0"/>
          <w:color w:val="auto"/>
          <w:spacing w:val="0"/>
          <w:sz w:val="24"/>
          <w:szCs w:val="24"/>
          <w:highlight w:val="none"/>
          <w:shd w:val="clear" w:color="auto" w:fill="FFFFFF"/>
        </w:rPr>
        <w:t>（2）授权委托书：法定代表人授权委托书、被授权人身份证（法定代表人参加磋商时,只需提供法定代表人身份证；被授权人参加磋商时，需提供开标前三个月投标人为其缴纳的社保证明材料）</w:t>
      </w:r>
      <w:r>
        <w:rPr>
          <w:rFonts w:hint="eastAsia" w:ascii="楷体" w:hAnsi="楷体" w:eastAsia="楷体" w:cs="楷体"/>
          <w:i w:val="0"/>
          <w:iCs w:val="0"/>
          <w:caps w:val="0"/>
          <w:color w:val="auto"/>
          <w:spacing w:val="0"/>
          <w:sz w:val="24"/>
          <w:szCs w:val="24"/>
          <w:highlight w:val="none"/>
          <w:shd w:val="clear" w:color="auto" w:fill="FFFFFF"/>
          <w:lang w:eastAsia="zh-CN"/>
        </w:rPr>
        <w:t>；</w:t>
      </w:r>
    </w:p>
    <w:p w14:paraId="7A1127A3">
      <w:pPr>
        <w:pStyle w:val="22"/>
        <w:pageBreakBefore w:val="0"/>
        <w:kinsoku/>
        <w:wordWrap/>
        <w:overflowPunct/>
        <w:topLinePunct w:val="0"/>
        <w:autoSpaceDE/>
        <w:autoSpaceDN/>
        <w:bidi w:val="0"/>
        <w:adjustRightInd/>
        <w:snapToGrid/>
        <w:spacing w:line="360" w:lineRule="auto"/>
        <w:ind w:firstLine="480" w:firstLineChars="200"/>
        <w:textAlignment w:val="auto"/>
        <w:rPr>
          <w:rFonts w:hint="eastAsia" w:ascii="楷体" w:hAnsi="楷体" w:eastAsia="楷体" w:cs="楷体"/>
          <w:i w:val="0"/>
          <w:iCs w:val="0"/>
          <w:caps w:val="0"/>
          <w:color w:val="auto"/>
          <w:spacing w:val="0"/>
          <w:sz w:val="24"/>
          <w:szCs w:val="24"/>
          <w:highlight w:val="none"/>
          <w:shd w:val="clear" w:color="auto" w:fill="FFFFFF"/>
          <w:lang w:val="en-US" w:eastAsia="zh-CN"/>
        </w:rPr>
      </w:pPr>
      <w:r>
        <w:rPr>
          <w:rFonts w:hint="eastAsia" w:ascii="楷体" w:hAnsi="楷体" w:eastAsia="楷体" w:cs="楷体"/>
          <w:i w:val="0"/>
          <w:iCs w:val="0"/>
          <w:caps w:val="0"/>
          <w:color w:val="auto"/>
          <w:spacing w:val="0"/>
          <w:sz w:val="24"/>
          <w:szCs w:val="24"/>
          <w:highlight w:val="none"/>
          <w:shd w:val="clear" w:color="auto" w:fill="FFFFFF"/>
          <w:lang w:eastAsia="zh-CN"/>
        </w:rPr>
        <w:t>（</w:t>
      </w:r>
      <w:r>
        <w:rPr>
          <w:rFonts w:hint="eastAsia" w:ascii="楷体" w:hAnsi="楷体" w:eastAsia="楷体" w:cs="楷体"/>
          <w:i w:val="0"/>
          <w:iCs w:val="0"/>
          <w:caps w:val="0"/>
          <w:color w:val="auto"/>
          <w:spacing w:val="0"/>
          <w:sz w:val="24"/>
          <w:szCs w:val="24"/>
          <w:highlight w:val="none"/>
          <w:shd w:val="clear" w:color="auto" w:fill="FFFFFF"/>
          <w:lang w:val="en-US" w:eastAsia="zh-CN"/>
        </w:rPr>
        <w:t>3</w:t>
      </w:r>
      <w:r>
        <w:rPr>
          <w:rFonts w:hint="eastAsia" w:ascii="楷体" w:hAnsi="楷体" w:eastAsia="楷体" w:cs="楷体"/>
          <w:i w:val="0"/>
          <w:iCs w:val="0"/>
          <w:caps w:val="0"/>
          <w:color w:val="auto"/>
          <w:spacing w:val="0"/>
          <w:sz w:val="24"/>
          <w:szCs w:val="24"/>
          <w:highlight w:val="none"/>
          <w:shd w:val="clear" w:color="auto" w:fill="FFFFFF"/>
          <w:lang w:eastAsia="zh-CN"/>
        </w:rPr>
        <w:t>）</w:t>
      </w:r>
      <w:r>
        <w:rPr>
          <w:rFonts w:hint="eastAsia" w:ascii="楷体" w:hAnsi="楷体" w:eastAsia="楷体" w:cs="楷体"/>
          <w:i w:val="0"/>
          <w:iCs w:val="0"/>
          <w:caps w:val="0"/>
          <w:color w:val="auto"/>
          <w:spacing w:val="0"/>
          <w:sz w:val="24"/>
          <w:szCs w:val="24"/>
          <w:highlight w:val="none"/>
          <w:shd w:val="clear" w:color="auto" w:fill="FFFFFF"/>
          <w:lang w:val="en-US" w:eastAsia="zh-CN"/>
        </w:rPr>
        <w:t>供应商须提供合法有效的计量认证证书（CMA）及附符合响应采购包采购要求批准检测范围及限制要求的附表（检测范围能力必须全部符合该采购包项目要求并进行标记）；</w:t>
      </w:r>
    </w:p>
    <w:p w14:paraId="707312D9">
      <w:pPr>
        <w:pStyle w:val="1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right="0" w:rightChars="0" w:firstLine="480" w:firstLineChars="200"/>
        <w:jc w:val="both"/>
        <w:textAlignment w:val="auto"/>
        <w:rPr>
          <w:rFonts w:hint="eastAsia" w:ascii="楷体" w:hAnsi="楷体" w:eastAsia="楷体" w:cs="楷体"/>
          <w:i w:val="0"/>
          <w:iCs w:val="0"/>
          <w:caps w:val="0"/>
          <w:color w:val="auto"/>
          <w:spacing w:val="0"/>
          <w:kern w:val="0"/>
          <w:sz w:val="24"/>
          <w:szCs w:val="24"/>
          <w:highlight w:val="none"/>
          <w:shd w:val="clear" w:color="auto" w:fill="FFFFFF"/>
          <w:lang w:val="en-US" w:eastAsia="zh-CN"/>
        </w:rPr>
      </w:pPr>
      <w:r>
        <w:rPr>
          <w:rFonts w:hint="eastAsia" w:ascii="楷体" w:hAnsi="楷体" w:eastAsia="楷体" w:cs="楷体"/>
          <w:i w:val="0"/>
          <w:iCs w:val="0"/>
          <w:caps w:val="0"/>
          <w:color w:val="auto"/>
          <w:spacing w:val="0"/>
          <w:kern w:val="0"/>
          <w:sz w:val="24"/>
          <w:szCs w:val="24"/>
          <w:highlight w:val="none"/>
          <w:shd w:val="clear" w:color="auto" w:fill="FFFFFF"/>
          <w:lang w:val="en-US" w:eastAsia="zh-CN"/>
        </w:rPr>
        <w:t>（4）不接受从事承检产（商）品生产、经营活动的企业实验室参与磋商，供应商须提供书面声明；</w:t>
      </w:r>
    </w:p>
    <w:p w14:paraId="7979955C">
      <w:pPr>
        <w:pStyle w:val="1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right="0" w:rightChars="0" w:firstLine="480" w:firstLineChars="200"/>
        <w:jc w:val="both"/>
        <w:textAlignment w:val="auto"/>
        <w:rPr>
          <w:rFonts w:hint="eastAsia" w:ascii="楷体" w:hAnsi="楷体" w:eastAsia="楷体" w:cs="楷体"/>
          <w:i w:val="0"/>
          <w:iCs w:val="0"/>
          <w:caps w:val="0"/>
          <w:color w:val="auto"/>
          <w:spacing w:val="0"/>
          <w:kern w:val="0"/>
          <w:sz w:val="24"/>
          <w:szCs w:val="24"/>
          <w:highlight w:val="none"/>
          <w:shd w:val="clear" w:color="auto" w:fill="FFFFFF"/>
          <w:lang w:val="en-US" w:eastAsia="zh-CN"/>
        </w:rPr>
      </w:pPr>
      <w:r>
        <w:rPr>
          <w:rFonts w:hint="eastAsia" w:ascii="楷体" w:hAnsi="楷体" w:eastAsia="楷体" w:cs="楷体"/>
          <w:i w:val="0"/>
          <w:iCs w:val="0"/>
          <w:caps w:val="0"/>
          <w:color w:val="auto"/>
          <w:spacing w:val="0"/>
          <w:kern w:val="0"/>
          <w:sz w:val="24"/>
          <w:szCs w:val="24"/>
          <w:highlight w:val="none"/>
          <w:shd w:val="clear" w:color="auto" w:fill="FFFFFF"/>
          <w:lang w:val="en-US" w:eastAsia="zh-CN"/>
        </w:rPr>
        <w:t>（5）不接受联合体磋商。</w:t>
      </w:r>
    </w:p>
    <w:p w14:paraId="25585584">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楷体" w:hAnsi="楷体" w:eastAsia="楷体" w:cs="楷体"/>
          <w:i w:val="0"/>
          <w:iCs w:val="0"/>
          <w:caps w:val="0"/>
          <w:color w:val="auto"/>
          <w:spacing w:val="0"/>
          <w:sz w:val="24"/>
          <w:szCs w:val="24"/>
          <w:highlight w:val="none"/>
          <w:shd w:val="clear" w:color="auto" w:fill="FFFFFF"/>
        </w:rPr>
      </w:pPr>
      <w:r>
        <w:rPr>
          <w:rFonts w:hint="eastAsia" w:ascii="楷体" w:hAnsi="楷体" w:eastAsia="楷体" w:cs="楷体"/>
          <w:i w:val="0"/>
          <w:iCs w:val="0"/>
          <w:caps w:val="0"/>
          <w:color w:val="auto"/>
          <w:spacing w:val="0"/>
          <w:sz w:val="24"/>
          <w:szCs w:val="24"/>
          <w:highlight w:val="none"/>
          <w:shd w:val="clear" w:color="auto" w:fill="FFFFFF"/>
        </w:rPr>
        <w:t>合同包3(燃气器具)特定资格要求如下:</w:t>
      </w:r>
    </w:p>
    <w:p w14:paraId="41323C11">
      <w:pPr>
        <w:pStyle w:val="14"/>
        <w:keepNext w:val="0"/>
        <w:keepLines w:val="0"/>
        <w:pageBreakBefore w:val="0"/>
        <w:widowControl/>
        <w:numPr>
          <w:ilvl w:val="0"/>
          <w:numId w:val="3"/>
        </w:numPr>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楷体" w:hAnsi="楷体" w:eastAsia="楷体" w:cs="楷体"/>
          <w:i w:val="0"/>
          <w:iCs w:val="0"/>
          <w:caps w:val="0"/>
          <w:color w:val="auto"/>
          <w:spacing w:val="0"/>
          <w:sz w:val="24"/>
          <w:szCs w:val="24"/>
          <w:highlight w:val="none"/>
          <w:shd w:val="clear" w:color="auto" w:fill="FFFFFF"/>
          <w:lang w:eastAsia="zh-CN"/>
        </w:rPr>
      </w:pPr>
      <w:r>
        <w:rPr>
          <w:rFonts w:hint="eastAsia" w:ascii="楷体" w:hAnsi="楷体" w:eastAsia="楷体" w:cs="楷体"/>
          <w:i w:val="0"/>
          <w:iCs w:val="0"/>
          <w:caps w:val="0"/>
          <w:color w:val="auto"/>
          <w:spacing w:val="0"/>
          <w:sz w:val="24"/>
          <w:szCs w:val="24"/>
          <w:highlight w:val="none"/>
          <w:shd w:val="clear" w:color="auto" w:fill="FFFFFF"/>
        </w:rPr>
        <w:t>信用查询：供应商未被列入信用中国网站(www.creditchina.gov.cn)“失信被执行人、重大税收违法失信主体”；不处于中国政府采购网(www.ccgp.gov.cn)“政府采购严重违法失信行为信息记录”中的禁止参加政府采购活动期间；</w:t>
      </w:r>
      <w:r>
        <w:rPr>
          <w:rFonts w:hint="eastAsia" w:ascii="楷体" w:hAnsi="楷体" w:eastAsia="楷体" w:cs="楷体"/>
          <w:i w:val="0"/>
          <w:iCs w:val="0"/>
          <w:caps w:val="0"/>
          <w:color w:val="auto"/>
          <w:spacing w:val="0"/>
          <w:sz w:val="24"/>
          <w:szCs w:val="24"/>
          <w:highlight w:val="none"/>
          <w:shd w:val="clear" w:color="auto" w:fill="FFFFFF"/>
        </w:rPr>
        <w:br w:type="textWrapping"/>
      </w:r>
      <w:r>
        <w:rPr>
          <w:rFonts w:hint="eastAsia" w:ascii="楷体" w:hAnsi="楷体" w:eastAsia="楷体" w:cs="楷体"/>
          <w:i w:val="0"/>
          <w:iCs w:val="0"/>
          <w:caps w:val="0"/>
          <w:color w:val="auto"/>
          <w:spacing w:val="0"/>
          <w:sz w:val="24"/>
          <w:szCs w:val="24"/>
          <w:highlight w:val="none"/>
          <w:shd w:val="clear" w:color="auto" w:fill="FFFFFF"/>
          <w:lang w:val="en-US" w:eastAsia="zh-CN"/>
        </w:rPr>
        <w:t xml:space="preserve">    </w:t>
      </w:r>
      <w:r>
        <w:rPr>
          <w:rFonts w:hint="eastAsia" w:ascii="楷体" w:hAnsi="楷体" w:eastAsia="楷体" w:cs="楷体"/>
          <w:i w:val="0"/>
          <w:iCs w:val="0"/>
          <w:caps w:val="0"/>
          <w:color w:val="auto"/>
          <w:spacing w:val="0"/>
          <w:sz w:val="24"/>
          <w:szCs w:val="24"/>
          <w:highlight w:val="none"/>
          <w:shd w:val="clear" w:color="auto" w:fill="FFFFFF"/>
        </w:rPr>
        <w:t>（2）授权委托书：法定代表人授权委托书、被授权人身份证（法定代表人参加磋商时,只需提供法定代表人身份证；被授权人参加磋商时，需提供开标前三个月投标人为其缴纳的社保证明材料）；</w:t>
      </w:r>
      <w:r>
        <w:rPr>
          <w:rFonts w:hint="eastAsia" w:ascii="楷体" w:hAnsi="楷体" w:eastAsia="楷体" w:cs="楷体"/>
          <w:i w:val="0"/>
          <w:iCs w:val="0"/>
          <w:caps w:val="0"/>
          <w:color w:val="auto"/>
          <w:spacing w:val="0"/>
          <w:sz w:val="24"/>
          <w:szCs w:val="24"/>
          <w:highlight w:val="none"/>
          <w:shd w:val="clear" w:color="auto" w:fill="FFFFFF"/>
        </w:rPr>
        <w:br w:type="textWrapping"/>
      </w:r>
      <w:r>
        <w:rPr>
          <w:rFonts w:hint="eastAsia" w:ascii="楷体" w:hAnsi="楷体" w:eastAsia="楷体" w:cs="楷体"/>
          <w:i w:val="0"/>
          <w:iCs w:val="0"/>
          <w:caps w:val="0"/>
          <w:color w:val="auto"/>
          <w:spacing w:val="0"/>
          <w:sz w:val="24"/>
          <w:szCs w:val="24"/>
          <w:highlight w:val="none"/>
          <w:shd w:val="clear" w:color="auto" w:fill="FFFFFF"/>
          <w:lang w:val="en-US" w:eastAsia="zh-CN"/>
        </w:rPr>
        <w:t xml:space="preserve">   </w:t>
      </w:r>
      <w:r>
        <w:rPr>
          <w:rFonts w:hint="eastAsia" w:ascii="楷体" w:hAnsi="楷体" w:eastAsia="楷体" w:cs="楷体"/>
          <w:i w:val="0"/>
          <w:iCs w:val="0"/>
          <w:caps w:val="0"/>
          <w:color w:val="auto"/>
          <w:spacing w:val="0"/>
          <w:sz w:val="24"/>
          <w:szCs w:val="24"/>
          <w:highlight w:val="none"/>
          <w:shd w:val="clear" w:color="auto" w:fill="FFFFFF"/>
        </w:rPr>
        <w:t>（3）本合同包专门面向中小企业采购，供应商应填写中小企业声明函并对真实性负责(残疾人 福利性单位及监狱企业视同为小型、微型企业)</w:t>
      </w:r>
      <w:r>
        <w:rPr>
          <w:rFonts w:hint="eastAsia" w:ascii="楷体" w:hAnsi="楷体" w:eastAsia="楷体" w:cs="楷体"/>
          <w:i w:val="0"/>
          <w:iCs w:val="0"/>
          <w:caps w:val="0"/>
          <w:color w:val="auto"/>
          <w:spacing w:val="0"/>
          <w:sz w:val="24"/>
          <w:szCs w:val="24"/>
          <w:highlight w:val="none"/>
          <w:shd w:val="clear" w:color="auto" w:fill="FFFFFF"/>
          <w:lang w:eastAsia="zh-CN"/>
        </w:rPr>
        <w:t>；</w:t>
      </w:r>
    </w:p>
    <w:p w14:paraId="2D3566A4">
      <w:pPr>
        <w:pStyle w:val="22"/>
        <w:pageBreakBefore w:val="0"/>
        <w:kinsoku/>
        <w:wordWrap/>
        <w:overflowPunct/>
        <w:topLinePunct w:val="0"/>
        <w:autoSpaceDE/>
        <w:autoSpaceDN/>
        <w:bidi w:val="0"/>
        <w:adjustRightInd/>
        <w:snapToGrid/>
        <w:spacing w:line="360" w:lineRule="auto"/>
        <w:ind w:firstLine="480" w:firstLineChars="200"/>
        <w:textAlignment w:val="auto"/>
        <w:rPr>
          <w:rFonts w:hint="eastAsia" w:ascii="楷体" w:hAnsi="楷体" w:eastAsia="楷体" w:cs="楷体"/>
          <w:i w:val="0"/>
          <w:iCs w:val="0"/>
          <w:caps w:val="0"/>
          <w:color w:val="auto"/>
          <w:spacing w:val="0"/>
          <w:sz w:val="24"/>
          <w:szCs w:val="24"/>
          <w:highlight w:val="none"/>
          <w:shd w:val="clear" w:color="auto" w:fill="FFFFFF"/>
          <w:lang w:val="en-US" w:eastAsia="zh-CN"/>
        </w:rPr>
      </w:pPr>
      <w:r>
        <w:rPr>
          <w:rFonts w:hint="eastAsia" w:ascii="楷体" w:hAnsi="楷体" w:eastAsia="楷体" w:cs="楷体"/>
          <w:i w:val="0"/>
          <w:iCs w:val="0"/>
          <w:caps w:val="0"/>
          <w:color w:val="auto"/>
          <w:spacing w:val="0"/>
          <w:sz w:val="24"/>
          <w:szCs w:val="24"/>
          <w:highlight w:val="none"/>
          <w:shd w:val="clear" w:color="auto" w:fill="FFFFFF"/>
          <w:lang w:eastAsia="zh-CN"/>
        </w:rPr>
        <w:t>（</w:t>
      </w:r>
      <w:r>
        <w:rPr>
          <w:rFonts w:hint="eastAsia" w:ascii="楷体" w:hAnsi="楷体" w:eastAsia="楷体" w:cs="楷体"/>
          <w:i w:val="0"/>
          <w:iCs w:val="0"/>
          <w:caps w:val="0"/>
          <w:color w:val="auto"/>
          <w:spacing w:val="0"/>
          <w:sz w:val="24"/>
          <w:szCs w:val="24"/>
          <w:highlight w:val="none"/>
          <w:shd w:val="clear" w:color="auto" w:fill="FFFFFF"/>
          <w:lang w:val="en-US" w:eastAsia="zh-CN"/>
        </w:rPr>
        <w:t>4</w:t>
      </w:r>
      <w:r>
        <w:rPr>
          <w:rFonts w:hint="eastAsia" w:ascii="楷体" w:hAnsi="楷体" w:eastAsia="楷体" w:cs="楷体"/>
          <w:i w:val="0"/>
          <w:iCs w:val="0"/>
          <w:caps w:val="0"/>
          <w:color w:val="auto"/>
          <w:spacing w:val="0"/>
          <w:sz w:val="24"/>
          <w:szCs w:val="24"/>
          <w:highlight w:val="none"/>
          <w:shd w:val="clear" w:color="auto" w:fill="FFFFFF"/>
          <w:lang w:eastAsia="zh-CN"/>
        </w:rPr>
        <w:t>）</w:t>
      </w:r>
      <w:r>
        <w:rPr>
          <w:rFonts w:hint="eastAsia" w:ascii="楷体" w:hAnsi="楷体" w:eastAsia="楷体" w:cs="楷体"/>
          <w:i w:val="0"/>
          <w:iCs w:val="0"/>
          <w:caps w:val="0"/>
          <w:color w:val="auto"/>
          <w:spacing w:val="0"/>
          <w:sz w:val="24"/>
          <w:szCs w:val="24"/>
          <w:highlight w:val="none"/>
          <w:shd w:val="clear" w:color="auto" w:fill="FFFFFF"/>
          <w:lang w:val="en-US" w:eastAsia="zh-CN"/>
        </w:rPr>
        <w:t>供应商须提供合法有效的计量认证证书（CMA）及附符合响应采购包采购要求批准检测范围及限制要求的附表（检测范围能力必须全部符合该采购包项目要求并进行标记）；</w:t>
      </w:r>
    </w:p>
    <w:p w14:paraId="022CBE8B">
      <w:pPr>
        <w:pStyle w:val="1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right="0" w:rightChars="0" w:firstLine="480" w:firstLineChars="200"/>
        <w:jc w:val="both"/>
        <w:textAlignment w:val="auto"/>
        <w:rPr>
          <w:rFonts w:hint="eastAsia" w:ascii="楷体" w:hAnsi="楷体" w:eastAsia="楷体" w:cs="楷体"/>
          <w:i w:val="0"/>
          <w:iCs w:val="0"/>
          <w:caps w:val="0"/>
          <w:color w:val="auto"/>
          <w:spacing w:val="0"/>
          <w:kern w:val="0"/>
          <w:sz w:val="24"/>
          <w:szCs w:val="24"/>
          <w:highlight w:val="none"/>
          <w:shd w:val="clear" w:color="auto" w:fill="FFFFFF"/>
          <w:lang w:val="en-US" w:eastAsia="zh-CN"/>
        </w:rPr>
      </w:pPr>
      <w:r>
        <w:rPr>
          <w:rFonts w:hint="eastAsia" w:ascii="楷体" w:hAnsi="楷体" w:eastAsia="楷体" w:cs="楷体"/>
          <w:i w:val="0"/>
          <w:iCs w:val="0"/>
          <w:caps w:val="0"/>
          <w:color w:val="auto"/>
          <w:spacing w:val="0"/>
          <w:kern w:val="0"/>
          <w:sz w:val="24"/>
          <w:szCs w:val="24"/>
          <w:highlight w:val="none"/>
          <w:shd w:val="clear" w:color="auto" w:fill="FFFFFF"/>
          <w:lang w:val="en-US" w:eastAsia="zh-CN"/>
        </w:rPr>
        <w:t>（5）不接受从事承检产（商）品生产、经营活动的企业实验室参与磋商，供应商须提供书面声明；</w:t>
      </w:r>
    </w:p>
    <w:p w14:paraId="69C5FDB5">
      <w:pPr>
        <w:pStyle w:val="1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right="0" w:rightChars="0" w:firstLine="480" w:firstLineChars="200"/>
        <w:jc w:val="both"/>
        <w:textAlignment w:val="auto"/>
        <w:rPr>
          <w:rFonts w:hint="eastAsia" w:ascii="楷体" w:hAnsi="楷体" w:eastAsia="楷体" w:cs="楷体"/>
          <w:i w:val="0"/>
          <w:iCs w:val="0"/>
          <w:caps w:val="0"/>
          <w:color w:val="auto"/>
          <w:spacing w:val="0"/>
          <w:kern w:val="0"/>
          <w:sz w:val="24"/>
          <w:szCs w:val="24"/>
          <w:highlight w:val="none"/>
          <w:shd w:val="clear" w:color="auto" w:fill="FFFFFF"/>
          <w:lang w:val="en-US" w:eastAsia="zh-CN"/>
        </w:rPr>
      </w:pPr>
      <w:r>
        <w:rPr>
          <w:rFonts w:hint="eastAsia" w:ascii="楷体" w:hAnsi="楷体" w:eastAsia="楷体" w:cs="楷体"/>
          <w:i w:val="0"/>
          <w:iCs w:val="0"/>
          <w:caps w:val="0"/>
          <w:color w:val="auto"/>
          <w:spacing w:val="0"/>
          <w:kern w:val="0"/>
          <w:sz w:val="24"/>
          <w:szCs w:val="24"/>
          <w:highlight w:val="none"/>
          <w:shd w:val="clear" w:color="auto" w:fill="FFFFFF"/>
          <w:lang w:val="en-US" w:eastAsia="zh-CN"/>
        </w:rPr>
        <w:t>（6）不接受联合体磋商。</w:t>
      </w:r>
    </w:p>
    <w:p w14:paraId="75F276FB">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楷体" w:hAnsi="楷体" w:eastAsia="楷体" w:cs="楷体"/>
          <w:i w:val="0"/>
          <w:iCs w:val="0"/>
          <w:caps w:val="0"/>
          <w:color w:val="auto"/>
          <w:spacing w:val="0"/>
          <w:sz w:val="24"/>
          <w:szCs w:val="24"/>
          <w:highlight w:val="none"/>
          <w:shd w:val="clear" w:color="auto" w:fill="FFFFFF"/>
        </w:rPr>
      </w:pPr>
      <w:r>
        <w:rPr>
          <w:rFonts w:hint="eastAsia" w:ascii="楷体" w:hAnsi="楷体" w:eastAsia="楷体" w:cs="楷体"/>
          <w:i w:val="0"/>
          <w:iCs w:val="0"/>
          <w:caps w:val="0"/>
          <w:color w:val="auto"/>
          <w:spacing w:val="0"/>
          <w:sz w:val="24"/>
          <w:szCs w:val="24"/>
          <w:highlight w:val="none"/>
          <w:shd w:val="clear" w:color="auto" w:fill="FFFFFF"/>
        </w:rPr>
        <w:t>合同包4(消防产品)特定资格要求如下:</w:t>
      </w:r>
    </w:p>
    <w:p w14:paraId="1275574D">
      <w:pPr>
        <w:pStyle w:val="14"/>
        <w:keepNext w:val="0"/>
        <w:keepLines w:val="0"/>
        <w:pageBreakBefore w:val="0"/>
        <w:widowControl/>
        <w:numPr>
          <w:ilvl w:val="0"/>
          <w:numId w:val="4"/>
        </w:numPr>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楷体" w:hAnsi="楷体" w:eastAsia="楷体" w:cs="楷体"/>
          <w:i w:val="0"/>
          <w:iCs w:val="0"/>
          <w:caps w:val="0"/>
          <w:color w:val="auto"/>
          <w:spacing w:val="0"/>
          <w:sz w:val="24"/>
          <w:szCs w:val="24"/>
          <w:highlight w:val="none"/>
          <w:shd w:val="clear" w:color="auto" w:fill="FFFFFF"/>
          <w:lang w:eastAsia="zh-CN"/>
        </w:rPr>
      </w:pPr>
      <w:r>
        <w:rPr>
          <w:rFonts w:hint="eastAsia" w:ascii="楷体" w:hAnsi="楷体" w:eastAsia="楷体" w:cs="楷体"/>
          <w:i w:val="0"/>
          <w:iCs w:val="0"/>
          <w:caps w:val="0"/>
          <w:color w:val="auto"/>
          <w:spacing w:val="0"/>
          <w:sz w:val="24"/>
          <w:szCs w:val="24"/>
          <w:highlight w:val="none"/>
          <w:shd w:val="clear" w:color="auto" w:fill="FFFFFF"/>
        </w:rPr>
        <w:t>信用查询：供应商未被列入信用中国网站(www.creditchina.gov.cn)“失信被执行人、重大税收违法失信主体”；不处于中国政府采购网(www.ccgp.gov.cn)“政府采购严重违法失信行为信息记录”中的禁止参加政府采购活动期间；</w:t>
      </w:r>
      <w:r>
        <w:rPr>
          <w:rFonts w:hint="eastAsia" w:ascii="楷体" w:hAnsi="楷体" w:eastAsia="楷体" w:cs="楷体"/>
          <w:i w:val="0"/>
          <w:iCs w:val="0"/>
          <w:caps w:val="0"/>
          <w:color w:val="auto"/>
          <w:spacing w:val="0"/>
          <w:sz w:val="24"/>
          <w:szCs w:val="24"/>
          <w:highlight w:val="none"/>
          <w:shd w:val="clear" w:color="auto" w:fill="FFFFFF"/>
        </w:rPr>
        <w:br w:type="textWrapping"/>
      </w:r>
      <w:r>
        <w:rPr>
          <w:rFonts w:hint="eastAsia" w:ascii="楷体" w:hAnsi="楷体" w:eastAsia="楷体" w:cs="楷体"/>
          <w:i w:val="0"/>
          <w:iCs w:val="0"/>
          <w:caps w:val="0"/>
          <w:color w:val="auto"/>
          <w:spacing w:val="0"/>
          <w:sz w:val="24"/>
          <w:szCs w:val="24"/>
          <w:highlight w:val="none"/>
          <w:shd w:val="clear" w:color="auto" w:fill="FFFFFF"/>
          <w:lang w:val="en-US" w:eastAsia="zh-CN"/>
        </w:rPr>
        <w:t xml:space="preserve">   </w:t>
      </w:r>
      <w:r>
        <w:rPr>
          <w:rFonts w:hint="eastAsia" w:ascii="楷体" w:hAnsi="楷体" w:eastAsia="楷体" w:cs="楷体"/>
          <w:i w:val="0"/>
          <w:iCs w:val="0"/>
          <w:caps w:val="0"/>
          <w:color w:val="auto"/>
          <w:spacing w:val="0"/>
          <w:sz w:val="24"/>
          <w:szCs w:val="24"/>
          <w:highlight w:val="none"/>
          <w:shd w:val="clear" w:color="auto" w:fill="FFFFFF"/>
        </w:rPr>
        <w:t>（2）授权委托书：法定代表人授权委托书、被授权人身份证（法定代表人参加磋商时,只需提供法定代表人身份证；被授权人参加磋商时，需提供开标前三个月投标人为其缴纳的社保证明材料）；</w:t>
      </w:r>
      <w:r>
        <w:rPr>
          <w:rFonts w:hint="eastAsia" w:ascii="楷体" w:hAnsi="楷体" w:eastAsia="楷体" w:cs="楷体"/>
          <w:i w:val="0"/>
          <w:iCs w:val="0"/>
          <w:caps w:val="0"/>
          <w:color w:val="auto"/>
          <w:spacing w:val="0"/>
          <w:sz w:val="24"/>
          <w:szCs w:val="24"/>
          <w:highlight w:val="none"/>
          <w:shd w:val="clear" w:color="auto" w:fill="FFFFFF"/>
        </w:rPr>
        <w:br w:type="textWrapping"/>
      </w:r>
      <w:r>
        <w:rPr>
          <w:rFonts w:hint="eastAsia" w:ascii="楷体" w:hAnsi="楷体" w:eastAsia="楷体" w:cs="楷体"/>
          <w:i w:val="0"/>
          <w:iCs w:val="0"/>
          <w:caps w:val="0"/>
          <w:color w:val="auto"/>
          <w:spacing w:val="0"/>
          <w:sz w:val="24"/>
          <w:szCs w:val="24"/>
          <w:highlight w:val="none"/>
          <w:shd w:val="clear" w:color="auto" w:fill="FFFFFF"/>
          <w:lang w:val="en-US" w:eastAsia="zh-CN"/>
        </w:rPr>
        <w:t xml:space="preserve">   </w:t>
      </w:r>
      <w:r>
        <w:rPr>
          <w:rFonts w:hint="eastAsia" w:ascii="楷体" w:hAnsi="楷体" w:eastAsia="楷体" w:cs="楷体"/>
          <w:i w:val="0"/>
          <w:iCs w:val="0"/>
          <w:caps w:val="0"/>
          <w:color w:val="auto"/>
          <w:spacing w:val="0"/>
          <w:sz w:val="24"/>
          <w:szCs w:val="24"/>
          <w:highlight w:val="none"/>
          <w:shd w:val="clear" w:color="auto" w:fill="FFFFFF"/>
        </w:rPr>
        <w:t>（3）本合同包专门面向中小企业采购，供应商应填写中小企业声明函并对真实性负责(残疾人 福利性单位及监狱企业视同为小型、微型企业)</w:t>
      </w:r>
      <w:r>
        <w:rPr>
          <w:rFonts w:hint="eastAsia" w:ascii="楷体" w:hAnsi="楷体" w:eastAsia="楷体" w:cs="楷体"/>
          <w:i w:val="0"/>
          <w:iCs w:val="0"/>
          <w:caps w:val="0"/>
          <w:color w:val="auto"/>
          <w:spacing w:val="0"/>
          <w:sz w:val="24"/>
          <w:szCs w:val="24"/>
          <w:highlight w:val="none"/>
          <w:shd w:val="clear" w:color="auto" w:fill="FFFFFF"/>
          <w:lang w:eastAsia="zh-CN"/>
        </w:rPr>
        <w:t>；</w:t>
      </w:r>
    </w:p>
    <w:p w14:paraId="3F2EEE08">
      <w:pPr>
        <w:pStyle w:val="22"/>
        <w:pageBreakBefore w:val="0"/>
        <w:kinsoku/>
        <w:wordWrap/>
        <w:overflowPunct/>
        <w:topLinePunct w:val="0"/>
        <w:autoSpaceDE/>
        <w:autoSpaceDN/>
        <w:bidi w:val="0"/>
        <w:adjustRightInd/>
        <w:snapToGrid/>
        <w:spacing w:line="360" w:lineRule="auto"/>
        <w:ind w:firstLine="480" w:firstLineChars="200"/>
        <w:textAlignment w:val="auto"/>
        <w:rPr>
          <w:rFonts w:hint="eastAsia" w:ascii="楷体" w:hAnsi="楷体" w:eastAsia="楷体" w:cs="楷体"/>
          <w:i w:val="0"/>
          <w:iCs w:val="0"/>
          <w:caps w:val="0"/>
          <w:color w:val="auto"/>
          <w:spacing w:val="0"/>
          <w:sz w:val="24"/>
          <w:szCs w:val="24"/>
          <w:highlight w:val="none"/>
          <w:shd w:val="clear" w:color="auto" w:fill="FFFFFF"/>
          <w:lang w:val="en-US" w:eastAsia="zh-CN"/>
        </w:rPr>
      </w:pPr>
      <w:r>
        <w:rPr>
          <w:rFonts w:hint="eastAsia" w:ascii="楷体" w:hAnsi="楷体" w:eastAsia="楷体" w:cs="楷体"/>
          <w:i w:val="0"/>
          <w:iCs w:val="0"/>
          <w:caps w:val="0"/>
          <w:color w:val="auto"/>
          <w:spacing w:val="0"/>
          <w:sz w:val="24"/>
          <w:szCs w:val="24"/>
          <w:highlight w:val="none"/>
          <w:shd w:val="clear" w:color="auto" w:fill="FFFFFF"/>
          <w:lang w:eastAsia="zh-CN"/>
        </w:rPr>
        <w:t>（</w:t>
      </w:r>
      <w:r>
        <w:rPr>
          <w:rFonts w:hint="eastAsia" w:ascii="楷体" w:hAnsi="楷体" w:eastAsia="楷体" w:cs="楷体"/>
          <w:i w:val="0"/>
          <w:iCs w:val="0"/>
          <w:caps w:val="0"/>
          <w:color w:val="auto"/>
          <w:spacing w:val="0"/>
          <w:sz w:val="24"/>
          <w:szCs w:val="24"/>
          <w:highlight w:val="none"/>
          <w:shd w:val="clear" w:color="auto" w:fill="FFFFFF"/>
          <w:lang w:val="en-US" w:eastAsia="zh-CN"/>
        </w:rPr>
        <w:t>4</w:t>
      </w:r>
      <w:r>
        <w:rPr>
          <w:rFonts w:hint="eastAsia" w:ascii="楷体" w:hAnsi="楷体" w:eastAsia="楷体" w:cs="楷体"/>
          <w:i w:val="0"/>
          <w:iCs w:val="0"/>
          <w:caps w:val="0"/>
          <w:color w:val="auto"/>
          <w:spacing w:val="0"/>
          <w:sz w:val="24"/>
          <w:szCs w:val="24"/>
          <w:highlight w:val="none"/>
          <w:shd w:val="clear" w:color="auto" w:fill="FFFFFF"/>
          <w:lang w:eastAsia="zh-CN"/>
        </w:rPr>
        <w:t>）</w:t>
      </w:r>
      <w:r>
        <w:rPr>
          <w:rFonts w:hint="eastAsia" w:ascii="楷体" w:hAnsi="楷体" w:eastAsia="楷体" w:cs="楷体"/>
          <w:i w:val="0"/>
          <w:iCs w:val="0"/>
          <w:caps w:val="0"/>
          <w:color w:val="auto"/>
          <w:spacing w:val="0"/>
          <w:sz w:val="24"/>
          <w:szCs w:val="24"/>
          <w:highlight w:val="none"/>
          <w:shd w:val="clear" w:color="auto" w:fill="FFFFFF"/>
          <w:lang w:val="en-US" w:eastAsia="zh-CN"/>
        </w:rPr>
        <w:t>供应商须提供合法有效的计量认证证书（CMA）及附符合响应采购包采购要求批准检测范围及限制要求的附表（检测范围能力必须全部符合该采购包项目要求并进行标记）；</w:t>
      </w:r>
    </w:p>
    <w:p w14:paraId="752602C4">
      <w:pPr>
        <w:pStyle w:val="1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right="0" w:rightChars="0" w:firstLine="480" w:firstLineChars="200"/>
        <w:jc w:val="both"/>
        <w:textAlignment w:val="auto"/>
        <w:rPr>
          <w:rFonts w:hint="eastAsia" w:ascii="楷体" w:hAnsi="楷体" w:eastAsia="楷体" w:cs="楷体"/>
          <w:i w:val="0"/>
          <w:iCs w:val="0"/>
          <w:caps w:val="0"/>
          <w:color w:val="auto"/>
          <w:spacing w:val="0"/>
          <w:kern w:val="0"/>
          <w:sz w:val="24"/>
          <w:szCs w:val="24"/>
          <w:highlight w:val="none"/>
          <w:shd w:val="clear" w:color="auto" w:fill="FFFFFF"/>
          <w:lang w:val="en-US" w:eastAsia="zh-CN"/>
        </w:rPr>
      </w:pPr>
      <w:r>
        <w:rPr>
          <w:rFonts w:hint="eastAsia" w:ascii="楷体" w:hAnsi="楷体" w:eastAsia="楷体" w:cs="楷体"/>
          <w:i w:val="0"/>
          <w:iCs w:val="0"/>
          <w:caps w:val="0"/>
          <w:color w:val="auto"/>
          <w:spacing w:val="0"/>
          <w:kern w:val="0"/>
          <w:sz w:val="24"/>
          <w:szCs w:val="24"/>
          <w:highlight w:val="none"/>
          <w:shd w:val="clear" w:color="auto" w:fill="FFFFFF"/>
          <w:lang w:val="en-US" w:eastAsia="zh-CN"/>
        </w:rPr>
        <w:t>（5）不接受从事承检产（商）品生产、经营活动的企业实验室参与磋商，供应商须提供书面声明；</w:t>
      </w:r>
    </w:p>
    <w:p w14:paraId="13A551F4">
      <w:pPr>
        <w:pStyle w:val="1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right="0" w:rightChars="0" w:firstLine="480" w:firstLineChars="200"/>
        <w:jc w:val="both"/>
        <w:textAlignment w:val="auto"/>
        <w:rPr>
          <w:rFonts w:hint="eastAsia" w:ascii="楷体" w:hAnsi="楷体" w:eastAsia="楷体" w:cs="楷体"/>
          <w:i w:val="0"/>
          <w:iCs w:val="0"/>
          <w:caps w:val="0"/>
          <w:color w:val="auto"/>
          <w:spacing w:val="0"/>
          <w:kern w:val="0"/>
          <w:sz w:val="24"/>
          <w:szCs w:val="24"/>
          <w:highlight w:val="none"/>
          <w:shd w:val="clear" w:color="auto" w:fill="FFFFFF"/>
          <w:lang w:val="en-US" w:eastAsia="zh-CN"/>
        </w:rPr>
      </w:pPr>
      <w:r>
        <w:rPr>
          <w:rFonts w:hint="eastAsia" w:ascii="楷体" w:hAnsi="楷体" w:eastAsia="楷体" w:cs="楷体"/>
          <w:i w:val="0"/>
          <w:iCs w:val="0"/>
          <w:caps w:val="0"/>
          <w:color w:val="auto"/>
          <w:spacing w:val="0"/>
          <w:kern w:val="0"/>
          <w:sz w:val="24"/>
          <w:szCs w:val="24"/>
          <w:highlight w:val="none"/>
          <w:shd w:val="clear" w:color="auto" w:fill="FFFFFF"/>
          <w:lang w:val="en-US" w:eastAsia="zh-CN"/>
        </w:rPr>
        <w:t>（6）不接受联合体磋商。</w:t>
      </w:r>
    </w:p>
    <w:p w14:paraId="49048AC5">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overflowPunct/>
        <w:topLinePunct w:val="0"/>
        <w:autoSpaceDE/>
        <w:autoSpaceDN/>
        <w:bidi w:val="0"/>
        <w:adjustRightInd/>
        <w:snapToGrid/>
        <w:spacing w:before="150" w:beforeAutospacing="0" w:after="0" w:afterAutospacing="0" w:line="360" w:lineRule="auto"/>
        <w:ind w:left="0" w:right="0" w:firstLine="0"/>
        <w:jc w:val="left"/>
        <w:textAlignment w:val="auto"/>
        <w:rPr>
          <w:rFonts w:hint="eastAsia" w:ascii="楷体" w:hAnsi="楷体" w:eastAsia="楷体" w:cs="楷体"/>
          <w:b w:val="0"/>
          <w:bCs w:val="0"/>
          <w:i w:val="0"/>
          <w:iCs w:val="0"/>
          <w:caps w:val="0"/>
          <w:color w:val="auto"/>
          <w:spacing w:val="0"/>
          <w:sz w:val="24"/>
          <w:szCs w:val="24"/>
          <w:highlight w:val="none"/>
        </w:rPr>
      </w:pPr>
      <w:r>
        <w:rPr>
          <w:rStyle w:val="20"/>
          <w:rFonts w:hint="eastAsia" w:ascii="楷体" w:hAnsi="楷体" w:eastAsia="楷体" w:cs="楷体"/>
          <w:b/>
          <w:bCs/>
          <w:i w:val="0"/>
          <w:iCs w:val="0"/>
          <w:caps w:val="0"/>
          <w:color w:val="auto"/>
          <w:spacing w:val="0"/>
          <w:sz w:val="24"/>
          <w:szCs w:val="24"/>
          <w:highlight w:val="none"/>
          <w:shd w:val="clear" w:color="auto" w:fill="FFFFFF"/>
        </w:rPr>
        <w:t>三、获取采购文件</w:t>
      </w:r>
    </w:p>
    <w:p w14:paraId="48F9E23C">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楷体" w:hAnsi="楷体" w:eastAsia="楷体" w:cs="楷体"/>
          <w:i w:val="0"/>
          <w:iCs w:val="0"/>
          <w:caps w:val="0"/>
          <w:color w:val="auto"/>
          <w:spacing w:val="0"/>
          <w:sz w:val="24"/>
          <w:szCs w:val="24"/>
          <w:highlight w:val="none"/>
          <w:shd w:val="clear" w:color="auto" w:fill="FFFFFF"/>
        </w:rPr>
      </w:pPr>
      <w:r>
        <w:rPr>
          <w:rFonts w:hint="eastAsia" w:ascii="楷体" w:hAnsi="楷体" w:eastAsia="楷体" w:cs="楷体"/>
          <w:i w:val="0"/>
          <w:iCs w:val="0"/>
          <w:caps w:val="0"/>
          <w:color w:val="auto"/>
          <w:spacing w:val="0"/>
          <w:sz w:val="24"/>
          <w:szCs w:val="24"/>
          <w:highlight w:val="none"/>
          <w:shd w:val="clear" w:color="auto" w:fill="FFFFFF"/>
        </w:rPr>
        <w:t>时间：2025年</w:t>
      </w:r>
      <w:r>
        <w:rPr>
          <w:rFonts w:hint="eastAsia" w:ascii="楷体" w:hAnsi="楷体" w:eastAsia="楷体" w:cs="楷体"/>
          <w:i w:val="0"/>
          <w:iCs w:val="0"/>
          <w:caps w:val="0"/>
          <w:color w:val="auto"/>
          <w:spacing w:val="0"/>
          <w:sz w:val="24"/>
          <w:szCs w:val="24"/>
          <w:highlight w:val="none"/>
          <w:shd w:val="clear" w:color="auto" w:fill="FFFFFF"/>
          <w:lang w:val="en-US" w:eastAsia="zh-CN"/>
        </w:rPr>
        <w:t>08</w:t>
      </w:r>
      <w:r>
        <w:rPr>
          <w:rFonts w:hint="eastAsia" w:ascii="楷体" w:hAnsi="楷体" w:eastAsia="楷体" w:cs="楷体"/>
          <w:i w:val="0"/>
          <w:iCs w:val="0"/>
          <w:caps w:val="0"/>
          <w:color w:val="auto"/>
          <w:spacing w:val="0"/>
          <w:sz w:val="24"/>
          <w:szCs w:val="24"/>
          <w:highlight w:val="none"/>
          <w:shd w:val="clear" w:color="auto" w:fill="FFFFFF"/>
        </w:rPr>
        <w:t>月</w:t>
      </w:r>
      <w:r>
        <w:rPr>
          <w:rFonts w:hint="eastAsia" w:ascii="楷体" w:hAnsi="楷体" w:eastAsia="楷体" w:cs="楷体"/>
          <w:i w:val="0"/>
          <w:iCs w:val="0"/>
          <w:caps w:val="0"/>
          <w:color w:val="auto"/>
          <w:spacing w:val="0"/>
          <w:sz w:val="24"/>
          <w:szCs w:val="24"/>
          <w:highlight w:val="none"/>
          <w:shd w:val="clear" w:color="auto" w:fill="FFFFFF"/>
          <w:lang w:val="en-US" w:eastAsia="zh-CN"/>
        </w:rPr>
        <w:t>07</w:t>
      </w:r>
      <w:r>
        <w:rPr>
          <w:rFonts w:hint="eastAsia" w:ascii="楷体" w:hAnsi="楷体" w:eastAsia="楷体" w:cs="楷体"/>
          <w:i w:val="0"/>
          <w:iCs w:val="0"/>
          <w:caps w:val="0"/>
          <w:color w:val="auto"/>
          <w:spacing w:val="0"/>
          <w:sz w:val="24"/>
          <w:szCs w:val="24"/>
          <w:highlight w:val="none"/>
          <w:shd w:val="clear" w:color="auto" w:fill="FFFFFF"/>
        </w:rPr>
        <w:t>日至 2025年0</w:t>
      </w:r>
      <w:r>
        <w:rPr>
          <w:rFonts w:hint="eastAsia" w:ascii="楷体" w:hAnsi="楷体" w:eastAsia="楷体" w:cs="楷体"/>
          <w:i w:val="0"/>
          <w:iCs w:val="0"/>
          <w:caps w:val="0"/>
          <w:color w:val="auto"/>
          <w:spacing w:val="0"/>
          <w:sz w:val="24"/>
          <w:szCs w:val="24"/>
          <w:highlight w:val="none"/>
          <w:shd w:val="clear" w:color="auto" w:fill="FFFFFF"/>
          <w:lang w:val="en-US" w:eastAsia="zh-CN"/>
        </w:rPr>
        <w:t>8</w:t>
      </w:r>
      <w:r>
        <w:rPr>
          <w:rFonts w:hint="eastAsia" w:ascii="楷体" w:hAnsi="楷体" w:eastAsia="楷体" w:cs="楷体"/>
          <w:i w:val="0"/>
          <w:iCs w:val="0"/>
          <w:caps w:val="0"/>
          <w:color w:val="auto"/>
          <w:spacing w:val="0"/>
          <w:sz w:val="24"/>
          <w:szCs w:val="24"/>
          <w:highlight w:val="none"/>
          <w:shd w:val="clear" w:color="auto" w:fill="FFFFFF"/>
        </w:rPr>
        <w:t>月</w:t>
      </w:r>
      <w:r>
        <w:rPr>
          <w:rFonts w:hint="eastAsia" w:ascii="楷体" w:hAnsi="楷体" w:eastAsia="楷体" w:cs="楷体"/>
          <w:i w:val="0"/>
          <w:iCs w:val="0"/>
          <w:caps w:val="0"/>
          <w:color w:val="auto"/>
          <w:spacing w:val="0"/>
          <w:sz w:val="24"/>
          <w:szCs w:val="24"/>
          <w:highlight w:val="none"/>
          <w:shd w:val="clear" w:color="auto" w:fill="FFFFFF"/>
          <w:lang w:val="en-US" w:eastAsia="zh-CN"/>
        </w:rPr>
        <w:t>13</w:t>
      </w:r>
      <w:r>
        <w:rPr>
          <w:rFonts w:hint="eastAsia" w:ascii="楷体" w:hAnsi="楷体" w:eastAsia="楷体" w:cs="楷体"/>
          <w:i w:val="0"/>
          <w:iCs w:val="0"/>
          <w:caps w:val="0"/>
          <w:color w:val="auto"/>
          <w:spacing w:val="0"/>
          <w:sz w:val="24"/>
          <w:szCs w:val="24"/>
          <w:highlight w:val="none"/>
          <w:shd w:val="clear" w:color="auto" w:fill="FFFFFF"/>
        </w:rPr>
        <w:t>日 ，每天上午 09:00:00 至 12:00:00 ，下午 14:00:00 至 17:00:00 （北京时间）</w:t>
      </w:r>
    </w:p>
    <w:p w14:paraId="1AFAEBA9">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楷体" w:hAnsi="楷体" w:eastAsia="楷体" w:cs="楷体"/>
          <w:i w:val="0"/>
          <w:iCs w:val="0"/>
          <w:caps w:val="0"/>
          <w:color w:val="auto"/>
          <w:spacing w:val="0"/>
          <w:sz w:val="24"/>
          <w:szCs w:val="24"/>
          <w:highlight w:val="none"/>
        </w:rPr>
      </w:pPr>
      <w:r>
        <w:rPr>
          <w:rFonts w:hint="eastAsia" w:ascii="楷体" w:hAnsi="楷体" w:eastAsia="楷体" w:cs="楷体"/>
          <w:i w:val="0"/>
          <w:iCs w:val="0"/>
          <w:caps w:val="0"/>
          <w:color w:val="auto"/>
          <w:spacing w:val="0"/>
          <w:sz w:val="24"/>
          <w:szCs w:val="24"/>
          <w:highlight w:val="none"/>
          <w:shd w:val="clear" w:color="auto" w:fill="FFFFFF"/>
        </w:rPr>
        <w:t>途径：西安经济技术开发区凤城一路6号利君V时代B座9F901室陕西正翼项目管理咨询有限公司</w:t>
      </w:r>
    </w:p>
    <w:p w14:paraId="7993776F">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楷体" w:hAnsi="楷体" w:eastAsia="楷体" w:cs="楷体"/>
          <w:i w:val="0"/>
          <w:iCs w:val="0"/>
          <w:caps w:val="0"/>
          <w:color w:val="auto"/>
          <w:spacing w:val="0"/>
          <w:sz w:val="24"/>
          <w:szCs w:val="24"/>
          <w:highlight w:val="none"/>
        </w:rPr>
      </w:pPr>
      <w:r>
        <w:rPr>
          <w:rFonts w:hint="eastAsia" w:ascii="楷体" w:hAnsi="楷体" w:eastAsia="楷体" w:cs="楷体"/>
          <w:i w:val="0"/>
          <w:iCs w:val="0"/>
          <w:caps w:val="0"/>
          <w:color w:val="auto"/>
          <w:spacing w:val="0"/>
          <w:sz w:val="24"/>
          <w:szCs w:val="24"/>
          <w:highlight w:val="none"/>
          <w:shd w:val="clear" w:color="auto" w:fill="FFFFFF"/>
        </w:rPr>
        <w:t>方式：现场获取</w:t>
      </w:r>
    </w:p>
    <w:p w14:paraId="12A12DDA">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楷体" w:hAnsi="楷体" w:eastAsia="楷体" w:cs="楷体"/>
          <w:i w:val="0"/>
          <w:iCs w:val="0"/>
          <w:caps w:val="0"/>
          <w:color w:val="auto"/>
          <w:spacing w:val="0"/>
          <w:sz w:val="24"/>
          <w:szCs w:val="24"/>
          <w:highlight w:val="none"/>
        </w:rPr>
      </w:pPr>
      <w:r>
        <w:rPr>
          <w:rFonts w:hint="eastAsia" w:ascii="楷体" w:hAnsi="楷体" w:eastAsia="楷体" w:cs="楷体"/>
          <w:i w:val="0"/>
          <w:iCs w:val="0"/>
          <w:caps w:val="0"/>
          <w:color w:val="auto"/>
          <w:spacing w:val="0"/>
          <w:sz w:val="24"/>
          <w:szCs w:val="24"/>
          <w:highlight w:val="none"/>
          <w:shd w:val="clear" w:color="auto" w:fill="FFFFFF"/>
        </w:rPr>
        <w:t>售价： 0元</w:t>
      </w:r>
    </w:p>
    <w:p w14:paraId="464BBBEF">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overflowPunct/>
        <w:topLinePunct w:val="0"/>
        <w:autoSpaceDE/>
        <w:autoSpaceDN/>
        <w:bidi w:val="0"/>
        <w:adjustRightInd/>
        <w:snapToGrid/>
        <w:spacing w:before="150" w:beforeAutospacing="0" w:after="0" w:afterAutospacing="0" w:line="360" w:lineRule="auto"/>
        <w:ind w:left="0" w:right="0" w:firstLine="0"/>
        <w:jc w:val="left"/>
        <w:textAlignment w:val="auto"/>
        <w:rPr>
          <w:rFonts w:hint="eastAsia" w:ascii="楷体" w:hAnsi="楷体" w:eastAsia="楷体" w:cs="楷体"/>
          <w:b w:val="0"/>
          <w:bCs w:val="0"/>
          <w:i w:val="0"/>
          <w:iCs w:val="0"/>
          <w:caps w:val="0"/>
          <w:color w:val="auto"/>
          <w:spacing w:val="0"/>
          <w:sz w:val="24"/>
          <w:szCs w:val="24"/>
          <w:highlight w:val="none"/>
        </w:rPr>
      </w:pPr>
      <w:r>
        <w:rPr>
          <w:rStyle w:val="20"/>
          <w:rFonts w:hint="eastAsia" w:ascii="楷体" w:hAnsi="楷体" w:eastAsia="楷体" w:cs="楷体"/>
          <w:b/>
          <w:bCs/>
          <w:i w:val="0"/>
          <w:iCs w:val="0"/>
          <w:caps w:val="0"/>
          <w:color w:val="auto"/>
          <w:spacing w:val="0"/>
          <w:sz w:val="24"/>
          <w:szCs w:val="24"/>
          <w:highlight w:val="none"/>
          <w:shd w:val="clear" w:color="auto" w:fill="FFFFFF"/>
        </w:rPr>
        <w:t>四、响应文件提交</w:t>
      </w:r>
    </w:p>
    <w:p w14:paraId="1BA27B2B">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楷体" w:hAnsi="楷体" w:eastAsia="楷体" w:cs="楷体"/>
          <w:i w:val="0"/>
          <w:iCs w:val="0"/>
          <w:caps w:val="0"/>
          <w:color w:val="auto"/>
          <w:spacing w:val="0"/>
          <w:sz w:val="24"/>
          <w:szCs w:val="24"/>
          <w:highlight w:val="none"/>
        </w:rPr>
      </w:pPr>
      <w:r>
        <w:rPr>
          <w:rFonts w:hint="eastAsia" w:ascii="楷体" w:hAnsi="楷体" w:eastAsia="楷体" w:cs="楷体"/>
          <w:i w:val="0"/>
          <w:iCs w:val="0"/>
          <w:caps w:val="0"/>
          <w:color w:val="auto"/>
          <w:spacing w:val="0"/>
          <w:sz w:val="24"/>
          <w:szCs w:val="24"/>
          <w:highlight w:val="none"/>
          <w:shd w:val="clear" w:color="auto" w:fill="FFFFFF"/>
        </w:rPr>
        <w:t>截止时间： 2025年</w:t>
      </w:r>
      <w:r>
        <w:rPr>
          <w:rFonts w:hint="eastAsia" w:ascii="楷体" w:hAnsi="楷体" w:eastAsia="楷体" w:cs="楷体"/>
          <w:i w:val="0"/>
          <w:iCs w:val="0"/>
          <w:caps w:val="0"/>
          <w:color w:val="auto"/>
          <w:spacing w:val="0"/>
          <w:sz w:val="24"/>
          <w:szCs w:val="24"/>
          <w:highlight w:val="none"/>
          <w:shd w:val="clear" w:color="auto" w:fill="FFFFFF"/>
          <w:lang w:val="en-US" w:eastAsia="zh-CN"/>
        </w:rPr>
        <w:t>08</w:t>
      </w:r>
      <w:r>
        <w:rPr>
          <w:rFonts w:hint="eastAsia" w:ascii="楷体" w:hAnsi="楷体" w:eastAsia="楷体" w:cs="楷体"/>
          <w:i w:val="0"/>
          <w:iCs w:val="0"/>
          <w:caps w:val="0"/>
          <w:color w:val="auto"/>
          <w:spacing w:val="0"/>
          <w:sz w:val="24"/>
          <w:szCs w:val="24"/>
          <w:highlight w:val="none"/>
          <w:shd w:val="clear" w:color="auto" w:fill="FFFFFF"/>
        </w:rPr>
        <w:t>月</w:t>
      </w:r>
      <w:r>
        <w:rPr>
          <w:rFonts w:hint="eastAsia" w:ascii="楷体" w:hAnsi="楷体" w:eastAsia="楷体" w:cs="楷体"/>
          <w:i w:val="0"/>
          <w:iCs w:val="0"/>
          <w:caps w:val="0"/>
          <w:color w:val="auto"/>
          <w:spacing w:val="0"/>
          <w:sz w:val="24"/>
          <w:szCs w:val="24"/>
          <w:highlight w:val="none"/>
          <w:shd w:val="clear" w:color="auto" w:fill="FFFFFF"/>
          <w:lang w:val="en-US" w:eastAsia="zh-CN"/>
        </w:rPr>
        <w:t>19</w:t>
      </w:r>
      <w:r>
        <w:rPr>
          <w:rFonts w:hint="eastAsia" w:ascii="楷体" w:hAnsi="楷体" w:eastAsia="楷体" w:cs="楷体"/>
          <w:i w:val="0"/>
          <w:iCs w:val="0"/>
          <w:caps w:val="0"/>
          <w:color w:val="auto"/>
          <w:spacing w:val="0"/>
          <w:sz w:val="24"/>
          <w:szCs w:val="24"/>
          <w:highlight w:val="none"/>
          <w:shd w:val="clear" w:color="auto" w:fill="FFFFFF"/>
        </w:rPr>
        <w:t xml:space="preserve">日 </w:t>
      </w:r>
      <w:r>
        <w:rPr>
          <w:rFonts w:hint="eastAsia" w:ascii="楷体" w:hAnsi="楷体" w:eastAsia="楷体" w:cs="楷体"/>
          <w:i w:val="0"/>
          <w:iCs w:val="0"/>
          <w:caps w:val="0"/>
          <w:color w:val="auto"/>
          <w:spacing w:val="0"/>
          <w:sz w:val="24"/>
          <w:szCs w:val="24"/>
          <w:highlight w:val="none"/>
          <w:shd w:val="clear" w:color="auto" w:fill="FFFFFF"/>
          <w:lang w:val="en-US" w:eastAsia="zh-CN"/>
        </w:rPr>
        <w:t>09</w:t>
      </w:r>
      <w:r>
        <w:rPr>
          <w:rFonts w:hint="eastAsia" w:ascii="楷体" w:hAnsi="楷体" w:eastAsia="楷体" w:cs="楷体"/>
          <w:i w:val="0"/>
          <w:iCs w:val="0"/>
          <w:caps w:val="0"/>
          <w:color w:val="auto"/>
          <w:spacing w:val="0"/>
          <w:sz w:val="24"/>
          <w:szCs w:val="24"/>
          <w:highlight w:val="none"/>
          <w:shd w:val="clear" w:color="auto" w:fill="FFFFFF"/>
        </w:rPr>
        <w:t>时30分00秒 （北京时间）</w:t>
      </w:r>
    </w:p>
    <w:p w14:paraId="765FDF52">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楷体" w:hAnsi="楷体" w:eastAsia="楷体" w:cs="楷体"/>
          <w:i w:val="0"/>
          <w:iCs w:val="0"/>
          <w:caps w:val="0"/>
          <w:color w:val="auto"/>
          <w:spacing w:val="0"/>
          <w:sz w:val="24"/>
          <w:szCs w:val="24"/>
          <w:highlight w:val="none"/>
        </w:rPr>
      </w:pPr>
      <w:r>
        <w:rPr>
          <w:rFonts w:hint="eastAsia" w:ascii="楷体" w:hAnsi="楷体" w:eastAsia="楷体" w:cs="楷体"/>
          <w:i w:val="0"/>
          <w:iCs w:val="0"/>
          <w:caps w:val="0"/>
          <w:color w:val="auto"/>
          <w:spacing w:val="0"/>
          <w:sz w:val="24"/>
          <w:szCs w:val="24"/>
          <w:highlight w:val="none"/>
          <w:shd w:val="clear" w:color="auto" w:fill="FFFFFF"/>
        </w:rPr>
        <w:t>地点：西安经济技术开发区凤城一路6号利君V时代B座9F陕西正翼项目管理咨询有限公司</w:t>
      </w:r>
      <w:r>
        <w:rPr>
          <w:rFonts w:hint="eastAsia" w:ascii="楷体" w:hAnsi="楷体" w:eastAsia="楷体" w:cs="楷体"/>
          <w:i w:val="0"/>
          <w:iCs w:val="0"/>
          <w:caps w:val="0"/>
          <w:color w:val="auto"/>
          <w:spacing w:val="0"/>
          <w:sz w:val="24"/>
          <w:szCs w:val="24"/>
          <w:highlight w:val="none"/>
          <w:shd w:val="clear" w:color="auto" w:fill="FFFFFF"/>
          <w:lang w:val="en-US" w:eastAsia="zh-CN"/>
        </w:rPr>
        <w:t>902</w:t>
      </w:r>
      <w:r>
        <w:rPr>
          <w:rFonts w:hint="eastAsia" w:ascii="楷体" w:hAnsi="楷体" w:eastAsia="楷体" w:cs="楷体"/>
          <w:i w:val="0"/>
          <w:iCs w:val="0"/>
          <w:caps w:val="0"/>
          <w:color w:val="auto"/>
          <w:spacing w:val="0"/>
          <w:sz w:val="24"/>
          <w:szCs w:val="24"/>
          <w:highlight w:val="none"/>
          <w:shd w:val="clear" w:color="auto" w:fill="FFFFFF"/>
        </w:rPr>
        <w:t>开标室</w:t>
      </w:r>
    </w:p>
    <w:p w14:paraId="7CE10A3F">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overflowPunct/>
        <w:topLinePunct w:val="0"/>
        <w:autoSpaceDE/>
        <w:autoSpaceDN/>
        <w:bidi w:val="0"/>
        <w:adjustRightInd/>
        <w:snapToGrid/>
        <w:spacing w:before="150" w:beforeAutospacing="0" w:after="0" w:afterAutospacing="0" w:line="360" w:lineRule="auto"/>
        <w:ind w:left="0" w:right="0" w:firstLine="0"/>
        <w:jc w:val="left"/>
        <w:textAlignment w:val="auto"/>
        <w:rPr>
          <w:rFonts w:hint="eastAsia" w:ascii="楷体" w:hAnsi="楷体" w:eastAsia="楷体" w:cs="楷体"/>
          <w:b w:val="0"/>
          <w:bCs w:val="0"/>
          <w:i w:val="0"/>
          <w:iCs w:val="0"/>
          <w:caps w:val="0"/>
          <w:color w:val="auto"/>
          <w:spacing w:val="0"/>
          <w:sz w:val="24"/>
          <w:szCs w:val="24"/>
          <w:highlight w:val="none"/>
        </w:rPr>
      </w:pPr>
      <w:r>
        <w:rPr>
          <w:rStyle w:val="20"/>
          <w:rFonts w:hint="eastAsia" w:ascii="楷体" w:hAnsi="楷体" w:eastAsia="楷体" w:cs="楷体"/>
          <w:b/>
          <w:bCs/>
          <w:i w:val="0"/>
          <w:iCs w:val="0"/>
          <w:caps w:val="0"/>
          <w:color w:val="auto"/>
          <w:spacing w:val="0"/>
          <w:sz w:val="24"/>
          <w:szCs w:val="24"/>
          <w:highlight w:val="none"/>
          <w:shd w:val="clear" w:color="auto" w:fill="FFFFFF"/>
        </w:rPr>
        <w:t>五、开启</w:t>
      </w:r>
    </w:p>
    <w:p w14:paraId="248F4D2F">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楷体" w:hAnsi="楷体" w:eastAsia="楷体" w:cs="楷体"/>
          <w:i w:val="0"/>
          <w:iCs w:val="0"/>
          <w:caps w:val="0"/>
          <w:color w:val="auto"/>
          <w:spacing w:val="0"/>
          <w:sz w:val="24"/>
          <w:szCs w:val="24"/>
          <w:highlight w:val="none"/>
        </w:rPr>
      </w:pPr>
      <w:r>
        <w:rPr>
          <w:rFonts w:hint="eastAsia" w:ascii="楷体" w:hAnsi="楷体" w:eastAsia="楷体" w:cs="楷体"/>
          <w:i w:val="0"/>
          <w:iCs w:val="0"/>
          <w:caps w:val="0"/>
          <w:color w:val="auto"/>
          <w:spacing w:val="0"/>
          <w:sz w:val="24"/>
          <w:szCs w:val="24"/>
          <w:highlight w:val="none"/>
          <w:shd w:val="clear" w:color="auto" w:fill="FFFFFF"/>
        </w:rPr>
        <w:t>时间： 2025年0</w:t>
      </w:r>
      <w:r>
        <w:rPr>
          <w:rFonts w:hint="eastAsia" w:ascii="楷体" w:hAnsi="楷体" w:eastAsia="楷体" w:cs="楷体"/>
          <w:i w:val="0"/>
          <w:iCs w:val="0"/>
          <w:caps w:val="0"/>
          <w:color w:val="auto"/>
          <w:spacing w:val="0"/>
          <w:sz w:val="24"/>
          <w:szCs w:val="24"/>
          <w:highlight w:val="none"/>
          <w:shd w:val="clear" w:color="auto" w:fill="FFFFFF"/>
          <w:lang w:val="en-US" w:eastAsia="zh-CN"/>
        </w:rPr>
        <w:t>8</w:t>
      </w:r>
      <w:r>
        <w:rPr>
          <w:rFonts w:hint="eastAsia" w:ascii="楷体" w:hAnsi="楷体" w:eastAsia="楷体" w:cs="楷体"/>
          <w:i w:val="0"/>
          <w:iCs w:val="0"/>
          <w:caps w:val="0"/>
          <w:color w:val="auto"/>
          <w:spacing w:val="0"/>
          <w:sz w:val="24"/>
          <w:szCs w:val="24"/>
          <w:highlight w:val="none"/>
          <w:shd w:val="clear" w:color="auto" w:fill="FFFFFF"/>
        </w:rPr>
        <w:t>月</w:t>
      </w:r>
      <w:r>
        <w:rPr>
          <w:rFonts w:hint="eastAsia" w:ascii="楷体" w:hAnsi="楷体" w:eastAsia="楷体" w:cs="楷体"/>
          <w:i w:val="0"/>
          <w:iCs w:val="0"/>
          <w:caps w:val="0"/>
          <w:color w:val="auto"/>
          <w:spacing w:val="0"/>
          <w:sz w:val="24"/>
          <w:szCs w:val="24"/>
          <w:highlight w:val="none"/>
          <w:shd w:val="clear" w:color="auto" w:fill="FFFFFF"/>
          <w:lang w:val="en-US" w:eastAsia="zh-CN"/>
        </w:rPr>
        <w:t>19</w:t>
      </w:r>
      <w:r>
        <w:rPr>
          <w:rFonts w:hint="eastAsia" w:ascii="楷体" w:hAnsi="楷体" w:eastAsia="楷体" w:cs="楷体"/>
          <w:i w:val="0"/>
          <w:iCs w:val="0"/>
          <w:caps w:val="0"/>
          <w:color w:val="auto"/>
          <w:spacing w:val="0"/>
          <w:sz w:val="24"/>
          <w:szCs w:val="24"/>
          <w:highlight w:val="none"/>
          <w:shd w:val="clear" w:color="auto" w:fill="FFFFFF"/>
        </w:rPr>
        <w:t>日</w:t>
      </w:r>
      <w:r>
        <w:rPr>
          <w:rFonts w:hint="eastAsia" w:ascii="楷体" w:hAnsi="楷体" w:eastAsia="楷体" w:cs="楷体"/>
          <w:i w:val="0"/>
          <w:iCs w:val="0"/>
          <w:caps w:val="0"/>
          <w:color w:val="auto"/>
          <w:spacing w:val="0"/>
          <w:sz w:val="24"/>
          <w:szCs w:val="24"/>
          <w:highlight w:val="none"/>
          <w:shd w:val="clear" w:color="auto" w:fill="FFFFFF"/>
          <w:lang w:val="en-US" w:eastAsia="zh-CN"/>
        </w:rPr>
        <w:t>09</w:t>
      </w:r>
      <w:r>
        <w:rPr>
          <w:rFonts w:hint="eastAsia" w:ascii="楷体" w:hAnsi="楷体" w:eastAsia="楷体" w:cs="楷体"/>
          <w:i w:val="0"/>
          <w:iCs w:val="0"/>
          <w:caps w:val="0"/>
          <w:color w:val="auto"/>
          <w:spacing w:val="0"/>
          <w:sz w:val="24"/>
          <w:szCs w:val="24"/>
          <w:highlight w:val="none"/>
          <w:shd w:val="clear" w:color="auto" w:fill="FFFFFF"/>
        </w:rPr>
        <w:t>时30分00秒 （北京时间）</w:t>
      </w:r>
    </w:p>
    <w:p w14:paraId="35BECB32">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楷体" w:hAnsi="楷体" w:eastAsia="楷体" w:cs="楷体"/>
          <w:i w:val="0"/>
          <w:iCs w:val="0"/>
          <w:caps w:val="0"/>
          <w:color w:val="auto"/>
          <w:spacing w:val="0"/>
          <w:sz w:val="24"/>
          <w:szCs w:val="24"/>
          <w:highlight w:val="none"/>
        </w:rPr>
      </w:pPr>
      <w:r>
        <w:rPr>
          <w:rFonts w:hint="eastAsia" w:ascii="楷体" w:hAnsi="楷体" w:eastAsia="楷体" w:cs="楷体"/>
          <w:i w:val="0"/>
          <w:iCs w:val="0"/>
          <w:caps w:val="0"/>
          <w:color w:val="auto"/>
          <w:spacing w:val="0"/>
          <w:sz w:val="24"/>
          <w:szCs w:val="24"/>
          <w:highlight w:val="none"/>
          <w:shd w:val="clear" w:color="auto" w:fill="FFFFFF"/>
        </w:rPr>
        <w:t>地点：西安经济技术开发区凤城一路6号利君V时代B座9F陕西正翼项目管理咨询有限公司</w:t>
      </w:r>
      <w:r>
        <w:rPr>
          <w:rFonts w:hint="eastAsia" w:ascii="楷体" w:hAnsi="楷体" w:eastAsia="楷体" w:cs="楷体"/>
          <w:i w:val="0"/>
          <w:iCs w:val="0"/>
          <w:caps w:val="0"/>
          <w:color w:val="auto"/>
          <w:spacing w:val="0"/>
          <w:sz w:val="24"/>
          <w:szCs w:val="24"/>
          <w:highlight w:val="none"/>
          <w:shd w:val="clear" w:color="auto" w:fill="FFFFFF"/>
          <w:lang w:val="en-US" w:eastAsia="zh-CN"/>
        </w:rPr>
        <w:t>902</w:t>
      </w:r>
      <w:r>
        <w:rPr>
          <w:rFonts w:hint="eastAsia" w:ascii="楷体" w:hAnsi="楷体" w:eastAsia="楷体" w:cs="楷体"/>
          <w:i w:val="0"/>
          <w:iCs w:val="0"/>
          <w:caps w:val="0"/>
          <w:color w:val="auto"/>
          <w:spacing w:val="0"/>
          <w:sz w:val="24"/>
          <w:szCs w:val="24"/>
          <w:highlight w:val="none"/>
          <w:shd w:val="clear" w:color="auto" w:fill="FFFFFF"/>
        </w:rPr>
        <w:t>开标室</w:t>
      </w:r>
    </w:p>
    <w:p w14:paraId="7149A1E8">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overflowPunct/>
        <w:topLinePunct w:val="0"/>
        <w:autoSpaceDE/>
        <w:autoSpaceDN/>
        <w:bidi w:val="0"/>
        <w:adjustRightInd/>
        <w:snapToGrid/>
        <w:spacing w:before="150" w:beforeAutospacing="0" w:after="0" w:afterAutospacing="0" w:line="360" w:lineRule="auto"/>
        <w:ind w:left="0" w:right="0" w:firstLine="0"/>
        <w:jc w:val="left"/>
        <w:textAlignment w:val="auto"/>
        <w:rPr>
          <w:rFonts w:hint="eastAsia" w:ascii="楷体" w:hAnsi="楷体" w:eastAsia="楷体" w:cs="楷体"/>
          <w:b w:val="0"/>
          <w:bCs w:val="0"/>
          <w:i w:val="0"/>
          <w:iCs w:val="0"/>
          <w:caps w:val="0"/>
          <w:color w:val="auto"/>
          <w:spacing w:val="0"/>
          <w:sz w:val="24"/>
          <w:szCs w:val="24"/>
          <w:highlight w:val="none"/>
        </w:rPr>
      </w:pPr>
      <w:r>
        <w:rPr>
          <w:rStyle w:val="20"/>
          <w:rFonts w:hint="eastAsia" w:ascii="楷体" w:hAnsi="楷体" w:eastAsia="楷体" w:cs="楷体"/>
          <w:b/>
          <w:bCs/>
          <w:i w:val="0"/>
          <w:iCs w:val="0"/>
          <w:caps w:val="0"/>
          <w:color w:val="auto"/>
          <w:spacing w:val="0"/>
          <w:sz w:val="24"/>
          <w:szCs w:val="24"/>
          <w:highlight w:val="none"/>
          <w:shd w:val="clear" w:color="auto" w:fill="FFFFFF"/>
        </w:rPr>
        <w:t>六、公告期限</w:t>
      </w:r>
    </w:p>
    <w:p w14:paraId="24002AC7">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楷体" w:hAnsi="楷体" w:eastAsia="楷体" w:cs="楷体"/>
          <w:i w:val="0"/>
          <w:iCs w:val="0"/>
          <w:caps w:val="0"/>
          <w:color w:val="auto"/>
          <w:spacing w:val="0"/>
          <w:sz w:val="24"/>
          <w:szCs w:val="24"/>
          <w:highlight w:val="none"/>
        </w:rPr>
      </w:pPr>
      <w:r>
        <w:rPr>
          <w:rFonts w:hint="eastAsia" w:ascii="楷体" w:hAnsi="楷体" w:eastAsia="楷体" w:cs="楷体"/>
          <w:i w:val="0"/>
          <w:iCs w:val="0"/>
          <w:caps w:val="0"/>
          <w:color w:val="auto"/>
          <w:spacing w:val="0"/>
          <w:sz w:val="24"/>
          <w:szCs w:val="24"/>
          <w:highlight w:val="none"/>
          <w:shd w:val="clear" w:color="auto" w:fill="FFFFFF"/>
        </w:rPr>
        <w:t>自本公告发布之日起3个工作日。</w:t>
      </w:r>
    </w:p>
    <w:p w14:paraId="2AE29B75">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overflowPunct/>
        <w:topLinePunct w:val="0"/>
        <w:autoSpaceDE/>
        <w:autoSpaceDN/>
        <w:bidi w:val="0"/>
        <w:adjustRightInd/>
        <w:snapToGrid/>
        <w:spacing w:before="150" w:beforeAutospacing="0" w:after="0" w:afterAutospacing="0" w:line="360" w:lineRule="auto"/>
        <w:ind w:left="0" w:right="0" w:firstLine="0"/>
        <w:jc w:val="left"/>
        <w:textAlignment w:val="auto"/>
        <w:rPr>
          <w:rFonts w:hint="eastAsia" w:ascii="楷体" w:hAnsi="楷体" w:eastAsia="楷体" w:cs="楷体"/>
          <w:b w:val="0"/>
          <w:bCs w:val="0"/>
          <w:i w:val="0"/>
          <w:iCs w:val="0"/>
          <w:caps w:val="0"/>
          <w:color w:val="auto"/>
          <w:spacing w:val="0"/>
          <w:sz w:val="24"/>
          <w:szCs w:val="24"/>
          <w:highlight w:val="none"/>
        </w:rPr>
      </w:pPr>
      <w:r>
        <w:rPr>
          <w:rStyle w:val="20"/>
          <w:rFonts w:hint="eastAsia" w:ascii="楷体" w:hAnsi="楷体" w:eastAsia="楷体" w:cs="楷体"/>
          <w:b/>
          <w:bCs/>
          <w:i w:val="0"/>
          <w:iCs w:val="0"/>
          <w:caps w:val="0"/>
          <w:color w:val="auto"/>
          <w:spacing w:val="0"/>
          <w:sz w:val="24"/>
          <w:szCs w:val="24"/>
          <w:highlight w:val="none"/>
          <w:shd w:val="clear" w:color="auto" w:fill="FFFFFF"/>
        </w:rPr>
        <w:t>七、其他补充事宜</w:t>
      </w:r>
    </w:p>
    <w:p w14:paraId="1EBC4F97">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overflowPunct/>
        <w:topLinePunct w:val="0"/>
        <w:autoSpaceDE/>
        <w:autoSpaceDN/>
        <w:bidi w:val="0"/>
        <w:adjustRightInd/>
        <w:snapToGrid/>
        <w:spacing w:before="150" w:beforeAutospacing="0" w:after="0" w:afterAutospacing="0" w:line="360" w:lineRule="auto"/>
        <w:ind w:left="0" w:right="0" w:firstLine="0"/>
        <w:jc w:val="left"/>
        <w:textAlignment w:val="auto"/>
        <w:rPr>
          <w:rStyle w:val="20"/>
          <w:rFonts w:hint="eastAsia" w:ascii="楷体" w:hAnsi="楷体" w:eastAsia="楷体" w:cs="楷体"/>
          <w:b w:val="0"/>
          <w:bCs w:val="0"/>
          <w:i w:val="0"/>
          <w:iCs w:val="0"/>
          <w:caps w:val="0"/>
          <w:color w:val="auto"/>
          <w:spacing w:val="0"/>
          <w:sz w:val="24"/>
          <w:szCs w:val="24"/>
          <w:highlight w:val="none"/>
          <w:shd w:val="clear" w:color="auto" w:fill="FFFFFF"/>
        </w:rPr>
      </w:pPr>
      <w:r>
        <w:rPr>
          <w:rStyle w:val="20"/>
          <w:rFonts w:hint="eastAsia" w:ascii="楷体" w:hAnsi="楷体" w:eastAsia="楷体" w:cs="楷体"/>
          <w:b w:val="0"/>
          <w:bCs w:val="0"/>
          <w:i w:val="0"/>
          <w:iCs w:val="0"/>
          <w:caps w:val="0"/>
          <w:color w:val="auto"/>
          <w:spacing w:val="0"/>
          <w:sz w:val="24"/>
          <w:szCs w:val="24"/>
          <w:highlight w:val="none"/>
          <w:shd w:val="clear" w:color="auto" w:fill="FFFFFF"/>
        </w:rPr>
        <w:t>1.供应商在获取采购文件时请携带单位介绍信、身份证原件及复印件加盖公章，现场获取，谢绝邮寄。</w:t>
      </w:r>
    </w:p>
    <w:p w14:paraId="61A2B22D">
      <w:pPr>
        <w:pStyle w:val="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overflowPunct/>
        <w:topLinePunct w:val="0"/>
        <w:autoSpaceDE/>
        <w:autoSpaceDN/>
        <w:bidi w:val="0"/>
        <w:adjustRightInd/>
        <w:snapToGrid/>
        <w:spacing w:before="150" w:beforeAutospacing="0" w:after="0" w:afterAutospacing="0" w:line="360" w:lineRule="auto"/>
        <w:ind w:leftChars="0" w:right="0" w:rightChars="0"/>
        <w:jc w:val="left"/>
        <w:textAlignment w:val="auto"/>
        <w:rPr>
          <w:rStyle w:val="20"/>
          <w:rFonts w:hint="eastAsia" w:ascii="楷体" w:hAnsi="楷体" w:eastAsia="楷体" w:cs="楷体"/>
          <w:b w:val="0"/>
          <w:bCs w:val="0"/>
          <w:i w:val="0"/>
          <w:iCs w:val="0"/>
          <w:caps w:val="0"/>
          <w:color w:val="auto"/>
          <w:spacing w:val="0"/>
          <w:sz w:val="24"/>
          <w:szCs w:val="24"/>
          <w:highlight w:val="none"/>
          <w:shd w:val="clear" w:color="auto" w:fill="FFFFFF"/>
        </w:rPr>
      </w:pPr>
      <w:r>
        <w:rPr>
          <w:rStyle w:val="20"/>
          <w:rFonts w:hint="eastAsia" w:ascii="楷体" w:hAnsi="楷体" w:eastAsia="楷体" w:cs="楷体"/>
          <w:b w:val="0"/>
          <w:bCs w:val="0"/>
          <w:i w:val="0"/>
          <w:iCs w:val="0"/>
          <w:caps w:val="0"/>
          <w:color w:val="auto"/>
          <w:spacing w:val="0"/>
          <w:sz w:val="24"/>
          <w:szCs w:val="24"/>
          <w:highlight w:val="none"/>
          <w:shd w:val="clear" w:color="auto" w:fill="FFFFFF"/>
          <w:lang w:val="en-US" w:eastAsia="zh-CN"/>
        </w:rPr>
        <w:t>2.</w:t>
      </w:r>
      <w:r>
        <w:rPr>
          <w:rStyle w:val="20"/>
          <w:rFonts w:hint="eastAsia" w:ascii="楷体" w:hAnsi="楷体" w:eastAsia="楷体" w:cs="楷体"/>
          <w:b w:val="0"/>
          <w:bCs w:val="0"/>
          <w:i w:val="0"/>
          <w:iCs w:val="0"/>
          <w:caps w:val="0"/>
          <w:color w:val="auto"/>
          <w:spacing w:val="0"/>
          <w:sz w:val="24"/>
          <w:szCs w:val="24"/>
          <w:highlight w:val="none"/>
          <w:shd w:val="clear" w:color="auto" w:fill="FFFFFF"/>
        </w:rPr>
        <w:t>本项目需要落实的政府采购政策：《政府采购促进中小企业发展管理办法》（财库〔2020〕46号）；2.《关于进一步加大政府采购支持中小企业力度的通知》（财库〔2022〕19号）；3.《财政部 司法部关于政府采购支持监狱企业发展有关问题的通知》（财库〔2014〕68号）；4.《国务院办公厅关于建立政府强制采购节能产品制度的通知》（国办发〔2007〕51号）；5.《财政部 民政部 中国残疾人联合会关于促进残疾人就业政府采购政策的通知》（财库〔2017〕141号）；6.《财政部 发展改革委 生态环境部 市场监管总局关于调整优化节能产品、环境标志产品政府采购执行机制的通知》（财库〔2019〕9号）；7.《关于印发环境标志产品政府采购品目清单的通知》（财库〔2019〕18号）；8.《关于印发节能产品政府采购品目清单的通知》（财库〔2019〕19号）；9.陕西省财政厅关于进一步加强政府绿色采购有关问题的通知--陕财办采〔2021〕29号；10.《财政部 农业农村部 国家乡村振兴局关于运用政府采购政策支持乡村产业振兴的通知》财库〔2021〕19号；11.《陕西省财政厅关于印发陕西省中小企业政府采购信用融资办法》（陕财办采〔2018〕23号）；12.《陕西省财政厅关于加快推进我省中小企业政府采购信用融资工作的通知》（陕财办采〔2020〕15号）；13.其他需要落实的政府采购政策（如有最新颁布的政府采购政策，按最新的文件执行）。</w:t>
      </w:r>
    </w:p>
    <w:p w14:paraId="1B96F6B9">
      <w:pPr>
        <w:pStyle w:val="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overflowPunct/>
        <w:topLinePunct w:val="0"/>
        <w:autoSpaceDE/>
        <w:autoSpaceDN/>
        <w:bidi w:val="0"/>
        <w:adjustRightInd/>
        <w:snapToGrid/>
        <w:spacing w:before="150" w:beforeAutospacing="0" w:after="0" w:afterAutospacing="0" w:line="360" w:lineRule="auto"/>
        <w:ind w:leftChars="0" w:right="0" w:rightChars="0"/>
        <w:jc w:val="left"/>
        <w:textAlignment w:val="auto"/>
        <w:rPr>
          <w:rFonts w:hint="eastAsia" w:ascii="楷体" w:hAnsi="楷体" w:eastAsia="楷体" w:cs="楷体"/>
          <w:b w:val="0"/>
          <w:bCs w:val="0"/>
          <w:i w:val="0"/>
          <w:iCs w:val="0"/>
          <w:caps w:val="0"/>
          <w:color w:val="auto"/>
          <w:spacing w:val="0"/>
          <w:sz w:val="24"/>
          <w:szCs w:val="24"/>
          <w:highlight w:val="none"/>
        </w:rPr>
      </w:pPr>
      <w:r>
        <w:rPr>
          <w:rStyle w:val="20"/>
          <w:rFonts w:hint="eastAsia" w:ascii="楷体" w:hAnsi="楷体" w:eastAsia="楷体" w:cs="楷体"/>
          <w:b/>
          <w:bCs/>
          <w:i w:val="0"/>
          <w:iCs w:val="0"/>
          <w:caps w:val="0"/>
          <w:color w:val="auto"/>
          <w:spacing w:val="0"/>
          <w:sz w:val="24"/>
          <w:szCs w:val="24"/>
          <w:highlight w:val="none"/>
          <w:shd w:val="clear" w:color="auto" w:fill="FFFFFF"/>
        </w:rPr>
        <w:t>八、对本次招标提出询问，请按以下方式联系。</w:t>
      </w:r>
    </w:p>
    <w:p w14:paraId="0E2593B7">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right="0"/>
        <w:jc w:val="left"/>
        <w:textAlignment w:val="auto"/>
        <w:rPr>
          <w:rFonts w:hint="eastAsia" w:ascii="楷体" w:hAnsi="楷体" w:eastAsia="楷体" w:cs="楷体"/>
          <w:b w:val="0"/>
          <w:bCs w:val="0"/>
          <w:color w:val="auto"/>
          <w:sz w:val="24"/>
          <w:szCs w:val="24"/>
          <w:highlight w:val="none"/>
        </w:rPr>
      </w:pPr>
      <w:r>
        <w:rPr>
          <w:rFonts w:hint="eastAsia" w:ascii="楷体" w:hAnsi="楷体" w:eastAsia="楷体" w:cs="楷体"/>
          <w:b w:val="0"/>
          <w:bCs w:val="0"/>
          <w:i w:val="0"/>
          <w:iCs w:val="0"/>
          <w:caps w:val="0"/>
          <w:color w:val="auto"/>
          <w:spacing w:val="0"/>
          <w:sz w:val="24"/>
          <w:szCs w:val="24"/>
          <w:highlight w:val="none"/>
          <w:shd w:val="clear" w:color="auto" w:fill="FFFFFF"/>
        </w:rPr>
        <w:t>1.采购人信息</w:t>
      </w:r>
    </w:p>
    <w:p w14:paraId="76EF1A64">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楷体" w:hAnsi="楷体" w:eastAsia="楷体" w:cs="楷体"/>
          <w:i w:val="0"/>
          <w:iCs w:val="0"/>
          <w:caps w:val="0"/>
          <w:color w:val="auto"/>
          <w:spacing w:val="0"/>
          <w:sz w:val="24"/>
          <w:szCs w:val="24"/>
          <w:highlight w:val="none"/>
          <w:shd w:val="clear" w:color="auto" w:fill="FFFFFF"/>
        </w:rPr>
      </w:pPr>
      <w:r>
        <w:rPr>
          <w:rFonts w:hint="eastAsia" w:ascii="楷体" w:hAnsi="楷体" w:eastAsia="楷体" w:cs="楷体"/>
          <w:i w:val="0"/>
          <w:iCs w:val="0"/>
          <w:caps w:val="0"/>
          <w:color w:val="auto"/>
          <w:spacing w:val="0"/>
          <w:sz w:val="24"/>
          <w:szCs w:val="24"/>
          <w:highlight w:val="none"/>
          <w:shd w:val="clear" w:color="auto" w:fill="FFFFFF"/>
        </w:rPr>
        <w:t>名称：西安市</w:t>
      </w:r>
      <w:r>
        <w:rPr>
          <w:rFonts w:hint="eastAsia" w:ascii="楷体" w:hAnsi="楷体" w:eastAsia="楷体" w:cs="楷体"/>
          <w:i w:val="0"/>
          <w:iCs w:val="0"/>
          <w:caps w:val="0"/>
          <w:color w:val="auto"/>
          <w:spacing w:val="0"/>
          <w:sz w:val="24"/>
          <w:szCs w:val="24"/>
          <w:highlight w:val="none"/>
          <w:shd w:val="clear" w:color="auto" w:fill="FFFFFF"/>
          <w:lang w:eastAsia="zh-CN"/>
        </w:rPr>
        <w:t>市场监督管理局</w:t>
      </w:r>
    </w:p>
    <w:p w14:paraId="44ED3810">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楷体" w:hAnsi="楷体" w:eastAsia="楷体" w:cs="楷体"/>
          <w:i w:val="0"/>
          <w:iCs w:val="0"/>
          <w:caps w:val="0"/>
          <w:color w:val="auto"/>
          <w:spacing w:val="0"/>
          <w:sz w:val="24"/>
          <w:szCs w:val="24"/>
          <w:highlight w:val="none"/>
          <w:shd w:val="clear" w:color="auto" w:fill="FFFFFF"/>
        </w:rPr>
      </w:pPr>
      <w:r>
        <w:rPr>
          <w:rFonts w:hint="eastAsia" w:ascii="楷体" w:hAnsi="楷体" w:eastAsia="楷体" w:cs="楷体"/>
          <w:i w:val="0"/>
          <w:iCs w:val="0"/>
          <w:caps w:val="0"/>
          <w:color w:val="auto"/>
          <w:spacing w:val="0"/>
          <w:sz w:val="24"/>
          <w:szCs w:val="24"/>
          <w:highlight w:val="none"/>
          <w:shd w:val="clear" w:color="auto" w:fill="FFFFFF"/>
        </w:rPr>
        <w:t>地址：吉祥路181号</w:t>
      </w:r>
    </w:p>
    <w:p w14:paraId="3AF3DC5F">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default" w:ascii="楷体" w:hAnsi="楷体" w:eastAsia="楷体" w:cs="楷体"/>
          <w:i w:val="0"/>
          <w:iCs w:val="0"/>
          <w:caps w:val="0"/>
          <w:color w:val="auto"/>
          <w:spacing w:val="0"/>
          <w:sz w:val="24"/>
          <w:szCs w:val="24"/>
          <w:highlight w:val="none"/>
          <w:shd w:val="clear" w:color="auto" w:fill="FFFFFF"/>
          <w:lang w:val="en-US" w:eastAsia="zh-CN"/>
        </w:rPr>
      </w:pPr>
      <w:r>
        <w:rPr>
          <w:rFonts w:hint="eastAsia" w:ascii="楷体" w:hAnsi="楷体" w:eastAsia="楷体" w:cs="楷体"/>
          <w:i w:val="0"/>
          <w:iCs w:val="0"/>
          <w:caps w:val="0"/>
          <w:color w:val="auto"/>
          <w:spacing w:val="0"/>
          <w:sz w:val="24"/>
          <w:szCs w:val="24"/>
          <w:highlight w:val="none"/>
          <w:shd w:val="clear" w:color="auto" w:fill="FFFFFF"/>
        </w:rPr>
        <w:t>联系电话：</w:t>
      </w:r>
      <w:r>
        <w:rPr>
          <w:rFonts w:hint="eastAsia" w:ascii="楷体" w:hAnsi="楷体" w:eastAsia="楷体" w:cs="楷体"/>
          <w:i w:val="0"/>
          <w:iCs w:val="0"/>
          <w:caps w:val="0"/>
          <w:color w:val="auto"/>
          <w:spacing w:val="0"/>
          <w:sz w:val="24"/>
          <w:szCs w:val="24"/>
          <w:highlight w:val="none"/>
          <w:shd w:val="clear" w:color="auto" w:fill="FFFFFF"/>
          <w:lang w:val="en-US" w:eastAsia="zh-CN"/>
        </w:rPr>
        <w:t>张老师</w:t>
      </w:r>
      <w:r>
        <w:rPr>
          <w:rFonts w:hint="eastAsia" w:ascii="楷体" w:hAnsi="楷体" w:eastAsia="楷体" w:cs="楷体"/>
          <w:i w:val="0"/>
          <w:iCs w:val="0"/>
          <w:caps w:val="0"/>
          <w:color w:val="auto"/>
          <w:spacing w:val="0"/>
          <w:sz w:val="24"/>
          <w:szCs w:val="24"/>
          <w:highlight w:val="none"/>
          <w:shd w:val="clear" w:color="auto" w:fill="FFFFFF"/>
        </w:rPr>
        <w:t>029-88223685</w:t>
      </w:r>
    </w:p>
    <w:p w14:paraId="4E1C6AA9">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1149" w:leftChars="100" w:right="0" w:hanging="909" w:hangingChars="379"/>
        <w:jc w:val="left"/>
        <w:textAlignment w:val="auto"/>
        <w:rPr>
          <w:rFonts w:hint="eastAsia" w:ascii="楷体" w:hAnsi="楷体" w:eastAsia="楷体" w:cs="楷体"/>
          <w:b w:val="0"/>
          <w:bCs w:val="0"/>
          <w:color w:val="auto"/>
          <w:sz w:val="24"/>
          <w:szCs w:val="24"/>
          <w:highlight w:val="none"/>
        </w:rPr>
      </w:pPr>
      <w:r>
        <w:rPr>
          <w:rFonts w:hint="eastAsia" w:ascii="楷体" w:hAnsi="楷体" w:eastAsia="楷体" w:cs="楷体"/>
          <w:b w:val="0"/>
          <w:bCs w:val="0"/>
          <w:i w:val="0"/>
          <w:iCs w:val="0"/>
          <w:caps w:val="0"/>
          <w:color w:val="auto"/>
          <w:spacing w:val="0"/>
          <w:sz w:val="24"/>
          <w:szCs w:val="24"/>
          <w:highlight w:val="none"/>
          <w:shd w:val="clear" w:color="auto" w:fill="FFFFFF"/>
        </w:rPr>
        <w:t>2.采购代理机构信息</w:t>
      </w:r>
    </w:p>
    <w:p w14:paraId="41AE1BCD">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楷体" w:hAnsi="楷体" w:eastAsia="楷体" w:cs="楷体"/>
          <w:color w:val="auto"/>
          <w:sz w:val="24"/>
          <w:szCs w:val="24"/>
          <w:highlight w:val="none"/>
        </w:rPr>
      </w:pPr>
      <w:r>
        <w:rPr>
          <w:rFonts w:hint="eastAsia" w:ascii="楷体" w:hAnsi="楷体" w:eastAsia="楷体" w:cs="楷体"/>
          <w:i w:val="0"/>
          <w:iCs w:val="0"/>
          <w:caps w:val="0"/>
          <w:color w:val="auto"/>
          <w:spacing w:val="0"/>
          <w:sz w:val="24"/>
          <w:szCs w:val="24"/>
          <w:highlight w:val="none"/>
          <w:shd w:val="clear" w:color="auto" w:fill="FFFFFF"/>
        </w:rPr>
        <w:t>名称：陕西正翼项目管理咨询有限公司</w:t>
      </w:r>
    </w:p>
    <w:p w14:paraId="62F21E84">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楷体" w:hAnsi="楷体" w:eastAsia="楷体" w:cs="楷体"/>
          <w:color w:val="auto"/>
          <w:sz w:val="24"/>
          <w:szCs w:val="24"/>
          <w:highlight w:val="none"/>
        </w:rPr>
      </w:pPr>
      <w:r>
        <w:rPr>
          <w:rFonts w:hint="eastAsia" w:ascii="楷体" w:hAnsi="楷体" w:eastAsia="楷体" w:cs="楷体"/>
          <w:i w:val="0"/>
          <w:iCs w:val="0"/>
          <w:caps w:val="0"/>
          <w:color w:val="auto"/>
          <w:spacing w:val="0"/>
          <w:sz w:val="24"/>
          <w:szCs w:val="24"/>
          <w:highlight w:val="none"/>
          <w:shd w:val="clear" w:color="auto" w:fill="FFFFFF"/>
        </w:rPr>
        <w:t>地址：陕西省西安市未央区西安经济技术开发区凤城一路6号利君V时代B座901、9</w:t>
      </w:r>
      <w:r>
        <w:rPr>
          <w:rFonts w:hint="eastAsia" w:ascii="楷体" w:hAnsi="楷体" w:eastAsia="楷体" w:cs="楷体"/>
          <w:i w:val="0"/>
          <w:iCs w:val="0"/>
          <w:caps w:val="0"/>
          <w:color w:val="auto"/>
          <w:spacing w:val="0"/>
          <w:sz w:val="24"/>
          <w:szCs w:val="24"/>
          <w:highlight w:val="none"/>
          <w:shd w:val="clear" w:color="auto" w:fill="FFFFFF"/>
          <w:lang w:val="en-US" w:eastAsia="zh-CN"/>
        </w:rPr>
        <w:t>02</w:t>
      </w:r>
      <w:r>
        <w:rPr>
          <w:rFonts w:hint="eastAsia" w:ascii="楷体" w:hAnsi="楷体" w:eastAsia="楷体" w:cs="楷体"/>
          <w:i w:val="0"/>
          <w:iCs w:val="0"/>
          <w:caps w:val="0"/>
          <w:color w:val="auto"/>
          <w:spacing w:val="0"/>
          <w:sz w:val="24"/>
          <w:szCs w:val="24"/>
          <w:highlight w:val="none"/>
          <w:shd w:val="clear" w:color="auto" w:fill="FFFFFF"/>
        </w:rPr>
        <w:t>室</w:t>
      </w:r>
    </w:p>
    <w:p w14:paraId="229377E7">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default" w:ascii="楷体" w:hAnsi="楷体" w:eastAsia="楷体" w:cs="楷体"/>
          <w:i w:val="0"/>
          <w:iCs w:val="0"/>
          <w:caps w:val="0"/>
          <w:color w:val="auto"/>
          <w:spacing w:val="0"/>
          <w:sz w:val="24"/>
          <w:szCs w:val="24"/>
          <w:highlight w:val="none"/>
          <w:shd w:val="clear" w:color="auto" w:fill="FFFFFF"/>
          <w:lang w:val="en-US" w:eastAsia="zh-CN"/>
        </w:rPr>
      </w:pPr>
      <w:r>
        <w:rPr>
          <w:rFonts w:hint="eastAsia" w:ascii="楷体" w:hAnsi="楷体" w:eastAsia="楷体" w:cs="楷体"/>
          <w:i w:val="0"/>
          <w:iCs w:val="0"/>
          <w:caps w:val="0"/>
          <w:color w:val="auto"/>
          <w:spacing w:val="0"/>
          <w:sz w:val="24"/>
          <w:szCs w:val="24"/>
          <w:highlight w:val="none"/>
          <w:shd w:val="clear" w:color="auto" w:fill="FFFFFF"/>
        </w:rPr>
        <w:t xml:space="preserve">联系方式： </w:t>
      </w:r>
      <w:r>
        <w:rPr>
          <w:rFonts w:hint="eastAsia" w:ascii="楷体" w:hAnsi="楷体" w:eastAsia="楷体" w:cs="楷体"/>
          <w:i w:val="0"/>
          <w:iCs w:val="0"/>
          <w:caps w:val="0"/>
          <w:color w:val="auto"/>
          <w:spacing w:val="0"/>
          <w:sz w:val="24"/>
          <w:szCs w:val="24"/>
          <w:highlight w:val="none"/>
          <w:shd w:val="clear" w:color="auto" w:fill="FFFFFF"/>
          <w:lang w:eastAsia="zh-CN"/>
        </w:rPr>
        <w:t>029-</w:t>
      </w:r>
      <w:bookmarkStart w:id="25" w:name="OLE_LINK122"/>
      <w:r>
        <w:rPr>
          <w:rFonts w:hint="eastAsia" w:ascii="楷体" w:hAnsi="楷体" w:eastAsia="楷体" w:cs="楷体"/>
          <w:i w:val="0"/>
          <w:iCs w:val="0"/>
          <w:caps w:val="0"/>
          <w:color w:val="auto"/>
          <w:spacing w:val="0"/>
          <w:sz w:val="24"/>
          <w:szCs w:val="24"/>
          <w:highlight w:val="none"/>
          <w:shd w:val="clear" w:color="auto" w:fill="FFFFFF"/>
          <w:lang w:eastAsia="zh-CN"/>
        </w:rPr>
        <w:t>86210100</w:t>
      </w:r>
      <w:bookmarkEnd w:id="25"/>
      <w:r>
        <w:rPr>
          <w:rFonts w:hint="eastAsia" w:ascii="楷体" w:hAnsi="楷体" w:eastAsia="楷体" w:cs="楷体"/>
          <w:i w:val="0"/>
          <w:iCs w:val="0"/>
          <w:caps w:val="0"/>
          <w:color w:val="auto"/>
          <w:spacing w:val="0"/>
          <w:sz w:val="24"/>
          <w:szCs w:val="24"/>
          <w:highlight w:val="none"/>
          <w:shd w:val="clear" w:color="auto" w:fill="FFFFFF"/>
          <w:lang w:eastAsia="zh-CN"/>
        </w:rPr>
        <w:t>转</w:t>
      </w:r>
      <w:r>
        <w:rPr>
          <w:rFonts w:hint="eastAsia" w:ascii="楷体" w:hAnsi="楷体" w:eastAsia="楷体" w:cs="楷体"/>
          <w:i w:val="0"/>
          <w:iCs w:val="0"/>
          <w:caps w:val="0"/>
          <w:color w:val="auto"/>
          <w:spacing w:val="0"/>
          <w:sz w:val="24"/>
          <w:szCs w:val="24"/>
          <w:highlight w:val="none"/>
          <w:shd w:val="clear" w:color="auto" w:fill="FFFFFF"/>
          <w:lang w:val="en-US" w:eastAsia="zh-CN"/>
        </w:rPr>
        <w:t>801</w:t>
      </w:r>
    </w:p>
    <w:p w14:paraId="25D05694">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1149" w:leftChars="100" w:right="0" w:hanging="909" w:hangingChars="379"/>
        <w:jc w:val="left"/>
        <w:textAlignment w:val="auto"/>
        <w:rPr>
          <w:rFonts w:hint="eastAsia" w:ascii="楷体" w:hAnsi="楷体" w:eastAsia="楷体" w:cs="楷体"/>
          <w:b w:val="0"/>
          <w:bCs w:val="0"/>
          <w:color w:val="auto"/>
          <w:sz w:val="24"/>
          <w:szCs w:val="24"/>
          <w:highlight w:val="none"/>
        </w:rPr>
      </w:pPr>
      <w:r>
        <w:rPr>
          <w:rFonts w:hint="eastAsia" w:ascii="楷体" w:hAnsi="楷体" w:eastAsia="楷体" w:cs="楷体"/>
          <w:b w:val="0"/>
          <w:bCs w:val="0"/>
          <w:i w:val="0"/>
          <w:iCs w:val="0"/>
          <w:caps w:val="0"/>
          <w:color w:val="auto"/>
          <w:spacing w:val="0"/>
          <w:sz w:val="24"/>
          <w:szCs w:val="24"/>
          <w:highlight w:val="none"/>
          <w:shd w:val="clear" w:color="auto" w:fill="FFFFFF"/>
        </w:rPr>
        <w:t>3.项目联系方式</w:t>
      </w:r>
    </w:p>
    <w:p w14:paraId="66F9AD17">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default" w:ascii="楷体" w:hAnsi="楷体" w:eastAsia="楷体" w:cs="楷体"/>
          <w:color w:val="auto"/>
          <w:sz w:val="24"/>
          <w:szCs w:val="24"/>
          <w:highlight w:val="none"/>
          <w:lang w:val="en-US" w:eastAsia="zh-CN"/>
        </w:rPr>
      </w:pPr>
      <w:r>
        <w:rPr>
          <w:rFonts w:hint="eastAsia" w:ascii="楷体" w:hAnsi="楷体" w:eastAsia="楷体" w:cs="楷体"/>
          <w:i w:val="0"/>
          <w:iCs w:val="0"/>
          <w:caps w:val="0"/>
          <w:color w:val="auto"/>
          <w:spacing w:val="0"/>
          <w:sz w:val="24"/>
          <w:szCs w:val="24"/>
          <w:highlight w:val="none"/>
          <w:shd w:val="clear" w:color="auto" w:fill="FFFFFF"/>
        </w:rPr>
        <w:t>项目联系人：</w:t>
      </w:r>
      <w:r>
        <w:rPr>
          <w:rFonts w:hint="eastAsia" w:ascii="楷体" w:hAnsi="楷体" w:eastAsia="楷体" w:cs="楷体"/>
          <w:i w:val="0"/>
          <w:iCs w:val="0"/>
          <w:caps w:val="0"/>
          <w:color w:val="auto"/>
          <w:spacing w:val="0"/>
          <w:sz w:val="24"/>
          <w:szCs w:val="24"/>
          <w:highlight w:val="none"/>
          <w:shd w:val="clear" w:color="auto" w:fill="FFFFFF"/>
          <w:lang w:val="en-US" w:eastAsia="zh-CN"/>
        </w:rPr>
        <w:t>刘工</w:t>
      </w:r>
    </w:p>
    <w:p w14:paraId="681EE9C3">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default" w:ascii="楷体" w:hAnsi="楷体" w:eastAsia="楷体" w:cs="楷体"/>
          <w:color w:val="auto"/>
          <w:sz w:val="24"/>
          <w:szCs w:val="24"/>
          <w:highlight w:val="none"/>
          <w:lang w:val="en-US" w:eastAsia="zh-CN"/>
        </w:rPr>
      </w:pPr>
      <w:r>
        <w:rPr>
          <w:rFonts w:hint="eastAsia" w:ascii="楷体" w:hAnsi="楷体" w:eastAsia="楷体" w:cs="楷体"/>
          <w:i w:val="0"/>
          <w:iCs w:val="0"/>
          <w:caps w:val="0"/>
          <w:color w:val="auto"/>
          <w:spacing w:val="0"/>
          <w:sz w:val="24"/>
          <w:szCs w:val="24"/>
          <w:highlight w:val="none"/>
          <w:shd w:val="clear" w:color="auto" w:fill="FFFFFF"/>
        </w:rPr>
        <w:t xml:space="preserve">电话： </w:t>
      </w:r>
      <w:r>
        <w:rPr>
          <w:rFonts w:hint="eastAsia" w:ascii="楷体" w:hAnsi="楷体" w:eastAsia="楷体" w:cs="楷体"/>
          <w:i w:val="0"/>
          <w:iCs w:val="0"/>
          <w:caps w:val="0"/>
          <w:color w:val="auto"/>
          <w:spacing w:val="0"/>
          <w:sz w:val="24"/>
          <w:szCs w:val="24"/>
          <w:highlight w:val="none"/>
          <w:shd w:val="clear" w:color="auto" w:fill="FFFFFF"/>
          <w:lang w:eastAsia="zh-CN"/>
        </w:rPr>
        <w:t>029-86210100转</w:t>
      </w:r>
      <w:r>
        <w:rPr>
          <w:rFonts w:hint="eastAsia" w:ascii="楷体" w:hAnsi="楷体" w:eastAsia="楷体" w:cs="楷体"/>
          <w:i w:val="0"/>
          <w:iCs w:val="0"/>
          <w:caps w:val="0"/>
          <w:color w:val="auto"/>
          <w:spacing w:val="0"/>
          <w:sz w:val="24"/>
          <w:szCs w:val="24"/>
          <w:highlight w:val="none"/>
          <w:shd w:val="clear" w:color="auto" w:fill="FFFFFF"/>
          <w:lang w:val="en-US" w:eastAsia="zh-CN"/>
        </w:rPr>
        <w:t>801</w:t>
      </w:r>
    </w:p>
    <w:p w14:paraId="6AD3C28A">
      <w:pPr>
        <w:pStyle w:val="14"/>
        <w:spacing w:before="0" w:beforeAutospacing="0" w:after="0" w:afterAutospacing="0" w:line="500" w:lineRule="exact"/>
        <w:jc w:val="right"/>
        <w:rPr>
          <w:rFonts w:hint="eastAsia" w:ascii="楷体" w:hAnsi="楷体" w:eastAsia="楷体" w:cs="楷体"/>
          <w:color w:val="auto"/>
          <w:highlight w:val="none"/>
          <w:lang w:eastAsia="zh-CN"/>
        </w:rPr>
      </w:pPr>
      <w:r>
        <w:rPr>
          <w:rFonts w:hint="eastAsia" w:ascii="楷体" w:hAnsi="楷体" w:eastAsia="楷体" w:cs="楷体"/>
          <w:color w:val="auto"/>
          <w:highlight w:val="none"/>
          <w:lang w:eastAsia="zh-CN"/>
        </w:rPr>
        <w:t>陕西正翼项目管理咨询有限公司</w:t>
      </w:r>
    </w:p>
    <w:p w14:paraId="29E8E29D">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overflowPunct/>
        <w:topLinePunct w:val="0"/>
        <w:autoSpaceDE/>
        <w:autoSpaceDN/>
        <w:bidi w:val="0"/>
        <w:adjustRightInd/>
        <w:snapToGrid/>
        <w:spacing w:before="0" w:beforeLines="0" w:beforeAutospacing="0" w:after="0" w:afterLines="0" w:afterAutospacing="0" w:line="360" w:lineRule="auto"/>
        <w:ind w:left="0" w:right="0" w:firstLine="480" w:firstLineChars="200"/>
        <w:jc w:val="right"/>
        <w:textAlignment w:val="baseline"/>
        <w:rPr>
          <w:rFonts w:hint="eastAsia" w:ascii="楷体" w:hAnsi="楷体" w:eastAsia="楷体" w:cs="楷体"/>
          <w:i w:val="0"/>
          <w:iCs w:val="0"/>
          <w:caps w:val="0"/>
          <w:color w:val="auto"/>
          <w:spacing w:val="0"/>
          <w:sz w:val="24"/>
          <w:szCs w:val="24"/>
          <w:highlight w:val="none"/>
        </w:rPr>
      </w:pPr>
      <w:r>
        <w:rPr>
          <w:rFonts w:hint="eastAsia" w:ascii="楷体" w:hAnsi="楷体" w:eastAsia="楷体" w:cs="楷体"/>
          <w:color w:val="auto"/>
          <w:highlight w:val="none"/>
        </w:rPr>
        <w:t>202</w:t>
      </w:r>
      <w:r>
        <w:rPr>
          <w:rFonts w:hint="eastAsia" w:ascii="楷体" w:hAnsi="楷体" w:eastAsia="楷体" w:cs="楷体"/>
          <w:color w:val="auto"/>
          <w:highlight w:val="none"/>
          <w:lang w:val="en-US" w:eastAsia="zh-CN"/>
        </w:rPr>
        <w:t>5</w:t>
      </w:r>
      <w:r>
        <w:rPr>
          <w:rFonts w:hint="eastAsia" w:ascii="楷体" w:hAnsi="楷体" w:eastAsia="楷体" w:cs="楷体"/>
          <w:color w:val="auto"/>
          <w:highlight w:val="none"/>
        </w:rPr>
        <w:t>年</w:t>
      </w:r>
      <w:r>
        <w:rPr>
          <w:rFonts w:hint="eastAsia" w:ascii="楷体" w:hAnsi="楷体" w:eastAsia="楷体" w:cs="楷体"/>
          <w:color w:val="auto"/>
          <w:highlight w:val="none"/>
          <w:lang w:val="en-US" w:eastAsia="zh-CN"/>
        </w:rPr>
        <w:t>08</w:t>
      </w:r>
      <w:r>
        <w:rPr>
          <w:rFonts w:hint="eastAsia" w:ascii="楷体" w:hAnsi="楷体" w:eastAsia="楷体" w:cs="楷体"/>
          <w:color w:val="auto"/>
          <w:highlight w:val="none"/>
        </w:rPr>
        <w:t>月</w:t>
      </w:r>
      <w:r>
        <w:rPr>
          <w:rFonts w:hint="eastAsia" w:ascii="楷体" w:hAnsi="楷体" w:eastAsia="楷体" w:cs="楷体"/>
          <w:color w:val="auto"/>
          <w:highlight w:val="none"/>
          <w:lang w:val="en-US" w:eastAsia="zh-CN"/>
        </w:rPr>
        <w:t>06</w:t>
      </w:r>
      <w:r>
        <w:rPr>
          <w:rFonts w:hint="eastAsia" w:ascii="楷体" w:hAnsi="楷体" w:eastAsia="楷体" w:cs="楷体"/>
          <w:color w:val="auto"/>
          <w:highlight w:val="none"/>
        </w:rPr>
        <w:t>日</w:t>
      </w:r>
    </w:p>
    <w:p w14:paraId="653701EF">
      <w:pPr>
        <w:keepNext w:val="0"/>
        <w:keepLines w:val="0"/>
        <w:pageBreakBefore w:val="0"/>
        <w:widowControl w:val="0"/>
        <w:kinsoku/>
        <w:wordWrap/>
        <w:overflowPunct/>
        <w:topLinePunct w:val="0"/>
        <w:autoSpaceDE/>
        <w:autoSpaceDN/>
        <w:bidi w:val="0"/>
        <w:adjustRightInd/>
        <w:snapToGrid/>
        <w:spacing w:line="540" w:lineRule="exact"/>
        <w:ind w:left="0"/>
        <w:jc w:val="both"/>
        <w:textAlignment w:val="auto"/>
        <w:rPr>
          <w:rFonts w:hint="eastAsia" w:ascii="楷体" w:hAnsi="楷体" w:eastAsia="楷体" w:cs="楷体"/>
          <w:color w:val="auto"/>
          <w:sz w:val="24"/>
          <w:szCs w:val="24"/>
          <w:highlight w:val="none"/>
        </w:rPr>
      </w:pPr>
    </w:p>
    <w:p w14:paraId="0284B605">
      <w:pPr>
        <w:pStyle w:val="2"/>
        <w:keepNext w:val="0"/>
        <w:keepLines/>
        <w:pageBreakBefore/>
        <w:spacing w:line="360" w:lineRule="auto"/>
        <w:jc w:val="center"/>
        <w:rPr>
          <w:rFonts w:hint="eastAsia" w:ascii="楷体" w:hAnsi="楷体" w:eastAsia="楷体" w:cs="楷体"/>
          <w:bCs/>
          <w:color w:val="auto"/>
          <w:sz w:val="36"/>
          <w:szCs w:val="36"/>
          <w:highlight w:val="none"/>
        </w:rPr>
      </w:pPr>
      <w:bookmarkStart w:id="26" w:name="_Toc7567_WPSOffice_Level1"/>
      <w:bookmarkStart w:id="27" w:name="_Toc9860"/>
      <w:bookmarkStart w:id="28" w:name="_Toc5393"/>
      <w:bookmarkStart w:id="29" w:name="_Toc9077"/>
      <w:bookmarkStart w:id="30" w:name="_Toc19158"/>
      <w:bookmarkStart w:id="31" w:name="_Toc2531"/>
      <w:bookmarkStart w:id="32" w:name="_Toc26119"/>
      <w:bookmarkStart w:id="33" w:name="_Toc12290"/>
      <w:bookmarkStart w:id="34" w:name="_Toc28100"/>
      <w:bookmarkStart w:id="35" w:name="_Toc26889_WPSOffice_Level1"/>
      <w:bookmarkStart w:id="36" w:name="_Toc28680"/>
      <w:bookmarkStart w:id="37" w:name="_Toc9318"/>
      <w:r>
        <w:rPr>
          <w:rFonts w:hint="eastAsia" w:ascii="楷体" w:hAnsi="楷体" w:eastAsia="楷体" w:cs="楷体"/>
          <w:bCs/>
          <w:color w:val="auto"/>
          <w:sz w:val="36"/>
          <w:szCs w:val="36"/>
          <w:highlight w:val="none"/>
        </w:rPr>
        <w:t xml:space="preserve">第二章  </w:t>
      </w:r>
      <w:bookmarkEnd w:id="18"/>
      <w:bookmarkEnd w:id="19"/>
      <w:r>
        <w:rPr>
          <w:rFonts w:hint="eastAsia" w:ascii="楷体" w:hAnsi="楷体" w:eastAsia="楷体" w:cs="楷体"/>
          <w:bCs/>
          <w:color w:val="auto"/>
          <w:sz w:val="36"/>
          <w:szCs w:val="36"/>
          <w:highlight w:val="none"/>
        </w:rPr>
        <w:t>供应商须知</w:t>
      </w:r>
      <w:bookmarkEnd w:id="20"/>
      <w:bookmarkEnd w:id="21"/>
      <w:bookmarkEnd w:id="22"/>
      <w:bookmarkEnd w:id="23"/>
      <w:bookmarkEnd w:id="24"/>
      <w:bookmarkEnd w:id="26"/>
      <w:bookmarkEnd w:id="27"/>
      <w:bookmarkEnd w:id="28"/>
      <w:bookmarkEnd w:id="29"/>
      <w:bookmarkEnd w:id="30"/>
      <w:bookmarkEnd w:id="31"/>
      <w:bookmarkEnd w:id="32"/>
      <w:bookmarkEnd w:id="33"/>
      <w:bookmarkEnd w:id="34"/>
      <w:bookmarkEnd w:id="35"/>
      <w:bookmarkEnd w:id="36"/>
      <w:bookmarkEnd w:id="37"/>
    </w:p>
    <w:p w14:paraId="3B4BC4A9">
      <w:pPr>
        <w:spacing w:line="360" w:lineRule="auto"/>
        <w:jc w:val="center"/>
        <w:rPr>
          <w:rFonts w:hint="eastAsia" w:ascii="楷体" w:hAnsi="楷体" w:eastAsia="楷体" w:cs="楷体"/>
          <w:color w:val="auto"/>
          <w:sz w:val="32"/>
          <w:highlight w:val="none"/>
        </w:rPr>
      </w:pPr>
      <w:bookmarkStart w:id="38" w:name="_Toc19364"/>
      <w:bookmarkStart w:id="39" w:name="_Toc423973073"/>
      <w:bookmarkStart w:id="40" w:name="_Toc2257"/>
      <w:r>
        <w:rPr>
          <w:rFonts w:hint="eastAsia" w:ascii="楷体" w:hAnsi="楷体" w:eastAsia="楷体" w:cs="楷体"/>
          <w:b/>
          <w:bCs/>
          <w:color w:val="auto"/>
          <w:sz w:val="32"/>
          <w:highlight w:val="none"/>
        </w:rPr>
        <w:t>供应商须知前附表</w:t>
      </w:r>
      <w:bookmarkEnd w:id="38"/>
      <w:bookmarkEnd w:id="39"/>
      <w:bookmarkEnd w:id="40"/>
    </w:p>
    <w:tbl>
      <w:tblPr>
        <w:tblStyle w:val="17"/>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543"/>
        <w:gridCol w:w="1023"/>
        <w:gridCol w:w="7278"/>
      </w:tblGrid>
      <w:tr w14:paraId="6F3B31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4" w:hRule="atLeast"/>
          <w:tblHeader/>
          <w:jc w:val="center"/>
        </w:trPr>
        <w:tc>
          <w:tcPr>
            <w:tcW w:w="543" w:type="dxa"/>
            <w:noWrap w:val="0"/>
            <w:vAlign w:val="center"/>
          </w:tcPr>
          <w:p w14:paraId="731CCF85">
            <w:pPr>
              <w:spacing w:line="360" w:lineRule="auto"/>
              <w:jc w:val="center"/>
              <w:rPr>
                <w:rFonts w:hint="eastAsia" w:ascii="楷体" w:hAnsi="楷体" w:eastAsia="楷体" w:cs="楷体"/>
                <w:b/>
                <w:color w:val="auto"/>
                <w:szCs w:val="24"/>
                <w:highlight w:val="none"/>
              </w:rPr>
            </w:pPr>
            <w:r>
              <w:rPr>
                <w:rFonts w:hint="eastAsia" w:ascii="楷体" w:hAnsi="楷体" w:eastAsia="楷体" w:cs="楷体"/>
                <w:b/>
                <w:color w:val="auto"/>
                <w:szCs w:val="24"/>
                <w:highlight w:val="none"/>
              </w:rPr>
              <w:t>序号</w:t>
            </w:r>
          </w:p>
        </w:tc>
        <w:tc>
          <w:tcPr>
            <w:tcW w:w="1023" w:type="dxa"/>
            <w:noWrap w:val="0"/>
            <w:vAlign w:val="center"/>
          </w:tcPr>
          <w:p w14:paraId="258FBD34">
            <w:pPr>
              <w:spacing w:line="360" w:lineRule="auto"/>
              <w:jc w:val="center"/>
              <w:rPr>
                <w:rFonts w:hint="eastAsia" w:ascii="楷体" w:hAnsi="楷体" w:eastAsia="楷体" w:cs="楷体"/>
                <w:b/>
                <w:color w:val="auto"/>
                <w:szCs w:val="24"/>
                <w:highlight w:val="none"/>
              </w:rPr>
            </w:pPr>
            <w:r>
              <w:rPr>
                <w:rFonts w:hint="eastAsia" w:ascii="楷体" w:hAnsi="楷体" w:eastAsia="楷体" w:cs="楷体"/>
                <w:b/>
                <w:color w:val="auto"/>
                <w:szCs w:val="24"/>
                <w:highlight w:val="none"/>
              </w:rPr>
              <w:t>条款号</w:t>
            </w:r>
          </w:p>
        </w:tc>
        <w:tc>
          <w:tcPr>
            <w:tcW w:w="7278" w:type="dxa"/>
            <w:noWrap w:val="0"/>
            <w:vAlign w:val="center"/>
          </w:tcPr>
          <w:p w14:paraId="4AD284FB">
            <w:pPr>
              <w:spacing w:line="360" w:lineRule="auto"/>
              <w:jc w:val="center"/>
              <w:rPr>
                <w:rFonts w:hint="eastAsia" w:ascii="楷体" w:hAnsi="楷体" w:eastAsia="楷体" w:cs="楷体"/>
                <w:b/>
                <w:color w:val="auto"/>
                <w:szCs w:val="24"/>
                <w:highlight w:val="none"/>
              </w:rPr>
            </w:pPr>
            <w:r>
              <w:rPr>
                <w:rFonts w:hint="eastAsia" w:ascii="楷体" w:hAnsi="楷体" w:eastAsia="楷体" w:cs="楷体"/>
                <w:b/>
                <w:color w:val="auto"/>
                <w:szCs w:val="24"/>
                <w:highlight w:val="none"/>
              </w:rPr>
              <w:t>编列内容</w:t>
            </w:r>
          </w:p>
        </w:tc>
      </w:tr>
      <w:tr w14:paraId="6FB8BA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543" w:type="dxa"/>
            <w:noWrap w:val="0"/>
            <w:vAlign w:val="center"/>
          </w:tcPr>
          <w:p w14:paraId="2CCB67CF">
            <w:pPr>
              <w:spacing w:line="360" w:lineRule="auto"/>
              <w:jc w:val="center"/>
              <w:rPr>
                <w:rFonts w:hint="eastAsia" w:ascii="楷体" w:hAnsi="楷体" w:eastAsia="楷体" w:cs="楷体"/>
                <w:color w:val="auto"/>
                <w:szCs w:val="24"/>
                <w:highlight w:val="none"/>
              </w:rPr>
            </w:pPr>
            <w:r>
              <w:rPr>
                <w:rFonts w:hint="eastAsia" w:ascii="楷体" w:hAnsi="楷体" w:eastAsia="楷体" w:cs="楷体"/>
                <w:color w:val="auto"/>
                <w:szCs w:val="24"/>
                <w:highlight w:val="none"/>
              </w:rPr>
              <w:t>1</w:t>
            </w:r>
          </w:p>
        </w:tc>
        <w:tc>
          <w:tcPr>
            <w:tcW w:w="1023" w:type="dxa"/>
            <w:noWrap w:val="0"/>
            <w:vAlign w:val="center"/>
          </w:tcPr>
          <w:p w14:paraId="5BB2BF0C">
            <w:pPr>
              <w:spacing w:line="360" w:lineRule="auto"/>
              <w:jc w:val="center"/>
              <w:rPr>
                <w:rFonts w:hint="eastAsia" w:ascii="楷体" w:hAnsi="楷体" w:eastAsia="楷体" w:cs="楷体"/>
                <w:color w:val="auto"/>
                <w:szCs w:val="24"/>
                <w:highlight w:val="none"/>
              </w:rPr>
            </w:pPr>
            <w:r>
              <w:rPr>
                <w:rFonts w:hint="eastAsia" w:ascii="楷体" w:hAnsi="楷体" w:eastAsia="楷体" w:cs="楷体"/>
                <w:color w:val="auto"/>
                <w:szCs w:val="24"/>
                <w:highlight w:val="none"/>
              </w:rPr>
              <w:t>2.1</w:t>
            </w:r>
          </w:p>
        </w:tc>
        <w:tc>
          <w:tcPr>
            <w:tcW w:w="7278" w:type="dxa"/>
            <w:noWrap w:val="0"/>
            <w:vAlign w:val="top"/>
          </w:tcPr>
          <w:p w14:paraId="5BAE0096">
            <w:pPr>
              <w:spacing w:line="360" w:lineRule="auto"/>
              <w:rPr>
                <w:rFonts w:hint="eastAsia" w:ascii="楷体" w:hAnsi="楷体" w:eastAsia="楷体" w:cs="楷体"/>
                <w:color w:val="auto"/>
                <w:szCs w:val="24"/>
                <w:highlight w:val="none"/>
                <w:lang w:eastAsia="zh-CN"/>
              </w:rPr>
            </w:pPr>
            <w:r>
              <w:rPr>
                <w:rFonts w:hint="eastAsia" w:ascii="楷体" w:hAnsi="楷体" w:eastAsia="楷体" w:cs="楷体"/>
                <w:color w:val="auto"/>
                <w:szCs w:val="24"/>
                <w:highlight w:val="none"/>
                <w:lang w:eastAsia="zh-CN"/>
              </w:rPr>
              <w:t>采购代理机构</w:t>
            </w:r>
            <w:r>
              <w:rPr>
                <w:rFonts w:hint="eastAsia" w:ascii="楷体" w:hAnsi="楷体" w:eastAsia="楷体" w:cs="楷体"/>
                <w:color w:val="auto"/>
                <w:szCs w:val="24"/>
                <w:highlight w:val="none"/>
              </w:rPr>
              <w:t>：</w:t>
            </w:r>
            <w:r>
              <w:rPr>
                <w:rFonts w:hint="eastAsia" w:ascii="楷体" w:hAnsi="楷体" w:eastAsia="楷体" w:cs="楷体"/>
                <w:color w:val="auto"/>
                <w:szCs w:val="24"/>
                <w:highlight w:val="none"/>
                <w:lang w:eastAsia="zh-CN"/>
              </w:rPr>
              <w:t>陕西正翼项目管理咨询有限公司</w:t>
            </w:r>
          </w:p>
          <w:p w14:paraId="1DCD8DC3">
            <w:pPr>
              <w:spacing w:line="360" w:lineRule="auto"/>
              <w:rPr>
                <w:rFonts w:hint="eastAsia" w:ascii="楷体" w:hAnsi="楷体" w:eastAsia="楷体" w:cs="楷体"/>
                <w:color w:val="auto"/>
                <w:szCs w:val="24"/>
                <w:highlight w:val="none"/>
              </w:rPr>
            </w:pPr>
            <w:r>
              <w:rPr>
                <w:rFonts w:hint="eastAsia" w:ascii="楷体" w:hAnsi="楷体" w:eastAsia="楷体" w:cs="楷体"/>
                <w:color w:val="auto"/>
                <w:szCs w:val="24"/>
                <w:highlight w:val="none"/>
              </w:rPr>
              <w:t>地址：</w:t>
            </w:r>
            <w:r>
              <w:rPr>
                <w:rFonts w:hint="eastAsia" w:ascii="楷体" w:hAnsi="楷体" w:eastAsia="楷体" w:cs="楷体"/>
                <w:i w:val="0"/>
                <w:iCs w:val="0"/>
                <w:caps w:val="0"/>
                <w:color w:val="auto"/>
                <w:spacing w:val="0"/>
                <w:sz w:val="24"/>
                <w:szCs w:val="24"/>
                <w:highlight w:val="none"/>
                <w:shd w:val="clear" w:color="auto" w:fill="FFFFFF"/>
              </w:rPr>
              <w:t>陕西省西安市未央区西安经济技术开发区凤城一路6号利君V时代B座901、9</w:t>
            </w:r>
            <w:r>
              <w:rPr>
                <w:rFonts w:hint="eastAsia" w:ascii="楷体" w:hAnsi="楷体" w:eastAsia="楷体" w:cs="楷体"/>
                <w:i w:val="0"/>
                <w:iCs w:val="0"/>
                <w:caps w:val="0"/>
                <w:color w:val="auto"/>
                <w:spacing w:val="0"/>
                <w:sz w:val="24"/>
                <w:szCs w:val="24"/>
                <w:highlight w:val="none"/>
                <w:shd w:val="clear" w:color="auto" w:fill="FFFFFF"/>
                <w:lang w:val="en-US" w:eastAsia="zh-CN"/>
              </w:rPr>
              <w:t>0</w:t>
            </w:r>
            <w:r>
              <w:rPr>
                <w:rFonts w:hint="eastAsia" w:ascii="楷体" w:hAnsi="楷体" w:eastAsia="楷体" w:cs="楷体"/>
                <w:i w:val="0"/>
                <w:iCs w:val="0"/>
                <w:caps w:val="0"/>
                <w:color w:val="auto"/>
                <w:spacing w:val="0"/>
                <w:sz w:val="24"/>
                <w:szCs w:val="24"/>
                <w:highlight w:val="none"/>
                <w:shd w:val="clear" w:color="auto" w:fill="FFFFFF"/>
              </w:rPr>
              <w:t>2室</w:t>
            </w:r>
          </w:p>
          <w:p w14:paraId="53538EDB">
            <w:pPr>
              <w:spacing w:line="360" w:lineRule="auto"/>
              <w:rPr>
                <w:rFonts w:hint="default" w:ascii="楷体" w:hAnsi="楷体" w:eastAsia="楷体" w:cs="楷体"/>
                <w:color w:val="auto"/>
                <w:szCs w:val="24"/>
                <w:highlight w:val="none"/>
                <w:lang w:val="en-US" w:eastAsia="zh-CN"/>
              </w:rPr>
            </w:pPr>
            <w:r>
              <w:rPr>
                <w:rFonts w:hint="eastAsia" w:ascii="楷体" w:hAnsi="楷体" w:eastAsia="楷体" w:cs="楷体"/>
                <w:color w:val="auto"/>
                <w:szCs w:val="24"/>
                <w:highlight w:val="none"/>
              </w:rPr>
              <w:t>采购项目联系人：</w:t>
            </w:r>
          </w:p>
          <w:p w14:paraId="0C5D30B9">
            <w:pPr>
              <w:spacing w:line="360" w:lineRule="auto"/>
              <w:jc w:val="left"/>
              <w:rPr>
                <w:rFonts w:hint="default" w:ascii="楷体" w:hAnsi="楷体" w:eastAsia="楷体" w:cs="楷体"/>
                <w:color w:val="auto"/>
                <w:szCs w:val="24"/>
                <w:highlight w:val="none"/>
                <w:lang w:val="en-US" w:eastAsia="zh-CN"/>
              </w:rPr>
            </w:pPr>
            <w:r>
              <w:rPr>
                <w:rFonts w:hint="eastAsia" w:ascii="楷体" w:hAnsi="楷体" w:eastAsia="楷体" w:cs="楷体"/>
                <w:color w:val="auto"/>
                <w:szCs w:val="24"/>
                <w:highlight w:val="none"/>
              </w:rPr>
              <w:t>电话：</w:t>
            </w:r>
            <w:r>
              <w:rPr>
                <w:rFonts w:hint="eastAsia" w:ascii="楷体" w:hAnsi="楷体" w:eastAsia="楷体" w:cs="楷体"/>
                <w:i w:val="0"/>
                <w:iCs w:val="0"/>
                <w:caps w:val="0"/>
                <w:color w:val="auto"/>
                <w:spacing w:val="0"/>
                <w:sz w:val="24"/>
                <w:szCs w:val="24"/>
                <w:highlight w:val="none"/>
                <w:shd w:val="clear" w:color="auto" w:fill="FFFFFF"/>
              </w:rPr>
              <w:t xml:space="preserve"> </w:t>
            </w:r>
            <w:r>
              <w:rPr>
                <w:rFonts w:hint="eastAsia" w:ascii="楷体" w:hAnsi="楷体" w:eastAsia="楷体" w:cs="楷体"/>
                <w:i w:val="0"/>
                <w:iCs w:val="0"/>
                <w:caps w:val="0"/>
                <w:color w:val="auto"/>
                <w:spacing w:val="0"/>
                <w:sz w:val="24"/>
                <w:szCs w:val="24"/>
                <w:highlight w:val="none"/>
                <w:shd w:val="clear" w:color="auto" w:fill="FFFFFF"/>
                <w:lang w:eastAsia="zh-CN"/>
              </w:rPr>
              <w:t>029-86210100转</w:t>
            </w:r>
            <w:r>
              <w:rPr>
                <w:rFonts w:hint="eastAsia" w:ascii="楷体" w:hAnsi="楷体" w:eastAsia="楷体" w:cs="楷体"/>
                <w:i w:val="0"/>
                <w:iCs w:val="0"/>
                <w:caps w:val="0"/>
                <w:color w:val="auto"/>
                <w:spacing w:val="0"/>
                <w:sz w:val="24"/>
                <w:szCs w:val="24"/>
                <w:highlight w:val="none"/>
                <w:shd w:val="clear" w:color="auto" w:fill="FFFFFF"/>
                <w:lang w:val="en-US" w:eastAsia="zh-CN"/>
              </w:rPr>
              <w:t>801</w:t>
            </w:r>
          </w:p>
          <w:p w14:paraId="2F282607">
            <w:pPr>
              <w:spacing w:line="360" w:lineRule="auto"/>
              <w:rPr>
                <w:rFonts w:hint="eastAsia" w:ascii="楷体" w:hAnsi="楷体" w:eastAsia="楷体" w:cs="楷体"/>
                <w:color w:val="auto"/>
                <w:szCs w:val="24"/>
                <w:highlight w:val="none"/>
              </w:rPr>
            </w:pPr>
            <w:r>
              <w:rPr>
                <w:rFonts w:hint="eastAsia" w:ascii="楷体" w:hAnsi="楷体" w:eastAsia="楷体" w:cs="楷体"/>
                <w:color w:val="auto"/>
                <w:szCs w:val="24"/>
                <w:highlight w:val="none"/>
              </w:rPr>
              <w:t>邮箱：sxzyzbgs@163.com</w:t>
            </w:r>
          </w:p>
        </w:tc>
      </w:tr>
      <w:tr w14:paraId="3022C0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60" w:hRule="atLeast"/>
          <w:jc w:val="center"/>
        </w:trPr>
        <w:tc>
          <w:tcPr>
            <w:tcW w:w="543" w:type="dxa"/>
            <w:noWrap w:val="0"/>
            <w:vAlign w:val="center"/>
          </w:tcPr>
          <w:p w14:paraId="1A8D32F3">
            <w:pPr>
              <w:spacing w:line="360" w:lineRule="auto"/>
              <w:jc w:val="center"/>
              <w:rPr>
                <w:rFonts w:hint="eastAsia" w:ascii="楷体" w:hAnsi="楷体" w:eastAsia="楷体" w:cs="楷体"/>
                <w:color w:val="auto"/>
                <w:szCs w:val="24"/>
                <w:highlight w:val="none"/>
              </w:rPr>
            </w:pPr>
            <w:r>
              <w:rPr>
                <w:rFonts w:hint="eastAsia" w:ascii="楷体" w:hAnsi="楷体" w:eastAsia="楷体" w:cs="楷体"/>
                <w:color w:val="auto"/>
                <w:szCs w:val="24"/>
                <w:highlight w:val="none"/>
              </w:rPr>
              <w:t>2</w:t>
            </w:r>
          </w:p>
        </w:tc>
        <w:tc>
          <w:tcPr>
            <w:tcW w:w="1023" w:type="dxa"/>
            <w:noWrap w:val="0"/>
            <w:vAlign w:val="center"/>
          </w:tcPr>
          <w:p w14:paraId="53884765">
            <w:pPr>
              <w:spacing w:line="360" w:lineRule="auto"/>
              <w:jc w:val="center"/>
              <w:rPr>
                <w:rFonts w:hint="eastAsia" w:ascii="楷体" w:hAnsi="楷体" w:eastAsia="楷体" w:cs="楷体"/>
                <w:color w:val="auto"/>
                <w:szCs w:val="24"/>
                <w:highlight w:val="none"/>
              </w:rPr>
            </w:pPr>
            <w:r>
              <w:rPr>
                <w:rFonts w:hint="eastAsia" w:ascii="楷体" w:hAnsi="楷体" w:eastAsia="楷体" w:cs="楷体"/>
                <w:color w:val="auto"/>
                <w:szCs w:val="24"/>
                <w:highlight w:val="none"/>
              </w:rPr>
              <w:t>2.2.5</w:t>
            </w:r>
          </w:p>
        </w:tc>
        <w:tc>
          <w:tcPr>
            <w:tcW w:w="7278" w:type="dxa"/>
            <w:noWrap w:val="0"/>
            <w:vAlign w:val="center"/>
          </w:tcPr>
          <w:p w14:paraId="157B9BD6">
            <w:pPr>
              <w:spacing w:line="360" w:lineRule="auto"/>
              <w:rPr>
                <w:rFonts w:hint="eastAsia" w:ascii="楷体" w:hAnsi="楷体" w:eastAsia="楷体" w:cs="楷体"/>
                <w:color w:val="auto"/>
                <w:szCs w:val="24"/>
                <w:highlight w:val="none"/>
              </w:rPr>
            </w:pPr>
            <w:r>
              <w:rPr>
                <w:rFonts w:hint="eastAsia" w:ascii="楷体" w:hAnsi="楷体" w:eastAsia="楷体" w:cs="楷体"/>
                <w:color w:val="auto"/>
                <w:szCs w:val="24"/>
                <w:highlight w:val="none"/>
              </w:rPr>
              <w:t>本项目不接受联合体磋商。</w:t>
            </w:r>
          </w:p>
        </w:tc>
      </w:tr>
      <w:tr w14:paraId="035518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06" w:hRule="atLeast"/>
          <w:jc w:val="center"/>
        </w:trPr>
        <w:tc>
          <w:tcPr>
            <w:tcW w:w="543" w:type="dxa"/>
            <w:noWrap w:val="0"/>
            <w:vAlign w:val="center"/>
          </w:tcPr>
          <w:p w14:paraId="6F49C783">
            <w:pPr>
              <w:spacing w:line="360" w:lineRule="auto"/>
              <w:jc w:val="center"/>
              <w:rPr>
                <w:rFonts w:hint="eastAsia" w:ascii="楷体" w:hAnsi="楷体" w:eastAsia="楷体" w:cs="楷体"/>
                <w:color w:val="auto"/>
                <w:szCs w:val="24"/>
                <w:highlight w:val="none"/>
              </w:rPr>
            </w:pPr>
            <w:r>
              <w:rPr>
                <w:rFonts w:hint="eastAsia" w:ascii="楷体" w:hAnsi="楷体" w:eastAsia="楷体" w:cs="楷体"/>
                <w:color w:val="auto"/>
                <w:szCs w:val="24"/>
                <w:highlight w:val="none"/>
              </w:rPr>
              <w:t>3</w:t>
            </w:r>
          </w:p>
        </w:tc>
        <w:tc>
          <w:tcPr>
            <w:tcW w:w="1023" w:type="dxa"/>
            <w:noWrap w:val="0"/>
            <w:vAlign w:val="center"/>
          </w:tcPr>
          <w:p w14:paraId="7CCD6198">
            <w:pPr>
              <w:spacing w:line="360" w:lineRule="auto"/>
              <w:jc w:val="center"/>
              <w:rPr>
                <w:rFonts w:hint="eastAsia" w:ascii="楷体" w:hAnsi="楷体" w:eastAsia="楷体" w:cs="楷体"/>
                <w:color w:val="auto"/>
                <w:szCs w:val="24"/>
                <w:highlight w:val="none"/>
              </w:rPr>
            </w:pPr>
            <w:r>
              <w:rPr>
                <w:rFonts w:hint="eastAsia" w:ascii="楷体" w:hAnsi="楷体" w:eastAsia="楷体" w:cs="楷体"/>
                <w:color w:val="auto"/>
                <w:szCs w:val="24"/>
                <w:highlight w:val="none"/>
              </w:rPr>
              <w:t>9.2</w:t>
            </w:r>
          </w:p>
        </w:tc>
        <w:tc>
          <w:tcPr>
            <w:tcW w:w="7278" w:type="dxa"/>
            <w:noWrap w:val="0"/>
            <w:vAlign w:val="center"/>
          </w:tcPr>
          <w:p w14:paraId="2E09686D">
            <w:pPr>
              <w:spacing w:line="360" w:lineRule="auto"/>
              <w:rPr>
                <w:rFonts w:hint="eastAsia" w:ascii="楷体" w:hAnsi="楷体" w:eastAsia="楷体" w:cs="楷体"/>
                <w:color w:val="auto"/>
                <w:szCs w:val="24"/>
                <w:highlight w:val="none"/>
              </w:rPr>
            </w:pPr>
            <w:r>
              <w:rPr>
                <w:rFonts w:hint="eastAsia" w:ascii="楷体" w:hAnsi="楷体" w:eastAsia="楷体" w:cs="楷体"/>
                <w:color w:val="auto"/>
                <w:szCs w:val="24"/>
                <w:highlight w:val="none"/>
              </w:rPr>
              <w:t>不允许提供备选方案。</w:t>
            </w:r>
          </w:p>
        </w:tc>
      </w:tr>
      <w:tr w14:paraId="21C5AD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17" w:hRule="atLeast"/>
          <w:jc w:val="center"/>
        </w:trPr>
        <w:tc>
          <w:tcPr>
            <w:tcW w:w="543" w:type="dxa"/>
            <w:noWrap w:val="0"/>
            <w:vAlign w:val="center"/>
          </w:tcPr>
          <w:p w14:paraId="57447511">
            <w:pPr>
              <w:spacing w:line="360" w:lineRule="auto"/>
              <w:jc w:val="center"/>
              <w:rPr>
                <w:rFonts w:hint="eastAsia" w:ascii="楷体" w:hAnsi="楷体" w:eastAsia="楷体" w:cs="楷体"/>
                <w:color w:val="auto"/>
                <w:szCs w:val="24"/>
                <w:highlight w:val="none"/>
              </w:rPr>
            </w:pPr>
            <w:r>
              <w:rPr>
                <w:rFonts w:hint="eastAsia" w:ascii="楷体" w:hAnsi="楷体" w:eastAsia="楷体" w:cs="楷体"/>
                <w:color w:val="auto"/>
                <w:szCs w:val="24"/>
                <w:highlight w:val="none"/>
              </w:rPr>
              <w:t>4</w:t>
            </w:r>
          </w:p>
        </w:tc>
        <w:tc>
          <w:tcPr>
            <w:tcW w:w="1023" w:type="dxa"/>
            <w:noWrap w:val="0"/>
            <w:vAlign w:val="center"/>
          </w:tcPr>
          <w:p w14:paraId="3299D90C">
            <w:pPr>
              <w:spacing w:line="360" w:lineRule="auto"/>
              <w:jc w:val="center"/>
              <w:rPr>
                <w:rFonts w:hint="eastAsia" w:ascii="楷体" w:hAnsi="楷体" w:eastAsia="楷体" w:cs="楷体"/>
                <w:color w:val="auto"/>
                <w:szCs w:val="24"/>
                <w:highlight w:val="none"/>
              </w:rPr>
            </w:pPr>
            <w:r>
              <w:rPr>
                <w:rFonts w:hint="eastAsia" w:ascii="楷体" w:hAnsi="楷体" w:eastAsia="楷体" w:cs="楷体"/>
                <w:color w:val="auto"/>
                <w:szCs w:val="24"/>
                <w:highlight w:val="none"/>
              </w:rPr>
              <w:t>11.1</w:t>
            </w:r>
          </w:p>
        </w:tc>
        <w:tc>
          <w:tcPr>
            <w:tcW w:w="7278" w:type="dxa"/>
            <w:noWrap w:val="0"/>
            <w:vAlign w:val="top"/>
          </w:tcPr>
          <w:p w14:paraId="6B502DE3">
            <w:pPr>
              <w:spacing w:line="360" w:lineRule="auto"/>
              <w:rPr>
                <w:rFonts w:hint="eastAsia" w:ascii="楷体" w:hAnsi="楷体" w:eastAsia="楷体" w:cs="楷体"/>
                <w:color w:val="auto"/>
                <w:szCs w:val="24"/>
                <w:highlight w:val="none"/>
              </w:rPr>
            </w:pPr>
            <w:r>
              <w:rPr>
                <w:rFonts w:hint="eastAsia" w:ascii="楷体" w:hAnsi="楷体" w:eastAsia="楷体" w:cs="楷体"/>
                <w:color w:val="auto"/>
                <w:szCs w:val="24"/>
                <w:highlight w:val="none"/>
              </w:rPr>
              <w:t>磋商报价：</w:t>
            </w:r>
          </w:p>
          <w:p w14:paraId="608197C0">
            <w:pPr>
              <w:spacing w:line="360" w:lineRule="auto"/>
              <w:rPr>
                <w:rFonts w:hint="eastAsia" w:eastAsia="宋体"/>
                <w:color w:val="auto"/>
                <w:highlight w:val="none"/>
                <w:lang w:eastAsia="zh-CN"/>
              </w:rPr>
            </w:pPr>
            <w:r>
              <w:rPr>
                <w:rFonts w:hint="eastAsia" w:ascii="楷体" w:hAnsi="楷体" w:eastAsia="楷体" w:cs="楷体"/>
                <w:color w:val="auto"/>
                <w:szCs w:val="24"/>
                <w:highlight w:val="none"/>
              </w:rPr>
              <w:t>磋商报价是供应商为完成本项目要求的全部服务（含为完成服务提供的货物）内容最终价格的体现。</w:t>
            </w:r>
          </w:p>
        </w:tc>
      </w:tr>
      <w:tr w14:paraId="0C67CC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79" w:hRule="atLeast"/>
          <w:jc w:val="center"/>
        </w:trPr>
        <w:tc>
          <w:tcPr>
            <w:tcW w:w="543" w:type="dxa"/>
            <w:noWrap w:val="0"/>
            <w:vAlign w:val="center"/>
          </w:tcPr>
          <w:p w14:paraId="17CDCB48">
            <w:pPr>
              <w:spacing w:line="360" w:lineRule="auto"/>
              <w:jc w:val="center"/>
              <w:rPr>
                <w:rFonts w:hint="eastAsia" w:ascii="楷体" w:hAnsi="楷体" w:eastAsia="楷体" w:cs="楷体"/>
                <w:color w:val="auto"/>
                <w:szCs w:val="24"/>
                <w:highlight w:val="none"/>
              </w:rPr>
            </w:pPr>
            <w:r>
              <w:rPr>
                <w:rFonts w:hint="eastAsia" w:ascii="楷体" w:hAnsi="楷体" w:eastAsia="楷体" w:cs="楷体"/>
                <w:color w:val="auto"/>
                <w:szCs w:val="24"/>
                <w:highlight w:val="none"/>
              </w:rPr>
              <w:t>5</w:t>
            </w:r>
          </w:p>
        </w:tc>
        <w:tc>
          <w:tcPr>
            <w:tcW w:w="1023" w:type="dxa"/>
            <w:noWrap w:val="0"/>
            <w:vAlign w:val="center"/>
          </w:tcPr>
          <w:p w14:paraId="58B7ABDB">
            <w:pPr>
              <w:spacing w:line="360" w:lineRule="auto"/>
              <w:jc w:val="center"/>
              <w:rPr>
                <w:rFonts w:hint="eastAsia" w:ascii="楷体" w:hAnsi="楷体" w:eastAsia="楷体" w:cs="楷体"/>
                <w:color w:val="auto"/>
                <w:szCs w:val="24"/>
                <w:highlight w:val="none"/>
              </w:rPr>
            </w:pPr>
            <w:r>
              <w:rPr>
                <w:rFonts w:hint="eastAsia" w:ascii="楷体" w:hAnsi="楷体" w:eastAsia="楷体" w:cs="楷体"/>
                <w:color w:val="auto"/>
                <w:szCs w:val="24"/>
                <w:highlight w:val="none"/>
              </w:rPr>
              <w:t>12.1</w:t>
            </w:r>
          </w:p>
        </w:tc>
        <w:tc>
          <w:tcPr>
            <w:tcW w:w="7278" w:type="dxa"/>
            <w:noWrap w:val="0"/>
            <w:vAlign w:val="top"/>
          </w:tcPr>
          <w:p w14:paraId="767FB1CA">
            <w:pPr>
              <w:spacing w:line="360" w:lineRule="auto"/>
              <w:rPr>
                <w:rFonts w:hint="eastAsia" w:ascii="楷体" w:hAnsi="楷体" w:eastAsia="楷体" w:cs="楷体"/>
                <w:color w:val="auto"/>
                <w:szCs w:val="24"/>
                <w:highlight w:val="none"/>
              </w:rPr>
            </w:pPr>
            <w:r>
              <w:rPr>
                <w:rFonts w:hint="eastAsia" w:ascii="楷体" w:hAnsi="楷体" w:eastAsia="楷体" w:cs="楷体"/>
                <w:color w:val="auto"/>
                <w:szCs w:val="24"/>
                <w:highlight w:val="none"/>
              </w:rPr>
              <w:t>1、供应商具备《中华人民共和国政府采购法》第二十二条规定之资格条件。须提供的证明材料有：</w:t>
            </w:r>
          </w:p>
          <w:p w14:paraId="1DB3796A">
            <w:pPr>
              <w:pStyle w:val="14"/>
              <w:spacing w:before="0" w:beforeAutospacing="0" w:after="0" w:afterAutospacing="0" w:line="360" w:lineRule="auto"/>
              <w:rPr>
                <w:rFonts w:hint="eastAsia" w:ascii="楷体" w:hAnsi="楷体" w:eastAsia="楷体" w:cs="楷体"/>
                <w:color w:val="auto"/>
                <w:highlight w:val="none"/>
              </w:rPr>
            </w:pPr>
            <w:r>
              <w:rPr>
                <w:rFonts w:hint="eastAsia" w:ascii="楷体" w:hAnsi="楷体" w:eastAsia="楷体" w:cs="楷体"/>
                <w:color w:val="auto"/>
                <w:highlight w:val="none"/>
              </w:rPr>
              <w:t>1.1提供有效合格的具有</w:t>
            </w:r>
            <w:r>
              <w:rPr>
                <w:rFonts w:hint="eastAsia" w:ascii="楷体" w:hAnsi="楷体" w:eastAsia="楷体" w:cs="楷体"/>
                <w:color w:val="auto"/>
                <w:highlight w:val="none"/>
                <w:lang w:eastAsia="zh-CN"/>
              </w:rPr>
              <w:t>统一社会信用代码</w:t>
            </w:r>
            <w:r>
              <w:rPr>
                <w:rFonts w:hint="eastAsia" w:ascii="楷体" w:hAnsi="楷体" w:eastAsia="楷体" w:cs="楷体"/>
                <w:color w:val="auto"/>
                <w:highlight w:val="none"/>
              </w:rPr>
              <w:t>的营业执照，其他组织经营的须提供合法凭证，自然人提供身份证明文件;</w:t>
            </w:r>
          </w:p>
          <w:p w14:paraId="471D0E25">
            <w:pPr>
              <w:pStyle w:val="14"/>
              <w:spacing w:before="0" w:beforeAutospacing="0" w:after="0" w:afterAutospacing="0" w:line="360" w:lineRule="auto"/>
              <w:rPr>
                <w:rFonts w:hint="eastAsia" w:ascii="楷体" w:hAnsi="楷体" w:eastAsia="楷体" w:cs="楷体"/>
                <w:color w:val="auto"/>
                <w:highlight w:val="none"/>
                <w:lang w:eastAsia="zh-CN"/>
              </w:rPr>
            </w:pPr>
            <w:r>
              <w:rPr>
                <w:rFonts w:hint="eastAsia" w:ascii="楷体" w:hAnsi="楷体" w:eastAsia="楷体" w:cs="楷体"/>
                <w:color w:val="auto"/>
                <w:highlight w:val="none"/>
              </w:rPr>
              <w:t>1.2财务状况报告：</w:t>
            </w:r>
            <w:r>
              <w:rPr>
                <w:rFonts w:hint="eastAsia" w:ascii="楷体" w:hAnsi="楷体" w:eastAsia="楷体" w:cs="楷体"/>
                <w:color w:val="auto"/>
                <w:highlight w:val="none"/>
                <w:lang w:eastAsia="zh-CN"/>
              </w:rPr>
              <w:t>提供202</w:t>
            </w:r>
            <w:r>
              <w:rPr>
                <w:rFonts w:hint="eastAsia" w:ascii="楷体" w:hAnsi="楷体" w:eastAsia="楷体" w:cs="楷体"/>
                <w:color w:val="auto"/>
                <w:highlight w:val="none"/>
                <w:lang w:val="en-US" w:eastAsia="zh-CN"/>
              </w:rPr>
              <w:t>4年度</w:t>
            </w:r>
            <w:r>
              <w:rPr>
                <w:rFonts w:hint="eastAsia" w:ascii="楷体" w:hAnsi="楷体" w:eastAsia="楷体" w:cs="楷体"/>
                <w:color w:val="auto"/>
                <w:highlight w:val="none"/>
                <w:lang w:eastAsia="zh-CN"/>
              </w:rPr>
              <w:t>经审计的完整财务报告或磋商日期前三个月内其基本存款账户开户银行出具的资信证明。（如提供资信证明，须同时提供基本存款账户开户许可证或基本账户信息表）；</w:t>
            </w:r>
          </w:p>
          <w:p w14:paraId="512929AF">
            <w:pPr>
              <w:pStyle w:val="14"/>
              <w:spacing w:before="0" w:beforeAutospacing="0" w:after="0" w:afterAutospacing="0" w:line="360" w:lineRule="auto"/>
              <w:rPr>
                <w:rFonts w:hint="eastAsia" w:ascii="楷体" w:hAnsi="楷体" w:eastAsia="楷体" w:cs="楷体"/>
                <w:color w:val="auto"/>
                <w:highlight w:val="none"/>
              </w:rPr>
            </w:pPr>
            <w:r>
              <w:rPr>
                <w:rFonts w:hint="eastAsia" w:ascii="楷体" w:hAnsi="楷体" w:eastAsia="楷体" w:cs="楷体"/>
                <w:color w:val="auto"/>
                <w:highlight w:val="none"/>
              </w:rPr>
              <w:t>1.3税收缴纳证明：提供202</w:t>
            </w:r>
            <w:r>
              <w:rPr>
                <w:rFonts w:hint="eastAsia" w:ascii="楷体" w:hAnsi="楷体" w:eastAsia="楷体" w:cs="楷体"/>
                <w:color w:val="auto"/>
                <w:highlight w:val="none"/>
                <w:lang w:val="en-US" w:eastAsia="zh-CN"/>
              </w:rPr>
              <w:t>5</w:t>
            </w:r>
            <w:r>
              <w:rPr>
                <w:rFonts w:hint="eastAsia" w:ascii="楷体" w:hAnsi="楷体" w:eastAsia="楷体" w:cs="楷体"/>
                <w:color w:val="auto"/>
                <w:highlight w:val="none"/>
              </w:rPr>
              <w:t>年</w:t>
            </w:r>
            <w:r>
              <w:rPr>
                <w:rFonts w:hint="eastAsia" w:ascii="楷体" w:hAnsi="楷体" w:eastAsia="楷体" w:cs="楷体"/>
                <w:color w:val="auto"/>
                <w:highlight w:val="none"/>
                <w:lang w:val="en-US" w:eastAsia="zh-CN"/>
              </w:rPr>
              <w:t>1</w:t>
            </w:r>
            <w:r>
              <w:rPr>
                <w:rFonts w:hint="eastAsia" w:ascii="楷体" w:hAnsi="楷体" w:eastAsia="楷体" w:cs="楷体"/>
                <w:color w:val="auto"/>
                <w:highlight w:val="none"/>
              </w:rPr>
              <w:t>月至今已缴纳的至少一个月的纳税证明，依法免税的单位应提供相关证明材料；</w:t>
            </w:r>
          </w:p>
          <w:p w14:paraId="0CD582DC">
            <w:pPr>
              <w:pStyle w:val="14"/>
              <w:spacing w:before="0" w:beforeAutospacing="0" w:after="0" w:afterAutospacing="0" w:line="360" w:lineRule="auto"/>
              <w:rPr>
                <w:rFonts w:hint="eastAsia" w:ascii="楷体" w:hAnsi="楷体" w:eastAsia="楷体" w:cs="楷体"/>
                <w:color w:val="auto"/>
                <w:highlight w:val="none"/>
              </w:rPr>
            </w:pPr>
            <w:r>
              <w:rPr>
                <w:rFonts w:hint="eastAsia" w:ascii="楷体" w:hAnsi="楷体" w:eastAsia="楷体" w:cs="楷体"/>
                <w:color w:val="auto"/>
                <w:highlight w:val="none"/>
              </w:rPr>
              <w:t>1.4社会保障资金缴纳证明：提供202</w:t>
            </w:r>
            <w:r>
              <w:rPr>
                <w:rFonts w:hint="eastAsia" w:ascii="楷体" w:hAnsi="楷体" w:eastAsia="楷体" w:cs="楷体"/>
                <w:color w:val="auto"/>
                <w:highlight w:val="none"/>
                <w:lang w:val="en-US" w:eastAsia="zh-CN"/>
              </w:rPr>
              <w:t>5</w:t>
            </w:r>
            <w:r>
              <w:rPr>
                <w:rFonts w:hint="eastAsia" w:ascii="楷体" w:hAnsi="楷体" w:eastAsia="楷体" w:cs="楷体"/>
                <w:color w:val="auto"/>
                <w:highlight w:val="none"/>
              </w:rPr>
              <w:t>年</w:t>
            </w:r>
            <w:r>
              <w:rPr>
                <w:rFonts w:hint="eastAsia" w:ascii="楷体" w:hAnsi="楷体" w:eastAsia="楷体" w:cs="楷体"/>
                <w:color w:val="auto"/>
                <w:highlight w:val="none"/>
                <w:lang w:val="en-US" w:eastAsia="zh-CN"/>
              </w:rPr>
              <w:t>1</w:t>
            </w:r>
            <w:r>
              <w:rPr>
                <w:rFonts w:hint="eastAsia" w:ascii="楷体" w:hAnsi="楷体" w:eastAsia="楷体" w:cs="楷体"/>
                <w:color w:val="auto"/>
                <w:highlight w:val="none"/>
              </w:rPr>
              <w:t>月至今已缴存的至少一个月的社会保障资金缴存单据或社保机构开具的社会保险参保缴费情况证明，依法不需要缴纳社会保障资金的单位应提供相关证明材料；</w:t>
            </w:r>
          </w:p>
          <w:p w14:paraId="264BFA69">
            <w:pPr>
              <w:pStyle w:val="14"/>
              <w:spacing w:before="0" w:beforeAutospacing="0" w:after="0" w:afterAutospacing="0" w:line="360" w:lineRule="auto"/>
              <w:rPr>
                <w:rFonts w:hint="eastAsia" w:ascii="楷体" w:hAnsi="楷体" w:eastAsia="楷体" w:cs="楷体"/>
                <w:color w:val="auto"/>
                <w:highlight w:val="none"/>
              </w:rPr>
            </w:pPr>
            <w:r>
              <w:rPr>
                <w:rFonts w:hint="eastAsia" w:ascii="楷体" w:hAnsi="楷体" w:eastAsia="楷体" w:cs="楷体"/>
                <w:color w:val="auto"/>
                <w:highlight w:val="none"/>
              </w:rPr>
              <w:t>1.5具备履行合同所必须的设备和专业技术能力的书面声明;</w:t>
            </w:r>
          </w:p>
          <w:p w14:paraId="3EE9737D">
            <w:pPr>
              <w:pStyle w:val="14"/>
              <w:spacing w:before="0" w:beforeAutospacing="0" w:after="0" w:afterAutospacing="0" w:line="360" w:lineRule="auto"/>
              <w:rPr>
                <w:rFonts w:hint="eastAsia" w:ascii="楷体" w:hAnsi="楷体" w:eastAsia="楷体" w:cs="楷体"/>
                <w:color w:val="auto"/>
                <w:highlight w:val="none"/>
              </w:rPr>
            </w:pPr>
            <w:r>
              <w:rPr>
                <w:rFonts w:hint="eastAsia" w:ascii="楷体" w:hAnsi="楷体" w:eastAsia="楷体" w:cs="楷体"/>
                <w:color w:val="auto"/>
                <w:highlight w:val="none"/>
              </w:rPr>
              <w:t>1.6参加政府采购活动前三年内，在经营活动中没有重大违法记录的书面声明；</w:t>
            </w:r>
          </w:p>
          <w:p w14:paraId="31838D3B">
            <w:pPr>
              <w:pStyle w:val="14"/>
              <w:spacing w:before="0" w:beforeAutospacing="0" w:after="0" w:afterAutospacing="0" w:line="360" w:lineRule="auto"/>
              <w:rPr>
                <w:rFonts w:hint="eastAsia" w:ascii="楷体" w:hAnsi="楷体" w:eastAsia="楷体" w:cs="楷体"/>
                <w:color w:val="auto"/>
                <w:highlight w:val="none"/>
              </w:rPr>
            </w:pPr>
            <w:r>
              <w:rPr>
                <w:rFonts w:hint="eastAsia" w:ascii="楷体" w:hAnsi="楷体" w:eastAsia="楷体" w:cs="楷体"/>
                <w:color w:val="auto"/>
                <w:highlight w:val="none"/>
              </w:rPr>
              <w:t>2.特定资格条件</w:t>
            </w:r>
          </w:p>
          <w:p w14:paraId="1778F5F8">
            <w:pPr>
              <w:pStyle w:val="14"/>
              <w:spacing w:before="0" w:beforeAutospacing="0" w:after="0" w:afterAutospacing="0" w:line="360" w:lineRule="auto"/>
              <w:rPr>
                <w:rFonts w:hint="eastAsia" w:ascii="楷体" w:hAnsi="楷体" w:eastAsia="楷体" w:cs="楷体"/>
                <w:color w:val="auto"/>
                <w:highlight w:val="none"/>
              </w:rPr>
            </w:pPr>
            <w:r>
              <w:rPr>
                <w:rFonts w:hint="eastAsia" w:ascii="楷体" w:hAnsi="楷体" w:eastAsia="楷体" w:cs="楷体"/>
                <w:color w:val="auto"/>
                <w:highlight w:val="none"/>
              </w:rPr>
              <w:t>2.1</w:t>
            </w:r>
            <w:r>
              <w:rPr>
                <w:rFonts w:hint="eastAsia" w:ascii="楷体" w:hAnsi="楷体" w:eastAsia="楷体" w:cs="楷体"/>
                <w:color w:val="auto"/>
                <w:highlight w:val="none"/>
                <w:lang w:val="en-US" w:eastAsia="zh-CN"/>
              </w:rPr>
              <w:t>信用查询：</w:t>
            </w:r>
            <w:r>
              <w:rPr>
                <w:rFonts w:hint="eastAsia" w:ascii="楷体" w:hAnsi="楷体" w:eastAsia="楷体" w:cs="楷体"/>
                <w:b w:val="0"/>
                <w:color w:val="auto"/>
                <w:kern w:val="0"/>
                <w:sz w:val="24"/>
                <w:szCs w:val="24"/>
                <w:highlight w:val="none"/>
                <w:lang w:val="en-US" w:eastAsia="zh-CN" w:bidi="ar-SA"/>
              </w:rPr>
              <w:t>供应商未被列入信用中国网站(www.creditchina.gov.cn)“失信被执行人、重大税收违法失信主体”；不处于中国政府采购网(www.ccgp.gov.cn)“政府采购严重违法失信行为信息记录”中的禁止参加政府采购活动期间</w:t>
            </w:r>
            <w:r>
              <w:rPr>
                <w:rFonts w:hint="eastAsia" w:ascii="楷体" w:hAnsi="楷体" w:eastAsia="楷体" w:cs="楷体"/>
                <w:color w:val="auto"/>
                <w:highlight w:val="none"/>
              </w:rPr>
              <w:t>；</w:t>
            </w:r>
          </w:p>
          <w:p w14:paraId="50D23DF1">
            <w:pPr>
              <w:pStyle w:val="14"/>
              <w:spacing w:before="0" w:beforeAutospacing="0" w:after="0" w:afterAutospacing="0" w:line="360" w:lineRule="auto"/>
              <w:jc w:val="both"/>
              <w:rPr>
                <w:rFonts w:hint="eastAsia" w:ascii="楷体" w:hAnsi="楷体" w:eastAsia="楷体" w:cs="楷体"/>
                <w:color w:val="auto"/>
                <w:highlight w:val="none"/>
                <w:lang w:val="en-US" w:eastAsia="zh-CN"/>
              </w:rPr>
            </w:pPr>
            <w:r>
              <w:rPr>
                <w:rFonts w:hint="eastAsia" w:ascii="楷体" w:hAnsi="楷体" w:eastAsia="楷体" w:cs="楷体"/>
                <w:color w:val="auto"/>
                <w:highlight w:val="none"/>
              </w:rPr>
              <w:t>2.2</w:t>
            </w:r>
            <w:r>
              <w:rPr>
                <w:rFonts w:hint="eastAsia" w:ascii="楷体" w:hAnsi="楷体" w:eastAsia="楷体" w:cs="楷体"/>
                <w:color w:val="auto"/>
                <w:highlight w:val="none"/>
                <w:lang w:val="en-US" w:eastAsia="zh-CN"/>
              </w:rPr>
              <w:t>授权委托书：</w:t>
            </w:r>
            <w:r>
              <w:rPr>
                <w:rFonts w:hint="eastAsia" w:ascii="楷体" w:hAnsi="楷体" w:eastAsia="楷体" w:cs="楷体"/>
                <w:i w:val="0"/>
                <w:iCs w:val="0"/>
                <w:caps w:val="0"/>
                <w:color w:val="auto"/>
                <w:spacing w:val="0"/>
                <w:sz w:val="24"/>
                <w:szCs w:val="24"/>
                <w:highlight w:val="none"/>
                <w:shd w:val="clear" w:color="auto" w:fill="FFFFFF"/>
              </w:rPr>
              <w:t>法定代表人授权委托书、被授权人身份证（法定代表人参加磋商时,只需提供法定代表人身份证；被授权人参加磋商时，须提供磋商前三个月至少一个月的基本养老保险参保缴费证明）</w:t>
            </w:r>
            <w:r>
              <w:rPr>
                <w:rFonts w:hint="eastAsia" w:ascii="楷体" w:hAnsi="楷体" w:eastAsia="楷体" w:cs="楷体"/>
                <w:color w:val="auto"/>
                <w:highlight w:val="none"/>
                <w:lang w:val="en-US" w:eastAsia="zh-CN"/>
              </w:rPr>
              <w:t>;</w:t>
            </w:r>
          </w:p>
          <w:p w14:paraId="2279153B">
            <w:pPr>
              <w:pStyle w:val="14"/>
              <w:spacing w:before="0" w:beforeAutospacing="0" w:after="0" w:afterAutospacing="0" w:line="360" w:lineRule="auto"/>
              <w:jc w:val="both"/>
              <w:rPr>
                <w:rFonts w:hint="eastAsia" w:ascii="楷体" w:hAnsi="楷体" w:eastAsia="楷体" w:cs="楷体"/>
                <w:color w:val="auto"/>
                <w:highlight w:val="none"/>
                <w:lang w:val="en-US" w:eastAsia="zh-CN"/>
              </w:rPr>
            </w:pPr>
            <w:r>
              <w:rPr>
                <w:rFonts w:hint="eastAsia" w:ascii="楷体" w:hAnsi="楷体" w:eastAsia="楷体" w:cs="楷体"/>
                <w:color w:val="auto"/>
                <w:highlight w:val="none"/>
                <w:lang w:val="en-US" w:eastAsia="zh-CN"/>
              </w:rPr>
              <w:t>2.3供应商须提供合法有效的计量认证证书（CMA）及附符合响应采购包采购要求批准检测范围及限制要求的附表（检测范围能力必须全部符合该采购包项目要求并进行标记）；</w:t>
            </w:r>
          </w:p>
          <w:p w14:paraId="0C648772">
            <w:pPr>
              <w:pStyle w:val="14"/>
              <w:spacing w:before="0" w:beforeAutospacing="0" w:after="0" w:afterAutospacing="0" w:line="360" w:lineRule="auto"/>
              <w:jc w:val="both"/>
              <w:rPr>
                <w:rFonts w:hint="eastAsia" w:ascii="楷体" w:hAnsi="楷体" w:eastAsia="楷体" w:cs="楷体"/>
                <w:i w:val="0"/>
                <w:iCs w:val="0"/>
                <w:caps w:val="0"/>
                <w:color w:val="auto"/>
                <w:spacing w:val="0"/>
                <w:kern w:val="0"/>
                <w:sz w:val="24"/>
                <w:szCs w:val="24"/>
                <w:highlight w:val="none"/>
                <w:shd w:val="clear" w:color="auto" w:fill="FFFFFF"/>
                <w:lang w:val="en-US" w:eastAsia="zh-CN"/>
              </w:rPr>
            </w:pPr>
            <w:r>
              <w:rPr>
                <w:rFonts w:hint="eastAsia" w:ascii="楷体" w:hAnsi="楷体" w:eastAsia="楷体" w:cs="楷体"/>
                <w:color w:val="auto"/>
                <w:highlight w:val="none"/>
                <w:lang w:val="en-US" w:eastAsia="zh-CN"/>
              </w:rPr>
              <w:t>2.4</w:t>
            </w:r>
            <w:r>
              <w:rPr>
                <w:rFonts w:hint="eastAsia" w:ascii="楷体" w:hAnsi="楷体" w:eastAsia="楷体" w:cs="楷体"/>
                <w:i w:val="0"/>
                <w:iCs w:val="0"/>
                <w:caps w:val="0"/>
                <w:color w:val="auto"/>
                <w:spacing w:val="0"/>
                <w:kern w:val="0"/>
                <w:sz w:val="24"/>
                <w:szCs w:val="24"/>
                <w:highlight w:val="none"/>
                <w:shd w:val="clear" w:color="auto" w:fill="FFFFFF"/>
                <w:lang w:val="en-US" w:eastAsia="zh-CN"/>
              </w:rPr>
              <w:t>不接受从事承检产（商）品生产、经营活动的企业实验室参与磋商，供应商须提供书面声明；</w:t>
            </w:r>
          </w:p>
          <w:p w14:paraId="593DDE51">
            <w:pPr>
              <w:pStyle w:val="14"/>
              <w:spacing w:before="0" w:beforeAutospacing="0" w:after="0" w:afterAutospacing="0" w:line="360" w:lineRule="auto"/>
              <w:jc w:val="both"/>
              <w:rPr>
                <w:rFonts w:hint="default" w:ascii="楷体" w:hAnsi="楷体" w:eastAsia="楷体" w:cs="楷体"/>
                <w:i w:val="0"/>
                <w:iCs w:val="0"/>
                <w:caps w:val="0"/>
                <w:color w:val="auto"/>
                <w:spacing w:val="0"/>
                <w:kern w:val="0"/>
                <w:sz w:val="24"/>
                <w:szCs w:val="24"/>
                <w:highlight w:val="none"/>
                <w:shd w:val="clear" w:color="auto" w:fill="FFFFFF"/>
                <w:lang w:val="en-US" w:eastAsia="zh-CN"/>
              </w:rPr>
            </w:pPr>
            <w:r>
              <w:rPr>
                <w:rFonts w:hint="eastAsia" w:ascii="楷体" w:hAnsi="楷体" w:eastAsia="楷体" w:cs="楷体"/>
                <w:i w:val="0"/>
                <w:iCs w:val="0"/>
                <w:caps w:val="0"/>
                <w:color w:val="auto"/>
                <w:spacing w:val="0"/>
                <w:kern w:val="0"/>
                <w:sz w:val="24"/>
                <w:szCs w:val="24"/>
                <w:highlight w:val="none"/>
                <w:shd w:val="clear" w:color="auto" w:fill="FFFFFF"/>
                <w:lang w:val="en-US" w:eastAsia="zh-CN"/>
              </w:rPr>
              <w:t>2.5不接受联合体磋商。</w:t>
            </w:r>
          </w:p>
          <w:p w14:paraId="07C7F427">
            <w:pPr>
              <w:pStyle w:val="14"/>
              <w:spacing w:before="0" w:beforeAutospacing="0" w:after="0" w:afterAutospacing="0" w:line="360" w:lineRule="auto"/>
              <w:jc w:val="both"/>
              <w:rPr>
                <w:rFonts w:hint="eastAsia" w:ascii="楷体" w:hAnsi="楷体" w:eastAsia="楷体" w:cs="楷体"/>
                <w:bCs w:val="0"/>
                <w:i w:val="0"/>
                <w:iCs w:val="0"/>
                <w:caps w:val="0"/>
                <w:color w:val="auto"/>
                <w:spacing w:val="0"/>
                <w:kern w:val="0"/>
                <w:sz w:val="24"/>
                <w:szCs w:val="24"/>
                <w:highlight w:val="none"/>
                <w:shd w:val="clear" w:color="auto" w:fill="FFFFFF"/>
                <w:vertAlign w:val="baseline"/>
                <w:lang w:val="en-US" w:eastAsia="zh-CN" w:bidi="ar-SA"/>
              </w:rPr>
            </w:pPr>
            <w:r>
              <w:rPr>
                <w:rFonts w:hint="eastAsia" w:ascii="楷体" w:hAnsi="楷体" w:eastAsia="楷体" w:cs="楷体"/>
                <w:bCs w:val="0"/>
                <w:i w:val="0"/>
                <w:iCs w:val="0"/>
                <w:caps w:val="0"/>
                <w:color w:val="auto"/>
                <w:spacing w:val="0"/>
                <w:kern w:val="0"/>
                <w:sz w:val="24"/>
                <w:szCs w:val="24"/>
                <w:highlight w:val="none"/>
                <w:shd w:val="clear" w:color="auto" w:fill="FFFFFF"/>
                <w:vertAlign w:val="baseline"/>
                <w:lang w:val="en-US" w:eastAsia="zh-CN" w:bidi="ar-SA"/>
              </w:rPr>
              <w:t>3.落实政府采购政策需满足的资格要求：本项目采购包3、采购包4专门面向中小企业采购，供应商须为中小微企业或监狱企业或残疾人福利性单位，采购包3、采购包4须提供的证明材料有：</w:t>
            </w:r>
          </w:p>
          <w:p w14:paraId="3747C73F">
            <w:pPr>
              <w:pStyle w:val="14"/>
              <w:spacing w:before="0" w:beforeAutospacing="0" w:after="0" w:afterAutospacing="0" w:line="360" w:lineRule="auto"/>
              <w:jc w:val="both"/>
              <w:rPr>
                <w:rFonts w:hint="eastAsia" w:ascii="楷体" w:hAnsi="楷体" w:eastAsia="楷体" w:cs="楷体"/>
                <w:bCs w:val="0"/>
                <w:i w:val="0"/>
                <w:iCs w:val="0"/>
                <w:caps w:val="0"/>
                <w:color w:val="auto"/>
                <w:spacing w:val="0"/>
                <w:kern w:val="0"/>
                <w:sz w:val="24"/>
                <w:szCs w:val="24"/>
                <w:highlight w:val="none"/>
                <w:shd w:val="clear" w:color="auto" w:fill="FFFFFF"/>
                <w:vertAlign w:val="baseline"/>
                <w:lang w:val="en-US" w:eastAsia="zh-CN" w:bidi="ar-SA"/>
              </w:rPr>
            </w:pPr>
            <w:r>
              <w:rPr>
                <w:rFonts w:hint="eastAsia" w:ascii="楷体" w:hAnsi="楷体" w:eastAsia="楷体" w:cs="楷体"/>
                <w:bCs w:val="0"/>
                <w:i w:val="0"/>
                <w:iCs w:val="0"/>
                <w:caps w:val="0"/>
                <w:color w:val="auto"/>
                <w:spacing w:val="0"/>
                <w:kern w:val="0"/>
                <w:sz w:val="24"/>
                <w:szCs w:val="24"/>
                <w:highlight w:val="none"/>
                <w:shd w:val="clear" w:color="auto" w:fill="FFFFFF"/>
                <w:vertAlign w:val="baseline"/>
                <w:lang w:val="en-US" w:eastAsia="zh-CN" w:bidi="ar-SA"/>
              </w:rPr>
              <w:t>3.1中小企业声明函（工程、服务）或残疾人福利性单位声明函或监狱企业证明文件。</w:t>
            </w:r>
          </w:p>
          <w:p w14:paraId="66CAF43E">
            <w:pPr>
              <w:pStyle w:val="14"/>
              <w:spacing w:before="0" w:beforeAutospacing="0" w:after="0" w:afterAutospacing="0" w:line="360" w:lineRule="auto"/>
              <w:jc w:val="both"/>
              <w:rPr>
                <w:rFonts w:hint="eastAsia" w:ascii="楷体" w:hAnsi="楷体" w:eastAsia="楷体" w:cs="楷体"/>
                <w:color w:val="auto"/>
                <w:highlight w:val="none"/>
              </w:rPr>
            </w:pPr>
            <w:r>
              <w:rPr>
                <w:rFonts w:hint="eastAsia" w:ascii="楷体" w:hAnsi="楷体" w:eastAsia="楷体" w:cs="楷体"/>
                <w:b/>
                <w:bCs/>
                <w:color w:val="auto"/>
                <w:highlight w:val="none"/>
              </w:rPr>
              <w:t>备注：上述资格证明文件为必备资格，资格证明文件须加盖供应商鲜公章，缺项或者符合性、有效性、合法性审核不合格的，按无效磋商处理。</w:t>
            </w:r>
          </w:p>
        </w:tc>
      </w:tr>
      <w:tr w14:paraId="6510E7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048" w:hRule="exact"/>
          <w:jc w:val="center"/>
        </w:trPr>
        <w:tc>
          <w:tcPr>
            <w:tcW w:w="543" w:type="dxa"/>
            <w:noWrap w:val="0"/>
            <w:vAlign w:val="center"/>
          </w:tcPr>
          <w:p w14:paraId="40CCCF63">
            <w:pPr>
              <w:spacing w:line="360" w:lineRule="auto"/>
              <w:jc w:val="center"/>
              <w:rPr>
                <w:rFonts w:hint="eastAsia" w:ascii="楷体" w:hAnsi="楷体" w:eastAsia="楷体" w:cs="楷体"/>
                <w:color w:val="auto"/>
                <w:szCs w:val="24"/>
                <w:highlight w:val="none"/>
              </w:rPr>
            </w:pPr>
            <w:r>
              <w:rPr>
                <w:rFonts w:hint="eastAsia" w:ascii="楷体" w:hAnsi="楷体" w:eastAsia="楷体" w:cs="楷体"/>
                <w:color w:val="auto"/>
                <w:szCs w:val="24"/>
                <w:highlight w:val="none"/>
              </w:rPr>
              <w:t>6</w:t>
            </w:r>
          </w:p>
        </w:tc>
        <w:tc>
          <w:tcPr>
            <w:tcW w:w="1023" w:type="dxa"/>
            <w:noWrap w:val="0"/>
            <w:vAlign w:val="center"/>
          </w:tcPr>
          <w:p w14:paraId="0F1578A6">
            <w:pPr>
              <w:spacing w:line="360" w:lineRule="auto"/>
              <w:jc w:val="center"/>
              <w:rPr>
                <w:rFonts w:hint="eastAsia" w:ascii="楷体" w:hAnsi="楷体" w:eastAsia="楷体" w:cs="楷体"/>
                <w:color w:val="auto"/>
                <w:szCs w:val="24"/>
                <w:highlight w:val="none"/>
              </w:rPr>
            </w:pPr>
            <w:r>
              <w:rPr>
                <w:rFonts w:hint="eastAsia" w:ascii="楷体" w:hAnsi="楷体" w:eastAsia="楷体" w:cs="楷体"/>
                <w:color w:val="auto"/>
                <w:szCs w:val="24"/>
                <w:highlight w:val="none"/>
              </w:rPr>
              <w:t>14.1</w:t>
            </w:r>
          </w:p>
        </w:tc>
        <w:tc>
          <w:tcPr>
            <w:tcW w:w="7278" w:type="dxa"/>
            <w:noWrap w:val="0"/>
            <w:vAlign w:val="center"/>
          </w:tcPr>
          <w:p w14:paraId="7D2F1FF5">
            <w:pPr>
              <w:spacing w:line="360" w:lineRule="auto"/>
              <w:rPr>
                <w:rFonts w:hint="eastAsia" w:ascii="楷体" w:hAnsi="楷体" w:eastAsia="楷体" w:cs="楷体"/>
                <w:color w:val="auto"/>
                <w:szCs w:val="24"/>
                <w:highlight w:val="none"/>
              </w:rPr>
            </w:pPr>
            <w:r>
              <w:rPr>
                <w:rFonts w:hint="eastAsia" w:ascii="楷体" w:hAnsi="楷体" w:eastAsia="楷体" w:cs="楷体"/>
                <w:color w:val="auto"/>
                <w:szCs w:val="24"/>
                <w:highlight w:val="none"/>
              </w:rPr>
              <w:t>磋商有效期</w:t>
            </w:r>
            <w:r>
              <w:rPr>
                <w:rFonts w:hint="eastAsia" w:ascii="楷体" w:hAnsi="楷体" w:eastAsia="楷体" w:cs="楷体"/>
                <w:color w:val="auto"/>
                <w:szCs w:val="24"/>
                <w:highlight w:val="none"/>
                <w:lang w:eastAsia="zh-CN"/>
              </w:rPr>
              <w:t>、</w:t>
            </w:r>
            <w:r>
              <w:rPr>
                <w:rFonts w:hint="eastAsia" w:ascii="楷体" w:hAnsi="楷体" w:eastAsia="楷体" w:cs="楷体"/>
                <w:color w:val="auto"/>
                <w:szCs w:val="24"/>
                <w:highlight w:val="none"/>
              </w:rPr>
              <w:t>授权有效期:从递交磋商响应文件的截止之日起 90 日历天。</w:t>
            </w:r>
          </w:p>
        </w:tc>
      </w:tr>
      <w:tr w14:paraId="49C2F3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24" w:hRule="atLeast"/>
          <w:jc w:val="center"/>
        </w:trPr>
        <w:tc>
          <w:tcPr>
            <w:tcW w:w="543" w:type="dxa"/>
            <w:noWrap w:val="0"/>
            <w:vAlign w:val="center"/>
          </w:tcPr>
          <w:p w14:paraId="66AB3E61">
            <w:pPr>
              <w:spacing w:line="360" w:lineRule="auto"/>
              <w:jc w:val="center"/>
              <w:rPr>
                <w:rFonts w:hint="eastAsia" w:ascii="楷体" w:hAnsi="楷体" w:eastAsia="楷体" w:cs="楷体"/>
                <w:color w:val="auto"/>
                <w:szCs w:val="24"/>
                <w:highlight w:val="none"/>
              </w:rPr>
            </w:pPr>
            <w:r>
              <w:rPr>
                <w:rFonts w:hint="eastAsia" w:ascii="楷体" w:hAnsi="楷体" w:eastAsia="楷体" w:cs="楷体"/>
                <w:color w:val="auto"/>
                <w:szCs w:val="24"/>
                <w:highlight w:val="none"/>
              </w:rPr>
              <w:t>7</w:t>
            </w:r>
          </w:p>
        </w:tc>
        <w:tc>
          <w:tcPr>
            <w:tcW w:w="1023" w:type="dxa"/>
            <w:noWrap w:val="0"/>
            <w:vAlign w:val="center"/>
          </w:tcPr>
          <w:p w14:paraId="6308FE5E">
            <w:pPr>
              <w:spacing w:line="360" w:lineRule="auto"/>
              <w:jc w:val="center"/>
              <w:rPr>
                <w:rFonts w:hint="eastAsia" w:ascii="楷体" w:hAnsi="楷体" w:eastAsia="楷体" w:cs="楷体"/>
                <w:color w:val="auto"/>
                <w:szCs w:val="24"/>
                <w:highlight w:val="none"/>
              </w:rPr>
            </w:pPr>
            <w:r>
              <w:rPr>
                <w:rFonts w:hint="eastAsia" w:ascii="楷体" w:hAnsi="楷体" w:eastAsia="楷体" w:cs="楷体"/>
                <w:color w:val="auto"/>
                <w:szCs w:val="24"/>
                <w:highlight w:val="none"/>
              </w:rPr>
              <w:t>15.1</w:t>
            </w:r>
          </w:p>
        </w:tc>
        <w:tc>
          <w:tcPr>
            <w:tcW w:w="7278" w:type="dxa"/>
            <w:noWrap w:val="0"/>
            <w:vAlign w:val="center"/>
          </w:tcPr>
          <w:p w14:paraId="7ADCCCFF">
            <w:pPr>
              <w:spacing w:line="360" w:lineRule="auto"/>
              <w:rPr>
                <w:rFonts w:hint="eastAsia" w:ascii="楷体" w:hAnsi="楷体" w:eastAsia="楷体" w:cs="楷体"/>
                <w:color w:val="auto"/>
                <w:szCs w:val="24"/>
                <w:highlight w:val="none"/>
              </w:rPr>
            </w:pPr>
            <w:r>
              <w:rPr>
                <w:rFonts w:hint="eastAsia" w:ascii="楷体" w:hAnsi="楷体" w:eastAsia="楷体" w:cs="楷体"/>
                <w:color w:val="auto"/>
                <w:szCs w:val="24"/>
                <w:highlight w:val="none"/>
              </w:rPr>
              <w:t>正本的份数：壹份；</w:t>
            </w:r>
          </w:p>
          <w:p w14:paraId="33917FFB">
            <w:pPr>
              <w:spacing w:line="360" w:lineRule="auto"/>
              <w:rPr>
                <w:rFonts w:hint="eastAsia" w:ascii="楷体" w:hAnsi="楷体" w:eastAsia="楷体" w:cs="楷体"/>
                <w:color w:val="auto"/>
                <w:szCs w:val="24"/>
                <w:highlight w:val="none"/>
              </w:rPr>
            </w:pPr>
            <w:r>
              <w:rPr>
                <w:rFonts w:hint="eastAsia" w:ascii="楷体" w:hAnsi="楷体" w:eastAsia="楷体" w:cs="楷体"/>
                <w:color w:val="auto"/>
                <w:szCs w:val="24"/>
                <w:highlight w:val="none"/>
              </w:rPr>
              <w:t>副本的份数：</w:t>
            </w:r>
            <w:r>
              <w:rPr>
                <w:rFonts w:hint="eastAsia" w:ascii="楷体" w:hAnsi="楷体" w:eastAsia="楷体" w:cs="楷体"/>
                <w:color w:val="auto"/>
                <w:szCs w:val="24"/>
                <w:highlight w:val="none"/>
                <w:lang w:eastAsia="zh-CN"/>
              </w:rPr>
              <w:t>贰</w:t>
            </w:r>
            <w:r>
              <w:rPr>
                <w:rFonts w:hint="eastAsia" w:ascii="楷体" w:hAnsi="楷体" w:eastAsia="楷体" w:cs="楷体"/>
                <w:color w:val="auto"/>
                <w:szCs w:val="24"/>
                <w:highlight w:val="none"/>
              </w:rPr>
              <w:t>份；</w:t>
            </w:r>
          </w:p>
          <w:p w14:paraId="5EACE64B">
            <w:pPr>
              <w:spacing w:line="360" w:lineRule="auto"/>
              <w:rPr>
                <w:rFonts w:hint="eastAsia" w:ascii="楷体" w:hAnsi="楷体" w:eastAsia="楷体" w:cs="楷体"/>
                <w:color w:val="auto"/>
                <w:szCs w:val="24"/>
                <w:highlight w:val="none"/>
              </w:rPr>
            </w:pPr>
            <w:r>
              <w:rPr>
                <w:rFonts w:hint="eastAsia" w:ascii="楷体" w:hAnsi="楷体" w:eastAsia="楷体" w:cs="楷体"/>
                <w:color w:val="auto"/>
                <w:szCs w:val="24"/>
                <w:highlight w:val="none"/>
              </w:rPr>
              <w:t>电子版（U盘）：壹份（文件命名为供应商名称）。</w:t>
            </w:r>
          </w:p>
          <w:p w14:paraId="0BBFBDF2">
            <w:pPr>
              <w:spacing w:line="360" w:lineRule="auto"/>
              <w:rPr>
                <w:rFonts w:hint="eastAsia" w:ascii="楷体" w:hAnsi="楷体" w:eastAsia="楷体" w:cs="楷体"/>
                <w:color w:val="auto"/>
                <w:szCs w:val="24"/>
                <w:highlight w:val="none"/>
              </w:rPr>
            </w:pPr>
            <w:r>
              <w:rPr>
                <w:rFonts w:hint="eastAsia" w:ascii="楷体" w:hAnsi="楷体" w:eastAsia="楷体" w:cs="楷体"/>
                <w:color w:val="auto"/>
                <w:szCs w:val="24"/>
                <w:highlight w:val="none"/>
              </w:rPr>
              <w:t>电子版包括：word版磋商响应文件</w:t>
            </w:r>
          </w:p>
        </w:tc>
      </w:tr>
      <w:tr w14:paraId="27927A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466" w:hRule="atLeast"/>
          <w:jc w:val="center"/>
        </w:trPr>
        <w:tc>
          <w:tcPr>
            <w:tcW w:w="543" w:type="dxa"/>
            <w:noWrap w:val="0"/>
            <w:vAlign w:val="center"/>
          </w:tcPr>
          <w:p w14:paraId="5F901301">
            <w:pPr>
              <w:spacing w:line="360" w:lineRule="auto"/>
              <w:jc w:val="center"/>
              <w:rPr>
                <w:rFonts w:hint="eastAsia" w:ascii="楷体" w:hAnsi="楷体" w:eastAsia="楷体" w:cs="楷体"/>
                <w:color w:val="auto"/>
                <w:szCs w:val="24"/>
                <w:highlight w:val="none"/>
              </w:rPr>
            </w:pPr>
            <w:r>
              <w:rPr>
                <w:rFonts w:hint="eastAsia" w:ascii="楷体" w:hAnsi="楷体" w:eastAsia="楷体" w:cs="楷体"/>
                <w:color w:val="auto"/>
                <w:szCs w:val="24"/>
                <w:highlight w:val="none"/>
              </w:rPr>
              <w:t>8</w:t>
            </w:r>
          </w:p>
        </w:tc>
        <w:tc>
          <w:tcPr>
            <w:tcW w:w="1023" w:type="dxa"/>
            <w:noWrap w:val="0"/>
            <w:vAlign w:val="center"/>
          </w:tcPr>
          <w:p w14:paraId="58A50DFA">
            <w:pPr>
              <w:spacing w:line="360" w:lineRule="auto"/>
              <w:jc w:val="center"/>
              <w:rPr>
                <w:rFonts w:hint="eastAsia" w:ascii="楷体" w:hAnsi="楷体" w:eastAsia="楷体" w:cs="楷体"/>
                <w:color w:val="auto"/>
                <w:szCs w:val="24"/>
                <w:highlight w:val="none"/>
                <w:lang w:eastAsia="zh-CN"/>
              </w:rPr>
            </w:pPr>
            <w:r>
              <w:rPr>
                <w:rFonts w:hint="eastAsia" w:ascii="楷体" w:hAnsi="楷体" w:eastAsia="楷体" w:cs="楷体"/>
                <w:color w:val="auto"/>
                <w:szCs w:val="24"/>
                <w:highlight w:val="none"/>
              </w:rPr>
              <w:t>16.</w:t>
            </w:r>
            <w:r>
              <w:rPr>
                <w:rFonts w:hint="eastAsia" w:ascii="楷体" w:hAnsi="楷体" w:eastAsia="楷体" w:cs="楷体"/>
                <w:color w:val="auto"/>
                <w:szCs w:val="24"/>
                <w:highlight w:val="none"/>
                <w:lang w:val="en-US" w:eastAsia="zh-CN"/>
              </w:rPr>
              <w:t>1</w:t>
            </w:r>
          </w:p>
        </w:tc>
        <w:tc>
          <w:tcPr>
            <w:tcW w:w="7278" w:type="dxa"/>
            <w:noWrap w:val="0"/>
            <w:vAlign w:val="center"/>
          </w:tcPr>
          <w:p w14:paraId="6AFAE5E8">
            <w:pPr>
              <w:spacing w:line="360" w:lineRule="auto"/>
              <w:rPr>
                <w:rFonts w:hint="eastAsia" w:ascii="楷体" w:hAnsi="楷体" w:eastAsia="楷体" w:cs="楷体"/>
                <w:b/>
                <w:color w:val="auto"/>
                <w:szCs w:val="24"/>
                <w:highlight w:val="none"/>
              </w:rPr>
            </w:pPr>
            <w:r>
              <w:rPr>
                <w:rFonts w:hint="eastAsia" w:ascii="楷体" w:hAnsi="楷体" w:eastAsia="楷体" w:cs="楷体"/>
                <w:b/>
                <w:color w:val="auto"/>
                <w:szCs w:val="24"/>
                <w:highlight w:val="none"/>
              </w:rPr>
              <w:t>磋商响应文件的密封和标记：</w:t>
            </w:r>
          </w:p>
          <w:p w14:paraId="2C6B7E46">
            <w:pPr>
              <w:spacing w:line="360" w:lineRule="auto"/>
              <w:rPr>
                <w:rFonts w:hint="eastAsia" w:ascii="楷体" w:hAnsi="楷体" w:eastAsia="楷体" w:cs="楷体"/>
                <w:b/>
                <w:bCs/>
                <w:color w:val="auto"/>
                <w:szCs w:val="24"/>
                <w:highlight w:val="none"/>
              </w:rPr>
            </w:pPr>
            <w:r>
              <w:rPr>
                <w:rFonts w:hint="eastAsia" w:ascii="楷体" w:hAnsi="楷体" w:eastAsia="楷体" w:cs="楷体"/>
                <w:b/>
                <w:bCs/>
                <w:color w:val="auto"/>
                <w:szCs w:val="24"/>
                <w:highlight w:val="none"/>
              </w:rPr>
              <w:t>密封包装方式：</w:t>
            </w:r>
          </w:p>
          <w:p w14:paraId="61EB9C49">
            <w:pPr>
              <w:spacing w:line="360" w:lineRule="auto"/>
              <w:rPr>
                <w:rFonts w:hint="eastAsia" w:ascii="楷体" w:hAnsi="楷体" w:eastAsia="楷体" w:cs="楷体"/>
                <w:color w:val="auto"/>
                <w:szCs w:val="24"/>
                <w:highlight w:val="none"/>
              </w:rPr>
            </w:pPr>
            <w:r>
              <w:rPr>
                <w:rFonts w:hint="eastAsia" w:ascii="楷体" w:hAnsi="楷体" w:eastAsia="楷体" w:cs="楷体"/>
                <w:color w:val="auto"/>
                <w:szCs w:val="24"/>
                <w:highlight w:val="none"/>
              </w:rPr>
              <w:t>供应商应将磋商响应文件正本、所有的副本、电子版本分别单独密封在封袋中（封袋不得有破损）。封袋应加贴封条，并在封线处加盖供应商公章。</w:t>
            </w:r>
          </w:p>
          <w:p w14:paraId="255B2D24">
            <w:pPr>
              <w:spacing w:line="360" w:lineRule="auto"/>
              <w:rPr>
                <w:rFonts w:hint="eastAsia" w:ascii="楷体" w:hAnsi="楷体" w:eastAsia="楷体" w:cs="楷体"/>
                <w:b/>
                <w:bCs/>
                <w:color w:val="auto"/>
                <w:szCs w:val="24"/>
                <w:highlight w:val="none"/>
              </w:rPr>
            </w:pPr>
            <w:r>
              <w:rPr>
                <w:rFonts w:hint="eastAsia" w:ascii="楷体" w:hAnsi="楷体" w:eastAsia="楷体" w:cs="楷体"/>
                <w:b/>
                <w:bCs/>
                <w:color w:val="auto"/>
                <w:szCs w:val="24"/>
                <w:highlight w:val="none"/>
              </w:rPr>
              <w:t>外层包装请按以下要求标记：</w:t>
            </w:r>
          </w:p>
          <w:p w14:paraId="5B135DDD">
            <w:pPr>
              <w:spacing w:line="360" w:lineRule="auto"/>
              <w:rPr>
                <w:rFonts w:hint="eastAsia" w:ascii="楷体" w:hAnsi="楷体" w:eastAsia="楷体" w:cs="楷体"/>
                <w:color w:val="auto"/>
                <w:szCs w:val="24"/>
                <w:highlight w:val="none"/>
              </w:rPr>
            </w:pPr>
            <w:r>
              <w:rPr>
                <w:rFonts w:hint="eastAsia" w:ascii="楷体" w:hAnsi="楷体" w:eastAsia="楷体" w:cs="楷体"/>
                <w:color w:val="auto"/>
                <w:szCs w:val="24"/>
                <w:highlight w:val="none"/>
                <w:lang w:eastAsia="zh-CN"/>
              </w:rPr>
              <w:t>（</w:t>
            </w:r>
            <w:r>
              <w:rPr>
                <w:rFonts w:hint="eastAsia" w:ascii="楷体" w:hAnsi="楷体" w:eastAsia="楷体" w:cs="楷体"/>
                <w:color w:val="auto"/>
                <w:szCs w:val="24"/>
                <w:highlight w:val="none"/>
                <w:lang w:val="en-US" w:eastAsia="zh-CN"/>
              </w:rPr>
              <w:t>1</w:t>
            </w:r>
            <w:r>
              <w:rPr>
                <w:rFonts w:hint="eastAsia" w:ascii="楷体" w:hAnsi="楷体" w:eastAsia="楷体" w:cs="楷体"/>
                <w:color w:val="auto"/>
                <w:szCs w:val="24"/>
                <w:highlight w:val="none"/>
                <w:lang w:eastAsia="zh-CN"/>
              </w:rPr>
              <w:t>）</w:t>
            </w:r>
            <w:r>
              <w:rPr>
                <w:rFonts w:hint="eastAsia" w:ascii="楷体" w:hAnsi="楷体" w:eastAsia="楷体" w:cs="楷体"/>
                <w:color w:val="auto"/>
                <w:szCs w:val="24"/>
                <w:highlight w:val="none"/>
              </w:rPr>
              <w:t>供应商的全称；</w:t>
            </w:r>
          </w:p>
          <w:p w14:paraId="0DC957B6">
            <w:pPr>
              <w:spacing w:line="360" w:lineRule="auto"/>
              <w:rPr>
                <w:rFonts w:hint="eastAsia" w:ascii="楷体" w:hAnsi="楷体" w:eastAsia="楷体" w:cs="楷体"/>
                <w:color w:val="auto"/>
                <w:szCs w:val="24"/>
                <w:highlight w:val="none"/>
                <w:lang w:eastAsia="zh-CN"/>
              </w:rPr>
            </w:pPr>
            <w:r>
              <w:rPr>
                <w:rFonts w:hint="eastAsia" w:ascii="楷体" w:hAnsi="楷体" w:eastAsia="楷体" w:cs="楷体"/>
                <w:color w:val="auto"/>
                <w:szCs w:val="24"/>
                <w:highlight w:val="none"/>
              </w:rPr>
              <w:t>（2）磋商项目名称、项目编号</w:t>
            </w:r>
            <w:r>
              <w:rPr>
                <w:rFonts w:hint="eastAsia" w:ascii="楷体" w:hAnsi="楷体" w:eastAsia="楷体" w:cs="楷体"/>
                <w:color w:val="auto"/>
                <w:szCs w:val="24"/>
                <w:highlight w:val="none"/>
                <w:lang w:eastAsia="zh-CN"/>
              </w:rPr>
              <w:t>；</w:t>
            </w:r>
          </w:p>
          <w:p w14:paraId="4CFAE59C">
            <w:pPr>
              <w:spacing w:line="360" w:lineRule="auto"/>
              <w:rPr>
                <w:rFonts w:hint="eastAsia" w:ascii="楷体" w:hAnsi="楷体" w:eastAsia="楷体" w:cs="楷体"/>
                <w:color w:val="auto"/>
                <w:szCs w:val="24"/>
                <w:highlight w:val="none"/>
              </w:rPr>
            </w:pPr>
            <w:r>
              <w:rPr>
                <w:rFonts w:hint="eastAsia" w:ascii="楷体" w:hAnsi="楷体" w:eastAsia="楷体" w:cs="楷体"/>
                <w:color w:val="auto"/>
                <w:szCs w:val="24"/>
                <w:highlight w:val="none"/>
              </w:rPr>
              <w:t>（3）正本、副本、电子版本等信息。</w:t>
            </w:r>
          </w:p>
        </w:tc>
      </w:tr>
      <w:tr w14:paraId="18324B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69" w:hRule="atLeast"/>
          <w:jc w:val="center"/>
        </w:trPr>
        <w:tc>
          <w:tcPr>
            <w:tcW w:w="543" w:type="dxa"/>
            <w:noWrap w:val="0"/>
            <w:vAlign w:val="center"/>
          </w:tcPr>
          <w:p w14:paraId="5A194567">
            <w:pPr>
              <w:spacing w:line="360" w:lineRule="auto"/>
              <w:jc w:val="center"/>
              <w:rPr>
                <w:rFonts w:hint="eastAsia" w:ascii="楷体" w:hAnsi="楷体" w:eastAsia="楷体" w:cs="楷体"/>
                <w:color w:val="auto"/>
                <w:szCs w:val="24"/>
                <w:highlight w:val="none"/>
              </w:rPr>
            </w:pPr>
            <w:r>
              <w:rPr>
                <w:rFonts w:hint="eastAsia" w:ascii="楷体" w:hAnsi="楷体" w:eastAsia="楷体" w:cs="楷体"/>
                <w:color w:val="auto"/>
                <w:szCs w:val="24"/>
                <w:highlight w:val="none"/>
              </w:rPr>
              <w:t>9</w:t>
            </w:r>
          </w:p>
        </w:tc>
        <w:tc>
          <w:tcPr>
            <w:tcW w:w="1023" w:type="dxa"/>
            <w:noWrap w:val="0"/>
            <w:vAlign w:val="center"/>
          </w:tcPr>
          <w:p w14:paraId="56CBC195">
            <w:pPr>
              <w:spacing w:line="360" w:lineRule="auto"/>
              <w:jc w:val="center"/>
              <w:rPr>
                <w:rFonts w:hint="eastAsia" w:ascii="楷体" w:hAnsi="楷体" w:eastAsia="楷体" w:cs="楷体"/>
                <w:color w:val="auto"/>
                <w:szCs w:val="24"/>
                <w:highlight w:val="none"/>
              </w:rPr>
            </w:pPr>
            <w:r>
              <w:rPr>
                <w:rFonts w:hint="eastAsia" w:ascii="楷体" w:hAnsi="楷体" w:eastAsia="楷体" w:cs="楷体"/>
                <w:color w:val="auto"/>
                <w:szCs w:val="24"/>
                <w:highlight w:val="none"/>
              </w:rPr>
              <w:t>17.1</w:t>
            </w:r>
          </w:p>
        </w:tc>
        <w:tc>
          <w:tcPr>
            <w:tcW w:w="7278" w:type="dxa"/>
            <w:noWrap w:val="0"/>
            <w:vAlign w:val="top"/>
          </w:tcPr>
          <w:p w14:paraId="540DC820">
            <w:pPr>
              <w:spacing w:line="360" w:lineRule="auto"/>
              <w:rPr>
                <w:rFonts w:hint="eastAsia" w:ascii="楷体" w:hAnsi="楷体" w:eastAsia="楷体" w:cs="楷体"/>
                <w:color w:val="auto"/>
                <w:szCs w:val="24"/>
                <w:highlight w:val="none"/>
              </w:rPr>
            </w:pPr>
            <w:r>
              <w:rPr>
                <w:rFonts w:hint="eastAsia" w:ascii="楷体" w:hAnsi="楷体" w:eastAsia="楷体" w:cs="楷体"/>
                <w:color w:val="auto"/>
                <w:szCs w:val="24"/>
                <w:highlight w:val="none"/>
              </w:rPr>
              <w:t>磋商响应文件递交截止时间：详见磋商公告</w:t>
            </w:r>
          </w:p>
          <w:p w14:paraId="0E288EAA">
            <w:pPr>
              <w:spacing w:line="360" w:lineRule="auto"/>
              <w:rPr>
                <w:rFonts w:hint="eastAsia" w:ascii="楷体" w:hAnsi="楷体" w:eastAsia="楷体" w:cs="楷体"/>
                <w:color w:val="auto"/>
                <w:szCs w:val="24"/>
                <w:highlight w:val="none"/>
              </w:rPr>
            </w:pPr>
            <w:r>
              <w:rPr>
                <w:rFonts w:hint="eastAsia" w:ascii="楷体" w:hAnsi="楷体" w:eastAsia="楷体" w:cs="楷体"/>
                <w:color w:val="auto"/>
                <w:szCs w:val="24"/>
                <w:highlight w:val="none"/>
              </w:rPr>
              <w:t>磋商响应文件递交地址：详见磋商公告</w:t>
            </w:r>
          </w:p>
          <w:p w14:paraId="4B2B36FD">
            <w:pPr>
              <w:spacing w:line="360" w:lineRule="auto"/>
              <w:rPr>
                <w:rFonts w:hint="eastAsia" w:ascii="楷体" w:hAnsi="楷体" w:eastAsia="楷体" w:cs="楷体"/>
                <w:color w:val="auto"/>
                <w:szCs w:val="24"/>
                <w:highlight w:val="none"/>
                <w:lang w:eastAsia="zh-CN"/>
              </w:rPr>
            </w:pPr>
            <w:r>
              <w:rPr>
                <w:rFonts w:hint="eastAsia" w:ascii="楷体" w:hAnsi="楷体" w:eastAsia="楷体" w:cs="楷体"/>
                <w:color w:val="auto"/>
                <w:szCs w:val="24"/>
                <w:highlight w:val="none"/>
              </w:rPr>
              <w:t>磋商响应文件接收人：</w:t>
            </w:r>
            <w:r>
              <w:rPr>
                <w:rFonts w:hint="eastAsia" w:ascii="楷体" w:hAnsi="楷体" w:eastAsia="楷体" w:cs="楷体"/>
                <w:color w:val="auto"/>
                <w:szCs w:val="24"/>
                <w:highlight w:val="none"/>
                <w:lang w:eastAsia="zh-CN"/>
              </w:rPr>
              <w:t>陕西正翼项目管理咨询有限公司</w:t>
            </w:r>
          </w:p>
        </w:tc>
      </w:tr>
      <w:tr w14:paraId="2EF264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731" w:hRule="atLeast"/>
          <w:jc w:val="center"/>
        </w:trPr>
        <w:tc>
          <w:tcPr>
            <w:tcW w:w="543" w:type="dxa"/>
            <w:noWrap w:val="0"/>
            <w:vAlign w:val="center"/>
          </w:tcPr>
          <w:p w14:paraId="1B8D5991">
            <w:pPr>
              <w:spacing w:line="360" w:lineRule="auto"/>
              <w:jc w:val="center"/>
              <w:rPr>
                <w:rFonts w:hint="eastAsia" w:ascii="楷体" w:hAnsi="楷体" w:eastAsia="楷体" w:cs="楷体"/>
                <w:color w:val="auto"/>
                <w:szCs w:val="24"/>
                <w:highlight w:val="none"/>
              </w:rPr>
            </w:pPr>
            <w:r>
              <w:rPr>
                <w:rFonts w:hint="eastAsia" w:ascii="楷体" w:hAnsi="楷体" w:eastAsia="楷体" w:cs="楷体"/>
                <w:color w:val="auto"/>
                <w:szCs w:val="24"/>
                <w:highlight w:val="none"/>
              </w:rPr>
              <w:t>10</w:t>
            </w:r>
          </w:p>
        </w:tc>
        <w:tc>
          <w:tcPr>
            <w:tcW w:w="1023" w:type="dxa"/>
            <w:noWrap w:val="0"/>
            <w:vAlign w:val="center"/>
          </w:tcPr>
          <w:p w14:paraId="2886FEE0">
            <w:pPr>
              <w:spacing w:line="360" w:lineRule="auto"/>
              <w:jc w:val="center"/>
              <w:rPr>
                <w:rFonts w:hint="eastAsia" w:ascii="楷体" w:hAnsi="楷体" w:eastAsia="楷体" w:cs="楷体"/>
                <w:color w:val="auto"/>
                <w:szCs w:val="24"/>
                <w:highlight w:val="none"/>
              </w:rPr>
            </w:pPr>
            <w:r>
              <w:rPr>
                <w:rFonts w:hint="eastAsia" w:ascii="楷体" w:hAnsi="楷体" w:eastAsia="楷体" w:cs="楷体"/>
                <w:color w:val="auto"/>
                <w:szCs w:val="24"/>
                <w:highlight w:val="none"/>
              </w:rPr>
              <w:t>20.1</w:t>
            </w:r>
          </w:p>
        </w:tc>
        <w:tc>
          <w:tcPr>
            <w:tcW w:w="7278" w:type="dxa"/>
            <w:noWrap w:val="0"/>
            <w:vAlign w:val="center"/>
          </w:tcPr>
          <w:p w14:paraId="73F0015C">
            <w:pPr>
              <w:spacing w:line="360" w:lineRule="auto"/>
              <w:rPr>
                <w:rFonts w:hint="eastAsia" w:ascii="楷体" w:hAnsi="楷体" w:eastAsia="楷体" w:cs="楷体"/>
                <w:color w:val="auto"/>
                <w:szCs w:val="24"/>
                <w:highlight w:val="none"/>
              </w:rPr>
            </w:pPr>
            <w:r>
              <w:rPr>
                <w:rFonts w:hint="eastAsia" w:ascii="楷体" w:hAnsi="楷体" w:eastAsia="楷体" w:cs="楷体"/>
                <w:color w:val="auto"/>
                <w:szCs w:val="24"/>
                <w:highlight w:val="none"/>
              </w:rPr>
              <w:t>磋商时间：详见磋商公告</w:t>
            </w:r>
          </w:p>
          <w:p w14:paraId="07EE605E">
            <w:pPr>
              <w:spacing w:line="360" w:lineRule="auto"/>
              <w:rPr>
                <w:rFonts w:hint="eastAsia" w:ascii="楷体" w:hAnsi="楷体" w:eastAsia="楷体" w:cs="楷体"/>
                <w:color w:val="auto"/>
                <w:szCs w:val="24"/>
                <w:highlight w:val="none"/>
              </w:rPr>
            </w:pPr>
            <w:r>
              <w:rPr>
                <w:rFonts w:hint="eastAsia" w:ascii="楷体" w:hAnsi="楷体" w:eastAsia="楷体" w:cs="楷体"/>
                <w:color w:val="auto"/>
                <w:szCs w:val="24"/>
                <w:highlight w:val="none"/>
              </w:rPr>
              <w:t>磋商地点：详见磋商公告。</w:t>
            </w:r>
          </w:p>
        </w:tc>
      </w:tr>
      <w:tr w14:paraId="3A926F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01" w:hRule="atLeast"/>
          <w:jc w:val="center"/>
        </w:trPr>
        <w:tc>
          <w:tcPr>
            <w:tcW w:w="543" w:type="dxa"/>
            <w:noWrap w:val="0"/>
            <w:vAlign w:val="center"/>
          </w:tcPr>
          <w:p w14:paraId="583353E3">
            <w:pPr>
              <w:spacing w:line="360" w:lineRule="auto"/>
              <w:jc w:val="center"/>
              <w:rPr>
                <w:rFonts w:hint="eastAsia" w:ascii="楷体" w:hAnsi="楷体" w:eastAsia="楷体" w:cs="楷体"/>
                <w:color w:val="auto"/>
                <w:szCs w:val="24"/>
                <w:highlight w:val="none"/>
              </w:rPr>
            </w:pPr>
            <w:r>
              <w:rPr>
                <w:rFonts w:hint="eastAsia" w:ascii="楷体" w:hAnsi="楷体" w:eastAsia="楷体" w:cs="楷体"/>
                <w:color w:val="auto"/>
                <w:szCs w:val="24"/>
                <w:highlight w:val="none"/>
              </w:rPr>
              <w:t>11</w:t>
            </w:r>
          </w:p>
        </w:tc>
        <w:tc>
          <w:tcPr>
            <w:tcW w:w="1023" w:type="dxa"/>
            <w:noWrap w:val="0"/>
            <w:vAlign w:val="center"/>
          </w:tcPr>
          <w:p w14:paraId="7411AE34">
            <w:pPr>
              <w:spacing w:line="360" w:lineRule="auto"/>
              <w:jc w:val="center"/>
              <w:rPr>
                <w:rFonts w:hint="eastAsia" w:ascii="楷体" w:hAnsi="楷体" w:eastAsia="楷体" w:cs="楷体"/>
                <w:color w:val="auto"/>
                <w:szCs w:val="24"/>
                <w:highlight w:val="none"/>
              </w:rPr>
            </w:pPr>
            <w:r>
              <w:rPr>
                <w:rFonts w:hint="eastAsia" w:ascii="楷体" w:hAnsi="楷体" w:eastAsia="楷体" w:cs="楷体"/>
                <w:color w:val="auto"/>
                <w:szCs w:val="24"/>
                <w:highlight w:val="none"/>
              </w:rPr>
              <w:t>23.1</w:t>
            </w:r>
          </w:p>
        </w:tc>
        <w:tc>
          <w:tcPr>
            <w:tcW w:w="7278" w:type="dxa"/>
            <w:noWrap w:val="0"/>
            <w:vAlign w:val="center"/>
          </w:tcPr>
          <w:p w14:paraId="6D0C8626">
            <w:pPr>
              <w:spacing w:line="360" w:lineRule="auto"/>
              <w:jc w:val="left"/>
              <w:rPr>
                <w:rFonts w:hint="eastAsia" w:ascii="楷体" w:hAnsi="楷体" w:eastAsia="楷体" w:cs="楷体"/>
                <w:color w:val="auto"/>
                <w:szCs w:val="24"/>
                <w:highlight w:val="none"/>
              </w:rPr>
            </w:pPr>
            <w:r>
              <w:rPr>
                <w:rFonts w:hint="eastAsia" w:ascii="楷体" w:hAnsi="楷体" w:eastAsia="楷体" w:cs="楷体"/>
                <w:b/>
                <w:bCs/>
                <w:color w:val="auto"/>
                <w:szCs w:val="24"/>
                <w:highlight w:val="none"/>
              </w:rPr>
              <w:t>评审方法：综合评分法（详见第五章）</w:t>
            </w:r>
          </w:p>
        </w:tc>
      </w:tr>
      <w:tr w14:paraId="1C913E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95" w:hRule="atLeast"/>
          <w:jc w:val="center"/>
        </w:trPr>
        <w:tc>
          <w:tcPr>
            <w:tcW w:w="543" w:type="dxa"/>
            <w:noWrap w:val="0"/>
            <w:vAlign w:val="center"/>
          </w:tcPr>
          <w:p w14:paraId="2456FF7B">
            <w:pPr>
              <w:spacing w:line="360" w:lineRule="auto"/>
              <w:jc w:val="center"/>
              <w:rPr>
                <w:rFonts w:hint="eastAsia" w:ascii="楷体" w:hAnsi="楷体" w:eastAsia="楷体" w:cs="楷体"/>
                <w:color w:val="auto"/>
                <w:szCs w:val="24"/>
                <w:highlight w:val="none"/>
              </w:rPr>
            </w:pPr>
            <w:r>
              <w:rPr>
                <w:rFonts w:hint="eastAsia" w:ascii="楷体" w:hAnsi="楷体" w:eastAsia="楷体" w:cs="楷体"/>
                <w:color w:val="auto"/>
                <w:szCs w:val="24"/>
                <w:highlight w:val="none"/>
              </w:rPr>
              <w:t>12</w:t>
            </w:r>
          </w:p>
        </w:tc>
        <w:tc>
          <w:tcPr>
            <w:tcW w:w="1023" w:type="dxa"/>
            <w:noWrap w:val="0"/>
            <w:vAlign w:val="center"/>
          </w:tcPr>
          <w:p w14:paraId="2639AFBD">
            <w:pPr>
              <w:spacing w:line="360" w:lineRule="auto"/>
              <w:jc w:val="center"/>
              <w:rPr>
                <w:rFonts w:hint="eastAsia" w:ascii="楷体" w:hAnsi="楷体" w:eastAsia="楷体" w:cs="楷体"/>
                <w:color w:val="auto"/>
                <w:szCs w:val="24"/>
                <w:highlight w:val="none"/>
              </w:rPr>
            </w:pPr>
            <w:r>
              <w:rPr>
                <w:rFonts w:hint="eastAsia" w:ascii="楷体" w:hAnsi="楷体" w:eastAsia="楷体" w:cs="楷体"/>
                <w:color w:val="auto"/>
                <w:szCs w:val="24"/>
                <w:highlight w:val="none"/>
              </w:rPr>
              <w:t>28.1</w:t>
            </w:r>
          </w:p>
        </w:tc>
        <w:tc>
          <w:tcPr>
            <w:tcW w:w="7278" w:type="dxa"/>
            <w:noWrap w:val="0"/>
            <w:vAlign w:val="center"/>
          </w:tcPr>
          <w:p w14:paraId="1BC40155">
            <w:pPr>
              <w:spacing w:line="360" w:lineRule="auto"/>
              <w:rPr>
                <w:rFonts w:hint="eastAsia" w:ascii="楷体" w:hAnsi="楷体" w:eastAsia="楷体" w:cs="楷体"/>
                <w:b/>
                <w:bCs/>
                <w:color w:val="auto"/>
                <w:szCs w:val="24"/>
                <w:highlight w:val="none"/>
              </w:rPr>
            </w:pPr>
            <w:r>
              <w:rPr>
                <w:rFonts w:hint="eastAsia" w:ascii="楷体" w:hAnsi="楷体" w:eastAsia="楷体" w:cs="楷体"/>
                <w:b/>
                <w:bCs/>
                <w:color w:val="auto"/>
                <w:szCs w:val="24"/>
                <w:highlight w:val="none"/>
              </w:rPr>
              <w:t>代理服务费：</w:t>
            </w:r>
          </w:p>
          <w:p w14:paraId="6BD2DC06">
            <w:pPr>
              <w:spacing w:line="360" w:lineRule="auto"/>
              <w:rPr>
                <w:rFonts w:hint="eastAsia" w:ascii="楷体" w:hAnsi="楷体" w:eastAsia="楷体" w:cs="楷体"/>
                <w:color w:val="auto"/>
                <w:szCs w:val="24"/>
                <w:highlight w:val="none"/>
              </w:rPr>
            </w:pPr>
            <w:r>
              <w:rPr>
                <w:rFonts w:hint="eastAsia" w:ascii="楷体" w:hAnsi="楷体" w:eastAsia="楷体" w:cs="楷体"/>
                <w:color w:val="auto"/>
                <w:szCs w:val="24"/>
                <w:highlight w:val="none"/>
              </w:rPr>
              <w:t>本项目收取代理服务费</w:t>
            </w:r>
          </w:p>
          <w:p w14:paraId="0F3C3564">
            <w:pPr>
              <w:spacing w:line="360" w:lineRule="auto"/>
              <w:rPr>
                <w:rFonts w:hint="eastAsia" w:ascii="楷体" w:hAnsi="楷体" w:eastAsia="楷体" w:cs="楷体"/>
                <w:color w:val="auto"/>
                <w:szCs w:val="24"/>
                <w:highlight w:val="none"/>
              </w:rPr>
            </w:pPr>
            <w:r>
              <w:rPr>
                <w:rFonts w:hint="eastAsia" w:ascii="楷体" w:hAnsi="楷体" w:eastAsia="楷体" w:cs="楷体"/>
                <w:color w:val="auto"/>
                <w:szCs w:val="24"/>
                <w:highlight w:val="none"/>
              </w:rPr>
              <w:t>代理服务费用收取对象：中标/成交供应商</w:t>
            </w:r>
          </w:p>
          <w:p w14:paraId="482D55AE">
            <w:pPr>
              <w:spacing w:line="360" w:lineRule="auto"/>
              <w:rPr>
                <w:rFonts w:hint="eastAsia" w:ascii="楷体" w:hAnsi="楷体" w:eastAsia="楷体" w:cs="楷体"/>
                <w:color w:val="auto"/>
                <w:szCs w:val="24"/>
                <w:highlight w:val="none"/>
              </w:rPr>
            </w:pPr>
            <w:r>
              <w:rPr>
                <w:rFonts w:hint="eastAsia" w:ascii="楷体" w:hAnsi="楷体" w:eastAsia="楷体" w:cs="楷体"/>
                <w:color w:val="auto"/>
                <w:szCs w:val="24"/>
                <w:highlight w:val="none"/>
              </w:rPr>
              <w:t>代理服务费收费标准：</w:t>
            </w:r>
            <w:r>
              <w:rPr>
                <w:rFonts w:hint="eastAsia" w:ascii="楷体" w:hAnsi="楷体" w:eastAsia="楷体" w:cs="楷体"/>
                <w:color w:val="auto"/>
                <w:szCs w:val="24"/>
                <w:highlight w:val="none"/>
                <w:lang w:eastAsia="zh-CN"/>
              </w:rPr>
              <w:t>参照</w:t>
            </w:r>
            <w:r>
              <w:rPr>
                <w:rFonts w:hint="eastAsia" w:ascii="楷体" w:hAnsi="楷体" w:eastAsia="楷体" w:cs="楷体"/>
                <w:color w:val="auto"/>
                <w:szCs w:val="24"/>
                <w:highlight w:val="none"/>
              </w:rPr>
              <w:t>《招标代理服务收费管理暂行办法》（计价格[2002]1980号）和《关于招标代理服务收费有关问题的通知》（发改办价格[2003]857号）文件规定执行。</w:t>
            </w:r>
          </w:p>
          <w:p w14:paraId="09DA8C59">
            <w:pPr>
              <w:spacing w:line="360" w:lineRule="auto"/>
              <w:rPr>
                <w:rFonts w:hint="eastAsia" w:ascii="楷体" w:hAnsi="楷体" w:eastAsia="楷体" w:cs="楷体"/>
                <w:color w:val="auto"/>
                <w:szCs w:val="24"/>
                <w:highlight w:val="none"/>
                <w:lang w:val="en-US" w:eastAsia="zh-CN"/>
              </w:rPr>
            </w:pPr>
            <w:r>
              <w:rPr>
                <w:rFonts w:hint="eastAsia" w:ascii="楷体" w:hAnsi="楷体" w:eastAsia="楷体" w:cs="楷体"/>
                <w:color w:val="auto"/>
                <w:szCs w:val="24"/>
                <w:highlight w:val="none"/>
                <w:lang w:val="en-US" w:eastAsia="zh-CN"/>
              </w:rPr>
              <w:t>各采购包</w:t>
            </w:r>
            <w:r>
              <w:rPr>
                <w:rFonts w:hint="eastAsia" w:ascii="楷体" w:hAnsi="楷体" w:eastAsia="楷体" w:cs="楷体"/>
                <w:color w:val="auto"/>
                <w:szCs w:val="24"/>
                <w:highlight w:val="none"/>
              </w:rPr>
              <w:t>代理服务费</w:t>
            </w:r>
            <w:r>
              <w:rPr>
                <w:rFonts w:hint="eastAsia" w:ascii="楷体" w:hAnsi="楷体" w:eastAsia="楷体" w:cs="楷体"/>
                <w:color w:val="auto"/>
                <w:szCs w:val="24"/>
                <w:highlight w:val="none"/>
                <w:lang w:eastAsia="zh-CN"/>
              </w:rPr>
              <w:t>定额收取标准如下：</w:t>
            </w:r>
          </w:p>
          <w:p w14:paraId="23514967">
            <w:pPr>
              <w:spacing w:line="360" w:lineRule="auto"/>
              <w:rPr>
                <w:rFonts w:hint="eastAsia" w:ascii="楷体" w:hAnsi="楷体" w:eastAsia="楷体" w:cs="楷体"/>
                <w:color w:val="auto"/>
                <w:szCs w:val="24"/>
                <w:highlight w:val="none"/>
              </w:rPr>
            </w:pPr>
            <w:r>
              <w:rPr>
                <w:rFonts w:hint="eastAsia" w:ascii="楷体" w:hAnsi="楷体" w:eastAsia="楷体" w:cs="楷体"/>
                <w:color w:val="auto"/>
                <w:szCs w:val="24"/>
                <w:highlight w:val="none"/>
              </w:rPr>
              <w:t>采购包1：</w:t>
            </w:r>
            <w:r>
              <w:rPr>
                <w:rFonts w:hint="eastAsia" w:ascii="楷体" w:hAnsi="楷体" w:eastAsia="楷体" w:cs="楷体"/>
                <w:color w:val="auto"/>
                <w:szCs w:val="24"/>
                <w:highlight w:val="none"/>
                <w:lang w:val="en-US" w:eastAsia="zh-CN"/>
              </w:rPr>
              <w:t>4500.00</w:t>
            </w:r>
            <w:r>
              <w:rPr>
                <w:rFonts w:hint="eastAsia" w:ascii="楷体" w:hAnsi="楷体" w:eastAsia="楷体" w:cs="楷体"/>
                <w:color w:val="auto"/>
                <w:szCs w:val="24"/>
                <w:highlight w:val="none"/>
              </w:rPr>
              <w:t xml:space="preserve">元 </w:t>
            </w:r>
          </w:p>
          <w:p w14:paraId="26B7BA39">
            <w:pPr>
              <w:spacing w:line="360" w:lineRule="auto"/>
              <w:rPr>
                <w:rFonts w:hint="eastAsia" w:ascii="楷体" w:hAnsi="楷体" w:eastAsia="楷体" w:cs="楷体"/>
                <w:color w:val="auto"/>
                <w:szCs w:val="24"/>
                <w:highlight w:val="none"/>
              </w:rPr>
            </w:pPr>
            <w:r>
              <w:rPr>
                <w:rFonts w:hint="eastAsia" w:ascii="楷体" w:hAnsi="楷体" w:eastAsia="楷体" w:cs="楷体"/>
                <w:color w:val="auto"/>
                <w:szCs w:val="24"/>
                <w:highlight w:val="none"/>
              </w:rPr>
              <w:t>采购包</w:t>
            </w:r>
            <w:r>
              <w:rPr>
                <w:rFonts w:hint="eastAsia" w:ascii="楷体" w:hAnsi="楷体" w:eastAsia="楷体" w:cs="楷体"/>
                <w:color w:val="auto"/>
                <w:szCs w:val="24"/>
                <w:highlight w:val="none"/>
                <w:lang w:val="en-US" w:eastAsia="zh-CN"/>
              </w:rPr>
              <w:t>2</w:t>
            </w:r>
            <w:r>
              <w:rPr>
                <w:rFonts w:hint="eastAsia" w:ascii="楷体" w:hAnsi="楷体" w:eastAsia="楷体" w:cs="楷体"/>
                <w:color w:val="auto"/>
                <w:szCs w:val="24"/>
                <w:highlight w:val="none"/>
              </w:rPr>
              <w:t>：</w:t>
            </w:r>
            <w:r>
              <w:rPr>
                <w:rFonts w:hint="eastAsia" w:ascii="楷体" w:hAnsi="楷体" w:eastAsia="楷体" w:cs="楷体"/>
                <w:color w:val="auto"/>
                <w:szCs w:val="24"/>
                <w:highlight w:val="none"/>
                <w:lang w:val="en-US" w:eastAsia="zh-CN"/>
              </w:rPr>
              <w:t>3000.00</w:t>
            </w:r>
            <w:r>
              <w:rPr>
                <w:rFonts w:hint="eastAsia" w:ascii="楷体" w:hAnsi="楷体" w:eastAsia="楷体" w:cs="楷体"/>
                <w:color w:val="auto"/>
                <w:szCs w:val="24"/>
                <w:highlight w:val="none"/>
              </w:rPr>
              <w:t xml:space="preserve">元 </w:t>
            </w:r>
          </w:p>
          <w:p w14:paraId="7587212F">
            <w:pPr>
              <w:spacing w:line="360" w:lineRule="auto"/>
              <w:rPr>
                <w:rFonts w:hint="eastAsia" w:ascii="楷体" w:hAnsi="楷体" w:eastAsia="楷体" w:cs="楷体"/>
                <w:color w:val="auto"/>
                <w:szCs w:val="24"/>
                <w:highlight w:val="none"/>
              </w:rPr>
            </w:pPr>
            <w:r>
              <w:rPr>
                <w:rFonts w:hint="eastAsia" w:ascii="楷体" w:hAnsi="楷体" w:eastAsia="楷体" w:cs="楷体"/>
                <w:color w:val="auto"/>
                <w:szCs w:val="24"/>
                <w:highlight w:val="none"/>
              </w:rPr>
              <w:t>采购包</w:t>
            </w:r>
            <w:r>
              <w:rPr>
                <w:rFonts w:hint="eastAsia" w:ascii="楷体" w:hAnsi="楷体" w:eastAsia="楷体" w:cs="楷体"/>
                <w:color w:val="auto"/>
                <w:szCs w:val="24"/>
                <w:highlight w:val="none"/>
                <w:lang w:val="en-US" w:eastAsia="zh-CN"/>
              </w:rPr>
              <w:t>3</w:t>
            </w:r>
            <w:r>
              <w:rPr>
                <w:rFonts w:hint="eastAsia" w:ascii="楷体" w:hAnsi="楷体" w:eastAsia="楷体" w:cs="楷体"/>
                <w:color w:val="auto"/>
                <w:szCs w:val="24"/>
                <w:highlight w:val="none"/>
              </w:rPr>
              <w:t>：</w:t>
            </w:r>
            <w:r>
              <w:rPr>
                <w:rFonts w:hint="eastAsia" w:ascii="楷体" w:hAnsi="楷体" w:eastAsia="楷体" w:cs="楷体"/>
                <w:color w:val="auto"/>
                <w:szCs w:val="24"/>
                <w:highlight w:val="none"/>
                <w:lang w:val="en-US" w:eastAsia="zh-CN"/>
              </w:rPr>
              <w:t>3750.00</w:t>
            </w:r>
            <w:r>
              <w:rPr>
                <w:rFonts w:hint="eastAsia" w:ascii="楷体" w:hAnsi="楷体" w:eastAsia="楷体" w:cs="楷体"/>
                <w:color w:val="auto"/>
                <w:szCs w:val="24"/>
                <w:highlight w:val="none"/>
              </w:rPr>
              <w:t xml:space="preserve">元 </w:t>
            </w:r>
          </w:p>
          <w:p w14:paraId="521FB0EA">
            <w:pPr>
              <w:spacing w:line="360" w:lineRule="auto"/>
              <w:rPr>
                <w:rFonts w:hint="eastAsia" w:ascii="楷体" w:hAnsi="楷体" w:eastAsia="楷体" w:cs="楷体"/>
                <w:color w:val="auto"/>
                <w:szCs w:val="24"/>
                <w:highlight w:val="none"/>
                <w:lang w:val="en-US" w:eastAsia="zh-CN"/>
              </w:rPr>
            </w:pPr>
            <w:r>
              <w:rPr>
                <w:rFonts w:hint="eastAsia" w:ascii="楷体" w:hAnsi="楷体" w:eastAsia="楷体" w:cs="楷体"/>
                <w:color w:val="auto"/>
                <w:szCs w:val="24"/>
                <w:highlight w:val="none"/>
              </w:rPr>
              <w:t>采购包</w:t>
            </w:r>
            <w:r>
              <w:rPr>
                <w:rFonts w:hint="eastAsia" w:ascii="楷体" w:hAnsi="楷体" w:eastAsia="楷体" w:cs="楷体"/>
                <w:color w:val="auto"/>
                <w:szCs w:val="24"/>
                <w:highlight w:val="none"/>
                <w:lang w:val="en-US" w:eastAsia="zh-CN"/>
              </w:rPr>
              <w:t>4</w:t>
            </w:r>
            <w:r>
              <w:rPr>
                <w:rFonts w:hint="eastAsia" w:ascii="楷体" w:hAnsi="楷体" w:eastAsia="楷体" w:cs="楷体"/>
                <w:color w:val="auto"/>
                <w:szCs w:val="24"/>
                <w:highlight w:val="none"/>
              </w:rPr>
              <w:t>：</w:t>
            </w:r>
            <w:r>
              <w:rPr>
                <w:rFonts w:hint="eastAsia" w:ascii="楷体" w:hAnsi="楷体" w:eastAsia="楷体" w:cs="楷体"/>
                <w:color w:val="auto"/>
                <w:szCs w:val="24"/>
                <w:highlight w:val="none"/>
                <w:lang w:val="en-US" w:eastAsia="zh-CN"/>
              </w:rPr>
              <w:t>3750.00</w:t>
            </w:r>
            <w:r>
              <w:rPr>
                <w:rFonts w:hint="eastAsia" w:ascii="楷体" w:hAnsi="楷体" w:eastAsia="楷体" w:cs="楷体"/>
                <w:color w:val="auto"/>
                <w:szCs w:val="24"/>
                <w:highlight w:val="none"/>
              </w:rPr>
              <w:t>元</w:t>
            </w:r>
          </w:p>
          <w:p w14:paraId="29DF97E1">
            <w:pPr>
              <w:spacing w:line="360" w:lineRule="auto"/>
              <w:rPr>
                <w:rFonts w:hint="eastAsia" w:ascii="楷体" w:hAnsi="楷体" w:eastAsia="楷体" w:cs="楷体"/>
                <w:color w:val="auto"/>
                <w:szCs w:val="24"/>
                <w:highlight w:val="none"/>
              </w:rPr>
            </w:pPr>
            <w:r>
              <w:rPr>
                <w:rFonts w:hint="eastAsia" w:ascii="楷体" w:hAnsi="楷体" w:eastAsia="楷体" w:cs="楷体"/>
                <w:color w:val="auto"/>
                <w:szCs w:val="24"/>
                <w:highlight w:val="none"/>
              </w:rPr>
              <w:t>收款账户如下： 收款单位：</w:t>
            </w:r>
            <w:r>
              <w:rPr>
                <w:rFonts w:hint="eastAsia" w:ascii="楷体" w:hAnsi="楷体" w:eastAsia="楷体" w:cs="楷体"/>
                <w:color w:val="auto"/>
                <w:szCs w:val="24"/>
                <w:highlight w:val="none"/>
                <w:lang w:val="en-US" w:eastAsia="zh-CN"/>
              </w:rPr>
              <w:t>陕西正翼项目管理咨询有限公司西安分公司</w:t>
            </w:r>
            <w:r>
              <w:rPr>
                <w:rFonts w:hint="eastAsia" w:ascii="楷体" w:hAnsi="楷体" w:eastAsia="楷体" w:cs="楷体"/>
                <w:color w:val="auto"/>
                <w:szCs w:val="24"/>
                <w:highlight w:val="none"/>
              </w:rPr>
              <w:t xml:space="preserve"> ；开户银行：</w:t>
            </w:r>
            <w:r>
              <w:rPr>
                <w:rFonts w:hint="eastAsia" w:ascii="楷体" w:hAnsi="楷体" w:eastAsia="楷体" w:cs="楷体"/>
                <w:color w:val="auto"/>
                <w:szCs w:val="24"/>
                <w:highlight w:val="none"/>
                <w:lang w:val="en-US" w:eastAsia="zh-CN"/>
              </w:rPr>
              <w:t>中国光大银行股份有限公司西安经济技术开发区支行</w:t>
            </w:r>
            <w:r>
              <w:rPr>
                <w:rFonts w:hint="eastAsia" w:ascii="楷体" w:hAnsi="楷体" w:eastAsia="楷体" w:cs="楷体"/>
                <w:color w:val="auto"/>
                <w:szCs w:val="24"/>
                <w:highlight w:val="none"/>
              </w:rPr>
              <w:t>；银行账号：</w:t>
            </w:r>
            <w:r>
              <w:rPr>
                <w:rFonts w:hint="eastAsia" w:ascii="楷体" w:hAnsi="楷体" w:eastAsia="楷体" w:cs="楷体"/>
                <w:color w:val="auto"/>
                <w:szCs w:val="24"/>
                <w:highlight w:val="none"/>
                <w:lang w:val="en-US" w:eastAsia="zh-CN"/>
              </w:rPr>
              <w:t>78680188000360910</w:t>
            </w:r>
          </w:p>
        </w:tc>
      </w:tr>
      <w:tr w14:paraId="277022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74" w:hRule="atLeast"/>
          <w:jc w:val="center"/>
        </w:trPr>
        <w:tc>
          <w:tcPr>
            <w:tcW w:w="543" w:type="dxa"/>
            <w:noWrap w:val="0"/>
            <w:vAlign w:val="center"/>
          </w:tcPr>
          <w:p w14:paraId="1AC8D090">
            <w:pPr>
              <w:spacing w:line="360" w:lineRule="auto"/>
              <w:jc w:val="center"/>
              <w:rPr>
                <w:rFonts w:hint="eastAsia" w:ascii="楷体" w:hAnsi="楷体" w:eastAsia="楷体" w:cs="楷体"/>
                <w:color w:val="auto"/>
                <w:szCs w:val="24"/>
                <w:highlight w:val="none"/>
              </w:rPr>
            </w:pPr>
            <w:r>
              <w:rPr>
                <w:rFonts w:hint="eastAsia" w:ascii="楷体" w:hAnsi="楷体" w:eastAsia="楷体" w:cs="楷体"/>
                <w:color w:val="auto"/>
                <w:szCs w:val="24"/>
                <w:highlight w:val="none"/>
              </w:rPr>
              <w:t>13</w:t>
            </w:r>
          </w:p>
        </w:tc>
        <w:tc>
          <w:tcPr>
            <w:tcW w:w="1023" w:type="dxa"/>
            <w:noWrap w:val="0"/>
            <w:vAlign w:val="center"/>
          </w:tcPr>
          <w:p w14:paraId="159093ED">
            <w:pPr>
              <w:spacing w:line="360" w:lineRule="auto"/>
              <w:jc w:val="center"/>
              <w:rPr>
                <w:rFonts w:hint="default" w:ascii="楷体" w:hAnsi="楷体" w:eastAsia="楷体" w:cs="楷体"/>
                <w:color w:val="auto"/>
                <w:szCs w:val="24"/>
                <w:highlight w:val="none"/>
                <w:lang w:val="en-US" w:eastAsia="zh-CN"/>
              </w:rPr>
            </w:pPr>
            <w:r>
              <w:rPr>
                <w:rFonts w:hint="eastAsia" w:ascii="楷体" w:hAnsi="楷体" w:eastAsia="楷体" w:cs="楷体"/>
                <w:color w:val="auto"/>
                <w:szCs w:val="24"/>
                <w:highlight w:val="none"/>
                <w:lang w:val="en-US" w:eastAsia="zh-CN"/>
              </w:rPr>
              <w:t>30</w:t>
            </w:r>
          </w:p>
        </w:tc>
        <w:tc>
          <w:tcPr>
            <w:tcW w:w="7278" w:type="dxa"/>
            <w:noWrap w:val="0"/>
            <w:vAlign w:val="center"/>
          </w:tcPr>
          <w:p w14:paraId="4B0B3C7D">
            <w:pPr>
              <w:spacing w:line="360" w:lineRule="auto"/>
              <w:rPr>
                <w:rFonts w:hint="eastAsia" w:ascii="楷体" w:hAnsi="楷体" w:eastAsia="楷体" w:cs="楷体"/>
                <w:b/>
                <w:bCs/>
                <w:color w:val="auto"/>
                <w:szCs w:val="24"/>
                <w:highlight w:val="none"/>
              </w:rPr>
            </w:pPr>
            <w:r>
              <w:rPr>
                <w:rFonts w:hint="eastAsia" w:ascii="楷体" w:hAnsi="楷体" w:eastAsia="楷体" w:cs="楷体"/>
                <w:b/>
                <w:bCs/>
                <w:color w:val="auto"/>
                <w:szCs w:val="24"/>
                <w:highlight w:val="none"/>
              </w:rPr>
              <w:t>履约保证金:</w:t>
            </w:r>
          </w:p>
          <w:p w14:paraId="19DFBD2A">
            <w:pPr>
              <w:spacing w:line="360" w:lineRule="auto"/>
              <w:rPr>
                <w:rFonts w:hint="eastAsia" w:ascii="楷体" w:hAnsi="楷体" w:eastAsia="楷体" w:cs="楷体"/>
                <w:color w:val="auto"/>
                <w:szCs w:val="24"/>
                <w:highlight w:val="none"/>
                <w:lang w:eastAsia="zh-CN"/>
              </w:rPr>
            </w:pPr>
            <w:r>
              <w:rPr>
                <w:rFonts w:hint="eastAsia" w:ascii="楷体" w:hAnsi="楷体" w:eastAsia="楷体" w:cs="楷体"/>
                <w:color w:val="auto"/>
                <w:szCs w:val="24"/>
                <w:highlight w:val="none"/>
              </w:rPr>
              <w:sym w:font="Wingdings" w:char="00FE"/>
            </w:r>
            <w:r>
              <w:rPr>
                <w:rFonts w:hint="eastAsia" w:ascii="楷体" w:hAnsi="楷体" w:eastAsia="楷体" w:cs="楷体"/>
                <w:color w:val="auto"/>
                <w:szCs w:val="24"/>
                <w:highlight w:val="none"/>
              </w:rPr>
              <w:t>不要求提供</w:t>
            </w:r>
            <w:r>
              <w:rPr>
                <w:rFonts w:hint="eastAsia" w:ascii="楷体" w:hAnsi="楷体" w:eastAsia="楷体" w:cs="楷体"/>
                <w:color w:val="auto"/>
                <w:szCs w:val="24"/>
                <w:highlight w:val="none"/>
                <w:lang w:eastAsia="zh-CN"/>
              </w:rPr>
              <w:t>。</w:t>
            </w:r>
          </w:p>
          <w:p w14:paraId="22C1FB5C">
            <w:pPr>
              <w:spacing w:line="360" w:lineRule="auto"/>
              <w:rPr>
                <w:rFonts w:hint="eastAsia" w:ascii="楷体" w:hAnsi="楷体" w:eastAsia="楷体" w:cs="楷体"/>
                <w:color w:val="auto"/>
                <w:szCs w:val="24"/>
                <w:highlight w:val="none"/>
                <w:lang w:eastAsia="zh-CN"/>
              </w:rPr>
            </w:pPr>
            <w:r>
              <w:rPr>
                <w:rFonts w:hint="eastAsia" w:ascii="楷体" w:hAnsi="楷体" w:eastAsia="楷体" w:cs="楷体"/>
                <w:color w:val="auto"/>
                <w:szCs w:val="24"/>
                <w:highlight w:val="none"/>
              </w:rPr>
              <w:sym w:font="Wingdings" w:char="00A8"/>
            </w:r>
            <w:r>
              <w:rPr>
                <w:rFonts w:hint="eastAsia" w:ascii="楷体" w:hAnsi="楷体" w:eastAsia="楷体" w:cs="楷体"/>
                <w:color w:val="auto"/>
                <w:szCs w:val="24"/>
                <w:highlight w:val="none"/>
              </w:rPr>
              <w:t>要求提供</w:t>
            </w:r>
            <w:r>
              <w:rPr>
                <w:rFonts w:hint="eastAsia" w:ascii="楷体" w:hAnsi="楷体" w:eastAsia="楷体" w:cs="楷体"/>
                <w:color w:val="000000"/>
                <w:szCs w:val="24"/>
                <w:highlight w:val="none"/>
                <w:lang w:val="en-US" w:eastAsia="zh-CN"/>
              </w:rPr>
              <w:t>，金额为本采购项目履约保证金为合同金额的5%，提交方式为：</w:t>
            </w:r>
            <w:r>
              <w:rPr>
                <w:rFonts w:hint="eastAsia" w:ascii="楷体" w:hAnsi="楷体" w:eastAsia="楷体" w:cs="楷体"/>
                <w:color w:val="000000"/>
                <w:szCs w:val="24"/>
                <w:highlight w:val="none"/>
              </w:rPr>
              <w:t>转账、电汇、担保机构保函</w:t>
            </w:r>
            <w:r>
              <w:rPr>
                <w:rFonts w:hint="eastAsia" w:ascii="楷体" w:hAnsi="楷体" w:eastAsia="楷体" w:cs="楷体"/>
                <w:color w:val="000000"/>
                <w:szCs w:val="24"/>
                <w:highlight w:val="none"/>
                <w:lang w:eastAsia="zh-CN"/>
              </w:rPr>
              <w:t>。</w:t>
            </w:r>
          </w:p>
        </w:tc>
      </w:tr>
      <w:tr w14:paraId="557E4E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543" w:type="dxa"/>
            <w:noWrap w:val="0"/>
            <w:vAlign w:val="center"/>
          </w:tcPr>
          <w:p w14:paraId="3491F04D">
            <w:pPr>
              <w:spacing w:line="360" w:lineRule="auto"/>
              <w:jc w:val="center"/>
              <w:rPr>
                <w:rFonts w:hint="eastAsia" w:ascii="楷体" w:hAnsi="楷体" w:eastAsia="楷体" w:cs="楷体"/>
                <w:color w:val="auto"/>
                <w:szCs w:val="24"/>
                <w:highlight w:val="none"/>
              </w:rPr>
            </w:pPr>
            <w:r>
              <w:rPr>
                <w:rFonts w:hint="eastAsia" w:ascii="楷体" w:hAnsi="楷体" w:eastAsia="楷体" w:cs="楷体"/>
                <w:color w:val="auto"/>
                <w:szCs w:val="24"/>
                <w:highlight w:val="none"/>
              </w:rPr>
              <w:t>14</w:t>
            </w:r>
          </w:p>
        </w:tc>
        <w:tc>
          <w:tcPr>
            <w:tcW w:w="1023" w:type="dxa"/>
            <w:noWrap w:val="0"/>
            <w:vAlign w:val="center"/>
          </w:tcPr>
          <w:p w14:paraId="1D71BCDB">
            <w:pPr>
              <w:spacing w:line="360" w:lineRule="auto"/>
              <w:jc w:val="center"/>
              <w:rPr>
                <w:rFonts w:hint="eastAsia" w:ascii="楷体" w:hAnsi="楷体" w:eastAsia="楷体" w:cs="楷体"/>
                <w:color w:val="auto"/>
                <w:szCs w:val="24"/>
                <w:highlight w:val="none"/>
              </w:rPr>
            </w:pPr>
            <w:r>
              <w:rPr>
                <w:rFonts w:hint="eastAsia" w:ascii="楷体" w:hAnsi="楷体" w:eastAsia="楷体" w:cs="楷体"/>
                <w:color w:val="auto"/>
                <w:szCs w:val="24"/>
                <w:highlight w:val="none"/>
              </w:rPr>
              <w:t>分包</w:t>
            </w:r>
          </w:p>
        </w:tc>
        <w:tc>
          <w:tcPr>
            <w:tcW w:w="7278" w:type="dxa"/>
            <w:noWrap w:val="0"/>
            <w:vAlign w:val="center"/>
          </w:tcPr>
          <w:p w14:paraId="3440C1DE">
            <w:pPr>
              <w:spacing w:line="360" w:lineRule="auto"/>
              <w:rPr>
                <w:rFonts w:hint="eastAsia" w:ascii="楷体" w:hAnsi="楷体" w:eastAsia="楷体" w:cs="楷体"/>
                <w:color w:val="auto"/>
                <w:szCs w:val="24"/>
                <w:highlight w:val="none"/>
              </w:rPr>
            </w:pPr>
            <w:r>
              <w:rPr>
                <w:rFonts w:hint="eastAsia" w:ascii="楷体" w:hAnsi="楷体" w:eastAsia="楷体" w:cs="楷体"/>
                <w:color w:val="auto"/>
                <w:szCs w:val="24"/>
                <w:highlight w:val="none"/>
              </w:rPr>
              <w:t>未经甲方许可，乙方不得将项目内容擅自以任何形式进行分包。</w:t>
            </w:r>
          </w:p>
        </w:tc>
      </w:tr>
      <w:tr w14:paraId="239554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74" w:hRule="atLeast"/>
          <w:jc w:val="center"/>
        </w:trPr>
        <w:tc>
          <w:tcPr>
            <w:tcW w:w="543" w:type="dxa"/>
            <w:noWrap w:val="0"/>
            <w:vAlign w:val="center"/>
          </w:tcPr>
          <w:p w14:paraId="470DCE32">
            <w:pPr>
              <w:spacing w:line="360" w:lineRule="auto"/>
              <w:jc w:val="center"/>
              <w:rPr>
                <w:rFonts w:hint="eastAsia" w:ascii="楷体" w:hAnsi="楷体" w:eastAsia="楷体" w:cs="楷体"/>
                <w:color w:val="auto"/>
                <w:szCs w:val="24"/>
                <w:highlight w:val="none"/>
              </w:rPr>
            </w:pPr>
            <w:r>
              <w:rPr>
                <w:rFonts w:hint="eastAsia" w:ascii="楷体" w:hAnsi="楷体" w:eastAsia="楷体" w:cs="楷体"/>
                <w:color w:val="auto"/>
                <w:szCs w:val="24"/>
                <w:highlight w:val="none"/>
              </w:rPr>
              <w:t>15</w:t>
            </w:r>
          </w:p>
        </w:tc>
        <w:tc>
          <w:tcPr>
            <w:tcW w:w="1023" w:type="dxa"/>
            <w:noWrap w:val="0"/>
            <w:vAlign w:val="center"/>
          </w:tcPr>
          <w:p w14:paraId="2843ACAA">
            <w:pPr>
              <w:spacing w:line="360" w:lineRule="auto"/>
              <w:jc w:val="center"/>
              <w:rPr>
                <w:rFonts w:hint="eastAsia" w:ascii="楷体" w:hAnsi="楷体" w:eastAsia="楷体" w:cs="楷体"/>
                <w:color w:val="auto"/>
                <w:szCs w:val="24"/>
                <w:highlight w:val="none"/>
              </w:rPr>
            </w:pPr>
            <w:r>
              <w:rPr>
                <w:rFonts w:hint="eastAsia" w:ascii="楷体" w:hAnsi="楷体" w:eastAsia="楷体" w:cs="楷体"/>
                <w:color w:val="auto"/>
                <w:szCs w:val="24"/>
                <w:highlight w:val="none"/>
              </w:rPr>
              <w:t>踏勘</w:t>
            </w:r>
          </w:p>
          <w:p w14:paraId="39129F7A">
            <w:pPr>
              <w:spacing w:line="360" w:lineRule="auto"/>
              <w:jc w:val="center"/>
              <w:rPr>
                <w:rFonts w:hint="eastAsia" w:ascii="楷体" w:hAnsi="楷体" w:eastAsia="楷体" w:cs="楷体"/>
                <w:color w:val="auto"/>
                <w:szCs w:val="24"/>
                <w:highlight w:val="none"/>
              </w:rPr>
            </w:pPr>
            <w:r>
              <w:rPr>
                <w:rFonts w:hint="eastAsia" w:ascii="楷体" w:hAnsi="楷体" w:eastAsia="楷体" w:cs="楷体"/>
                <w:color w:val="auto"/>
                <w:szCs w:val="24"/>
                <w:highlight w:val="none"/>
              </w:rPr>
              <w:t>现场</w:t>
            </w:r>
          </w:p>
        </w:tc>
        <w:tc>
          <w:tcPr>
            <w:tcW w:w="7278" w:type="dxa"/>
            <w:noWrap w:val="0"/>
            <w:vAlign w:val="center"/>
          </w:tcPr>
          <w:p w14:paraId="0BD342FC">
            <w:pPr>
              <w:spacing w:line="360" w:lineRule="auto"/>
              <w:rPr>
                <w:rFonts w:hint="eastAsia" w:ascii="楷体" w:hAnsi="楷体" w:eastAsia="楷体" w:cs="楷体"/>
                <w:color w:val="auto"/>
                <w:szCs w:val="24"/>
                <w:highlight w:val="none"/>
                <w:lang w:eastAsia="zh-CN"/>
              </w:rPr>
            </w:pPr>
            <w:r>
              <w:rPr>
                <w:rFonts w:hint="eastAsia" w:ascii="楷体" w:hAnsi="楷体" w:eastAsia="楷体" w:cs="楷体"/>
                <w:color w:val="auto"/>
                <w:szCs w:val="24"/>
                <w:highlight w:val="none"/>
              </w:rPr>
              <w:sym w:font="Wingdings" w:char="00FE"/>
            </w:r>
            <w:r>
              <w:rPr>
                <w:rFonts w:hint="eastAsia" w:ascii="楷体" w:hAnsi="楷体" w:eastAsia="楷体" w:cs="楷体"/>
                <w:color w:val="auto"/>
                <w:szCs w:val="24"/>
                <w:highlight w:val="none"/>
              </w:rPr>
              <w:t>自行踏勘</w:t>
            </w:r>
            <w:r>
              <w:rPr>
                <w:rFonts w:hint="eastAsia" w:ascii="楷体" w:hAnsi="楷体" w:eastAsia="楷体" w:cs="楷体"/>
                <w:color w:val="auto"/>
                <w:szCs w:val="24"/>
                <w:highlight w:val="none"/>
                <w:lang w:eastAsia="zh-CN"/>
              </w:rPr>
              <w:t>：</w:t>
            </w:r>
            <w:r>
              <w:rPr>
                <w:rFonts w:hint="eastAsia" w:ascii="楷体" w:hAnsi="楷体" w:eastAsia="楷体" w:cs="仿宋"/>
                <w:szCs w:val="24"/>
                <w:highlight w:val="none"/>
              </w:rPr>
              <w:t>不统一组织</w:t>
            </w:r>
            <w:r>
              <w:rPr>
                <w:rFonts w:hint="eastAsia" w:ascii="楷体" w:hAnsi="楷体" w:eastAsia="楷体" w:cs="仿宋"/>
                <w:szCs w:val="24"/>
                <w:highlight w:val="none"/>
                <w:lang w:eastAsia="zh-CN"/>
              </w:rPr>
              <w:t>，</w:t>
            </w:r>
            <w:r>
              <w:rPr>
                <w:rFonts w:hint="eastAsia" w:ascii="楷体" w:hAnsi="楷体" w:eastAsia="楷体" w:cs="仿宋"/>
                <w:szCs w:val="24"/>
                <w:highlight w:val="none"/>
              </w:rPr>
              <w:t>供应商可根据实际情况自行踏勘</w:t>
            </w:r>
            <w:r>
              <w:rPr>
                <w:rFonts w:hint="eastAsia" w:ascii="楷体" w:hAnsi="楷体" w:eastAsia="楷体" w:cs="仿宋"/>
                <w:szCs w:val="24"/>
                <w:highlight w:val="none"/>
                <w:lang w:eastAsia="zh-CN"/>
              </w:rPr>
              <w:t>；</w:t>
            </w:r>
            <w:r>
              <w:rPr>
                <w:rFonts w:hint="eastAsia" w:ascii="楷体" w:hAnsi="楷体" w:eastAsia="楷体" w:cs="仿宋"/>
                <w:szCs w:val="24"/>
                <w:highlight w:val="none"/>
              </w:rPr>
              <w:t>踏勘的相关费用及安全由供应商自行承担。</w:t>
            </w:r>
          </w:p>
          <w:p w14:paraId="370786DC">
            <w:pPr>
              <w:spacing w:line="360" w:lineRule="auto"/>
              <w:rPr>
                <w:rFonts w:hint="eastAsia" w:ascii="楷体" w:hAnsi="楷体" w:eastAsia="楷体" w:cs="楷体"/>
                <w:color w:val="auto"/>
                <w:szCs w:val="24"/>
                <w:highlight w:val="none"/>
              </w:rPr>
            </w:pPr>
            <w:r>
              <w:rPr>
                <w:rFonts w:hint="eastAsia" w:ascii="楷体" w:hAnsi="楷体" w:eastAsia="楷体" w:cs="楷体"/>
                <w:color w:val="auto"/>
                <w:szCs w:val="24"/>
                <w:highlight w:val="none"/>
              </w:rPr>
              <w:sym w:font="Wingdings" w:char="00A8"/>
            </w:r>
            <w:r>
              <w:rPr>
                <w:rFonts w:hint="eastAsia" w:ascii="楷体" w:hAnsi="楷体" w:eastAsia="楷体" w:cs="楷体"/>
                <w:color w:val="auto"/>
                <w:szCs w:val="24"/>
                <w:highlight w:val="none"/>
              </w:rPr>
              <w:t>组织踏勘：</w:t>
            </w:r>
          </w:p>
        </w:tc>
      </w:tr>
      <w:tr w14:paraId="23FA4E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74" w:hRule="atLeast"/>
          <w:jc w:val="center"/>
        </w:trPr>
        <w:tc>
          <w:tcPr>
            <w:tcW w:w="543" w:type="dxa"/>
            <w:noWrap w:val="0"/>
            <w:vAlign w:val="center"/>
          </w:tcPr>
          <w:p w14:paraId="5F1810E3">
            <w:pPr>
              <w:spacing w:line="360" w:lineRule="auto"/>
              <w:jc w:val="center"/>
              <w:rPr>
                <w:rFonts w:hint="eastAsia" w:ascii="楷体" w:hAnsi="楷体" w:eastAsia="楷体" w:cs="楷体"/>
                <w:color w:val="auto"/>
                <w:szCs w:val="24"/>
                <w:highlight w:val="none"/>
              </w:rPr>
            </w:pPr>
            <w:r>
              <w:rPr>
                <w:rFonts w:hint="eastAsia" w:ascii="楷体" w:hAnsi="楷体" w:eastAsia="楷体" w:cs="楷体"/>
                <w:color w:val="auto"/>
                <w:szCs w:val="24"/>
                <w:highlight w:val="none"/>
              </w:rPr>
              <w:t>16</w:t>
            </w:r>
          </w:p>
        </w:tc>
        <w:tc>
          <w:tcPr>
            <w:tcW w:w="1023" w:type="dxa"/>
            <w:noWrap w:val="0"/>
            <w:vAlign w:val="center"/>
          </w:tcPr>
          <w:p w14:paraId="7D015504">
            <w:pPr>
              <w:spacing w:line="360" w:lineRule="auto"/>
              <w:jc w:val="center"/>
              <w:rPr>
                <w:rFonts w:hint="eastAsia" w:ascii="楷体" w:hAnsi="楷体" w:eastAsia="楷体" w:cs="楷体"/>
                <w:color w:val="auto"/>
                <w:szCs w:val="24"/>
                <w:highlight w:val="none"/>
              </w:rPr>
            </w:pPr>
            <w:r>
              <w:rPr>
                <w:rFonts w:hint="eastAsia" w:ascii="楷体" w:hAnsi="楷体" w:eastAsia="楷体" w:cs="楷体"/>
                <w:color w:val="auto"/>
                <w:szCs w:val="24"/>
                <w:highlight w:val="none"/>
              </w:rPr>
              <w:t>同义</w:t>
            </w:r>
          </w:p>
          <w:p w14:paraId="5F0F52D9">
            <w:pPr>
              <w:spacing w:line="360" w:lineRule="auto"/>
              <w:jc w:val="center"/>
              <w:rPr>
                <w:rFonts w:hint="eastAsia" w:ascii="楷体" w:hAnsi="楷体" w:eastAsia="楷体" w:cs="楷体"/>
                <w:color w:val="auto"/>
                <w:szCs w:val="24"/>
                <w:highlight w:val="none"/>
              </w:rPr>
            </w:pPr>
            <w:r>
              <w:rPr>
                <w:rFonts w:hint="eastAsia" w:ascii="楷体" w:hAnsi="楷体" w:eastAsia="楷体" w:cs="楷体"/>
                <w:color w:val="auto"/>
                <w:szCs w:val="24"/>
                <w:highlight w:val="none"/>
              </w:rPr>
              <w:t>词语</w:t>
            </w:r>
          </w:p>
        </w:tc>
        <w:tc>
          <w:tcPr>
            <w:tcW w:w="7278" w:type="dxa"/>
            <w:noWrap w:val="0"/>
            <w:vAlign w:val="center"/>
          </w:tcPr>
          <w:p w14:paraId="6A6348DB">
            <w:pPr>
              <w:spacing w:line="360" w:lineRule="auto"/>
              <w:rPr>
                <w:rFonts w:hint="eastAsia" w:ascii="楷体" w:hAnsi="楷体" w:eastAsia="楷体" w:cs="楷体"/>
                <w:b/>
                <w:color w:val="auto"/>
                <w:szCs w:val="24"/>
                <w:highlight w:val="none"/>
              </w:rPr>
            </w:pPr>
            <w:r>
              <w:rPr>
                <w:rFonts w:hint="eastAsia" w:ascii="楷体" w:hAnsi="楷体" w:eastAsia="楷体" w:cs="楷体"/>
                <w:color w:val="auto"/>
                <w:szCs w:val="24"/>
                <w:highlight w:val="none"/>
              </w:rPr>
              <w:t>构成磋商文件组成部分的各章节中出现的措辞“委托人”、“发包人”、“和“供应商”、“承包人”，在招标磋商阶段应当分别按“采购人”和“供应商”进行理解。</w:t>
            </w:r>
          </w:p>
        </w:tc>
      </w:tr>
      <w:tr w14:paraId="425337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74" w:hRule="atLeast"/>
          <w:jc w:val="center"/>
        </w:trPr>
        <w:tc>
          <w:tcPr>
            <w:tcW w:w="543" w:type="dxa"/>
            <w:noWrap w:val="0"/>
            <w:vAlign w:val="center"/>
          </w:tcPr>
          <w:p w14:paraId="023B3B71">
            <w:pPr>
              <w:spacing w:line="360" w:lineRule="auto"/>
              <w:jc w:val="center"/>
              <w:rPr>
                <w:rFonts w:hint="eastAsia" w:ascii="楷体" w:hAnsi="楷体" w:eastAsia="楷体" w:cs="楷体"/>
                <w:color w:val="auto"/>
                <w:szCs w:val="24"/>
                <w:highlight w:val="none"/>
              </w:rPr>
            </w:pPr>
            <w:r>
              <w:rPr>
                <w:rFonts w:hint="eastAsia" w:ascii="楷体" w:hAnsi="楷体" w:eastAsia="楷体" w:cs="楷体"/>
                <w:color w:val="auto"/>
                <w:szCs w:val="24"/>
                <w:highlight w:val="none"/>
              </w:rPr>
              <w:t>17</w:t>
            </w:r>
          </w:p>
        </w:tc>
        <w:tc>
          <w:tcPr>
            <w:tcW w:w="1023" w:type="dxa"/>
            <w:noWrap w:val="0"/>
            <w:vAlign w:val="center"/>
          </w:tcPr>
          <w:p w14:paraId="23A404DF">
            <w:pPr>
              <w:spacing w:line="360" w:lineRule="auto"/>
              <w:jc w:val="center"/>
              <w:rPr>
                <w:rFonts w:hint="eastAsia" w:ascii="楷体" w:hAnsi="楷体" w:eastAsia="楷体" w:cs="楷体"/>
                <w:color w:val="auto"/>
                <w:szCs w:val="24"/>
                <w:highlight w:val="none"/>
              </w:rPr>
            </w:pPr>
            <w:r>
              <w:rPr>
                <w:rFonts w:hint="eastAsia" w:ascii="楷体" w:hAnsi="楷体" w:eastAsia="楷体" w:cs="楷体"/>
                <w:color w:val="auto"/>
                <w:szCs w:val="24"/>
                <w:highlight w:val="none"/>
              </w:rPr>
              <w:t>信用记录查询说明</w:t>
            </w:r>
          </w:p>
        </w:tc>
        <w:tc>
          <w:tcPr>
            <w:tcW w:w="7278" w:type="dxa"/>
            <w:noWrap w:val="0"/>
            <w:vAlign w:val="center"/>
          </w:tcPr>
          <w:p w14:paraId="27C340D2">
            <w:pPr>
              <w:pStyle w:val="12"/>
              <w:spacing w:line="360" w:lineRule="auto"/>
              <w:rPr>
                <w:rFonts w:hint="eastAsia" w:ascii="楷体" w:hAnsi="楷体" w:eastAsia="楷体" w:cs="楷体"/>
                <w:color w:val="auto"/>
                <w:szCs w:val="24"/>
                <w:highlight w:val="none"/>
              </w:rPr>
            </w:pPr>
            <w:r>
              <w:rPr>
                <w:rFonts w:hint="eastAsia" w:ascii="楷体" w:hAnsi="楷体" w:eastAsia="楷体" w:cs="楷体"/>
                <w:color w:val="auto"/>
                <w:szCs w:val="24"/>
                <w:highlight w:val="none"/>
              </w:rPr>
              <w:t>1.依据《财政部关于在政府采购活动中查询及使用信用记录有关问题的通知》（财库【2016】125号）文件中信用查询的要求，通过“信用中国”网站(www.creditchina.gov.cn)和中国政府采购网(www.ccgp.gov.cn)查询供应商的信用记录，采购人、采购代理机构对各供应商信用记录情况进行查询甄别，并对查询结果以网站截图纸质版或网站截图电子版形式予以留存。</w:t>
            </w:r>
          </w:p>
          <w:p w14:paraId="184E2831">
            <w:pPr>
              <w:pStyle w:val="12"/>
              <w:spacing w:line="360" w:lineRule="auto"/>
              <w:rPr>
                <w:rFonts w:hint="eastAsia" w:ascii="楷体" w:hAnsi="楷体" w:eastAsia="楷体" w:cs="楷体"/>
                <w:color w:val="auto"/>
                <w:szCs w:val="24"/>
                <w:highlight w:val="none"/>
              </w:rPr>
            </w:pPr>
            <w:r>
              <w:rPr>
                <w:rFonts w:hint="eastAsia" w:ascii="楷体" w:hAnsi="楷体" w:eastAsia="楷体" w:cs="楷体"/>
                <w:color w:val="auto"/>
                <w:szCs w:val="24"/>
                <w:highlight w:val="none"/>
              </w:rPr>
              <w:t>2.查询截止时间：响应文件递交截止时间后2小时内网站查询，若查询结果不符合要求，按无效响应处理。</w:t>
            </w:r>
          </w:p>
          <w:p w14:paraId="1D77F47C">
            <w:pPr>
              <w:pStyle w:val="12"/>
              <w:spacing w:line="360" w:lineRule="auto"/>
              <w:rPr>
                <w:rFonts w:hint="eastAsia" w:ascii="楷体" w:hAnsi="楷体" w:eastAsia="楷体" w:cs="楷体"/>
                <w:color w:val="auto"/>
                <w:szCs w:val="24"/>
                <w:highlight w:val="none"/>
              </w:rPr>
            </w:pPr>
            <w:r>
              <w:rPr>
                <w:rFonts w:hint="eastAsia" w:ascii="楷体" w:hAnsi="楷体" w:eastAsia="楷体" w:cs="楷体"/>
                <w:color w:val="auto"/>
                <w:szCs w:val="24"/>
                <w:highlight w:val="none"/>
              </w:rPr>
              <w:t>3.在本磋商文件规定的查询时间之后，网站信息发生的任何变更均不再作为评审依据。</w:t>
            </w:r>
          </w:p>
          <w:p w14:paraId="554F3D4A">
            <w:pPr>
              <w:pStyle w:val="12"/>
              <w:spacing w:line="360" w:lineRule="auto"/>
              <w:rPr>
                <w:rFonts w:hint="eastAsia" w:ascii="楷体" w:hAnsi="楷体" w:eastAsia="楷体" w:cs="楷体"/>
                <w:color w:val="auto"/>
                <w:szCs w:val="24"/>
                <w:highlight w:val="none"/>
              </w:rPr>
            </w:pPr>
            <w:r>
              <w:rPr>
                <w:rFonts w:hint="eastAsia" w:ascii="楷体" w:hAnsi="楷体" w:eastAsia="楷体" w:cs="楷体"/>
                <w:color w:val="auto"/>
                <w:szCs w:val="24"/>
                <w:highlight w:val="none"/>
              </w:rPr>
              <w:t>4.供应商自行提供的与网站信息不一致的其他证明材料亦不作为资格审查依据。</w:t>
            </w:r>
          </w:p>
        </w:tc>
      </w:tr>
      <w:tr w14:paraId="7CDBAE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74" w:hRule="atLeast"/>
          <w:jc w:val="center"/>
        </w:trPr>
        <w:tc>
          <w:tcPr>
            <w:tcW w:w="543" w:type="dxa"/>
            <w:noWrap w:val="0"/>
            <w:vAlign w:val="center"/>
          </w:tcPr>
          <w:p w14:paraId="1530A392">
            <w:pPr>
              <w:spacing w:line="360" w:lineRule="auto"/>
              <w:jc w:val="center"/>
              <w:rPr>
                <w:rFonts w:hint="eastAsia" w:ascii="楷体" w:hAnsi="楷体" w:eastAsia="楷体" w:cs="楷体"/>
                <w:color w:val="auto"/>
                <w:szCs w:val="24"/>
                <w:highlight w:val="none"/>
              </w:rPr>
            </w:pPr>
            <w:r>
              <w:rPr>
                <w:rFonts w:hint="eastAsia" w:ascii="楷体" w:hAnsi="楷体" w:eastAsia="楷体" w:cs="楷体"/>
                <w:color w:val="auto"/>
                <w:szCs w:val="24"/>
                <w:highlight w:val="none"/>
              </w:rPr>
              <w:t>18</w:t>
            </w:r>
          </w:p>
        </w:tc>
        <w:tc>
          <w:tcPr>
            <w:tcW w:w="1023" w:type="dxa"/>
            <w:noWrap w:val="0"/>
            <w:vAlign w:val="center"/>
          </w:tcPr>
          <w:p w14:paraId="6894BD7D">
            <w:pPr>
              <w:spacing w:line="360" w:lineRule="auto"/>
              <w:jc w:val="center"/>
              <w:rPr>
                <w:rFonts w:hint="eastAsia" w:ascii="楷体" w:hAnsi="楷体" w:eastAsia="楷体" w:cs="楷体"/>
                <w:color w:val="auto"/>
                <w:szCs w:val="24"/>
                <w:highlight w:val="none"/>
              </w:rPr>
            </w:pPr>
            <w:r>
              <w:rPr>
                <w:rFonts w:hint="eastAsia" w:ascii="楷体" w:hAnsi="楷体" w:eastAsia="楷体" w:cs="楷体"/>
                <w:color w:val="auto"/>
                <w:szCs w:val="24"/>
                <w:highlight w:val="none"/>
              </w:rPr>
              <w:t>其他</w:t>
            </w:r>
          </w:p>
        </w:tc>
        <w:tc>
          <w:tcPr>
            <w:tcW w:w="7278" w:type="dxa"/>
            <w:noWrap w:val="0"/>
            <w:vAlign w:val="center"/>
          </w:tcPr>
          <w:p w14:paraId="3BBEE1C3">
            <w:pPr>
              <w:pStyle w:val="12"/>
              <w:spacing w:line="360" w:lineRule="auto"/>
              <w:rPr>
                <w:rFonts w:hint="eastAsia" w:ascii="楷体" w:hAnsi="楷体" w:eastAsia="楷体" w:cs="楷体"/>
                <w:color w:val="auto"/>
                <w:szCs w:val="24"/>
                <w:highlight w:val="none"/>
              </w:rPr>
            </w:pPr>
            <w:r>
              <w:rPr>
                <w:rFonts w:hint="eastAsia" w:ascii="楷体" w:hAnsi="楷体" w:eastAsia="楷体" w:cs="楷体"/>
                <w:color w:val="auto"/>
                <w:szCs w:val="24"/>
                <w:highlight w:val="none"/>
                <w:lang w:val="en-US" w:eastAsia="zh-CN"/>
              </w:rPr>
              <w:t>1</w:t>
            </w:r>
            <w:r>
              <w:rPr>
                <w:rFonts w:hint="eastAsia" w:ascii="楷体" w:hAnsi="楷体" w:eastAsia="楷体" w:cs="楷体"/>
                <w:color w:val="auto"/>
                <w:szCs w:val="24"/>
                <w:highlight w:val="none"/>
              </w:rPr>
              <w:t>.磋商保证金：无。</w:t>
            </w:r>
          </w:p>
          <w:p w14:paraId="3C6BDA36">
            <w:pPr>
              <w:spacing w:line="360" w:lineRule="auto"/>
              <w:rPr>
                <w:rFonts w:hint="eastAsia" w:ascii="楷体" w:hAnsi="楷体" w:eastAsia="楷体" w:cs="楷体"/>
                <w:color w:val="auto"/>
                <w:sz w:val="24"/>
                <w:szCs w:val="24"/>
                <w:highlight w:val="none"/>
                <w:lang w:val="en-US" w:eastAsia="zh-CN" w:bidi="ar-SA"/>
              </w:rPr>
            </w:pPr>
            <w:r>
              <w:rPr>
                <w:rFonts w:hint="eastAsia" w:ascii="楷体" w:hAnsi="楷体" w:eastAsia="楷体" w:cs="楷体"/>
                <w:color w:val="auto"/>
                <w:sz w:val="24"/>
                <w:szCs w:val="24"/>
                <w:highlight w:val="none"/>
                <w:lang w:val="en-US" w:eastAsia="zh-CN" w:bidi="ar-SA"/>
              </w:rPr>
              <w:t>2.本项目采购标的所属行业为</w:t>
            </w:r>
            <w:r>
              <w:rPr>
                <w:rFonts w:hint="eastAsia" w:ascii="楷体" w:hAnsi="楷体" w:eastAsia="楷体" w:cs="楷体"/>
                <w:b/>
                <w:bCs/>
                <w:color w:val="auto"/>
                <w:sz w:val="24"/>
                <w:szCs w:val="24"/>
                <w:highlight w:val="none"/>
                <w:lang w:val="en-US" w:eastAsia="zh-CN" w:bidi="ar-SA"/>
              </w:rPr>
              <w:t>其它未列明行业</w:t>
            </w:r>
            <w:r>
              <w:rPr>
                <w:rFonts w:hint="eastAsia" w:ascii="楷体" w:hAnsi="楷体" w:eastAsia="楷体" w:cs="楷体"/>
                <w:color w:val="auto"/>
                <w:sz w:val="24"/>
                <w:szCs w:val="24"/>
                <w:highlight w:val="none"/>
                <w:lang w:val="en-US" w:eastAsia="zh-CN" w:bidi="ar-SA"/>
              </w:rPr>
              <w:t>。</w:t>
            </w:r>
          </w:p>
          <w:p w14:paraId="6EF3D288">
            <w:pPr>
              <w:spacing w:line="360" w:lineRule="auto"/>
              <w:rPr>
                <w:rFonts w:hint="eastAsia" w:ascii="楷体" w:hAnsi="楷体" w:eastAsia="楷体" w:cs="楷体"/>
                <w:highlight w:val="none"/>
              </w:rPr>
            </w:pPr>
            <w:r>
              <w:rPr>
                <w:rFonts w:hint="eastAsia" w:ascii="楷体" w:hAnsi="楷体" w:eastAsia="楷体" w:cs="楷体"/>
                <w:color w:val="auto"/>
                <w:sz w:val="24"/>
                <w:szCs w:val="24"/>
                <w:highlight w:val="none"/>
                <w:lang w:val="en-US" w:eastAsia="zh-CN" w:bidi="ar-SA"/>
              </w:rPr>
              <w:t>3.</w:t>
            </w:r>
            <w:r>
              <w:rPr>
                <w:rFonts w:hint="eastAsia" w:ascii="楷体" w:hAnsi="楷体" w:eastAsia="楷体" w:cs="楷体"/>
                <w:highlight w:val="none"/>
              </w:rPr>
              <w:t>事业单位参与投标时，可不提供财务状况报告、社会保障资金和税收缴纳证明；依法免税或不需要缴纳社会保障资金的投标人，应提供相应证明文件，证明其依法免税或不需要缴纳社会保障资金；自然人（仅限中国公民）参与投标时，只须提供身份证复印件。</w:t>
            </w:r>
          </w:p>
          <w:p w14:paraId="0A7888F1">
            <w:pPr>
              <w:spacing w:line="360" w:lineRule="auto"/>
              <w:rPr>
                <w:rFonts w:hint="default" w:ascii="楷体" w:hAnsi="楷体" w:eastAsia="楷体" w:cs="楷体"/>
                <w:highlight w:val="none"/>
                <w:lang w:val="en-US" w:eastAsia="zh-CN"/>
              </w:rPr>
            </w:pPr>
            <w:r>
              <w:rPr>
                <w:rFonts w:hint="eastAsia" w:ascii="楷体" w:hAnsi="楷体" w:eastAsia="楷体" w:cs="楷体"/>
                <w:b/>
                <w:bCs/>
                <w:highlight w:val="none"/>
                <w:lang w:val="en-US" w:eastAsia="zh-CN"/>
              </w:rPr>
              <w:t>4.根据本项目监管机构出具的审批手续资料，本次招标每采购包符合实质性磋商响应条件的供应商最终为2家时，磋商评审继续进行并推荐第一、第二成交候选人；每采购包符合实质性磋商响应条件的供应商最终为1家时，变更为单一来源采购方式。</w:t>
            </w:r>
          </w:p>
        </w:tc>
      </w:tr>
    </w:tbl>
    <w:p w14:paraId="0BDAB3D7">
      <w:pPr>
        <w:spacing w:line="360" w:lineRule="auto"/>
        <w:jc w:val="center"/>
        <w:rPr>
          <w:rFonts w:hint="eastAsia" w:ascii="楷体" w:hAnsi="楷体" w:eastAsia="楷体" w:cs="楷体"/>
          <w:color w:val="auto"/>
          <w:sz w:val="32"/>
          <w:szCs w:val="32"/>
          <w:highlight w:val="none"/>
        </w:rPr>
      </w:pPr>
      <w:bookmarkStart w:id="41" w:name="_Toc403077639"/>
      <w:bookmarkStart w:id="42" w:name="_Toc363473972"/>
      <w:bookmarkStart w:id="43" w:name="_Toc363474017"/>
      <w:bookmarkStart w:id="44" w:name="_Toc25783"/>
      <w:bookmarkStart w:id="45" w:name="_Toc403077645"/>
      <w:bookmarkStart w:id="46" w:name="_Toc363474023"/>
      <w:r>
        <w:rPr>
          <w:rFonts w:hint="eastAsia" w:ascii="楷体" w:hAnsi="楷体" w:eastAsia="楷体" w:cs="楷体"/>
          <w:b/>
          <w:color w:val="auto"/>
          <w:sz w:val="32"/>
          <w:szCs w:val="32"/>
          <w:highlight w:val="none"/>
        </w:rPr>
        <w:br w:type="page"/>
      </w:r>
      <w:r>
        <w:rPr>
          <w:rFonts w:hint="eastAsia" w:ascii="楷体" w:hAnsi="楷体" w:eastAsia="楷体" w:cs="楷体"/>
          <w:b/>
          <w:color w:val="auto"/>
          <w:sz w:val="32"/>
          <w:szCs w:val="32"/>
          <w:highlight w:val="none"/>
        </w:rPr>
        <w:t>一.总  则</w:t>
      </w:r>
      <w:bookmarkEnd w:id="41"/>
      <w:bookmarkEnd w:id="42"/>
      <w:bookmarkEnd w:id="43"/>
    </w:p>
    <w:p w14:paraId="5E59F89E">
      <w:pPr>
        <w:spacing w:line="360" w:lineRule="auto"/>
        <w:rPr>
          <w:rFonts w:hint="eastAsia" w:ascii="楷体" w:hAnsi="楷体" w:eastAsia="楷体" w:cs="楷体"/>
          <w:b/>
          <w:color w:val="auto"/>
          <w:szCs w:val="24"/>
          <w:highlight w:val="none"/>
        </w:rPr>
      </w:pPr>
      <w:r>
        <w:rPr>
          <w:rFonts w:hint="eastAsia" w:ascii="楷体" w:hAnsi="楷体" w:eastAsia="楷体" w:cs="楷体"/>
          <w:b/>
          <w:color w:val="auto"/>
          <w:szCs w:val="24"/>
          <w:highlight w:val="none"/>
        </w:rPr>
        <w:t>1.资金来源</w:t>
      </w:r>
    </w:p>
    <w:p w14:paraId="6C083CC8">
      <w:pPr>
        <w:spacing w:line="360" w:lineRule="auto"/>
        <w:ind w:firstLine="480" w:firstLineChars="200"/>
        <w:rPr>
          <w:rFonts w:hint="eastAsia" w:ascii="楷体" w:hAnsi="楷体" w:eastAsia="楷体" w:cs="楷体"/>
          <w:color w:val="auto"/>
          <w:szCs w:val="24"/>
          <w:highlight w:val="none"/>
        </w:rPr>
      </w:pPr>
      <w:r>
        <w:rPr>
          <w:rFonts w:hint="eastAsia" w:ascii="楷体" w:hAnsi="楷体" w:eastAsia="楷体" w:cs="楷体"/>
          <w:color w:val="auto"/>
          <w:szCs w:val="24"/>
          <w:highlight w:val="none"/>
        </w:rPr>
        <w:t>1.1本次磋商所签合同使用财政</w:t>
      </w:r>
      <w:r>
        <w:rPr>
          <w:rFonts w:hint="eastAsia" w:ascii="楷体" w:hAnsi="楷体" w:eastAsia="楷体" w:cs="楷体"/>
          <w:color w:val="auto"/>
          <w:szCs w:val="24"/>
          <w:highlight w:val="none"/>
          <w:lang w:val="en-US" w:eastAsia="zh-CN"/>
        </w:rPr>
        <w:t>资金</w:t>
      </w:r>
      <w:r>
        <w:rPr>
          <w:rFonts w:hint="eastAsia" w:ascii="楷体" w:hAnsi="楷体" w:eastAsia="楷体" w:cs="楷体"/>
          <w:color w:val="auto"/>
          <w:szCs w:val="24"/>
          <w:highlight w:val="none"/>
        </w:rPr>
        <w:t>支付，资金已落实到位。</w:t>
      </w:r>
    </w:p>
    <w:p w14:paraId="1029FF11">
      <w:pPr>
        <w:spacing w:line="360" w:lineRule="auto"/>
        <w:rPr>
          <w:rFonts w:hint="eastAsia" w:ascii="楷体" w:hAnsi="楷体" w:eastAsia="楷体" w:cs="楷体"/>
          <w:b/>
          <w:color w:val="auto"/>
          <w:szCs w:val="24"/>
          <w:highlight w:val="none"/>
        </w:rPr>
      </w:pPr>
      <w:r>
        <w:rPr>
          <w:rFonts w:hint="eastAsia" w:ascii="楷体" w:hAnsi="楷体" w:eastAsia="楷体" w:cs="楷体"/>
          <w:b/>
          <w:color w:val="auto"/>
          <w:szCs w:val="24"/>
          <w:highlight w:val="none"/>
        </w:rPr>
        <w:t>2.</w:t>
      </w:r>
      <w:r>
        <w:rPr>
          <w:rFonts w:hint="eastAsia" w:ascii="楷体" w:hAnsi="楷体" w:eastAsia="楷体" w:cs="楷体"/>
          <w:b/>
          <w:color w:val="auto"/>
          <w:szCs w:val="24"/>
          <w:highlight w:val="none"/>
          <w:lang w:eastAsia="zh-CN"/>
        </w:rPr>
        <w:t>采购代理机构</w:t>
      </w:r>
      <w:r>
        <w:rPr>
          <w:rFonts w:hint="eastAsia" w:ascii="楷体" w:hAnsi="楷体" w:eastAsia="楷体" w:cs="楷体"/>
          <w:b/>
          <w:color w:val="auto"/>
          <w:szCs w:val="24"/>
          <w:highlight w:val="none"/>
        </w:rPr>
        <w:t>及合格的供应商</w:t>
      </w:r>
    </w:p>
    <w:p w14:paraId="5A483B91">
      <w:pPr>
        <w:spacing w:line="360" w:lineRule="auto"/>
        <w:ind w:firstLine="480" w:firstLineChars="200"/>
        <w:rPr>
          <w:rFonts w:hint="eastAsia" w:ascii="楷体" w:hAnsi="楷体" w:eastAsia="楷体" w:cs="楷体"/>
          <w:color w:val="auto"/>
          <w:szCs w:val="24"/>
          <w:highlight w:val="none"/>
          <w:lang w:eastAsia="zh-CN"/>
        </w:rPr>
      </w:pPr>
      <w:r>
        <w:rPr>
          <w:rFonts w:hint="eastAsia" w:ascii="楷体" w:hAnsi="楷体" w:eastAsia="楷体" w:cs="楷体"/>
          <w:color w:val="auto"/>
          <w:szCs w:val="24"/>
          <w:highlight w:val="none"/>
        </w:rPr>
        <w:t>2.1</w:t>
      </w:r>
      <w:r>
        <w:rPr>
          <w:rFonts w:hint="eastAsia" w:ascii="楷体" w:hAnsi="楷体" w:eastAsia="楷体" w:cs="楷体"/>
          <w:color w:val="auto"/>
          <w:szCs w:val="24"/>
          <w:highlight w:val="none"/>
          <w:lang w:eastAsia="zh-CN"/>
        </w:rPr>
        <w:t>采购代理机构</w:t>
      </w:r>
    </w:p>
    <w:p w14:paraId="57F999AF">
      <w:pPr>
        <w:spacing w:line="360" w:lineRule="auto"/>
        <w:ind w:firstLine="480" w:firstLineChars="200"/>
        <w:rPr>
          <w:rFonts w:hint="eastAsia" w:ascii="楷体" w:hAnsi="楷体" w:eastAsia="楷体" w:cs="楷体"/>
          <w:color w:val="auto"/>
          <w:szCs w:val="24"/>
          <w:highlight w:val="none"/>
        </w:rPr>
      </w:pPr>
      <w:r>
        <w:rPr>
          <w:rFonts w:hint="eastAsia" w:ascii="楷体" w:hAnsi="楷体" w:eastAsia="楷体" w:cs="楷体"/>
          <w:color w:val="auto"/>
          <w:szCs w:val="24"/>
          <w:highlight w:val="none"/>
        </w:rPr>
        <w:t>实施本次招标的</w:t>
      </w:r>
      <w:r>
        <w:rPr>
          <w:rFonts w:hint="eastAsia" w:ascii="楷体" w:hAnsi="楷体" w:eastAsia="楷体" w:cs="楷体"/>
          <w:color w:val="auto"/>
          <w:szCs w:val="24"/>
          <w:highlight w:val="none"/>
          <w:lang w:eastAsia="zh-CN"/>
        </w:rPr>
        <w:t>采购代理机构</w:t>
      </w:r>
      <w:r>
        <w:rPr>
          <w:rFonts w:hint="eastAsia" w:ascii="楷体" w:hAnsi="楷体" w:eastAsia="楷体" w:cs="楷体"/>
          <w:color w:val="auto"/>
          <w:szCs w:val="24"/>
          <w:highlight w:val="none"/>
        </w:rPr>
        <w:t>为</w:t>
      </w:r>
      <w:r>
        <w:rPr>
          <w:rFonts w:hint="eastAsia" w:ascii="楷体" w:hAnsi="楷体" w:eastAsia="楷体" w:cs="楷体"/>
          <w:color w:val="auto"/>
          <w:szCs w:val="24"/>
          <w:highlight w:val="none"/>
          <w:lang w:eastAsia="zh-CN"/>
        </w:rPr>
        <w:t>陕西正翼项目管理咨询有限公司</w:t>
      </w:r>
      <w:r>
        <w:rPr>
          <w:rFonts w:hint="eastAsia" w:ascii="楷体" w:hAnsi="楷体" w:eastAsia="楷体" w:cs="楷体"/>
          <w:color w:val="auto"/>
          <w:szCs w:val="24"/>
          <w:highlight w:val="none"/>
        </w:rPr>
        <w:t>。</w:t>
      </w:r>
    </w:p>
    <w:p w14:paraId="08325E7F">
      <w:pPr>
        <w:spacing w:line="360" w:lineRule="auto"/>
        <w:ind w:firstLine="480" w:firstLineChars="200"/>
        <w:rPr>
          <w:rFonts w:hint="eastAsia" w:ascii="楷体" w:hAnsi="楷体" w:eastAsia="楷体" w:cs="楷体"/>
          <w:color w:val="auto"/>
          <w:szCs w:val="24"/>
          <w:highlight w:val="none"/>
        </w:rPr>
      </w:pPr>
      <w:r>
        <w:rPr>
          <w:rFonts w:hint="eastAsia" w:ascii="楷体" w:hAnsi="楷体" w:eastAsia="楷体" w:cs="楷体"/>
          <w:color w:val="auto"/>
          <w:szCs w:val="24"/>
          <w:highlight w:val="none"/>
        </w:rPr>
        <w:t>2.2合格的供应商：</w:t>
      </w:r>
    </w:p>
    <w:p w14:paraId="1B9A257A">
      <w:pPr>
        <w:spacing w:line="360" w:lineRule="auto"/>
        <w:ind w:firstLine="480" w:firstLineChars="200"/>
        <w:rPr>
          <w:rFonts w:hint="eastAsia" w:ascii="楷体" w:hAnsi="楷体" w:eastAsia="楷体" w:cs="楷体"/>
          <w:color w:val="auto"/>
          <w:szCs w:val="24"/>
          <w:highlight w:val="none"/>
        </w:rPr>
      </w:pPr>
      <w:r>
        <w:rPr>
          <w:rFonts w:hint="eastAsia" w:ascii="楷体" w:hAnsi="楷体" w:eastAsia="楷体" w:cs="楷体"/>
          <w:color w:val="auto"/>
          <w:szCs w:val="24"/>
          <w:highlight w:val="none"/>
        </w:rPr>
        <w:t>2.2.1供应商应具备的资格条件：见供应商须知前附表。</w:t>
      </w:r>
    </w:p>
    <w:p w14:paraId="135F3661">
      <w:pPr>
        <w:spacing w:line="360" w:lineRule="auto"/>
        <w:ind w:firstLine="480" w:firstLineChars="200"/>
        <w:rPr>
          <w:rFonts w:hint="eastAsia" w:ascii="楷体" w:hAnsi="楷体" w:eastAsia="楷体" w:cs="楷体"/>
          <w:color w:val="auto"/>
          <w:szCs w:val="24"/>
          <w:highlight w:val="none"/>
        </w:rPr>
      </w:pPr>
      <w:r>
        <w:rPr>
          <w:rFonts w:hint="eastAsia" w:ascii="楷体" w:hAnsi="楷体" w:eastAsia="楷体" w:cs="楷体"/>
          <w:color w:val="auto"/>
          <w:szCs w:val="24"/>
          <w:highlight w:val="none"/>
        </w:rPr>
        <w:t>2.2.2供应商不得存在下列情形之一：</w:t>
      </w:r>
    </w:p>
    <w:p w14:paraId="5E974680">
      <w:pPr>
        <w:spacing w:line="360" w:lineRule="auto"/>
        <w:ind w:firstLine="480" w:firstLineChars="200"/>
        <w:rPr>
          <w:rFonts w:hint="eastAsia" w:ascii="楷体" w:hAnsi="楷体" w:eastAsia="楷体" w:cs="楷体"/>
          <w:color w:val="auto"/>
          <w:szCs w:val="24"/>
          <w:highlight w:val="none"/>
        </w:rPr>
      </w:pPr>
      <w:r>
        <w:rPr>
          <w:rFonts w:hint="eastAsia" w:ascii="楷体" w:hAnsi="楷体" w:eastAsia="楷体" w:cs="楷体"/>
          <w:color w:val="auto"/>
          <w:szCs w:val="24"/>
          <w:highlight w:val="none"/>
        </w:rPr>
        <w:t xml:space="preserve">2.2.2.1为采购人不具有独立法人资格的附属机构（单位）； </w:t>
      </w:r>
    </w:p>
    <w:p w14:paraId="06D1B262">
      <w:pPr>
        <w:spacing w:line="360" w:lineRule="auto"/>
        <w:ind w:firstLine="480" w:firstLineChars="200"/>
        <w:rPr>
          <w:rFonts w:hint="eastAsia" w:ascii="楷体" w:hAnsi="楷体" w:eastAsia="楷体" w:cs="楷体"/>
          <w:color w:val="auto"/>
          <w:szCs w:val="24"/>
          <w:highlight w:val="none"/>
        </w:rPr>
      </w:pPr>
      <w:r>
        <w:rPr>
          <w:rFonts w:hint="eastAsia" w:ascii="楷体" w:hAnsi="楷体" w:eastAsia="楷体" w:cs="楷体"/>
          <w:color w:val="auto"/>
          <w:szCs w:val="24"/>
          <w:highlight w:val="none"/>
        </w:rPr>
        <w:t>2.2.2.2为本项目前期准备提供设计或咨询服务的；</w:t>
      </w:r>
    </w:p>
    <w:p w14:paraId="70A06974">
      <w:pPr>
        <w:spacing w:line="360" w:lineRule="auto"/>
        <w:ind w:firstLine="480" w:firstLineChars="200"/>
        <w:rPr>
          <w:rFonts w:hint="eastAsia" w:ascii="楷体" w:hAnsi="楷体" w:eastAsia="楷体" w:cs="楷体"/>
          <w:color w:val="auto"/>
          <w:szCs w:val="24"/>
          <w:highlight w:val="none"/>
        </w:rPr>
      </w:pPr>
      <w:r>
        <w:rPr>
          <w:rFonts w:hint="eastAsia" w:ascii="楷体" w:hAnsi="楷体" w:eastAsia="楷体" w:cs="楷体"/>
          <w:color w:val="auto"/>
          <w:szCs w:val="24"/>
          <w:highlight w:val="none"/>
        </w:rPr>
        <w:t>2.2.2.3与本项目采购代理机构同为一个法定代表人的；</w:t>
      </w:r>
    </w:p>
    <w:p w14:paraId="258C73D8">
      <w:pPr>
        <w:spacing w:line="360" w:lineRule="auto"/>
        <w:ind w:firstLine="480" w:firstLineChars="200"/>
        <w:rPr>
          <w:rFonts w:hint="eastAsia" w:ascii="楷体" w:hAnsi="楷体" w:eastAsia="楷体" w:cs="楷体"/>
          <w:color w:val="auto"/>
          <w:szCs w:val="24"/>
          <w:highlight w:val="none"/>
        </w:rPr>
      </w:pPr>
      <w:r>
        <w:rPr>
          <w:rFonts w:hint="eastAsia" w:ascii="楷体" w:hAnsi="楷体" w:eastAsia="楷体" w:cs="楷体"/>
          <w:color w:val="auto"/>
          <w:szCs w:val="24"/>
          <w:highlight w:val="none"/>
        </w:rPr>
        <w:t>2.2.2.4被责令停业的；</w:t>
      </w:r>
    </w:p>
    <w:p w14:paraId="52B67AA9">
      <w:pPr>
        <w:spacing w:line="360" w:lineRule="auto"/>
        <w:ind w:firstLine="480" w:firstLineChars="200"/>
        <w:rPr>
          <w:rFonts w:hint="eastAsia" w:ascii="楷体" w:hAnsi="楷体" w:eastAsia="楷体" w:cs="楷体"/>
          <w:color w:val="auto"/>
          <w:szCs w:val="24"/>
          <w:highlight w:val="none"/>
        </w:rPr>
      </w:pPr>
      <w:r>
        <w:rPr>
          <w:rFonts w:hint="eastAsia" w:ascii="楷体" w:hAnsi="楷体" w:eastAsia="楷体" w:cs="楷体"/>
          <w:color w:val="auto"/>
          <w:szCs w:val="24"/>
          <w:highlight w:val="none"/>
        </w:rPr>
        <w:t>2.2.2.5被暂停或取消磋商资格的；</w:t>
      </w:r>
    </w:p>
    <w:p w14:paraId="11F89499">
      <w:pPr>
        <w:spacing w:line="360" w:lineRule="auto"/>
        <w:ind w:firstLine="480" w:firstLineChars="200"/>
        <w:rPr>
          <w:rFonts w:hint="eastAsia" w:ascii="楷体" w:hAnsi="楷体" w:eastAsia="楷体" w:cs="楷体"/>
          <w:color w:val="auto"/>
          <w:szCs w:val="24"/>
          <w:highlight w:val="none"/>
        </w:rPr>
      </w:pPr>
      <w:r>
        <w:rPr>
          <w:rFonts w:hint="eastAsia" w:ascii="楷体" w:hAnsi="楷体" w:eastAsia="楷体" w:cs="楷体"/>
          <w:color w:val="auto"/>
          <w:szCs w:val="24"/>
          <w:highlight w:val="none"/>
        </w:rPr>
        <w:t>2.2.2.6财产被接管或冻结的；</w:t>
      </w:r>
    </w:p>
    <w:p w14:paraId="1A68945B">
      <w:pPr>
        <w:spacing w:line="360" w:lineRule="auto"/>
        <w:ind w:firstLine="480" w:firstLineChars="200"/>
        <w:rPr>
          <w:rFonts w:hint="eastAsia" w:ascii="楷体" w:hAnsi="楷体" w:eastAsia="楷体" w:cs="楷体"/>
          <w:color w:val="auto"/>
          <w:szCs w:val="24"/>
          <w:highlight w:val="none"/>
        </w:rPr>
      </w:pPr>
      <w:r>
        <w:rPr>
          <w:rFonts w:hint="eastAsia" w:ascii="楷体" w:hAnsi="楷体" w:eastAsia="楷体" w:cs="楷体"/>
          <w:color w:val="auto"/>
          <w:szCs w:val="24"/>
          <w:highlight w:val="none"/>
        </w:rPr>
        <w:t>2.2.2.7在最近三年内有骗取中标或严重违约或重大质量问题的；</w:t>
      </w:r>
    </w:p>
    <w:p w14:paraId="66644D1E">
      <w:pPr>
        <w:spacing w:line="360" w:lineRule="auto"/>
        <w:ind w:firstLine="480" w:firstLineChars="200"/>
        <w:rPr>
          <w:rFonts w:hint="eastAsia" w:ascii="楷体" w:hAnsi="楷体" w:eastAsia="楷体" w:cs="楷体"/>
          <w:color w:val="auto"/>
          <w:szCs w:val="24"/>
          <w:highlight w:val="none"/>
        </w:rPr>
      </w:pPr>
      <w:r>
        <w:rPr>
          <w:rFonts w:hint="eastAsia" w:ascii="楷体" w:hAnsi="楷体" w:eastAsia="楷体" w:cs="楷体"/>
          <w:color w:val="auto"/>
          <w:szCs w:val="24"/>
          <w:highlight w:val="none"/>
        </w:rPr>
        <w:t>2.2.2.8与采购人存在利害关系可能影响招标公正性的法人、其他组织或者个人；</w:t>
      </w:r>
    </w:p>
    <w:p w14:paraId="002CBBFE">
      <w:pPr>
        <w:spacing w:line="360" w:lineRule="auto"/>
        <w:ind w:firstLine="480" w:firstLineChars="200"/>
        <w:rPr>
          <w:rFonts w:hint="eastAsia" w:ascii="楷体" w:hAnsi="楷体" w:eastAsia="楷体" w:cs="楷体"/>
          <w:color w:val="auto"/>
          <w:szCs w:val="24"/>
          <w:highlight w:val="none"/>
        </w:rPr>
      </w:pPr>
      <w:r>
        <w:rPr>
          <w:rFonts w:hint="eastAsia" w:ascii="楷体" w:hAnsi="楷体" w:eastAsia="楷体" w:cs="楷体"/>
          <w:color w:val="auto"/>
          <w:szCs w:val="24"/>
          <w:highlight w:val="none"/>
        </w:rPr>
        <w:t>2.2.2.9单位负责人为同一人或者存在控股、管理关系的不同单位，不得参加同一项目磋商或者未划分标段的同一磋商项目磋商。</w:t>
      </w:r>
    </w:p>
    <w:p w14:paraId="6116568C">
      <w:pPr>
        <w:spacing w:line="360" w:lineRule="auto"/>
        <w:ind w:firstLine="480" w:firstLineChars="200"/>
        <w:rPr>
          <w:rFonts w:hint="eastAsia" w:ascii="楷体" w:hAnsi="楷体" w:eastAsia="楷体" w:cs="楷体"/>
          <w:color w:val="auto"/>
          <w:szCs w:val="24"/>
          <w:highlight w:val="none"/>
        </w:rPr>
      </w:pPr>
      <w:r>
        <w:rPr>
          <w:rFonts w:hint="eastAsia" w:ascii="楷体" w:hAnsi="楷体" w:eastAsia="楷体" w:cs="楷体"/>
          <w:color w:val="auto"/>
          <w:szCs w:val="24"/>
          <w:highlight w:val="none"/>
        </w:rPr>
        <w:t>2.2.2.10受到刑事处罚，或者受到责令停产停业、在三年内禁止参加政府采购活动、暂扣或者吊销许可证、暂扣或者吊销执照等情形之一的行政处罚，或者存在财政部门认定的其他重大违法记录；</w:t>
      </w:r>
    </w:p>
    <w:p w14:paraId="19220348">
      <w:pPr>
        <w:spacing w:line="360" w:lineRule="auto"/>
        <w:ind w:firstLine="480" w:firstLineChars="200"/>
        <w:rPr>
          <w:rFonts w:hint="eastAsia" w:ascii="楷体" w:hAnsi="楷体" w:eastAsia="楷体" w:cs="楷体"/>
          <w:color w:val="auto"/>
          <w:szCs w:val="24"/>
          <w:highlight w:val="none"/>
        </w:rPr>
      </w:pPr>
      <w:r>
        <w:rPr>
          <w:rFonts w:hint="eastAsia" w:ascii="楷体" w:hAnsi="楷体" w:eastAsia="楷体" w:cs="楷体"/>
          <w:color w:val="auto"/>
          <w:szCs w:val="24"/>
          <w:highlight w:val="none"/>
        </w:rPr>
        <w:t>2.2.2.11两家以上的供应商不得在同一合同项下的采购项目中，同时委托同一个自然人、同一家庭的人员、同一单位的人员作为其代理人，否则，其磋商响应文件作为无效处理；</w:t>
      </w:r>
    </w:p>
    <w:p w14:paraId="7CFBFBE5">
      <w:pPr>
        <w:spacing w:line="360" w:lineRule="auto"/>
        <w:ind w:firstLine="480" w:firstLineChars="200"/>
        <w:rPr>
          <w:rFonts w:hint="eastAsia" w:ascii="楷体" w:hAnsi="楷体" w:eastAsia="楷体" w:cs="楷体"/>
          <w:color w:val="auto"/>
          <w:szCs w:val="24"/>
          <w:highlight w:val="none"/>
        </w:rPr>
      </w:pPr>
      <w:r>
        <w:rPr>
          <w:rFonts w:hint="eastAsia" w:ascii="楷体" w:hAnsi="楷体" w:eastAsia="楷体" w:cs="楷体"/>
          <w:color w:val="auto"/>
          <w:szCs w:val="24"/>
          <w:highlight w:val="none"/>
        </w:rPr>
        <w:t>2.2.2.12法律法规及相关行政规范性文件规定的其他情形。</w:t>
      </w:r>
    </w:p>
    <w:p w14:paraId="1F38B71D">
      <w:pPr>
        <w:spacing w:line="360" w:lineRule="auto"/>
        <w:ind w:firstLine="480" w:firstLineChars="200"/>
        <w:rPr>
          <w:rFonts w:hint="eastAsia" w:ascii="楷体" w:hAnsi="楷体" w:eastAsia="楷体" w:cs="楷体"/>
          <w:color w:val="auto"/>
          <w:szCs w:val="24"/>
          <w:highlight w:val="none"/>
        </w:rPr>
      </w:pPr>
      <w:r>
        <w:rPr>
          <w:rFonts w:hint="eastAsia" w:ascii="楷体" w:hAnsi="楷体" w:eastAsia="楷体" w:cs="楷体"/>
          <w:color w:val="auto"/>
          <w:szCs w:val="24"/>
          <w:highlight w:val="none"/>
        </w:rPr>
        <w:t>2.2.3关联企业磋商限制</w:t>
      </w:r>
    </w:p>
    <w:p w14:paraId="5A17FB4E">
      <w:pPr>
        <w:spacing w:line="360" w:lineRule="auto"/>
        <w:ind w:firstLine="480" w:firstLineChars="200"/>
        <w:rPr>
          <w:rFonts w:hint="eastAsia" w:ascii="楷体" w:hAnsi="楷体" w:eastAsia="楷体" w:cs="楷体"/>
          <w:color w:val="auto"/>
          <w:szCs w:val="24"/>
          <w:highlight w:val="none"/>
        </w:rPr>
      </w:pPr>
      <w:r>
        <w:rPr>
          <w:rFonts w:hint="eastAsia" w:ascii="楷体" w:hAnsi="楷体" w:eastAsia="楷体" w:cs="楷体"/>
          <w:color w:val="auto"/>
          <w:szCs w:val="24"/>
          <w:highlight w:val="none"/>
        </w:rPr>
        <w:t>2.2.3.1本磋商文件所称关联企业,是指存在关联关系的企业。</w:t>
      </w:r>
    </w:p>
    <w:p w14:paraId="302918A0">
      <w:pPr>
        <w:spacing w:line="360" w:lineRule="auto"/>
        <w:ind w:firstLine="480" w:firstLineChars="200"/>
        <w:rPr>
          <w:rFonts w:hint="eastAsia" w:ascii="楷体" w:hAnsi="楷体" w:eastAsia="楷体" w:cs="楷体"/>
          <w:color w:val="auto"/>
          <w:szCs w:val="24"/>
          <w:highlight w:val="none"/>
        </w:rPr>
      </w:pPr>
      <w:r>
        <w:rPr>
          <w:rFonts w:hint="eastAsia" w:ascii="楷体" w:hAnsi="楷体" w:eastAsia="楷体" w:cs="楷体"/>
          <w:color w:val="auto"/>
          <w:szCs w:val="24"/>
          <w:highlight w:val="none"/>
        </w:rPr>
        <w:t>2.2.3.2关联企业中，同一个法定代表人的两个及两个以上法人，母公司、全资子公司及其控股公司，都不得参加同一采购项目磋商。一经发现，将导致磋商同时被拒绝。</w:t>
      </w:r>
    </w:p>
    <w:p w14:paraId="7C49337A">
      <w:pPr>
        <w:spacing w:line="360" w:lineRule="auto"/>
        <w:ind w:firstLine="480" w:firstLineChars="200"/>
        <w:rPr>
          <w:rFonts w:hint="eastAsia" w:ascii="楷体" w:hAnsi="楷体" w:eastAsia="楷体" w:cs="楷体"/>
          <w:color w:val="auto"/>
          <w:szCs w:val="24"/>
          <w:highlight w:val="none"/>
        </w:rPr>
      </w:pPr>
      <w:r>
        <w:rPr>
          <w:rFonts w:hint="eastAsia" w:ascii="楷体" w:hAnsi="楷体" w:eastAsia="楷体" w:cs="楷体"/>
          <w:color w:val="auto"/>
          <w:szCs w:val="24"/>
          <w:highlight w:val="none"/>
        </w:rPr>
        <w:t>2.2.4关系企业磋商限制</w:t>
      </w:r>
    </w:p>
    <w:p w14:paraId="61334C2C">
      <w:pPr>
        <w:spacing w:line="360" w:lineRule="auto"/>
        <w:ind w:firstLine="480" w:firstLineChars="200"/>
        <w:rPr>
          <w:rFonts w:hint="eastAsia" w:ascii="楷体" w:hAnsi="楷体" w:eastAsia="楷体" w:cs="楷体"/>
          <w:color w:val="auto"/>
          <w:szCs w:val="24"/>
          <w:highlight w:val="none"/>
        </w:rPr>
      </w:pPr>
      <w:r>
        <w:rPr>
          <w:rFonts w:hint="eastAsia" w:ascii="楷体" w:hAnsi="楷体" w:eastAsia="楷体" w:cs="楷体"/>
          <w:color w:val="auto"/>
          <w:szCs w:val="24"/>
          <w:highlight w:val="none"/>
        </w:rPr>
        <w:t>总公司、分公司不能以不同的供应商身份参加同一采购项目磋商。</w:t>
      </w:r>
    </w:p>
    <w:p w14:paraId="2C402F49">
      <w:pPr>
        <w:spacing w:line="360" w:lineRule="auto"/>
        <w:ind w:firstLine="480" w:firstLineChars="200"/>
        <w:rPr>
          <w:rFonts w:hint="eastAsia" w:ascii="楷体" w:hAnsi="楷体" w:eastAsia="楷体" w:cs="楷体"/>
          <w:color w:val="auto"/>
          <w:szCs w:val="24"/>
          <w:highlight w:val="none"/>
        </w:rPr>
      </w:pPr>
      <w:r>
        <w:rPr>
          <w:rFonts w:hint="eastAsia" w:ascii="楷体" w:hAnsi="楷体" w:eastAsia="楷体" w:cs="楷体"/>
          <w:color w:val="auto"/>
          <w:szCs w:val="24"/>
          <w:highlight w:val="none"/>
        </w:rPr>
        <w:t>2.2.5本项目不接受联合体磋商。</w:t>
      </w:r>
    </w:p>
    <w:p w14:paraId="5A074DA0">
      <w:pPr>
        <w:spacing w:line="360" w:lineRule="auto"/>
        <w:ind w:firstLine="480" w:firstLineChars="200"/>
        <w:rPr>
          <w:rFonts w:hint="eastAsia" w:ascii="楷体" w:hAnsi="楷体" w:eastAsia="楷体" w:cs="楷体"/>
          <w:color w:val="auto"/>
          <w:szCs w:val="24"/>
          <w:highlight w:val="none"/>
        </w:rPr>
      </w:pPr>
      <w:r>
        <w:rPr>
          <w:rFonts w:hint="eastAsia" w:ascii="楷体" w:hAnsi="楷体" w:eastAsia="楷体" w:cs="楷体"/>
          <w:color w:val="auto"/>
          <w:szCs w:val="24"/>
          <w:highlight w:val="none"/>
        </w:rPr>
        <w:t>如果在磋商文件中接受联合体磋商（见供应商须知前附表），则两个以上供应商可以组成一个联合体，以一个供应商的身份磋商。以联合体形式参加磋商的，联合体各方均应当符合</w:t>
      </w:r>
      <w:r>
        <w:rPr>
          <w:rFonts w:hint="eastAsia" w:ascii="楷体" w:hAnsi="楷体" w:eastAsia="楷体" w:cs="楷体"/>
          <w:color w:val="auto"/>
          <w:spacing w:val="4"/>
          <w:szCs w:val="24"/>
          <w:highlight w:val="none"/>
        </w:rPr>
        <w:t>中华人民共和国政府采购法</w:t>
      </w:r>
      <w:r>
        <w:rPr>
          <w:rFonts w:hint="eastAsia" w:ascii="楷体" w:hAnsi="楷体" w:eastAsia="楷体" w:cs="楷体"/>
          <w:color w:val="auto"/>
          <w:szCs w:val="24"/>
          <w:highlight w:val="none"/>
        </w:rPr>
        <w:t>第二十二条规定的条件。采购人根据采购项目的特殊要求规定供应商特定条件的，联合体各方中至少应当有一方符合采购人规定的特定条件。</w:t>
      </w:r>
    </w:p>
    <w:p w14:paraId="5CD532C2">
      <w:pPr>
        <w:spacing w:line="360" w:lineRule="auto"/>
        <w:ind w:firstLine="480" w:firstLineChars="200"/>
        <w:rPr>
          <w:rFonts w:hint="eastAsia" w:ascii="楷体" w:hAnsi="楷体" w:eastAsia="楷体" w:cs="楷体"/>
          <w:color w:val="auto"/>
          <w:szCs w:val="24"/>
          <w:highlight w:val="none"/>
        </w:rPr>
      </w:pPr>
      <w:r>
        <w:rPr>
          <w:rFonts w:hint="eastAsia" w:ascii="楷体" w:hAnsi="楷体" w:eastAsia="楷体" w:cs="楷体"/>
          <w:color w:val="auto"/>
          <w:szCs w:val="24"/>
          <w:highlight w:val="none"/>
        </w:rPr>
        <w:t>联合体各方之间应当签订共同磋商协议，明确约定联合体各方承担的工作和相应的责任，并将共同磋商协议连同磋商响应文件一并递交磋商响应文件接收人。联合体各方签订共同磋商协议后，不得再以自己名义单独在同一项目（同一包）中磋商，也不得组成新的联合体参加同一项目（同一包）磋商，否则按无效磋商处理。</w:t>
      </w:r>
    </w:p>
    <w:p w14:paraId="70531E7F">
      <w:pPr>
        <w:spacing w:line="360" w:lineRule="auto"/>
        <w:ind w:firstLine="480" w:firstLineChars="200"/>
        <w:rPr>
          <w:rFonts w:hint="eastAsia" w:ascii="楷体" w:hAnsi="楷体" w:eastAsia="楷体" w:cs="楷体"/>
          <w:color w:val="auto"/>
          <w:szCs w:val="24"/>
          <w:highlight w:val="none"/>
        </w:rPr>
      </w:pPr>
      <w:r>
        <w:rPr>
          <w:rFonts w:hint="eastAsia" w:ascii="楷体" w:hAnsi="楷体" w:eastAsia="楷体" w:cs="楷体"/>
          <w:color w:val="auto"/>
          <w:szCs w:val="24"/>
          <w:highlight w:val="none"/>
        </w:rPr>
        <w:t>2.2.6磋商费用自理。不论磋商的结果如何，供应商均应自行承担所有与参加磋商有关的费用。</w:t>
      </w:r>
    </w:p>
    <w:p w14:paraId="0B7B849D">
      <w:pPr>
        <w:spacing w:line="360" w:lineRule="auto"/>
        <w:rPr>
          <w:rFonts w:hint="eastAsia" w:ascii="楷体" w:hAnsi="楷体" w:eastAsia="楷体" w:cs="楷体"/>
          <w:b/>
          <w:color w:val="auto"/>
          <w:szCs w:val="24"/>
          <w:highlight w:val="none"/>
        </w:rPr>
      </w:pPr>
      <w:r>
        <w:rPr>
          <w:rFonts w:hint="eastAsia" w:ascii="楷体" w:hAnsi="楷体" w:eastAsia="楷体" w:cs="楷体"/>
          <w:b/>
          <w:color w:val="auto"/>
          <w:szCs w:val="24"/>
          <w:highlight w:val="none"/>
        </w:rPr>
        <w:t>3.磋商标的物的合格性和合法性</w:t>
      </w:r>
    </w:p>
    <w:p w14:paraId="78F01539">
      <w:pPr>
        <w:spacing w:line="360" w:lineRule="auto"/>
        <w:ind w:firstLine="480" w:firstLineChars="200"/>
        <w:rPr>
          <w:rFonts w:hint="eastAsia" w:ascii="楷体" w:hAnsi="楷体" w:eastAsia="楷体" w:cs="楷体"/>
          <w:color w:val="auto"/>
          <w:szCs w:val="24"/>
          <w:highlight w:val="none"/>
        </w:rPr>
      </w:pPr>
      <w:r>
        <w:rPr>
          <w:rFonts w:hint="eastAsia" w:ascii="楷体" w:hAnsi="楷体" w:eastAsia="楷体" w:cs="楷体"/>
          <w:color w:val="auto"/>
          <w:szCs w:val="24"/>
          <w:highlight w:val="none"/>
        </w:rPr>
        <w:t>3.1磋商标的物应满足磋商文件的要求并应符合国家法律法规、行业管理部门要求的其他强制性标准。</w:t>
      </w:r>
    </w:p>
    <w:p w14:paraId="2DE3BB47">
      <w:pPr>
        <w:spacing w:line="360" w:lineRule="auto"/>
        <w:rPr>
          <w:rFonts w:hint="eastAsia" w:ascii="楷体" w:hAnsi="楷体" w:eastAsia="楷体" w:cs="楷体"/>
          <w:b/>
          <w:color w:val="auto"/>
          <w:szCs w:val="24"/>
          <w:highlight w:val="none"/>
        </w:rPr>
      </w:pPr>
      <w:r>
        <w:rPr>
          <w:rFonts w:hint="eastAsia" w:ascii="楷体" w:hAnsi="楷体" w:eastAsia="楷体" w:cs="楷体"/>
          <w:b/>
          <w:color w:val="auto"/>
          <w:szCs w:val="24"/>
          <w:highlight w:val="none"/>
        </w:rPr>
        <w:t>4.磋商响应文件内容的真实性</w:t>
      </w:r>
    </w:p>
    <w:p w14:paraId="46BCE95F">
      <w:pPr>
        <w:spacing w:line="360" w:lineRule="auto"/>
        <w:ind w:firstLine="480" w:firstLineChars="200"/>
        <w:rPr>
          <w:rFonts w:hint="eastAsia" w:ascii="楷体" w:hAnsi="楷体" w:eastAsia="楷体" w:cs="楷体"/>
          <w:color w:val="auto"/>
          <w:szCs w:val="24"/>
          <w:highlight w:val="none"/>
        </w:rPr>
      </w:pPr>
      <w:r>
        <w:rPr>
          <w:rFonts w:hint="eastAsia" w:ascii="楷体" w:hAnsi="楷体" w:eastAsia="楷体" w:cs="楷体"/>
          <w:color w:val="auto"/>
          <w:szCs w:val="24"/>
          <w:highlight w:val="none"/>
        </w:rPr>
        <w:t>4.1供应商应保证其磋商响应文件中所提供的所有有关磋商的资料、信息是真实的，并且来源于合法的渠道。因磋商响应文件中所提供的磋商资料、信息不真实或者其来源不合法而导致的所有法律责任，由供应商自行承担。</w:t>
      </w:r>
    </w:p>
    <w:p w14:paraId="02A1C92D">
      <w:pPr>
        <w:spacing w:line="360" w:lineRule="auto"/>
        <w:rPr>
          <w:rFonts w:hint="eastAsia" w:ascii="楷体" w:hAnsi="楷体" w:eastAsia="楷体" w:cs="楷体"/>
          <w:b/>
          <w:color w:val="auto"/>
          <w:szCs w:val="24"/>
          <w:highlight w:val="none"/>
        </w:rPr>
      </w:pPr>
      <w:r>
        <w:rPr>
          <w:rFonts w:hint="eastAsia" w:ascii="楷体" w:hAnsi="楷体" w:eastAsia="楷体" w:cs="楷体"/>
          <w:b/>
          <w:color w:val="auto"/>
          <w:szCs w:val="24"/>
          <w:highlight w:val="none"/>
        </w:rPr>
        <w:t>5.磋商过程的监督和管理</w:t>
      </w:r>
    </w:p>
    <w:p w14:paraId="6F9B602C">
      <w:pPr>
        <w:spacing w:line="360" w:lineRule="auto"/>
        <w:ind w:firstLine="480" w:firstLineChars="200"/>
        <w:rPr>
          <w:rFonts w:hint="eastAsia" w:ascii="楷体" w:hAnsi="楷体" w:eastAsia="楷体" w:cs="楷体"/>
          <w:color w:val="auto"/>
          <w:szCs w:val="24"/>
          <w:highlight w:val="none"/>
        </w:rPr>
      </w:pPr>
      <w:r>
        <w:rPr>
          <w:rFonts w:hint="eastAsia" w:ascii="楷体" w:hAnsi="楷体" w:eastAsia="楷体" w:cs="楷体"/>
          <w:color w:val="auto"/>
          <w:szCs w:val="24"/>
          <w:highlight w:val="none"/>
        </w:rPr>
        <w:t>5.1同级政府采购监督管理部门和有关部门依法履行对磋商过程的监督管理职责。</w:t>
      </w:r>
    </w:p>
    <w:p w14:paraId="6FE10067">
      <w:pPr>
        <w:spacing w:line="360" w:lineRule="auto"/>
        <w:jc w:val="center"/>
        <w:rPr>
          <w:rFonts w:hint="eastAsia" w:ascii="楷体" w:hAnsi="楷体" w:eastAsia="楷体" w:cs="楷体"/>
          <w:b/>
          <w:color w:val="auto"/>
          <w:sz w:val="32"/>
          <w:szCs w:val="32"/>
          <w:highlight w:val="none"/>
        </w:rPr>
      </w:pPr>
      <w:bookmarkStart w:id="47" w:name="_Toc403077640"/>
      <w:bookmarkStart w:id="48" w:name="_Toc363474018"/>
      <w:bookmarkStart w:id="49" w:name="_Toc363473973"/>
      <w:r>
        <w:rPr>
          <w:rFonts w:hint="eastAsia" w:ascii="楷体" w:hAnsi="楷体" w:eastAsia="楷体" w:cs="楷体"/>
          <w:b/>
          <w:color w:val="auto"/>
          <w:sz w:val="32"/>
          <w:szCs w:val="32"/>
          <w:highlight w:val="none"/>
        </w:rPr>
        <w:br w:type="page"/>
      </w:r>
      <w:r>
        <w:rPr>
          <w:rFonts w:hint="eastAsia" w:ascii="楷体" w:hAnsi="楷体" w:eastAsia="楷体" w:cs="楷体"/>
          <w:b/>
          <w:color w:val="auto"/>
          <w:sz w:val="32"/>
          <w:szCs w:val="32"/>
          <w:highlight w:val="none"/>
        </w:rPr>
        <w:t>二.磋商文件</w:t>
      </w:r>
      <w:bookmarkEnd w:id="47"/>
      <w:bookmarkEnd w:id="48"/>
      <w:bookmarkEnd w:id="49"/>
    </w:p>
    <w:p w14:paraId="3E4A05D2">
      <w:pPr>
        <w:spacing w:line="360" w:lineRule="auto"/>
        <w:rPr>
          <w:rFonts w:hint="eastAsia" w:ascii="楷体" w:hAnsi="楷体" w:eastAsia="楷体" w:cs="楷体"/>
          <w:b/>
          <w:color w:val="auto"/>
          <w:szCs w:val="24"/>
          <w:highlight w:val="none"/>
        </w:rPr>
      </w:pPr>
      <w:r>
        <w:rPr>
          <w:rFonts w:hint="eastAsia" w:ascii="楷体" w:hAnsi="楷体" w:eastAsia="楷体" w:cs="楷体"/>
          <w:b/>
          <w:color w:val="auto"/>
          <w:szCs w:val="24"/>
          <w:highlight w:val="none"/>
        </w:rPr>
        <w:t>6.磋商文件构成</w:t>
      </w:r>
    </w:p>
    <w:p w14:paraId="68D44E32">
      <w:pPr>
        <w:spacing w:line="360" w:lineRule="auto"/>
        <w:ind w:firstLine="480" w:firstLineChars="200"/>
        <w:rPr>
          <w:rFonts w:hint="eastAsia" w:ascii="楷体" w:hAnsi="楷体" w:eastAsia="楷体" w:cs="楷体"/>
          <w:color w:val="auto"/>
          <w:szCs w:val="24"/>
          <w:highlight w:val="none"/>
        </w:rPr>
      </w:pPr>
      <w:r>
        <w:rPr>
          <w:rFonts w:hint="eastAsia" w:ascii="楷体" w:hAnsi="楷体" w:eastAsia="楷体" w:cs="楷体"/>
          <w:color w:val="auto"/>
          <w:szCs w:val="24"/>
          <w:highlight w:val="none"/>
        </w:rPr>
        <w:t>6.1磋商文件由磋商文件总目录所列内容组成。</w:t>
      </w:r>
    </w:p>
    <w:p w14:paraId="4B9714DE">
      <w:pPr>
        <w:spacing w:line="360" w:lineRule="auto"/>
        <w:ind w:firstLine="480" w:firstLineChars="200"/>
        <w:rPr>
          <w:rFonts w:hint="eastAsia" w:ascii="楷体" w:hAnsi="楷体" w:eastAsia="楷体" w:cs="楷体"/>
          <w:color w:val="auto"/>
          <w:szCs w:val="24"/>
          <w:highlight w:val="none"/>
        </w:rPr>
      </w:pPr>
      <w:r>
        <w:rPr>
          <w:rFonts w:hint="eastAsia" w:ascii="楷体" w:hAnsi="楷体" w:eastAsia="楷体" w:cs="楷体"/>
          <w:color w:val="auto"/>
          <w:szCs w:val="24"/>
          <w:highlight w:val="none"/>
        </w:rPr>
        <w:t>6.2供应商应认真阅读磋商文件中所有的事项、格式、条款和规范等要求。未按磋商文件要求提供的磋商响应文件和资料可能导致磋商被拒绝。</w:t>
      </w:r>
    </w:p>
    <w:p w14:paraId="18280B8E">
      <w:pPr>
        <w:spacing w:line="360" w:lineRule="auto"/>
        <w:ind w:firstLine="480" w:firstLineChars="200"/>
        <w:rPr>
          <w:rFonts w:hint="eastAsia" w:ascii="楷体" w:hAnsi="楷体" w:eastAsia="楷体" w:cs="楷体"/>
          <w:color w:val="auto"/>
          <w:szCs w:val="24"/>
          <w:highlight w:val="none"/>
        </w:rPr>
      </w:pPr>
      <w:r>
        <w:rPr>
          <w:rFonts w:hint="eastAsia" w:ascii="楷体" w:hAnsi="楷体" w:eastAsia="楷体" w:cs="楷体"/>
          <w:color w:val="auto"/>
          <w:szCs w:val="24"/>
          <w:highlight w:val="none"/>
        </w:rPr>
        <w:t>6.3供应商必须从</w:t>
      </w:r>
      <w:r>
        <w:rPr>
          <w:rFonts w:hint="eastAsia" w:ascii="楷体" w:hAnsi="楷体" w:eastAsia="楷体" w:cs="楷体"/>
          <w:color w:val="auto"/>
          <w:szCs w:val="24"/>
          <w:highlight w:val="none"/>
          <w:lang w:eastAsia="zh-CN"/>
        </w:rPr>
        <w:t>采购</w:t>
      </w:r>
      <w:r>
        <w:rPr>
          <w:rFonts w:hint="eastAsia" w:ascii="楷体" w:hAnsi="楷体" w:eastAsia="楷体" w:cs="楷体"/>
          <w:color w:val="auto"/>
          <w:szCs w:val="24"/>
          <w:highlight w:val="none"/>
        </w:rPr>
        <w:t>代理机构获取磋商文件，供应商自行转让或复制磋商文件视为无效。磋商文件一经售出，一律不退，仅作为本次磋商使用。</w:t>
      </w:r>
    </w:p>
    <w:p w14:paraId="4726AF3F">
      <w:pPr>
        <w:spacing w:line="360" w:lineRule="auto"/>
        <w:ind w:firstLine="480" w:firstLineChars="200"/>
        <w:rPr>
          <w:rFonts w:hint="eastAsia" w:ascii="楷体" w:hAnsi="楷体" w:eastAsia="楷体" w:cs="楷体"/>
          <w:color w:val="auto"/>
          <w:szCs w:val="24"/>
          <w:highlight w:val="none"/>
        </w:rPr>
      </w:pPr>
      <w:r>
        <w:rPr>
          <w:rFonts w:hint="eastAsia" w:ascii="楷体" w:hAnsi="楷体" w:eastAsia="楷体" w:cs="楷体"/>
          <w:color w:val="auto"/>
          <w:szCs w:val="24"/>
          <w:highlight w:val="none"/>
        </w:rPr>
        <w:t>6.4供应商应仔细阅读磋商文件，对磋商文件中有疑义或异议的部分及时函告，否则视为同意磋商文件的一切条款和要求，并承担法律责任。</w:t>
      </w:r>
    </w:p>
    <w:p w14:paraId="235CF894">
      <w:pPr>
        <w:spacing w:line="360" w:lineRule="auto"/>
        <w:ind w:firstLine="480" w:firstLineChars="200"/>
        <w:rPr>
          <w:rFonts w:hint="eastAsia" w:ascii="楷体" w:hAnsi="楷体" w:eastAsia="楷体" w:cs="楷体"/>
          <w:color w:val="auto"/>
          <w:szCs w:val="24"/>
          <w:highlight w:val="none"/>
        </w:rPr>
      </w:pPr>
      <w:r>
        <w:rPr>
          <w:rFonts w:hint="eastAsia" w:ascii="楷体" w:hAnsi="楷体" w:eastAsia="楷体" w:cs="楷体"/>
          <w:color w:val="auto"/>
          <w:szCs w:val="24"/>
          <w:highlight w:val="none"/>
        </w:rPr>
        <w:t>6.5本磋商文件的解释权归</w:t>
      </w:r>
      <w:r>
        <w:rPr>
          <w:rFonts w:hint="eastAsia" w:ascii="楷体" w:hAnsi="楷体" w:eastAsia="楷体" w:cs="楷体"/>
          <w:color w:val="auto"/>
          <w:szCs w:val="24"/>
          <w:highlight w:val="none"/>
          <w:lang w:eastAsia="zh-CN"/>
        </w:rPr>
        <w:t>陕西正翼项目管理咨询有限公司</w:t>
      </w:r>
      <w:r>
        <w:rPr>
          <w:rFonts w:hint="eastAsia" w:ascii="楷体" w:hAnsi="楷体" w:eastAsia="楷体" w:cs="楷体"/>
          <w:color w:val="auto"/>
          <w:szCs w:val="24"/>
          <w:highlight w:val="none"/>
        </w:rPr>
        <w:t>，如发现磋商文件内容与现行法律法规不相符的情况，以现行法律法规为准。</w:t>
      </w:r>
    </w:p>
    <w:p w14:paraId="1A843E80">
      <w:pPr>
        <w:spacing w:line="360" w:lineRule="auto"/>
        <w:rPr>
          <w:rFonts w:hint="eastAsia" w:ascii="楷体" w:hAnsi="楷体" w:eastAsia="楷体" w:cs="楷体"/>
          <w:b/>
          <w:color w:val="auto"/>
          <w:szCs w:val="24"/>
          <w:highlight w:val="none"/>
        </w:rPr>
      </w:pPr>
      <w:r>
        <w:rPr>
          <w:rFonts w:hint="eastAsia" w:ascii="楷体" w:hAnsi="楷体" w:eastAsia="楷体" w:cs="楷体"/>
          <w:b/>
          <w:color w:val="auto"/>
          <w:szCs w:val="24"/>
          <w:highlight w:val="none"/>
        </w:rPr>
        <w:t>7.磋商文件的修改和澄清</w:t>
      </w:r>
    </w:p>
    <w:p w14:paraId="5D87BBE0">
      <w:pPr>
        <w:spacing w:line="360" w:lineRule="auto"/>
        <w:ind w:firstLine="480" w:firstLineChars="200"/>
        <w:rPr>
          <w:rFonts w:hint="eastAsia" w:ascii="楷体" w:hAnsi="楷体" w:eastAsia="楷体" w:cs="楷体"/>
          <w:color w:val="auto"/>
          <w:szCs w:val="24"/>
          <w:highlight w:val="none"/>
        </w:rPr>
      </w:pPr>
      <w:r>
        <w:rPr>
          <w:rFonts w:hint="eastAsia" w:ascii="楷体" w:hAnsi="楷体" w:eastAsia="楷体" w:cs="楷体"/>
          <w:color w:val="auto"/>
          <w:szCs w:val="24"/>
          <w:highlight w:val="none"/>
        </w:rPr>
        <w:t>7.1在磋商响应文件递交截止时间前，</w:t>
      </w:r>
      <w:r>
        <w:rPr>
          <w:rFonts w:hint="eastAsia" w:ascii="楷体" w:hAnsi="楷体" w:eastAsia="楷体" w:cs="楷体"/>
          <w:color w:val="auto"/>
          <w:szCs w:val="24"/>
          <w:highlight w:val="none"/>
          <w:lang w:eastAsia="zh-CN"/>
        </w:rPr>
        <w:t>采购代理机构</w:t>
      </w:r>
      <w:r>
        <w:rPr>
          <w:rFonts w:hint="eastAsia" w:ascii="楷体" w:hAnsi="楷体" w:eastAsia="楷体" w:cs="楷体"/>
          <w:color w:val="auto"/>
          <w:szCs w:val="24"/>
          <w:highlight w:val="none"/>
        </w:rPr>
        <w:t>可以视采购具体情况，延长磋商响应文件递交截止时间和磋商时间并在财政部门指定的媒体上发布变更公告，同时将变更时间书面通知所有购买磋商文件的供应商。</w:t>
      </w:r>
    </w:p>
    <w:p w14:paraId="60684667">
      <w:pPr>
        <w:spacing w:line="360" w:lineRule="auto"/>
        <w:ind w:firstLine="480" w:firstLineChars="200"/>
        <w:rPr>
          <w:rFonts w:hint="eastAsia" w:ascii="楷体" w:hAnsi="楷体" w:eastAsia="楷体" w:cs="楷体"/>
          <w:color w:val="auto"/>
          <w:szCs w:val="24"/>
          <w:highlight w:val="none"/>
        </w:rPr>
      </w:pPr>
      <w:r>
        <w:rPr>
          <w:rFonts w:hint="eastAsia" w:ascii="楷体" w:hAnsi="楷体" w:eastAsia="楷体" w:cs="楷体"/>
          <w:color w:val="auto"/>
          <w:szCs w:val="24"/>
          <w:highlight w:val="none"/>
        </w:rPr>
        <w:t>7.2</w:t>
      </w:r>
      <w:r>
        <w:rPr>
          <w:rFonts w:hint="eastAsia" w:ascii="楷体" w:hAnsi="楷体" w:eastAsia="楷体" w:cs="楷体"/>
          <w:color w:val="auto"/>
          <w:szCs w:val="24"/>
          <w:highlight w:val="none"/>
          <w:lang w:eastAsia="zh-CN"/>
        </w:rPr>
        <w:t>采购代理机构</w:t>
      </w:r>
      <w:r>
        <w:rPr>
          <w:rFonts w:hint="eastAsia" w:ascii="楷体" w:hAnsi="楷体" w:eastAsia="楷体" w:cs="楷体"/>
          <w:color w:val="auto"/>
          <w:szCs w:val="24"/>
          <w:highlight w:val="none"/>
        </w:rPr>
        <w:t>如果对已发出的磋商文件进行必要的澄清或者修改，澄清或者修改的内容作为磋商文件的组成部分。澄清或者修改的内容可能影响响应文件编制的，</w:t>
      </w:r>
      <w:r>
        <w:rPr>
          <w:rFonts w:hint="eastAsia" w:ascii="楷体" w:hAnsi="楷体" w:eastAsia="楷体" w:cs="楷体"/>
          <w:color w:val="auto"/>
          <w:szCs w:val="24"/>
          <w:highlight w:val="none"/>
          <w:lang w:eastAsia="zh-CN"/>
        </w:rPr>
        <w:t>采购代理机构</w:t>
      </w:r>
      <w:r>
        <w:rPr>
          <w:rFonts w:hint="eastAsia" w:ascii="楷体" w:hAnsi="楷体" w:eastAsia="楷体" w:cs="楷体"/>
          <w:color w:val="auto"/>
          <w:szCs w:val="24"/>
          <w:highlight w:val="none"/>
        </w:rPr>
        <w:t>应当在提交首次响应文件截止时间至少5日前，以书面形式通知所有获取磋商文件的供应商；不足5日的，</w:t>
      </w:r>
      <w:r>
        <w:rPr>
          <w:rFonts w:hint="eastAsia" w:ascii="楷体" w:hAnsi="楷体" w:eastAsia="楷体" w:cs="楷体"/>
          <w:color w:val="auto"/>
          <w:szCs w:val="24"/>
          <w:highlight w:val="none"/>
          <w:lang w:eastAsia="zh-CN"/>
        </w:rPr>
        <w:t>采购代理机构</w:t>
      </w:r>
      <w:r>
        <w:rPr>
          <w:rFonts w:hint="eastAsia" w:ascii="楷体" w:hAnsi="楷体" w:eastAsia="楷体" w:cs="楷体"/>
          <w:color w:val="auto"/>
          <w:szCs w:val="24"/>
          <w:highlight w:val="none"/>
        </w:rPr>
        <w:t>应当顺延提交首次响应文件截止时间。</w:t>
      </w:r>
    </w:p>
    <w:p w14:paraId="18F604B3">
      <w:pPr>
        <w:spacing w:line="360" w:lineRule="auto"/>
        <w:ind w:firstLine="480" w:firstLineChars="200"/>
        <w:rPr>
          <w:rFonts w:hint="eastAsia" w:ascii="楷体" w:hAnsi="楷体" w:eastAsia="楷体" w:cs="楷体"/>
          <w:color w:val="auto"/>
          <w:szCs w:val="24"/>
          <w:highlight w:val="none"/>
        </w:rPr>
      </w:pPr>
      <w:r>
        <w:rPr>
          <w:rFonts w:hint="eastAsia" w:ascii="楷体" w:hAnsi="楷体" w:eastAsia="楷体" w:cs="楷体"/>
          <w:color w:val="auto"/>
          <w:szCs w:val="24"/>
          <w:highlight w:val="none"/>
        </w:rPr>
        <w:t>7.3已经获取磋商文件的供应商对磋商文件有疑问的，均应在磋商截止日期3日前以书面形式向</w:t>
      </w:r>
      <w:r>
        <w:rPr>
          <w:rFonts w:hint="eastAsia" w:ascii="楷体" w:hAnsi="楷体" w:eastAsia="楷体" w:cs="楷体"/>
          <w:color w:val="auto"/>
          <w:szCs w:val="24"/>
          <w:highlight w:val="none"/>
          <w:lang w:eastAsia="zh-CN"/>
        </w:rPr>
        <w:t>采购代理机构</w:t>
      </w:r>
      <w:r>
        <w:rPr>
          <w:rFonts w:hint="eastAsia" w:ascii="楷体" w:hAnsi="楷体" w:eastAsia="楷体" w:cs="楷体"/>
          <w:color w:val="auto"/>
          <w:szCs w:val="24"/>
          <w:highlight w:val="none"/>
        </w:rPr>
        <w:t>提出。</w:t>
      </w:r>
      <w:r>
        <w:rPr>
          <w:rFonts w:hint="eastAsia" w:ascii="楷体" w:hAnsi="楷体" w:eastAsia="楷体" w:cs="楷体"/>
          <w:color w:val="auto"/>
          <w:szCs w:val="24"/>
          <w:highlight w:val="none"/>
          <w:lang w:eastAsia="zh-CN"/>
        </w:rPr>
        <w:t>采购代理机构</w:t>
      </w:r>
      <w:r>
        <w:rPr>
          <w:rFonts w:hint="eastAsia" w:ascii="楷体" w:hAnsi="楷体" w:eastAsia="楷体" w:cs="楷体"/>
          <w:color w:val="auto"/>
          <w:szCs w:val="24"/>
          <w:highlight w:val="none"/>
        </w:rPr>
        <w:t>视情况必要时将书面答复传送给所有供应商。</w:t>
      </w:r>
    </w:p>
    <w:p w14:paraId="2ECF84CA">
      <w:pPr>
        <w:keepNext/>
        <w:keepLines/>
        <w:spacing w:line="360" w:lineRule="auto"/>
        <w:jc w:val="center"/>
        <w:rPr>
          <w:rFonts w:hint="eastAsia" w:ascii="楷体" w:hAnsi="楷体" w:eastAsia="楷体" w:cs="楷体"/>
          <w:b/>
          <w:color w:val="auto"/>
          <w:sz w:val="32"/>
          <w:szCs w:val="32"/>
          <w:highlight w:val="none"/>
        </w:rPr>
      </w:pPr>
      <w:bookmarkStart w:id="50" w:name="_Toc403077641"/>
      <w:bookmarkStart w:id="51" w:name="_Toc363474019"/>
      <w:bookmarkStart w:id="52" w:name="_Toc363473974"/>
      <w:r>
        <w:rPr>
          <w:rFonts w:hint="eastAsia" w:ascii="楷体" w:hAnsi="楷体" w:eastAsia="楷体" w:cs="楷体"/>
          <w:b/>
          <w:color w:val="auto"/>
          <w:sz w:val="32"/>
          <w:szCs w:val="32"/>
          <w:highlight w:val="none"/>
        </w:rPr>
        <w:t>三.磋商响应文件的编制</w:t>
      </w:r>
      <w:bookmarkEnd w:id="50"/>
      <w:bookmarkEnd w:id="51"/>
      <w:bookmarkEnd w:id="52"/>
    </w:p>
    <w:p w14:paraId="5E013613">
      <w:pPr>
        <w:spacing w:line="360" w:lineRule="auto"/>
        <w:rPr>
          <w:rFonts w:hint="eastAsia" w:ascii="楷体" w:hAnsi="楷体" w:eastAsia="楷体" w:cs="楷体"/>
          <w:b/>
          <w:color w:val="auto"/>
          <w:szCs w:val="24"/>
          <w:highlight w:val="none"/>
        </w:rPr>
      </w:pPr>
      <w:r>
        <w:rPr>
          <w:rFonts w:hint="eastAsia" w:ascii="楷体" w:hAnsi="楷体" w:eastAsia="楷体" w:cs="楷体"/>
          <w:b/>
          <w:color w:val="auto"/>
          <w:szCs w:val="24"/>
          <w:highlight w:val="none"/>
        </w:rPr>
        <w:t>8.磋商语言、磋商货币、计量单位</w:t>
      </w:r>
    </w:p>
    <w:p w14:paraId="07FFDC01">
      <w:pPr>
        <w:spacing w:line="360" w:lineRule="auto"/>
        <w:ind w:firstLine="480" w:firstLineChars="200"/>
        <w:rPr>
          <w:rFonts w:hint="eastAsia" w:ascii="楷体" w:hAnsi="楷体" w:eastAsia="楷体" w:cs="楷体"/>
          <w:color w:val="auto"/>
          <w:szCs w:val="24"/>
          <w:highlight w:val="none"/>
        </w:rPr>
      </w:pPr>
      <w:r>
        <w:rPr>
          <w:rFonts w:hint="eastAsia" w:ascii="楷体" w:hAnsi="楷体" w:eastAsia="楷体" w:cs="楷体"/>
          <w:color w:val="auto"/>
          <w:szCs w:val="24"/>
          <w:highlight w:val="none"/>
        </w:rPr>
        <w:t>8.1供应商提交的磋商响应文件以及供应商与采购代理机构就有关磋商的所有来往书面文件均须使用中文。磋商响应文件中如附有外文资料，必须逐一对应翻译成中文并加盖供应商公章后附在相关外文资料后面，否则，由此带来的一切影响后果自负。</w:t>
      </w:r>
    </w:p>
    <w:p w14:paraId="425B893E">
      <w:pPr>
        <w:spacing w:line="360" w:lineRule="auto"/>
        <w:ind w:firstLine="480" w:firstLineChars="200"/>
        <w:rPr>
          <w:rFonts w:hint="eastAsia" w:ascii="楷体" w:hAnsi="楷体" w:eastAsia="楷体" w:cs="楷体"/>
          <w:color w:val="auto"/>
          <w:szCs w:val="24"/>
          <w:highlight w:val="none"/>
        </w:rPr>
      </w:pPr>
      <w:r>
        <w:rPr>
          <w:rFonts w:hint="eastAsia" w:ascii="楷体" w:hAnsi="楷体" w:eastAsia="楷体" w:cs="楷体"/>
          <w:color w:val="auto"/>
          <w:szCs w:val="24"/>
          <w:highlight w:val="none"/>
        </w:rPr>
        <w:t>8.2翻译的中文资料与外文资料如果出现差异和矛盾时，以中文为准。但不能故意错误翻译，否则，供应商的磋商响应文件将作为无效磋商处理。必要时采购人可以要求供应商提供附有公证书的中文翻译文件或者与原版文件签章相一致的中文翻译文件。</w:t>
      </w:r>
    </w:p>
    <w:p w14:paraId="7CEC669B">
      <w:pPr>
        <w:spacing w:line="360" w:lineRule="auto"/>
        <w:ind w:firstLine="480" w:firstLineChars="200"/>
        <w:rPr>
          <w:rFonts w:hint="eastAsia" w:ascii="楷体" w:hAnsi="楷体" w:eastAsia="楷体" w:cs="楷体"/>
          <w:color w:val="auto"/>
          <w:szCs w:val="24"/>
          <w:highlight w:val="none"/>
        </w:rPr>
      </w:pPr>
      <w:r>
        <w:rPr>
          <w:rFonts w:hint="eastAsia" w:ascii="楷体" w:hAnsi="楷体" w:eastAsia="楷体" w:cs="楷体"/>
          <w:color w:val="auto"/>
          <w:szCs w:val="24"/>
          <w:highlight w:val="none"/>
        </w:rPr>
        <w:t>8.3磋商报价应以人民币报价。任何包含非人民币报价的磋商将按无效磋商处理。</w:t>
      </w:r>
    </w:p>
    <w:p w14:paraId="56385C7D">
      <w:pPr>
        <w:spacing w:line="360" w:lineRule="auto"/>
        <w:ind w:firstLine="480" w:firstLineChars="200"/>
        <w:rPr>
          <w:rFonts w:hint="eastAsia" w:ascii="楷体" w:hAnsi="楷体" w:eastAsia="楷体" w:cs="楷体"/>
          <w:b/>
          <w:color w:val="auto"/>
          <w:szCs w:val="24"/>
          <w:highlight w:val="none"/>
        </w:rPr>
      </w:pPr>
      <w:r>
        <w:rPr>
          <w:rFonts w:hint="eastAsia" w:ascii="楷体" w:hAnsi="楷体" w:eastAsia="楷体" w:cs="楷体"/>
          <w:color w:val="auto"/>
          <w:szCs w:val="24"/>
          <w:highlight w:val="none"/>
        </w:rPr>
        <w:t>8.4磋商资料中所使用的计量单位，除有特殊要求外，均采用国家法定计量单位。</w:t>
      </w:r>
    </w:p>
    <w:p w14:paraId="5F3DE8D8">
      <w:pPr>
        <w:spacing w:line="360" w:lineRule="auto"/>
        <w:rPr>
          <w:rFonts w:hint="eastAsia" w:ascii="楷体" w:hAnsi="楷体" w:eastAsia="楷体" w:cs="楷体"/>
          <w:b/>
          <w:color w:val="auto"/>
          <w:szCs w:val="24"/>
          <w:highlight w:val="none"/>
        </w:rPr>
      </w:pPr>
      <w:r>
        <w:rPr>
          <w:rFonts w:hint="eastAsia" w:ascii="楷体" w:hAnsi="楷体" w:eastAsia="楷体" w:cs="楷体"/>
          <w:b/>
          <w:color w:val="auto"/>
          <w:szCs w:val="24"/>
          <w:highlight w:val="none"/>
        </w:rPr>
        <w:t>9.磋商响应文件的构成</w:t>
      </w:r>
    </w:p>
    <w:p w14:paraId="63A5BEEE">
      <w:pPr>
        <w:spacing w:line="360" w:lineRule="auto"/>
        <w:ind w:firstLine="480" w:firstLineChars="200"/>
        <w:rPr>
          <w:rFonts w:hint="eastAsia" w:ascii="楷体" w:hAnsi="楷体" w:eastAsia="楷体" w:cs="楷体"/>
          <w:color w:val="auto"/>
          <w:szCs w:val="24"/>
          <w:highlight w:val="none"/>
        </w:rPr>
      </w:pPr>
      <w:r>
        <w:rPr>
          <w:rFonts w:hint="eastAsia" w:ascii="楷体" w:hAnsi="楷体" w:eastAsia="楷体" w:cs="楷体"/>
          <w:color w:val="auto"/>
          <w:szCs w:val="24"/>
          <w:highlight w:val="none"/>
        </w:rPr>
        <w:t>9.1供应商提交的磋商响应文件应包括磋商文件第六章“磋商响应文件格式”所要求的所有内容：</w:t>
      </w:r>
    </w:p>
    <w:p w14:paraId="35FC5009">
      <w:pPr>
        <w:spacing w:line="360" w:lineRule="auto"/>
        <w:ind w:firstLine="480" w:firstLineChars="200"/>
        <w:rPr>
          <w:rFonts w:hint="eastAsia" w:ascii="楷体" w:hAnsi="楷体" w:eastAsia="楷体" w:cs="楷体"/>
          <w:color w:val="auto"/>
          <w:szCs w:val="24"/>
          <w:highlight w:val="none"/>
        </w:rPr>
      </w:pPr>
      <w:r>
        <w:rPr>
          <w:rFonts w:hint="eastAsia" w:ascii="楷体" w:hAnsi="楷体" w:eastAsia="楷体" w:cs="楷体"/>
          <w:color w:val="auto"/>
          <w:szCs w:val="24"/>
          <w:highlight w:val="none"/>
        </w:rPr>
        <w:t>9.2如果在磋商文件中没有允许提供备选方案，则每个供应商只允许提交一个磋商响应方案，否则，其将按无效磋商处理。</w:t>
      </w:r>
    </w:p>
    <w:p w14:paraId="44A92A7D">
      <w:pPr>
        <w:spacing w:line="360" w:lineRule="auto"/>
        <w:rPr>
          <w:rFonts w:hint="eastAsia" w:ascii="楷体" w:hAnsi="楷体" w:eastAsia="楷体" w:cs="楷体"/>
          <w:b/>
          <w:color w:val="auto"/>
          <w:szCs w:val="24"/>
          <w:highlight w:val="none"/>
        </w:rPr>
      </w:pPr>
      <w:r>
        <w:rPr>
          <w:rFonts w:hint="eastAsia" w:ascii="楷体" w:hAnsi="楷体" w:eastAsia="楷体" w:cs="楷体"/>
          <w:b/>
          <w:color w:val="auto"/>
          <w:szCs w:val="24"/>
          <w:highlight w:val="none"/>
        </w:rPr>
        <w:t xml:space="preserve">10.磋商响应文件格式 </w:t>
      </w:r>
    </w:p>
    <w:p w14:paraId="46A45609">
      <w:pPr>
        <w:spacing w:line="360" w:lineRule="auto"/>
        <w:ind w:firstLine="480" w:firstLineChars="200"/>
        <w:rPr>
          <w:rFonts w:hint="eastAsia" w:ascii="楷体" w:hAnsi="楷体" w:eastAsia="楷体" w:cs="楷体"/>
          <w:color w:val="auto"/>
          <w:szCs w:val="24"/>
          <w:highlight w:val="none"/>
        </w:rPr>
      </w:pPr>
      <w:r>
        <w:rPr>
          <w:rFonts w:hint="eastAsia" w:ascii="楷体" w:hAnsi="楷体" w:eastAsia="楷体" w:cs="楷体"/>
          <w:color w:val="auto"/>
          <w:szCs w:val="24"/>
          <w:highlight w:val="none"/>
        </w:rPr>
        <w:t>10.1供应商应按照磋商文件中第六章所提供的格式和要求制作磋商响应文件，明确表达磋商意愿，详细说明磋商方案、承诺</w:t>
      </w:r>
      <w:r>
        <w:rPr>
          <w:rFonts w:hint="eastAsia" w:ascii="楷体" w:hAnsi="楷体" w:eastAsia="楷体" w:cs="楷体"/>
          <w:color w:val="auto"/>
          <w:szCs w:val="24"/>
          <w:highlight w:val="none"/>
          <w:lang w:eastAsia="zh-CN"/>
        </w:rPr>
        <w:t>（如有）</w:t>
      </w:r>
      <w:r>
        <w:rPr>
          <w:rFonts w:hint="eastAsia" w:ascii="楷体" w:hAnsi="楷体" w:eastAsia="楷体" w:cs="楷体"/>
          <w:color w:val="auto"/>
          <w:szCs w:val="24"/>
          <w:highlight w:val="none"/>
        </w:rPr>
        <w:t>及价格。</w:t>
      </w:r>
    </w:p>
    <w:p w14:paraId="5B637177">
      <w:pPr>
        <w:spacing w:line="360" w:lineRule="auto"/>
        <w:ind w:firstLine="480" w:firstLineChars="200"/>
        <w:rPr>
          <w:rFonts w:hint="eastAsia" w:ascii="楷体" w:hAnsi="楷体" w:eastAsia="楷体" w:cs="楷体"/>
          <w:color w:val="auto"/>
          <w:szCs w:val="24"/>
          <w:highlight w:val="none"/>
        </w:rPr>
      </w:pPr>
      <w:r>
        <w:rPr>
          <w:rFonts w:hint="eastAsia" w:ascii="楷体" w:hAnsi="楷体" w:eastAsia="楷体" w:cs="楷体"/>
          <w:color w:val="auto"/>
          <w:szCs w:val="24"/>
          <w:highlight w:val="none"/>
          <w:lang w:val="en-US" w:eastAsia="zh-CN"/>
        </w:rPr>
        <w:t>10</w:t>
      </w:r>
      <w:r>
        <w:rPr>
          <w:rFonts w:hint="eastAsia" w:ascii="楷体" w:hAnsi="楷体" w:eastAsia="楷体" w:cs="楷体"/>
          <w:color w:val="auto"/>
          <w:szCs w:val="24"/>
          <w:highlight w:val="none"/>
        </w:rPr>
        <w:t>.2按磋商文件第六章提供的格式和要求编写其磋商响应文件</w:t>
      </w:r>
      <w:r>
        <w:rPr>
          <w:rFonts w:hint="eastAsia" w:ascii="楷体" w:hAnsi="楷体" w:eastAsia="楷体" w:cs="楷体"/>
          <w:color w:val="auto"/>
          <w:szCs w:val="24"/>
          <w:highlight w:val="none"/>
          <w:lang w:eastAsia="zh-CN"/>
        </w:rPr>
        <w:t>，</w:t>
      </w:r>
      <w:r>
        <w:rPr>
          <w:rFonts w:hint="eastAsia" w:ascii="楷体" w:hAnsi="楷体" w:eastAsia="楷体" w:cs="楷体"/>
          <w:color w:val="auto"/>
          <w:highlight w:val="none"/>
        </w:rPr>
        <w:t>否则按</w:t>
      </w:r>
      <w:r>
        <w:rPr>
          <w:rFonts w:hint="eastAsia" w:ascii="楷体" w:hAnsi="楷体" w:eastAsia="楷体" w:cs="楷体"/>
          <w:color w:val="auto"/>
          <w:szCs w:val="24"/>
          <w:highlight w:val="none"/>
        </w:rPr>
        <w:t>无效磋商</w:t>
      </w:r>
      <w:r>
        <w:rPr>
          <w:rFonts w:hint="eastAsia" w:ascii="楷体" w:hAnsi="楷体" w:eastAsia="楷体" w:cs="楷体"/>
          <w:color w:val="auto"/>
          <w:highlight w:val="none"/>
        </w:rPr>
        <w:t>处理。</w:t>
      </w:r>
    </w:p>
    <w:p w14:paraId="307F3DF1">
      <w:pPr>
        <w:spacing w:line="360" w:lineRule="auto"/>
        <w:rPr>
          <w:rFonts w:hint="eastAsia" w:ascii="楷体" w:hAnsi="楷体" w:eastAsia="楷体" w:cs="楷体"/>
          <w:b/>
          <w:color w:val="auto"/>
          <w:szCs w:val="24"/>
          <w:highlight w:val="none"/>
        </w:rPr>
      </w:pPr>
      <w:r>
        <w:rPr>
          <w:rFonts w:hint="eastAsia" w:ascii="楷体" w:hAnsi="楷体" w:eastAsia="楷体" w:cs="楷体"/>
          <w:b/>
          <w:color w:val="auto"/>
          <w:szCs w:val="24"/>
          <w:highlight w:val="none"/>
        </w:rPr>
        <w:t>11.磋商报价</w:t>
      </w:r>
    </w:p>
    <w:p w14:paraId="2C181187">
      <w:pPr>
        <w:spacing w:line="360" w:lineRule="auto"/>
        <w:ind w:firstLine="480" w:firstLineChars="200"/>
        <w:jc w:val="left"/>
        <w:rPr>
          <w:rFonts w:hint="eastAsia" w:ascii="楷体" w:hAnsi="楷体" w:eastAsia="楷体" w:cs="楷体"/>
          <w:color w:val="auto"/>
          <w:szCs w:val="24"/>
          <w:highlight w:val="none"/>
        </w:rPr>
      </w:pPr>
      <w:r>
        <w:rPr>
          <w:rFonts w:hint="eastAsia" w:ascii="楷体" w:hAnsi="楷体" w:eastAsia="楷体" w:cs="楷体"/>
          <w:color w:val="auto"/>
          <w:szCs w:val="24"/>
          <w:highlight w:val="none"/>
          <w:lang w:val="en-US" w:eastAsia="zh-CN"/>
        </w:rPr>
        <w:t>11.1</w:t>
      </w:r>
      <w:r>
        <w:rPr>
          <w:rFonts w:hint="eastAsia" w:ascii="楷体" w:hAnsi="楷体" w:eastAsia="楷体" w:cs="楷体"/>
          <w:color w:val="auto"/>
          <w:szCs w:val="24"/>
          <w:highlight w:val="none"/>
        </w:rPr>
        <w:t>磋商报价是供应商为完成本项目要求的全部服务（含为完成服务提供的货物）内容最终价格的体现。</w:t>
      </w:r>
    </w:p>
    <w:p w14:paraId="794F67A1">
      <w:pPr>
        <w:spacing w:line="360" w:lineRule="auto"/>
        <w:ind w:firstLine="480" w:firstLineChars="200"/>
        <w:rPr>
          <w:rFonts w:hint="eastAsia" w:ascii="楷体" w:hAnsi="楷体" w:eastAsia="楷体" w:cs="楷体"/>
          <w:color w:val="auto"/>
          <w:szCs w:val="24"/>
          <w:highlight w:val="none"/>
        </w:rPr>
      </w:pPr>
      <w:r>
        <w:rPr>
          <w:rFonts w:hint="eastAsia" w:ascii="楷体" w:hAnsi="楷体" w:eastAsia="楷体" w:cs="楷体"/>
          <w:color w:val="auto"/>
          <w:szCs w:val="24"/>
          <w:highlight w:val="none"/>
          <w:lang w:val="en-US" w:eastAsia="zh-CN"/>
        </w:rPr>
        <w:t>11.2</w:t>
      </w:r>
      <w:r>
        <w:rPr>
          <w:rFonts w:hint="eastAsia" w:ascii="楷体" w:hAnsi="楷体" w:eastAsia="楷体" w:cs="楷体"/>
          <w:color w:val="auto"/>
          <w:szCs w:val="24"/>
          <w:highlight w:val="none"/>
        </w:rPr>
        <w:t>报价以人民币报价。供应商应在磋商报价表中标明完成本次磋商所要求的货物、服务且验收合格的所有费用。对本文件未列明，而供应商认为必需的费用也需列入磋商总报价。供应商所报的价格应考虑到可能发生的所有与完成本项目相关服务及履行合同义务有关的一切费用，任何有选择的报价将不予接受，按无效磋商处理。</w:t>
      </w:r>
    </w:p>
    <w:p w14:paraId="1171837D">
      <w:pPr>
        <w:spacing w:line="360" w:lineRule="auto"/>
        <w:ind w:firstLine="480" w:firstLineChars="200"/>
        <w:rPr>
          <w:rFonts w:hint="eastAsia" w:ascii="楷体" w:hAnsi="楷体" w:eastAsia="楷体" w:cs="楷体"/>
          <w:color w:val="auto"/>
          <w:szCs w:val="24"/>
          <w:highlight w:val="none"/>
        </w:rPr>
      </w:pPr>
      <w:r>
        <w:rPr>
          <w:rFonts w:hint="eastAsia" w:ascii="楷体" w:hAnsi="楷体" w:eastAsia="楷体" w:cs="楷体"/>
          <w:color w:val="auto"/>
          <w:szCs w:val="24"/>
          <w:highlight w:val="none"/>
        </w:rPr>
        <w:t>11.3磋商报价：精确到小数点后二位。</w:t>
      </w:r>
    </w:p>
    <w:p w14:paraId="7D79585F">
      <w:pPr>
        <w:spacing w:line="360" w:lineRule="auto"/>
        <w:ind w:firstLine="480" w:firstLineChars="200"/>
        <w:rPr>
          <w:rFonts w:hint="default" w:ascii="楷体" w:hAnsi="楷体" w:eastAsia="楷体" w:cs="楷体"/>
          <w:color w:val="auto"/>
          <w:szCs w:val="24"/>
          <w:highlight w:val="none"/>
          <w:lang w:val="en-US" w:eastAsia="zh-CN"/>
        </w:rPr>
      </w:pPr>
      <w:r>
        <w:rPr>
          <w:rFonts w:hint="eastAsia" w:ascii="楷体" w:hAnsi="楷体" w:eastAsia="楷体" w:cs="楷体"/>
          <w:color w:val="auto"/>
          <w:szCs w:val="24"/>
          <w:highlight w:val="none"/>
          <w:lang w:val="en-US" w:eastAsia="zh-CN"/>
        </w:rPr>
        <w:t>11.4</w:t>
      </w:r>
      <w:r>
        <w:rPr>
          <w:rFonts w:hint="eastAsia" w:ascii="楷体" w:hAnsi="楷体" w:eastAsia="楷体" w:cs="楷体"/>
          <w:color w:val="auto"/>
          <w:szCs w:val="24"/>
          <w:highlight w:val="none"/>
          <w:lang w:val="zh-CN"/>
        </w:rPr>
        <w:t>凡因对磋商文件阅读不深、理解不透、误解、疏漏或因对市场行情了解不清而造成的后果和风险均由供应商自行承担。</w:t>
      </w:r>
    </w:p>
    <w:p w14:paraId="66AFA2ED">
      <w:pPr>
        <w:spacing w:line="360" w:lineRule="auto"/>
        <w:rPr>
          <w:rFonts w:hint="eastAsia" w:ascii="楷体" w:hAnsi="楷体" w:eastAsia="楷体" w:cs="楷体"/>
          <w:b/>
          <w:color w:val="auto"/>
          <w:szCs w:val="24"/>
          <w:highlight w:val="none"/>
        </w:rPr>
      </w:pPr>
      <w:r>
        <w:rPr>
          <w:rFonts w:hint="eastAsia" w:ascii="楷体" w:hAnsi="楷体" w:eastAsia="楷体" w:cs="楷体"/>
          <w:b/>
          <w:color w:val="auto"/>
          <w:szCs w:val="24"/>
          <w:highlight w:val="none"/>
        </w:rPr>
        <w:t>12.证明供应商合格的资格证明文件</w:t>
      </w:r>
    </w:p>
    <w:p w14:paraId="0780E120">
      <w:pPr>
        <w:spacing w:line="360" w:lineRule="auto"/>
        <w:ind w:firstLine="480" w:firstLineChars="200"/>
        <w:rPr>
          <w:rFonts w:hint="eastAsia" w:ascii="楷体" w:hAnsi="楷体" w:eastAsia="楷体" w:cs="楷体"/>
          <w:color w:val="auto"/>
          <w:szCs w:val="24"/>
          <w:highlight w:val="none"/>
        </w:rPr>
      </w:pPr>
      <w:r>
        <w:rPr>
          <w:rFonts w:hint="eastAsia" w:ascii="楷体" w:hAnsi="楷体" w:eastAsia="楷体" w:cs="楷体"/>
          <w:color w:val="auto"/>
          <w:szCs w:val="24"/>
          <w:highlight w:val="none"/>
        </w:rPr>
        <w:t>12.1供应商应按照磋商文件“供应商须知前附表”的要求，在磋商响应文件中提交合格的资格证明文件。如果资格证明文件不全或不合格的，将按无效磋商处理。</w:t>
      </w:r>
    </w:p>
    <w:p w14:paraId="6F319275">
      <w:pPr>
        <w:spacing w:line="360" w:lineRule="auto"/>
        <w:rPr>
          <w:rFonts w:hint="eastAsia" w:ascii="楷体" w:hAnsi="楷体" w:eastAsia="楷体" w:cs="楷体"/>
          <w:b/>
          <w:color w:val="auto"/>
          <w:szCs w:val="24"/>
          <w:highlight w:val="none"/>
        </w:rPr>
      </w:pPr>
      <w:r>
        <w:rPr>
          <w:rFonts w:hint="eastAsia" w:ascii="楷体" w:hAnsi="楷体" w:eastAsia="楷体" w:cs="楷体"/>
          <w:b/>
          <w:color w:val="auto"/>
          <w:szCs w:val="24"/>
          <w:highlight w:val="none"/>
        </w:rPr>
        <w:t>13.证明标的物的合格性和符合磋商文件规定的文件</w:t>
      </w:r>
    </w:p>
    <w:p w14:paraId="0BE1D763">
      <w:pPr>
        <w:spacing w:line="360" w:lineRule="auto"/>
        <w:ind w:firstLine="480" w:firstLineChars="200"/>
        <w:rPr>
          <w:rFonts w:hint="eastAsia" w:ascii="楷体" w:hAnsi="楷体" w:eastAsia="楷体" w:cs="楷体"/>
          <w:color w:val="auto"/>
          <w:szCs w:val="24"/>
          <w:highlight w:val="none"/>
        </w:rPr>
      </w:pPr>
      <w:r>
        <w:rPr>
          <w:rFonts w:hint="eastAsia" w:ascii="楷体" w:hAnsi="楷体" w:eastAsia="楷体" w:cs="楷体"/>
          <w:color w:val="auto"/>
          <w:szCs w:val="24"/>
          <w:highlight w:val="none"/>
        </w:rPr>
        <w:t>13.1供应商应在磋商响应文件中提供标的物满足磋商文件要求并符合国家法律法规、行业管理部门要求的其他强制性标准的证明文件。缺少证明文件或证明文件不合格的磋商，与磋商文件要求有重大偏离（评审中进行扣分的除外）的磋商，不符合国家法律法规、行业管理部门要求的其他强制性标准的磋商响应文件将被作无效磋商处理。</w:t>
      </w:r>
    </w:p>
    <w:p w14:paraId="3E496C06">
      <w:pPr>
        <w:spacing w:line="360" w:lineRule="auto"/>
        <w:rPr>
          <w:rFonts w:hint="eastAsia" w:ascii="楷体" w:hAnsi="楷体" w:eastAsia="楷体" w:cs="楷体"/>
          <w:b/>
          <w:color w:val="auto"/>
          <w:szCs w:val="24"/>
          <w:highlight w:val="none"/>
        </w:rPr>
      </w:pPr>
      <w:r>
        <w:rPr>
          <w:rFonts w:hint="eastAsia" w:ascii="楷体" w:hAnsi="楷体" w:eastAsia="楷体" w:cs="楷体"/>
          <w:b/>
          <w:color w:val="auto"/>
          <w:szCs w:val="24"/>
          <w:highlight w:val="none"/>
        </w:rPr>
        <w:t>14.磋商有效期</w:t>
      </w:r>
    </w:p>
    <w:p w14:paraId="173071A8">
      <w:pPr>
        <w:spacing w:line="360" w:lineRule="auto"/>
        <w:ind w:firstLine="480" w:firstLineChars="200"/>
        <w:rPr>
          <w:rFonts w:hint="eastAsia" w:ascii="楷体" w:hAnsi="楷体" w:eastAsia="楷体" w:cs="楷体"/>
          <w:color w:val="auto"/>
          <w:szCs w:val="24"/>
          <w:highlight w:val="none"/>
        </w:rPr>
      </w:pPr>
      <w:r>
        <w:rPr>
          <w:rFonts w:hint="eastAsia" w:ascii="楷体" w:hAnsi="楷体" w:eastAsia="楷体" w:cs="楷体"/>
          <w:color w:val="auto"/>
          <w:szCs w:val="24"/>
          <w:highlight w:val="none"/>
        </w:rPr>
        <w:t>14.1磋商有效期</w:t>
      </w:r>
      <w:r>
        <w:rPr>
          <w:rFonts w:hint="eastAsia" w:ascii="楷体" w:hAnsi="楷体" w:eastAsia="楷体" w:cs="楷体"/>
          <w:color w:val="auto"/>
          <w:szCs w:val="24"/>
          <w:highlight w:val="none"/>
          <w:lang w:eastAsia="zh-CN"/>
        </w:rPr>
        <w:t>、</w:t>
      </w:r>
      <w:r>
        <w:rPr>
          <w:rFonts w:hint="eastAsia" w:ascii="楷体" w:hAnsi="楷体" w:eastAsia="楷体" w:cs="楷体"/>
          <w:color w:val="auto"/>
          <w:szCs w:val="24"/>
          <w:highlight w:val="none"/>
        </w:rPr>
        <w:t>授权有效期：从递交磋商响应文件的截止之日起 90 个日历天。磋商有效期不满足磋商文件要求的磋商，将被视为非响应性磋商而予以拒绝，将按无效磋商处理。</w:t>
      </w:r>
    </w:p>
    <w:p w14:paraId="60692631">
      <w:pPr>
        <w:spacing w:line="360" w:lineRule="auto"/>
        <w:ind w:firstLine="480" w:firstLineChars="200"/>
        <w:rPr>
          <w:rFonts w:hint="eastAsia" w:ascii="楷体" w:hAnsi="楷体" w:eastAsia="楷体" w:cs="楷体"/>
          <w:color w:val="auto"/>
          <w:szCs w:val="24"/>
          <w:highlight w:val="none"/>
        </w:rPr>
      </w:pPr>
      <w:r>
        <w:rPr>
          <w:rFonts w:hint="eastAsia" w:ascii="楷体" w:hAnsi="楷体" w:eastAsia="楷体" w:cs="楷体"/>
          <w:color w:val="auto"/>
          <w:szCs w:val="24"/>
          <w:highlight w:val="none"/>
        </w:rPr>
        <w:t>14.2在特殊情况下，在原磋商有效期期满之前，</w:t>
      </w:r>
      <w:r>
        <w:rPr>
          <w:rFonts w:hint="eastAsia" w:ascii="楷体" w:hAnsi="楷体" w:eastAsia="楷体" w:cs="楷体"/>
          <w:color w:val="auto"/>
          <w:szCs w:val="24"/>
          <w:highlight w:val="none"/>
          <w:lang w:eastAsia="zh-CN"/>
        </w:rPr>
        <w:t>采购代理机构</w:t>
      </w:r>
      <w:r>
        <w:rPr>
          <w:rFonts w:hint="eastAsia" w:ascii="楷体" w:hAnsi="楷体" w:eastAsia="楷体" w:cs="楷体"/>
          <w:color w:val="auto"/>
          <w:szCs w:val="24"/>
          <w:highlight w:val="none"/>
        </w:rPr>
        <w:t>可向供应商提出延长磋商有效期的要求。这种要求与答复均应以书面的形式。</w:t>
      </w:r>
    </w:p>
    <w:p w14:paraId="7BE3A650">
      <w:pPr>
        <w:spacing w:line="360" w:lineRule="auto"/>
        <w:rPr>
          <w:rFonts w:hint="eastAsia" w:ascii="楷体" w:hAnsi="楷体" w:eastAsia="楷体" w:cs="楷体"/>
          <w:b/>
          <w:color w:val="auto"/>
          <w:szCs w:val="24"/>
          <w:highlight w:val="none"/>
        </w:rPr>
      </w:pPr>
      <w:r>
        <w:rPr>
          <w:rFonts w:hint="eastAsia" w:ascii="楷体" w:hAnsi="楷体" w:eastAsia="楷体" w:cs="楷体"/>
          <w:b/>
          <w:color w:val="auto"/>
          <w:szCs w:val="24"/>
          <w:highlight w:val="none"/>
        </w:rPr>
        <w:t>15.磋商响应文件的式样、签署和装订</w:t>
      </w:r>
    </w:p>
    <w:p w14:paraId="43180F32">
      <w:pPr>
        <w:spacing w:line="360" w:lineRule="auto"/>
        <w:ind w:firstLine="480" w:firstLineChars="200"/>
        <w:rPr>
          <w:rFonts w:hint="eastAsia" w:ascii="楷体" w:hAnsi="楷体" w:eastAsia="楷体" w:cs="楷体"/>
          <w:color w:val="auto"/>
          <w:spacing w:val="-2"/>
          <w:highlight w:val="none"/>
        </w:rPr>
      </w:pPr>
      <w:r>
        <w:rPr>
          <w:rFonts w:hint="eastAsia" w:ascii="楷体" w:hAnsi="楷体" w:eastAsia="楷体" w:cs="楷体"/>
          <w:color w:val="auto"/>
          <w:szCs w:val="24"/>
          <w:highlight w:val="none"/>
        </w:rPr>
        <w:t>15.1供应商应按照“供应商须知前附表”的要求,递交规定数量及要求的正本、副本及电子版文件。</w:t>
      </w:r>
      <w:r>
        <w:rPr>
          <w:rFonts w:hint="eastAsia" w:ascii="楷体" w:hAnsi="楷体" w:eastAsia="楷体" w:cs="楷体"/>
          <w:color w:val="auto"/>
          <w:spacing w:val="4"/>
          <w:highlight w:val="none"/>
        </w:rPr>
        <w:t>磋商响应文件的副本、电子版须和正本保持一致。</w:t>
      </w:r>
      <w:r>
        <w:rPr>
          <w:rFonts w:hint="eastAsia" w:ascii="楷体" w:hAnsi="楷体" w:eastAsia="楷体" w:cs="楷体"/>
          <w:color w:val="auto"/>
          <w:szCs w:val="24"/>
          <w:highlight w:val="none"/>
        </w:rPr>
        <w:t>如果发生正本与副本</w:t>
      </w:r>
      <w:r>
        <w:rPr>
          <w:rFonts w:hint="eastAsia" w:ascii="楷体" w:hAnsi="楷体" w:eastAsia="楷体" w:cs="楷体"/>
          <w:color w:val="auto"/>
          <w:highlight w:val="none"/>
        </w:rPr>
        <w:t>或电子版</w:t>
      </w:r>
      <w:r>
        <w:rPr>
          <w:rFonts w:hint="eastAsia" w:ascii="楷体" w:hAnsi="楷体" w:eastAsia="楷体" w:cs="楷体"/>
          <w:color w:val="auto"/>
          <w:szCs w:val="24"/>
          <w:highlight w:val="none"/>
        </w:rPr>
        <w:t>不一致的情况，以正本为准。</w:t>
      </w:r>
    </w:p>
    <w:p w14:paraId="7DC1BB3E">
      <w:pPr>
        <w:spacing w:line="360" w:lineRule="auto"/>
        <w:ind w:firstLine="480" w:firstLineChars="200"/>
        <w:rPr>
          <w:rFonts w:hint="eastAsia" w:ascii="楷体" w:hAnsi="楷体" w:eastAsia="楷体" w:cs="楷体"/>
          <w:b/>
          <w:color w:val="auto"/>
          <w:szCs w:val="24"/>
          <w:highlight w:val="none"/>
        </w:rPr>
      </w:pPr>
      <w:r>
        <w:rPr>
          <w:rFonts w:hint="eastAsia" w:ascii="楷体" w:hAnsi="楷体" w:eastAsia="楷体" w:cs="楷体"/>
          <w:color w:val="auto"/>
          <w:szCs w:val="24"/>
          <w:highlight w:val="none"/>
        </w:rPr>
        <w:t>15.2磋商响应文件须打印或用不褪色的蓝（黑）墨水书写,清楚地标明“正本”、“副本”字样，各自装订成册，并由供应商法定代表人或经法定代表人正式授权的代表签字或盖章（磋商文件要求磋商响应文件中法定代表人签字处必须由法定代表人签署，要求授权代表签字处必须由授权代表签署）。若由授权代表签署，须按磋商文件规定的格式出具的“法定代表人授权委托书”原件附在磋商响应文件中。</w:t>
      </w:r>
    </w:p>
    <w:p w14:paraId="31478818">
      <w:pPr>
        <w:spacing w:line="360" w:lineRule="auto"/>
        <w:ind w:firstLine="480" w:firstLineChars="200"/>
        <w:rPr>
          <w:rFonts w:hint="eastAsia" w:ascii="楷体" w:hAnsi="楷体" w:eastAsia="楷体" w:cs="楷体"/>
          <w:color w:val="auto"/>
          <w:szCs w:val="24"/>
          <w:highlight w:val="none"/>
        </w:rPr>
      </w:pPr>
      <w:r>
        <w:rPr>
          <w:rFonts w:hint="eastAsia" w:ascii="楷体" w:hAnsi="楷体" w:eastAsia="楷体" w:cs="楷体"/>
          <w:color w:val="auto"/>
          <w:szCs w:val="24"/>
          <w:highlight w:val="none"/>
        </w:rPr>
        <w:t>15.3任何行间插字、涂改和增删，必须由供应商的法定代表人或其授权代表在旁边签字或加盖公章方有效。</w:t>
      </w:r>
    </w:p>
    <w:p w14:paraId="5A1AFBB2">
      <w:pPr>
        <w:spacing w:line="360" w:lineRule="auto"/>
        <w:ind w:firstLine="480" w:firstLineChars="200"/>
        <w:rPr>
          <w:rFonts w:hint="eastAsia" w:ascii="楷体" w:hAnsi="楷体" w:eastAsia="楷体" w:cs="楷体"/>
          <w:color w:val="auto"/>
          <w:szCs w:val="24"/>
          <w:highlight w:val="none"/>
        </w:rPr>
      </w:pPr>
      <w:r>
        <w:rPr>
          <w:rFonts w:hint="eastAsia" w:ascii="楷体" w:hAnsi="楷体" w:eastAsia="楷体" w:cs="楷体"/>
          <w:color w:val="auto"/>
          <w:szCs w:val="24"/>
          <w:highlight w:val="none"/>
        </w:rPr>
        <w:t>15.4供应商名称应填写全称并加盖公章，磋商响应文件须加盖骑缝章。</w:t>
      </w:r>
    </w:p>
    <w:p w14:paraId="604E4306">
      <w:pPr>
        <w:spacing w:line="360" w:lineRule="auto"/>
        <w:ind w:firstLine="480" w:firstLineChars="200"/>
        <w:rPr>
          <w:rFonts w:hint="eastAsia" w:ascii="楷体" w:hAnsi="楷体" w:eastAsia="楷体" w:cs="楷体"/>
          <w:color w:val="auto"/>
          <w:szCs w:val="24"/>
          <w:highlight w:val="none"/>
        </w:rPr>
      </w:pPr>
      <w:r>
        <w:rPr>
          <w:rFonts w:hint="eastAsia" w:ascii="楷体" w:hAnsi="楷体" w:eastAsia="楷体" w:cs="楷体"/>
          <w:color w:val="auto"/>
          <w:szCs w:val="24"/>
          <w:highlight w:val="none"/>
        </w:rPr>
        <w:t>15.5因字迹潦草或表达不清所引起的后果由供应商负责。</w:t>
      </w:r>
    </w:p>
    <w:p w14:paraId="303E27E6">
      <w:pPr>
        <w:spacing w:line="360" w:lineRule="auto"/>
        <w:ind w:firstLine="482" w:firstLineChars="200"/>
        <w:rPr>
          <w:rFonts w:hint="eastAsia" w:ascii="楷体" w:hAnsi="楷体" w:eastAsia="楷体" w:cs="楷体"/>
          <w:b/>
          <w:color w:val="auto"/>
          <w:szCs w:val="24"/>
          <w:highlight w:val="none"/>
        </w:rPr>
      </w:pPr>
      <w:r>
        <w:rPr>
          <w:rFonts w:hint="eastAsia" w:ascii="楷体" w:hAnsi="楷体" w:eastAsia="楷体" w:cs="楷体"/>
          <w:b/>
          <w:color w:val="auto"/>
          <w:szCs w:val="24"/>
          <w:highlight w:val="none"/>
        </w:rPr>
        <w:t>15.6磋商响应文件的装订</w:t>
      </w:r>
    </w:p>
    <w:p w14:paraId="59BCF629">
      <w:pPr>
        <w:pStyle w:val="12"/>
        <w:spacing w:line="360" w:lineRule="auto"/>
        <w:ind w:firstLine="480" w:firstLineChars="200"/>
        <w:rPr>
          <w:rFonts w:hint="eastAsia" w:ascii="楷体" w:hAnsi="楷体" w:eastAsia="楷体" w:cs="楷体"/>
          <w:color w:val="auto"/>
          <w:szCs w:val="24"/>
          <w:highlight w:val="none"/>
          <w:lang w:val="en-US" w:eastAsia="zh-CN"/>
        </w:rPr>
      </w:pPr>
      <w:r>
        <w:rPr>
          <w:rFonts w:hint="eastAsia" w:ascii="楷体" w:hAnsi="楷体" w:eastAsia="楷体" w:cs="楷体"/>
          <w:color w:val="auto"/>
          <w:szCs w:val="24"/>
          <w:highlight w:val="none"/>
        </w:rPr>
        <w:t>15.6.1</w:t>
      </w:r>
      <w:r>
        <w:rPr>
          <w:rFonts w:hint="eastAsia" w:ascii="楷体" w:hAnsi="楷体" w:eastAsia="楷体" w:cs="楷体"/>
          <w:color w:val="auto"/>
          <w:szCs w:val="24"/>
          <w:highlight w:val="none"/>
          <w:lang w:eastAsia="zh-CN"/>
        </w:rPr>
        <w:t>建议供应商双面打印</w:t>
      </w:r>
      <w:r>
        <w:rPr>
          <w:rFonts w:hint="eastAsia" w:ascii="楷体" w:hAnsi="楷体" w:eastAsia="楷体" w:cs="楷体"/>
          <w:color w:val="auto"/>
          <w:szCs w:val="24"/>
          <w:highlight w:val="none"/>
          <w:lang w:val="en-US" w:eastAsia="zh-CN"/>
        </w:rPr>
        <w:t>磋商响应文件。</w:t>
      </w:r>
    </w:p>
    <w:p w14:paraId="25B111EE">
      <w:pPr>
        <w:pStyle w:val="12"/>
        <w:spacing w:line="360" w:lineRule="auto"/>
        <w:ind w:firstLine="480" w:firstLineChars="200"/>
        <w:rPr>
          <w:rFonts w:hint="eastAsia" w:ascii="楷体" w:hAnsi="楷体" w:eastAsia="楷体" w:cs="楷体"/>
          <w:color w:val="auto"/>
          <w:szCs w:val="24"/>
          <w:highlight w:val="none"/>
        </w:rPr>
      </w:pPr>
      <w:r>
        <w:rPr>
          <w:rFonts w:hint="eastAsia" w:ascii="楷体" w:hAnsi="楷体" w:eastAsia="楷体" w:cs="楷体"/>
          <w:color w:val="auto"/>
          <w:szCs w:val="24"/>
          <w:highlight w:val="none"/>
          <w:lang w:val="en-US" w:eastAsia="zh-CN"/>
        </w:rPr>
        <w:t>15.6.2</w:t>
      </w:r>
      <w:r>
        <w:rPr>
          <w:rFonts w:hint="eastAsia" w:ascii="楷体" w:hAnsi="楷体" w:eastAsia="楷体" w:cs="楷体"/>
          <w:color w:val="auto"/>
          <w:szCs w:val="24"/>
          <w:highlight w:val="none"/>
        </w:rPr>
        <w:t>供应商应采用胶装等牢固的装订方式，不得采用活页夹或可随时拆换的方式装订，不得有零散页。若同一册的内容较多，可装订成若干分册，并在封面标明次序及册数。</w:t>
      </w:r>
    </w:p>
    <w:p w14:paraId="076CC4E9">
      <w:pPr>
        <w:pStyle w:val="12"/>
        <w:spacing w:line="360" w:lineRule="auto"/>
        <w:ind w:firstLine="480" w:firstLineChars="200"/>
        <w:rPr>
          <w:rFonts w:hint="eastAsia" w:ascii="楷体" w:hAnsi="楷体" w:eastAsia="楷体" w:cs="楷体"/>
          <w:color w:val="auto"/>
          <w:szCs w:val="24"/>
          <w:highlight w:val="none"/>
        </w:rPr>
      </w:pPr>
      <w:r>
        <w:rPr>
          <w:rFonts w:hint="eastAsia" w:ascii="楷体" w:hAnsi="楷体" w:eastAsia="楷体" w:cs="楷体"/>
          <w:color w:val="auto"/>
          <w:szCs w:val="24"/>
          <w:highlight w:val="none"/>
        </w:rPr>
        <w:t>15.6.</w:t>
      </w:r>
      <w:r>
        <w:rPr>
          <w:rFonts w:hint="eastAsia" w:ascii="楷体" w:hAnsi="楷体" w:eastAsia="楷体" w:cs="楷体"/>
          <w:color w:val="auto"/>
          <w:szCs w:val="24"/>
          <w:highlight w:val="none"/>
          <w:lang w:val="en-US" w:eastAsia="zh-CN"/>
        </w:rPr>
        <w:t>3</w:t>
      </w:r>
      <w:r>
        <w:rPr>
          <w:rFonts w:hint="eastAsia" w:ascii="楷体" w:hAnsi="楷体" w:eastAsia="楷体" w:cs="楷体"/>
          <w:color w:val="auto"/>
          <w:szCs w:val="24"/>
          <w:highlight w:val="none"/>
        </w:rPr>
        <w:t>由于装订原因造成磋商响应文件的散落、丢失等，责任供应商自负。</w:t>
      </w:r>
    </w:p>
    <w:p w14:paraId="570D45AB">
      <w:pPr>
        <w:spacing w:line="360" w:lineRule="auto"/>
        <w:ind w:firstLine="643" w:firstLineChars="200"/>
        <w:jc w:val="center"/>
        <w:rPr>
          <w:rFonts w:hint="eastAsia" w:ascii="楷体" w:hAnsi="楷体" w:eastAsia="楷体" w:cs="楷体"/>
          <w:b/>
          <w:color w:val="auto"/>
          <w:sz w:val="32"/>
          <w:szCs w:val="32"/>
          <w:highlight w:val="none"/>
        </w:rPr>
      </w:pPr>
      <w:r>
        <w:rPr>
          <w:rFonts w:hint="eastAsia" w:ascii="楷体" w:hAnsi="楷体" w:eastAsia="楷体" w:cs="楷体"/>
          <w:b/>
          <w:color w:val="auto"/>
          <w:sz w:val="32"/>
          <w:szCs w:val="32"/>
          <w:highlight w:val="none"/>
        </w:rPr>
        <w:t>四.磋商响应文件的递交</w:t>
      </w:r>
    </w:p>
    <w:p w14:paraId="0722DA96">
      <w:pPr>
        <w:spacing w:line="360" w:lineRule="auto"/>
        <w:rPr>
          <w:rFonts w:hint="eastAsia" w:ascii="楷体" w:hAnsi="楷体" w:eastAsia="楷体" w:cs="楷体"/>
          <w:b/>
          <w:color w:val="auto"/>
          <w:szCs w:val="24"/>
          <w:highlight w:val="none"/>
        </w:rPr>
      </w:pPr>
      <w:r>
        <w:rPr>
          <w:rFonts w:hint="eastAsia" w:ascii="楷体" w:hAnsi="楷体" w:eastAsia="楷体" w:cs="楷体"/>
          <w:b/>
          <w:color w:val="auto"/>
          <w:szCs w:val="24"/>
          <w:highlight w:val="none"/>
        </w:rPr>
        <w:t>16.磋商响应文件的密封和标记</w:t>
      </w:r>
    </w:p>
    <w:p w14:paraId="7E17B88E">
      <w:pPr>
        <w:spacing w:line="360" w:lineRule="auto"/>
        <w:ind w:firstLine="480" w:firstLineChars="200"/>
        <w:rPr>
          <w:rFonts w:hint="eastAsia" w:ascii="楷体" w:hAnsi="楷体" w:eastAsia="楷体" w:cs="楷体"/>
          <w:color w:val="auto"/>
          <w:szCs w:val="24"/>
          <w:highlight w:val="none"/>
        </w:rPr>
      </w:pPr>
      <w:r>
        <w:rPr>
          <w:rFonts w:hint="eastAsia" w:ascii="楷体" w:hAnsi="楷体" w:eastAsia="楷体" w:cs="楷体"/>
          <w:color w:val="auto"/>
          <w:szCs w:val="24"/>
          <w:highlight w:val="none"/>
        </w:rPr>
        <w:t>16.</w:t>
      </w:r>
      <w:r>
        <w:rPr>
          <w:rFonts w:hint="eastAsia" w:ascii="楷体" w:hAnsi="楷体" w:eastAsia="楷体" w:cs="楷体"/>
          <w:color w:val="auto"/>
          <w:szCs w:val="24"/>
          <w:highlight w:val="none"/>
          <w:lang w:val="en-US" w:eastAsia="zh-CN"/>
        </w:rPr>
        <w:t>1</w:t>
      </w:r>
      <w:r>
        <w:rPr>
          <w:rFonts w:hint="eastAsia" w:ascii="楷体" w:hAnsi="楷体" w:eastAsia="楷体" w:cs="楷体"/>
          <w:b w:val="0"/>
          <w:bCs/>
          <w:color w:val="auto"/>
          <w:szCs w:val="24"/>
          <w:highlight w:val="none"/>
        </w:rPr>
        <w:t>供应商应将磋商响应文件正本、所有副本、电子版分别密封装在单独封袋中，共</w:t>
      </w:r>
      <w:r>
        <w:rPr>
          <w:rFonts w:hint="eastAsia" w:ascii="楷体" w:hAnsi="楷体" w:eastAsia="楷体" w:cs="楷体"/>
          <w:b w:val="0"/>
          <w:bCs/>
          <w:color w:val="auto"/>
          <w:szCs w:val="24"/>
          <w:highlight w:val="none"/>
          <w:lang w:eastAsia="zh-CN"/>
        </w:rPr>
        <w:t>三</w:t>
      </w:r>
      <w:r>
        <w:rPr>
          <w:rFonts w:hint="eastAsia" w:ascii="楷体" w:hAnsi="楷体" w:eastAsia="楷体" w:cs="楷体"/>
          <w:b w:val="0"/>
          <w:bCs/>
          <w:color w:val="auto"/>
          <w:szCs w:val="24"/>
          <w:highlight w:val="none"/>
        </w:rPr>
        <w:t>个封袋。</w:t>
      </w:r>
      <w:r>
        <w:rPr>
          <w:rFonts w:hint="eastAsia" w:ascii="楷体" w:hAnsi="楷体" w:eastAsia="楷体" w:cs="楷体"/>
          <w:color w:val="auto"/>
          <w:szCs w:val="24"/>
          <w:highlight w:val="none"/>
        </w:rPr>
        <w:t>封袋不得破损，否则不予接收。</w:t>
      </w:r>
    </w:p>
    <w:p w14:paraId="209A3CCC">
      <w:pPr>
        <w:spacing w:line="360" w:lineRule="auto"/>
        <w:ind w:firstLine="480" w:firstLineChars="200"/>
        <w:rPr>
          <w:rFonts w:hint="eastAsia" w:ascii="楷体" w:hAnsi="楷体" w:eastAsia="楷体" w:cs="楷体"/>
          <w:color w:val="auto"/>
          <w:szCs w:val="24"/>
          <w:highlight w:val="none"/>
        </w:rPr>
      </w:pPr>
      <w:r>
        <w:rPr>
          <w:rFonts w:hint="eastAsia" w:ascii="楷体" w:hAnsi="楷体" w:eastAsia="楷体" w:cs="楷体"/>
          <w:color w:val="auto"/>
          <w:szCs w:val="24"/>
          <w:highlight w:val="none"/>
        </w:rPr>
        <w:t>16.</w:t>
      </w:r>
      <w:r>
        <w:rPr>
          <w:rFonts w:hint="eastAsia" w:ascii="楷体" w:hAnsi="楷体" w:eastAsia="楷体" w:cs="楷体"/>
          <w:color w:val="auto"/>
          <w:szCs w:val="24"/>
          <w:highlight w:val="none"/>
          <w:lang w:val="en-US" w:eastAsia="zh-CN"/>
        </w:rPr>
        <w:t>2</w:t>
      </w:r>
      <w:r>
        <w:rPr>
          <w:rFonts w:hint="eastAsia" w:ascii="楷体" w:hAnsi="楷体" w:eastAsia="楷体" w:cs="楷体"/>
          <w:color w:val="auto"/>
          <w:szCs w:val="24"/>
          <w:highlight w:val="none"/>
        </w:rPr>
        <w:t>外层包装请按以下要求标记：</w:t>
      </w:r>
    </w:p>
    <w:p w14:paraId="4C322944">
      <w:pPr>
        <w:spacing w:line="360" w:lineRule="auto"/>
        <w:ind w:firstLine="480" w:firstLineChars="200"/>
        <w:rPr>
          <w:rFonts w:hint="eastAsia" w:ascii="楷体" w:hAnsi="楷体" w:eastAsia="楷体" w:cs="楷体"/>
          <w:color w:val="auto"/>
          <w:szCs w:val="24"/>
          <w:highlight w:val="none"/>
        </w:rPr>
      </w:pPr>
      <w:r>
        <w:rPr>
          <w:rFonts w:hint="eastAsia" w:ascii="楷体" w:hAnsi="楷体" w:eastAsia="楷体" w:cs="楷体"/>
          <w:color w:val="auto"/>
          <w:szCs w:val="24"/>
          <w:highlight w:val="none"/>
        </w:rPr>
        <w:t>16.</w:t>
      </w:r>
      <w:r>
        <w:rPr>
          <w:rFonts w:hint="eastAsia" w:ascii="楷体" w:hAnsi="楷体" w:eastAsia="楷体" w:cs="楷体"/>
          <w:color w:val="auto"/>
          <w:szCs w:val="24"/>
          <w:highlight w:val="none"/>
          <w:lang w:val="en-US" w:eastAsia="zh-CN"/>
        </w:rPr>
        <w:t>2</w:t>
      </w:r>
      <w:r>
        <w:rPr>
          <w:rFonts w:hint="eastAsia" w:ascii="楷体" w:hAnsi="楷体" w:eastAsia="楷体" w:cs="楷体"/>
          <w:color w:val="auto"/>
          <w:szCs w:val="24"/>
          <w:highlight w:val="none"/>
        </w:rPr>
        <w:t>.1供应商的全称；</w:t>
      </w:r>
    </w:p>
    <w:p w14:paraId="73B4AD70">
      <w:pPr>
        <w:spacing w:line="360" w:lineRule="auto"/>
        <w:ind w:firstLine="480" w:firstLineChars="200"/>
        <w:rPr>
          <w:rFonts w:hint="eastAsia" w:ascii="楷体" w:hAnsi="楷体" w:eastAsia="楷体" w:cs="楷体"/>
          <w:color w:val="auto"/>
          <w:szCs w:val="24"/>
          <w:highlight w:val="none"/>
        </w:rPr>
      </w:pPr>
      <w:r>
        <w:rPr>
          <w:rFonts w:hint="eastAsia" w:ascii="楷体" w:hAnsi="楷体" w:eastAsia="楷体" w:cs="楷体"/>
          <w:color w:val="auto"/>
          <w:szCs w:val="24"/>
          <w:highlight w:val="none"/>
        </w:rPr>
        <w:t>16.</w:t>
      </w:r>
      <w:r>
        <w:rPr>
          <w:rFonts w:hint="eastAsia" w:ascii="楷体" w:hAnsi="楷体" w:eastAsia="楷体" w:cs="楷体"/>
          <w:color w:val="auto"/>
          <w:szCs w:val="24"/>
          <w:highlight w:val="none"/>
          <w:lang w:val="en-US" w:eastAsia="zh-CN"/>
        </w:rPr>
        <w:t>2</w:t>
      </w:r>
      <w:r>
        <w:rPr>
          <w:rFonts w:hint="eastAsia" w:ascii="楷体" w:hAnsi="楷体" w:eastAsia="楷体" w:cs="楷体"/>
          <w:color w:val="auto"/>
          <w:szCs w:val="24"/>
          <w:highlight w:val="none"/>
        </w:rPr>
        <w:t>.2磋商项目名称、项目编号；</w:t>
      </w:r>
    </w:p>
    <w:p w14:paraId="64A969CE">
      <w:pPr>
        <w:spacing w:line="360" w:lineRule="auto"/>
        <w:ind w:firstLine="480" w:firstLineChars="200"/>
        <w:rPr>
          <w:rFonts w:hint="eastAsia" w:ascii="楷体" w:hAnsi="楷体" w:eastAsia="楷体" w:cs="楷体"/>
          <w:color w:val="auto"/>
          <w:szCs w:val="24"/>
          <w:highlight w:val="none"/>
        </w:rPr>
      </w:pPr>
      <w:r>
        <w:rPr>
          <w:rFonts w:hint="eastAsia" w:ascii="楷体" w:hAnsi="楷体" w:eastAsia="楷体" w:cs="楷体"/>
          <w:color w:val="auto"/>
          <w:szCs w:val="24"/>
          <w:highlight w:val="none"/>
        </w:rPr>
        <w:t>16.</w:t>
      </w:r>
      <w:r>
        <w:rPr>
          <w:rFonts w:hint="eastAsia" w:ascii="楷体" w:hAnsi="楷体" w:eastAsia="楷体" w:cs="楷体"/>
          <w:color w:val="auto"/>
          <w:szCs w:val="24"/>
          <w:highlight w:val="none"/>
          <w:lang w:val="en-US" w:eastAsia="zh-CN"/>
        </w:rPr>
        <w:t>2</w:t>
      </w:r>
      <w:r>
        <w:rPr>
          <w:rFonts w:hint="eastAsia" w:ascii="楷体" w:hAnsi="楷体" w:eastAsia="楷体" w:cs="楷体"/>
          <w:color w:val="auto"/>
          <w:szCs w:val="24"/>
          <w:highlight w:val="none"/>
        </w:rPr>
        <w:t>.3正本/副本/电子版等信息。</w:t>
      </w:r>
    </w:p>
    <w:p w14:paraId="4EC29164">
      <w:pPr>
        <w:spacing w:line="360" w:lineRule="auto"/>
        <w:ind w:firstLine="480" w:firstLineChars="200"/>
        <w:rPr>
          <w:rFonts w:hint="eastAsia" w:ascii="楷体" w:hAnsi="楷体" w:eastAsia="楷体" w:cs="楷体"/>
          <w:color w:val="auto"/>
          <w:szCs w:val="24"/>
          <w:highlight w:val="none"/>
        </w:rPr>
      </w:pPr>
      <w:r>
        <w:rPr>
          <w:rFonts w:hint="eastAsia" w:ascii="楷体" w:hAnsi="楷体" w:eastAsia="楷体" w:cs="楷体"/>
          <w:color w:val="auto"/>
          <w:szCs w:val="24"/>
          <w:highlight w:val="none"/>
        </w:rPr>
        <w:t>16.</w:t>
      </w:r>
      <w:r>
        <w:rPr>
          <w:rFonts w:hint="eastAsia" w:ascii="楷体" w:hAnsi="楷体" w:eastAsia="楷体" w:cs="楷体"/>
          <w:color w:val="auto"/>
          <w:szCs w:val="24"/>
          <w:highlight w:val="none"/>
          <w:lang w:val="en-US" w:eastAsia="zh-CN"/>
        </w:rPr>
        <w:t>3</w:t>
      </w:r>
      <w:r>
        <w:rPr>
          <w:rFonts w:hint="eastAsia" w:ascii="楷体" w:hAnsi="楷体" w:eastAsia="楷体" w:cs="楷体"/>
          <w:color w:val="auto"/>
          <w:szCs w:val="24"/>
          <w:highlight w:val="none"/>
        </w:rPr>
        <w:t>如果供应商未对磋商响应文件按上述要求进行完好密封，由此产生的不利后果由供应商自行承担。</w:t>
      </w:r>
    </w:p>
    <w:p w14:paraId="0AC13BA8">
      <w:pPr>
        <w:spacing w:line="360" w:lineRule="auto"/>
        <w:rPr>
          <w:rFonts w:hint="eastAsia" w:ascii="楷体" w:hAnsi="楷体" w:eastAsia="楷体" w:cs="楷体"/>
          <w:b/>
          <w:color w:val="auto"/>
          <w:szCs w:val="24"/>
          <w:highlight w:val="none"/>
        </w:rPr>
      </w:pPr>
      <w:r>
        <w:rPr>
          <w:rFonts w:hint="eastAsia" w:ascii="楷体" w:hAnsi="楷体" w:eastAsia="楷体" w:cs="楷体"/>
          <w:b/>
          <w:color w:val="auto"/>
          <w:szCs w:val="24"/>
          <w:highlight w:val="none"/>
        </w:rPr>
        <w:t>17．磋商响应文件的递交</w:t>
      </w:r>
    </w:p>
    <w:p w14:paraId="662D9CBA">
      <w:pPr>
        <w:spacing w:line="360" w:lineRule="auto"/>
        <w:ind w:firstLine="480" w:firstLineChars="200"/>
        <w:rPr>
          <w:rFonts w:hint="eastAsia" w:ascii="楷体" w:hAnsi="楷体" w:eastAsia="楷体" w:cs="楷体"/>
          <w:color w:val="auto"/>
          <w:szCs w:val="24"/>
          <w:highlight w:val="none"/>
        </w:rPr>
      </w:pPr>
      <w:r>
        <w:rPr>
          <w:rFonts w:hint="eastAsia" w:ascii="楷体" w:hAnsi="楷体" w:eastAsia="楷体" w:cs="楷体"/>
          <w:color w:val="auto"/>
          <w:szCs w:val="24"/>
          <w:highlight w:val="none"/>
        </w:rPr>
        <w:t>17.1供应商应按磋商文件中规定的时间和地点，在磋商截止时间前将全部磋商文件和磋商资料递交至</w:t>
      </w:r>
      <w:r>
        <w:rPr>
          <w:rFonts w:hint="eastAsia" w:ascii="楷体" w:hAnsi="楷体" w:eastAsia="楷体" w:cs="楷体"/>
          <w:color w:val="auto"/>
          <w:szCs w:val="24"/>
          <w:highlight w:val="none"/>
          <w:lang w:eastAsia="zh-CN"/>
        </w:rPr>
        <w:t>采购</w:t>
      </w:r>
      <w:r>
        <w:rPr>
          <w:rFonts w:hint="eastAsia" w:ascii="楷体" w:hAnsi="楷体" w:eastAsia="楷体" w:cs="楷体"/>
          <w:color w:val="auto"/>
          <w:szCs w:val="24"/>
          <w:highlight w:val="none"/>
        </w:rPr>
        <w:t>代理机构文件接收人。</w:t>
      </w:r>
    </w:p>
    <w:p w14:paraId="0F6C7CAA">
      <w:pPr>
        <w:spacing w:line="360" w:lineRule="auto"/>
        <w:ind w:firstLine="480" w:firstLineChars="200"/>
        <w:rPr>
          <w:rFonts w:hint="eastAsia" w:ascii="楷体" w:hAnsi="楷体" w:eastAsia="楷体" w:cs="楷体"/>
          <w:color w:val="auto"/>
          <w:szCs w:val="24"/>
          <w:highlight w:val="none"/>
        </w:rPr>
      </w:pPr>
      <w:r>
        <w:rPr>
          <w:rFonts w:hint="eastAsia" w:ascii="楷体" w:hAnsi="楷体" w:eastAsia="楷体" w:cs="楷体"/>
          <w:color w:val="auto"/>
          <w:szCs w:val="24"/>
          <w:highlight w:val="none"/>
        </w:rPr>
        <w:t>17.2磋商响应文件接收人在</w:t>
      </w:r>
      <w:r>
        <w:rPr>
          <w:rFonts w:hint="eastAsia" w:ascii="楷体" w:hAnsi="楷体" w:eastAsia="楷体" w:cs="楷体"/>
          <w:color w:val="auto"/>
          <w:szCs w:val="24"/>
          <w:highlight w:val="none"/>
          <w:lang w:eastAsia="zh-CN"/>
        </w:rPr>
        <w:t>磋商</w:t>
      </w:r>
      <w:r>
        <w:rPr>
          <w:rFonts w:hint="eastAsia" w:ascii="楷体" w:hAnsi="楷体" w:eastAsia="楷体" w:cs="楷体"/>
          <w:color w:val="auto"/>
          <w:szCs w:val="24"/>
          <w:highlight w:val="none"/>
        </w:rPr>
        <w:t>文件规定的磋商响应文件递交截止时间前，只负责对磋商响应文件和磋商资料的接收、清点、造册登记工作，并请递交人签字确认，对其有效性不负任何责任；</w:t>
      </w:r>
    </w:p>
    <w:p w14:paraId="67C43F05">
      <w:pPr>
        <w:spacing w:line="360" w:lineRule="auto"/>
        <w:ind w:firstLine="480" w:firstLineChars="200"/>
        <w:rPr>
          <w:rFonts w:hint="eastAsia" w:ascii="楷体" w:hAnsi="楷体" w:eastAsia="楷体" w:cs="楷体"/>
          <w:color w:val="auto"/>
          <w:szCs w:val="24"/>
          <w:highlight w:val="none"/>
        </w:rPr>
      </w:pPr>
      <w:r>
        <w:rPr>
          <w:rFonts w:hint="eastAsia" w:ascii="楷体" w:hAnsi="楷体" w:eastAsia="楷体" w:cs="楷体"/>
          <w:color w:val="auto"/>
          <w:szCs w:val="24"/>
          <w:highlight w:val="none"/>
        </w:rPr>
        <w:t>17.3本次磋商不接受邮寄或速递或快递的磋商响应文件；</w:t>
      </w:r>
    </w:p>
    <w:p w14:paraId="2BD76B86">
      <w:pPr>
        <w:spacing w:line="360" w:lineRule="auto"/>
        <w:ind w:firstLine="480" w:firstLineChars="200"/>
        <w:rPr>
          <w:rFonts w:hint="eastAsia" w:ascii="楷体" w:hAnsi="楷体" w:eastAsia="楷体" w:cs="楷体"/>
          <w:color w:val="auto"/>
          <w:spacing w:val="-2"/>
          <w:highlight w:val="none"/>
        </w:rPr>
      </w:pPr>
      <w:r>
        <w:rPr>
          <w:rFonts w:hint="eastAsia" w:ascii="楷体" w:hAnsi="楷体" w:eastAsia="楷体" w:cs="楷体"/>
          <w:color w:val="auto"/>
          <w:szCs w:val="24"/>
          <w:highlight w:val="none"/>
        </w:rPr>
        <w:t>17.4无论供应商中标与否，其磋商响应文件</w:t>
      </w:r>
      <w:r>
        <w:rPr>
          <w:rFonts w:hint="eastAsia" w:ascii="楷体" w:hAnsi="楷体" w:eastAsia="楷体" w:cs="楷体"/>
          <w:color w:val="auto"/>
          <w:highlight w:val="none"/>
        </w:rPr>
        <w:t>恕不退还。</w:t>
      </w:r>
    </w:p>
    <w:p w14:paraId="755DD631">
      <w:pPr>
        <w:spacing w:line="360" w:lineRule="auto"/>
        <w:rPr>
          <w:rFonts w:hint="eastAsia" w:ascii="楷体" w:hAnsi="楷体" w:eastAsia="楷体" w:cs="楷体"/>
          <w:b/>
          <w:color w:val="auto"/>
          <w:szCs w:val="24"/>
          <w:highlight w:val="none"/>
        </w:rPr>
      </w:pPr>
      <w:r>
        <w:rPr>
          <w:rFonts w:hint="eastAsia" w:ascii="楷体" w:hAnsi="楷体" w:eastAsia="楷体" w:cs="楷体"/>
          <w:b/>
          <w:color w:val="auto"/>
          <w:szCs w:val="24"/>
          <w:highlight w:val="none"/>
        </w:rPr>
        <w:t>18．迟交的磋商响应文件</w:t>
      </w:r>
    </w:p>
    <w:p w14:paraId="5405BC70">
      <w:pPr>
        <w:spacing w:line="360" w:lineRule="auto"/>
        <w:ind w:firstLine="480" w:firstLineChars="200"/>
        <w:rPr>
          <w:rFonts w:hint="eastAsia" w:ascii="楷体" w:hAnsi="楷体" w:eastAsia="楷体" w:cs="楷体"/>
          <w:color w:val="auto"/>
          <w:szCs w:val="24"/>
          <w:highlight w:val="none"/>
        </w:rPr>
      </w:pPr>
      <w:r>
        <w:rPr>
          <w:rFonts w:hint="eastAsia" w:ascii="楷体" w:hAnsi="楷体" w:eastAsia="楷体" w:cs="楷体"/>
          <w:color w:val="auto"/>
          <w:szCs w:val="24"/>
          <w:highlight w:val="none"/>
        </w:rPr>
        <w:t>逾期送达的或者未送达指定地点的磋商响应文件，为无效磋商响应文件，</w:t>
      </w:r>
      <w:r>
        <w:rPr>
          <w:rFonts w:hint="eastAsia" w:ascii="楷体" w:hAnsi="楷体" w:eastAsia="楷体" w:cs="楷体"/>
          <w:color w:val="auto"/>
          <w:szCs w:val="24"/>
          <w:highlight w:val="none"/>
          <w:lang w:eastAsia="zh-CN"/>
        </w:rPr>
        <w:t>采购</w:t>
      </w:r>
      <w:r>
        <w:rPr>
          <w:rFonts w:hint="eastAsia" w:ascii="楷体" w:hAnsi="楷体" w:eastAsia="楷体" w:cs="楷体"/>
          <w:color w:val="auto"/>
          <w:szCs w:val="24"/>
          <w:highlight w:val="none"/>
        </w:rPr>
        <w:t>代理机构将拒绝接收。</w:t>
      </w:r>
    </w:p>
    <w:p w14:paraId="186B25B9">
      <w:pPr>
        <w:spacing w:line="360" w:lineRule="auto"/>
        <w:rPr>
          <w:rFonts w:hint="eastAsia" w:ascii="楷体" w:hAnsi="楷体" w:eastAsia="楷体" w:cs="楷体"/>
          <w:b/>
          <w:color w:val="auto"/>
          <w:szCs w:val="24"/>
          <w:highlight w:val="none"/>
        </w:rPr>
      </w:pPr>
      <w:r>
        <w:rPr>
          <w:rFonts w:hint="eastAsia" w:ascii="楷体" w:hAnsi="楷体" w:eastAsia="楷体" w:cs="楷体"/>
          <w:b/>
          <w:color w:val="auto"/>
          <w:szCs w:val="24"/>
          <w:highlight w:val="none"/>
        </w:rPr>
        <w:t>19．磋商的修改与撤回</w:t>
      </w:r>
    </w:p>
    <w:p w14:paraId="53FC8A1E">
      <w:pPr>
        <w:spacing w:line="360" w:lineRule="auto"/>
        <w:ind w:firstLine="480" w:firstLineChars="200"/>
        <w:rPr>
          <w:rFonts w:hint="eastAsia" w:ascii="楷体" w:hAnsi="楷体" w:eastAsia="楷体" w:cs="楷体"/>
          <w:color w:val="auto"/>
          <w:szCs w:val="24"/>
          <w:highlight w:val="none"/>
        </w:rPr>
      </w:pPr>
      <w:r>
        <w:rPr>
          <w:rFonts w:hint="eastAsia" w:ascii="楷体" w:hAnsi="楷体" w:eastAsia="楷体" w:cs="楷体"/>
          <w:color w:val="auto"/>
          <w:szCs w:val="24"/>
          <w:highlight w:val="none"/>
        </w:rPr>
        <w:t>19.1供应商在递交磋商响应文件后，可以修改或撤回其磋商响应文件，也可以提出价格变动声明，但供应商必须在规定的磋商截止时间之前将修改或撤回或变动价格的书面通知文件递交到</w:t>
      </w:r>
      <w:r>
        <w:rPr>
          <w:rFonts w:hint="eastAsia" w:ascii="楷体" w:hAnsi="楷体" w:eastAsia="楷体" w:cs="楷体"/>
          <w:color w:val="auto"/>
          <w:szCs w:val="24"/>
          <w:highlight w:val="none"/>
          <w:lang w:eastAsia="zh-CN"/>
        </w:rPr>
        <w:t>采购</w:t>
      </w:r>
      <w:r>
        <w:rPr>
          <w:rFonts w:hint="eastAsia" w:ascii="楷体" w:hAnsi="楷体" w:eastAsia="楷体" w:cs="楷体"/>
          <w:color w:val="auto"/>
          <w:szCs w:val="24"/>
          <w:highlight w:val="none"/>
        </w:rPr>
        <w:t>代理机构。</w:t>
      </w:r>
    </w:p>
    <w:p w14:paraId="44D3B2B3">
      <w:pPr>
        <w:spacing w:line="360" w:lineRule="auto"/>
        <w:ind w:firstLine="480" w:firstLineChars="200"/>
        <w:rPr>
          <w:rFonts w:hint="eastAsia" w:ascii="楷体" w:hAnsi="楷体" w:eastAsia="楷体" w:cs="楷体"/>
          <w:color w:val="auto"/>
          <w:szCs w:val="24"/>
          <w:highlight w:val="none"/>
        </w:rPr>
      </w:pPr>
      <w:r>
        <w:rPr>
          <w:rFonts w:hint="eastAsia" w:ascii="楷体" w:hAnsi="楷体" w:eastAsia="楷体" w:cs="楷体"/>
          <w:color w:val="auto"/>
          <w:szCs w:val="24"/>
          <w:highlight w:val="none"/>
        </w:rPr>
        <w:t>19.2供应商的修改或撤回或变动价格的通知应按本章第15条、16条、17条的规定编制、密封、标记和递交。</w:t>
      </w:r>
    </w:p>
    <w:p w14:paraId="63EBF36C">
      <w:pPr>
        <w:spacing w:line="360" w:lineRule="auto"/>
        <w:ind w:firstLine="480" w:firstLineChars="200"/>
        <w:rPr>
          <w:rFonts w:hint="eastAsia" w:ascii="楷体" w:hAnsi="楷体" w:eastAsia="楷体" w:cs="楷体"/>
          <w:color w:val="auto"/>
          <w:szCs w:val="24"/>
          <w:highlight w:val="none"/>
        </w:rPr>
      </w:pPr>
      <w:r>
        <w:rPr>
          <w:rFonts w:hint="eastAsia" w:ascii="楷体" w:hAnsi="楷体" w:eastAsia="楷体" w:cs="楷体"/>
          <w:color w:val="auto"/>
          <w:szCs w:val="24"/>
          <w:highlight w:val="none"/>
        </w:rPr>
        <w:t>19.3在磋商响应文件递交截止时间之后，供应商不得对其磋商响应文件做任何修改或撤回。</w:t>
      </w:r>
    </w:p>
    <w:p w14:paraId="77865DE5">
      <w:pPr>
        <w:keepNext/>
        <w:keepLines/>
        <w:spacing w:line="360" w:lineRule="auto"/>
        <w:jc w:val="center"/>
        <w:rPr>
          <w:rFonts w:hint="eastAsia" w:ascii="楷体" w:hAnsi="楷体" w:eastAsia="楷体" w:cs="楷体"/>
          <w:b/>
          <w:color w:val="auto"/>
          <w:sz w:val="32"/>
          <w:szCs w:val="32"/>
          <w:highlight w:val="none"/>
        </w:rPr>
      </w:pPr>
      <w:bookmarkStart w:id="53" w:name="_Toc363474021"/>
      <w:bookmarkStart w:id="54" w:name="_Toc403077643"/>
      <w:bookmarkStart w:id="55" w:name="_Toc363473976"/>
      <w:r>
        <w:rPr>
          <w:rFonts w:hint="eastAsia" w:ascii="楷体" w:hAnsi="楷体" w:eastAsia="楷体" w:cs="楷体"/>
          <w:b/>
          <w:color w:val="auto"/>
          <w:sz w:val="32"/>
          <w:szCs w:val="32"/>
          <w:highlight w:val="none"/>
        </w:rPr>
        <w:t>五.磋商与评</w:t>
      </w:r>
      <w:bookmarkEnd w:id="53"/>
      <w:bookmarkEnd w:id="54"/>
      <w:bookmarkEnd w:id="55"/>
      <w:r>
        <w:rPr>
          <w:rFonts w:hint="eastAsia" w:ascii="楷体" w:hAnsi="楷体" w:eastAsia="楷体" w:cs="楷体"/>
          <w:b/>
          <w:color w:val="auto"/>
          <w:sz w:val="32"/>
          <w:szCs w:val="32"/>
          <w:highlight w:val="none"/>
        </w:rPr>
        <w:t>审</w:t>
      </w:r>
    </w:p>
    <w:p w14:paraId="6B0C1D30">
      <w:pPr>
        <w:spacing w:line="360" w:lineRule="auto"/>
        <w:rPr>
          <w:rFonts w:hint="eastAsia" w:ascii="楷体" w:hAnsi="楷体" w:eastAsia="楷体" w:cs="楷体"/>
          <w:b/>
          <w:color w:val="auto"/>
          <w:szCs w:val="24"/>
          <w:highlight w:val="none"/>
        </w:rPr>
      </w:pPr>
      <w:r>
        <w:rPr>
          <w:rFonts w:hint="eastAsia" w:ascii="楷体" w:hAnsi="楷体" w:eastAsia="楷体" w:cs="楷体"/>
          <w:b/>
          <w:color w:val="auto"/>
          <w:szCs w:val="24"/>
          <w:highlight w:val="none"/>
        </w:rPr>
        <w:t>20.磋商</w:t>
      </w:r>
    </w:p>
    <w:p w14:paraId="3DE53EBA">
      <w:pPr>
        <w:spacing w:line="360" w:lineRule="auto"/>
        <w:ind w:firstLine="480" w:firstLineChars="200"/>
        <w:rPr>
          <w:rFonts w:hint="eastAsia" w:ascii="楷体" w:hAnsi="楷体" w:eastAsia="楷体" w:cs="楷体"/>
          <w:color w:val="auto"/>
          <w:szCs w:val="24"/>
          <w:highlight w:val="none"/>
        </w:rPr>
      </w:pPr>
      <w:r>
        <w:rPr>
          <w:rFonts w:hint="eastAsia" w:ascii="楷体" w:hAnsi="楷体" w:eastAsia="楷体" w:cs="楷体"/>
          <w:color w:val="auto"/>
          <w:szCs w:val="24"/>
          <w:highlight w:val="none"/>
        </w:rPr>
        <w:t>20.1</w:t>
      </w:r>
      <w:r>
        <w:rPr>
          <w:rFonts w:hint="eastAsia" w:ascii="楷体" w:hAnsi="楷体" w:eastAsia="楷体" w:cs="楷体"/>
          <w:color w:val="auto"/>
          <w:szCs w:val="24"/>
          <w:highlight w:val="none"/>
          <w:lang w:eastAsia="zh-CN"/>
        </w:rPr>
        <w:t>采购</w:t>
      </w:r>
      <w:r>
        <w:rPr>
          <w:rFonts w:hint="eastAsia" w:ascii="楷体" w:hAnsi="楷体" w:eastAsia="楷体" w:cs="楷体"/>
          <w:color w:val="auto"/>
          <w:szCs w:val="24"/>
          <w:highlight w:val="none"/>
        </w:rPr>
        <w:t>代理机构在规定的时间和地点组织磋商。采购单位代表、供应商代表及有关工作人员参加。</w:t>
      </w:r>
    </w:p>
    <w:p w14:paraId="0FDFBBE5">
      <w:pPr>
        <w:spacing w:line="360" w:lineRule="auto"/>
        <w:ind w:firstLine="480" w:firstLineChars="200"/>
        <w:rPr>
          <w:rFonts w:hint="eastAsia" w:ascii="楷体" w:hAnsi="楷体" w:eastAsia="楷体" w:cs="楷体"/>
          <w:b/>
          <w:color w:val="auto"/>
          <w:szCs w:val="24"/>
          <w:highlight w:val="none"/>
        </w:rPr>
      </w:pPr>
      <w:r>
        <w:rPr>
          <w:rFonts w:hint="eastAsia" w:ascii="楷体" w:hAnsi="楷体" w:eastAsia="楷体" w:cs="楷体"/>
          <w:color w:val="auto"/>
          <w:szCs w:val="24"/>
          <w:highlight w:val="none"/>
        </w:rPr>
        <w:t>20.2</w:t>
      </w:r>
      <w:r>
        <w:rPr>
          <w:rFonts w:hint="eastAsia" w:ascii="楷体" w:hAnsi="楷体" w:eastAsia="楷体" w:cs="楷体"/>
          <w:color w:val="auto"/>
          <w:szCs w:val="24"/>
          <w:highlight w:val="none"/>
          <w:lang w:eastAsia="zh-CN"/>
        </w:rPr>
        <w:t>采购代理机构</w:t>
      </w:r>
      <w:r>
        <w:rPr>
          <w:rFonts w:hint="eastAsia" w:ascii="楷体" w:hAnsi="楷体" w:eastAsia="楷体" w:cs="楷体"/>
          <w:color w:val="auto"/>
          <w:szCs w:val="24"/>
          <w:highlight w:val="none"/>
        </w:rPr>
        <w:t>当众宣读供应商名称、磋商响应文件正本/副本/电子版的份数、修改或撤回或变动价格的书面通知（如果有），以及</w:t>
      </w:r>
      <w:r>
        <w:rPr>
          <w:rFonts w:hint="eastAsia" w:ascii="楷体" w:hAnsi="楷体" w:eastAsia="楷体" w:cs="楷体"/>
          <w:color w:val="auto"/>
          <w:szCs w:val="24"/>
          <w:highlight w:val="none"/>
          <w:lang w:eastAsia="zh-CN"/>
        </w:rPr>
        <w:t>采购代理机构</w:t>
      </w:r>
      <w:r>
        <w:rPr>
          <w:rFonts w:hint="eastAsia" w:ascii="楷体" w:hAnsi="楷体" w:eastAsia="楷体" w:cs="楷体"/>
          <w:color w:val="auto"/>
          <w:szCs w:val="24"/>
          <w:highlight w:val="none"/>
        </w:rPr>
        <w:t>认为合适的其他内容。《</w:t>
      </w:r>
      <w:r>
        <w:rPr>
          <w:rFonts w:hint="eastAsia" w:ascii="楷体" w:hAnsi="楷体" w:eastAsia="楷体" w:cs="楷体"/>
          <w:color w:val="auto"/>
          <w:spacing w:val="4"/>
          <w:szCs w:val="24"/>
          <w:highlight w:val="none"/>
        </w:rPr>
        <w:t>中华人民共和国政府采购法</w:t>
      </w:r>
      <w:r>
        <w:rPr>
          <w:rFonts w:hint="eastAsia" w:ascii="楷体" w:hAnsi="楷体" w:eastAsia="楷体" w:cs="楷体"/>
          <w:color w:val="auto"/>
          <w:szCs w:val="24"/>
          <w:highlight w:val="none"/>
        </w:rPr>
        <w:t>》第三十八条和关于印发《政府采购竞争性磋商采购方式管理暂行办法》的通知财库【2014】214号及《陕西省财政厅关于政府采购有关问题的通知》陕财办采资[2016]53号及文件等规定，</w:t>
      </w:r>
      <w:r>
        <w:rPr>
          <w:rFonts w:hint="eastAsia" w:ascii="楷体" w:hAnsi="楷体" w:eastAsia="楷体" w:cs="楷体"/>
          <w:b/>
          <w:color w:val="auto"/>
          <w:szCs w:val="24"/>
          <w:highlight w:val="none"/>
        </w:rPr>
        <w:t>不在每轮磋商结束时公开供应商的报价。</w:t>
      </w:r>
    </w:p>
    <w:p w14:paraId="74E378B8">
      <w:pPr>
        <w:spacing w:line="360" w:lineRule="auto"/>
        <w:ind w:firstLine="480" w:firstLineChars="200"/>
        <w:rPr>
          <w:rFonts w:hint="eastAsia" w:ascii="楷体" w:hAnsi="楷体" w:eastAsia="楷体" w:cs="楷体"/>
          <w:color w:val="auto"/>
          <w:szCs w:val="24"/>
          <w:highlight w:val="none"/>
        </w:rPr>
      </w:pPr>
      <w:r>
        <w:rPr>
          <w:rFonts w:hint="eastAsia" w:ascii="楷体" w:hAnsi="楷体" w:eastAsia="楷体" w:cs="楷体"/>
          <w:color w:val="auto"/>
          <w:szCs w:val="24"/>
          <w:highlight w:val="none"/>
        </w:rPr>
        <w:t>20.3</w:t>
      </w:r>
      <w:r>
        <w:rPr>
          <w:rFonts w:hint="eastAsia" w:ascii="楷体" w:hAnsi="楷体" w:eastAsia="楷体" w:cs="楷体"/>
          <w:color w:val="auto"/>
          <w:szCs w:val="24"/>
          <w:highlight w:val="none"/>
          <w:lang w:eastAsia="zh-CN"/>
        </w:rPr>
        <w:t>采购代理机构</w:t>
      </w:r>
      <w:r>
        <w:rPr>
          <w:rFonts w:hint="eastAsia" w:ascii="楷体" w:hAnsi="楷体" w:eastAsia="楷体" w:cs="楷体"/>
          <w:color w:val="auto"/>
          <w:szCs w:val="24"/>
          <w:highlight w:val="none"/>
        </w:rPr>
        <w:t>将做磋商记录，存档备查。</w:t>
      </w:r>
    </w:p>
    <w:p w14:paraId="5B945A60">
      <w:pPr>
        <w:spacing w:line="360" w:lineRule="auto"/>
        <w:rPr>
          <w:rFonts w:hint="eastAsia" w:ascii="楷体" w:hAnsi="楷体" w:eastAsia="楷体" w:cs="楷体"/>
          <w:b/>
          <w:color w:val="auto"/>
          <w:szCs w:val="24"/>
          <w:highlight w:val="none"/>
        </w:rPr>
      </w:pPr>
      <w:r>
        <w:rPr>
          <w:rFonts w:hint="eastAsia" w:ascii="楷体" w:hAnsi="楷体" w:eastAsia="楷体" w:cs="楷体"/>
          <w:b/>
          <w:color w:val="auto"/>
          <w:szCs w:val="24"/>
          <w:highlight w:val="none"/>
        </w:rPr>
        <w:t>21．评审组织及评审原则</w:t>
      </w:r>
    </w:p>
    <w:p w14:paraId="5F7AA0FC">
      <w:pPr>
        <w:spacing w:line="360" w:lineRule="auto"/>
        <w:ind w:firstLine="480" w:firstLineChars="200"/>
        <w:rPr>
          <w:rFonts w:hint="eastAsia" w:ascii="楷体" w:hAnsi="楷体" w:eastAsia="楷体" w:cs="楷体"/>
          <w:color w:val="auto"/>
          <w:szCs w:val="24"/>
          <w:highlight w:val="none"/>
        </w:rPr>
      </w:pPr>
      <w:r>
        <w:rPr>
          <w:rFonts w:hint="eastAsia" w:ascii="楷体" w:hAnsi="楷体" w:eastAsia="楷体" w:cs="楷体"/>
          <w:color w:val="auto"/>
          <w:szCs w:val="24"/>
          <w:highlight w:val="none"/>
        </w:rPr>
        <w:t>21.1按照《中华人民共和国政府采购法》、《中华人民共和国政府采购法实施条例》和关于印发《政府采购竞争性磋商采购方式管理暂行办法》的通知财库【2014】214号等规定，依法组建磋商小组。磋商小组由</w:t>
      </w:r>
      <w:r>
        <w:rPr>
          <w:rFonts w:hint="eastAsia" w:ascii="楷体" w:hAnsi="楷体" w:eastAsia="楷体" w:cs="楷体"/>
          <w:color w:val="auto"/>
          <w:szCs w:val="24"/>
          <w:highlight w:val="none"/>
          <w:lang w:eastAsia="zh-CN"/>
        </w:rPr>
        <w:t>采购人代表</w:t>
      </w:r>
      <w:r>
        <w:rPr>
          <w:rFonts w:hint="eastAsia" w:ascii="楷体" w:hAnsi="楷体" w:eastAsia="楷体" w:cs="楷体"/>
          <w:color w:val="auto"/>
          <w:szCs w:val="24"/>
          <w:highlight w:val="none"/>
        </w:rPr>
        <w:t>和评审专家共3人以上单数组成</w:t>
      </w:r>
      <w:r>
        <w:rPr>
          <w:rFonts w:hint="eastAsia" w:ascii="楷体" w:hAnsi="楷体" w:eastAsia="楷体" w:cs="楷体"/>
          <w:color w:val="auto"/>
          <w:szCs w:val="24"/>
          <w:highlight w:val="none"/>
          <w:lang w:eastAsia="zh-CN"/>
        </w:rPr>
        <w:t>，</w:t>
      </w:r>
      <w:r>
        <w:rPr>
          <w:rFonts w:hint="eastAsia" w:ascii="楷体" w:hAnsi="楷体" w:eastAsia="楷体" w:cs="楷体"/>
          <w:color w:val="auto"/>
          <w:szCs w:val="24"/>
          <w:highlight w:val="none"/>
        </w:rPr>
        <w:t>其中评审专家人数不得少于成员总数的三分之二</w:t>
      </w:r>
      <w:r>
        <w:rPr>
          <w:rFonts w:hint="eastAsia" w:ascii="楷体" w:hAnsi="楷体" w:eastAsia="楷体" w:cs="楷体"/>
          <w:color w:val="auto"/>
          <w:szCs w:val="24"/>
          <w:highlight w:val="none"/>
          <w:lang w:eastAsia="zh-CN"/>
        </w:rPr>
        <w:t>。采购人或者采购代理机构负责核对评审专家身份和采购人代表授权函，对评审专家在政府采购活动中的职责履行情况予以记录，并及时将有关违法违规行为向财政部门报告</w:t>
      </w:r>
      <w:r>
        <w:rPr>
          <w:rFonts w:hint="eastAsia" w:ascii="楷体" w:hAnsi="楷体" w:eastAsia="楷体" w:cs="楷体"/>
          <w:color w:val="auto"/>
          <w:szCs w:val="24"/>
          <w:highlight w:val="none"/>
        </w:rPr>
        <w:t>。磋商小组按照磋商文件规定的评审方法独立进行评审工作。</w:t>
      </w:r>
    </w:p>
    <w:p w14:paraId="0CFEA229">
      <w:pPr>
        <w:spacing w:line="360" w:lineRule="auto"/>
        <w:ind w:firstLine="480" w:firstLineChars="200"/>
        <w:rPr>
          <w:rFonts w:hint="eastAsia" w:ascii="楷体" w:hAnsi="楷体" w:eastAsia="楷体" w:cs="楷体"/>
          <w:color w:val="auto"/>
          <w:szCs w:val="24"/>
          <w:highlight w:val="none"/>
        </w:rPr>
      </w:pPr>
      <w:r>
        <w:rPr>
          <w:rFonts w:hint="eastAsia" w:ascii="楷体" w:hAnsi="楷体" w:eastAsia="楷体" w:cs="楷体"/>
          <w:color w:val="auto"/>
          <w:szCs w:val="24"/>
          <w:highlight w:val="none"/>
        </w:rPr>
        <w:t>21.2磋商文件和磋商响应文件是评审的依据。在评审中，不得改变磋商文件中规定的评审标准、方法和成交条件。供应商不得在磋商后使用任何方式对磋商响应文件的实质性内容做任何更改。</w:t>
      </w:r>
    </w:p>
    <w:p w14:paraId="7B29704E">
      <w:pPr>
        <w:spacing w:line="360" w:lineRule="auto"/>
        <w:ind w:firstLine="480" w:firstLineChars="200"/>
        <w:rPr>
          <w:rFonts w:hint="eastAsia" w:ascii="楷体" w:hAnsi="楷体" w:eastAsia="楷体" w:cs="楷体"/>
          <w:color w:val="auto"/>
          <w:szCs w:val="24"/>
          <w:highlight w:val="none"/>
        </w:rPr>
      </w:pPr>
      <w:r>
        <w:rPr>
          <w:rFonts w:hint="eastAsia" w:ascii="楷体" w:hAnsi="楷体" w:eastAsia="楷体" w:cs="楷体"/>
          <w:color w:val="auto"/>
          <w:szCs w:val="24"/>
          <w:highlight w:val="none"/>
        </w:rPr>
        <w:t>21.3在评审期间，对磋商响应文件中含义不明确、同类问题表述不一致或者有明显文字和计算错误的内容，磋商小组可以书面形式（由磋商小组全体专家签字）要求供应商作出必要的澄清、说明或者纠正。供应商的澄清、说明或者补正应当采用书面形式，由其授权的代表签字，并不得超出磋商响应文件的范围或者改变磋商响应文件的实质性内容。</w:t>
      </w:r>
    </w:p>
    <w:p w14:paraId="30B20E2B">
      <w:pPr>
        <w:spacing w:line="360" w:lineRule="auto"/>
        <w:ind w:firstLine="480" w:firstLineChars="200"/>
        <w:rPr>
          <w:rFonts w:hint="eastAsia" w:ascii="楷体" w:hAnsi="楷体" w:eastAsia="楷体" w:cs="楷体"/>
          <w:color w:val="auto"/>
          <w:szCs w:val="24"/>
          <w:highlight w:val="none"/>
        </w:rPr>
      </w:pPr>
      <w:r>
        <w:rPr>
          <w:rFonts w:hint="eastAsia" w:ascii="楷体" w:hAnsi="楷体" w:eastAsia="楷体" w:cs="楷体"/>
          <w:color w:val="auto"/>
          <w:szCs w:val="24"/>
          <w:highlight w:val="none"/>
        </w:rPr>
        <w:t>21.4如果供应商在澄清规定期限内，未能答复或拒绝答复磋商小组提出的澄清要求，将由磋商小组根据其磋商响应文件按最大风险进行评审。</w:t>
      </w:r>
    </w:p>
    <w:p w14:paraId="3E037130">
      <w:pPr>
        <w:spacing w:line="360" w:lineRule="auto"/>
        <w:ind w:firstLine="480" w:firstLineChars="200"/>
        <w:rPr>
          <w:rFonts w:hint="eastAsia" w:ascii="楷体" w:hAnsi="楷体" w:eastAsia="楷体" w:cs="楷体"/>
          <w:color w:val="auto"/>
          <w:szCs w:val="24"/>
          <w:highlight w:val="none"/>
        </w:rPr>
      </w:pPr>
      <w:r>
        <w:rPr>
          <w:rFonts w:hint="eastAsia" w:ascii="楷体" w:hAnsi="楷体" w:eastAsia="楷体" w:cs="楷体"/>
          <w:color w:val="auto"/>
          <w:szCs w:val="24"/>
          <w:highlight w:val="none"/>
        </w:rPr>
        <w:t>21.5磋商过程中的实质性变动：</w:t>
      </w:r>
    </w:p>
    <w:p w14:paraId="42E11244">
      <w:pPr>
        <w:spacing w:line="360" w:lineRule="auto"/>
        <w:ind w:firstLine="480" w:firstLineChars="200"/>
        <w:rPr>
          <w:rFonts w:hint="eastAsia" w:ascii="楷体" w:hAnsi="楷体" w:eastAsia="楷体" w:cs="楷体"/>
          <w:color w:val="auto"/>
          <w:szCs w:val="24"/>
          <w:highlight w:val="none"/>
        </w:rPr>
      </w:pPr>
      <w:r>
        <w:rPr>
          <w:rFonts w:hint="eastAsia" w:ascii="楷体" w:hAnsi="楷体" w:eastAsia="楷体" w:cs="楷体"/>
          <w:color w:val="auto"/>
          <w:szCs w:val="24"/>
          <w:highlight w:val="none"/>
        </w:rPr>
        <w:t>21.5.1在磋商过程中，磋商小组可以根据磋商文件和磋商情况在最终报价之前实质性变动采购需求中的技术、服务要求以及合同草案条款，但不得变动磋商文件中的其他内容。实质性变动的内容，须经采购人代表确认。</w:t>
      </w:r>
    </w:p>
    <w:p w14:paraId="2EBE587F">
      <w:pPr>
        <w:spacing w:line="360" w:lineRule="auto"/>
        <w:ind w:firstLine="480" w:firstLineChars="200"/>
        <w:rPr>
          <w:rFonts w:hint="eastAsia" w:ascii="楷体" w:hAnsi="楷体" w:eastAsia="楷体" w:cs="楷体"/>
          <w:color w:val="auto"/>
          <w:szCs w:val="24"/>
          <w:highlight w:val="none"/>
        </w:rPr>
      </w:pPr>
      <w:r>
        <w:rPr>
          <w:rFonts w:hint="eastAsia" w:ascii="楷体" w:hAnsi="楷体" w:eastAsia="楷体" w:cs="楷体"/>
          <w:color w:val="auto"/>
          <w:szCs w:val="24"/>
          <w:highlight w:val="none"/>
        </w:rPr>
        <w:t>21.5.2对磋商文件做出的实质性变动是磋商文件的有效组成部分，磋商小组应当及时以书面形式通知所有参加磋商的供应商。</w:t>
      </w:r>
    </w:p>
    <w:p w14:paraId="39B4D5E2">
      <w:pPr>
        <w:spacing w:line="360" w:lineRule="auto"/>
        <w:ind w:firstLine="482" w:firstLineChars="200"/>
        <w:rPr>
          <w:rFonts w:hint="eastAsia" w:ascii="楷体" w:hAnsi="楷体" w:eastAsia="楷体" w:cs="楷体"/>
          <w:b/>
          <w:color w:val="auto"/>
          <w:szCs w:val="24"/>
          <w:highlight w:val="none"/>
        </w:rPr>
      </w:pPr>
      <w:r>
        <w:rPr>
          <w:rFonts w:hint="eastAsia" w:ascii="楷体" w:hAnsi="楷体" w:eastAsia="楷体" w:cs="楷体"/>
          <w:b/>
          <w:color w:val="auto"/>
          <w:szCs w:val="24"/>
          <w:highlight w:val="none"/>
        </w:rPr>
        <w:t>21.6磋商响应文件的初审（含资格性审查和符合性审查）</w:t>
      </w:r>
    </w:p>
    <w:p w14:paraId="25E987B6">
      <w:pPr>
        <w:spacing w:line="360" w:lineRule="auto"/>
        <w:ind w:firstLine="480" w:firstLineChars="200"/>
        <w:rPr>
          <w:rFonts w:hint="eastAsia" w:ascii="楷体" w:hAnsi="楷体" w:eastAsia="楷体" w:cs="楷体"/>
          <w:color w:val="auto"/>
          <w:szCs w:val="24"/>
          <w:highlight w:val="none"/>
        </w:rPr>
      </w:pPr>
      <w:r>
        <w:rPr>
          <w:rFonts w:hint="eastAsia" w:ascii="楷体" w:hAnsi="楷体" w:eastAsia="楷体" w:cs="楷体"/>
          <w:color w:val="auto"/>
          <w:szCs w:val="24"/>
          <w:highlight w:val="none"/>
        </w:rPr>
        <w:t>21.6.1采购人应当依法对供应商的资格进行审查；评审小组应当对符合资格的供应商的磋商响应文件进行符合性审查，以确定其是否满足磋商文件的实质性要求。</w:t>
      </w:r>
    </w:p>
    <w:p w14:paraId="3F758F4B">
      <w:pPr>
        <w:spacing w:line="360" w:lineRule="auto"/>
        <w:ind w:firstLine="480" w:firstLineChars="200"/>
        <w:rPr>
          <w:rFonts w:hint="eastAsia" w:ascii="楷体" w:hAnsi="楷体" w:eastAsia="楷体" w:cs="楷体"/>
          <w:color w:val="auto"/>
          <w:szCs w:val="24"/>
          <w:highlight w:val="none"/>
        </w:rPr>
      </w:pPr>
      <w:r>
        <w:rPr>
          <w:rFonts w:hint="eastAsia" w:ascii="楷体" w:hAnsi="楷体" w:eastAsia="楷体" w:cs="楷体"/>
          <w:color w:val="auto"/>
          <w:szCs w:val="24"/>
          <w:highlight w:val="none"/>
        </w:rPr>
        <w:t>21.6.2计算错误将按以下方法更正：①磋商响应文件中磋商一览表（磋商报价表）内容与磋商响应文件中相应内容不一致的，以磋商一览表（磋商报价表）为准；②大写金额和小写金额不一致的，以大写金额为准；③单价金额小数点或者百分比有明显错位的，以磋商一览表的总价为准，并修改单价；④总价金额与按单价汇总金额不一致的，以单价金额计算结果为准。同时出现两种以上不一致的，按照前款规定的顺序修正。修正后的报价按照磋商文件21.3条的规定经供应商确认后产生约束力，供应商不同意以上修正的，其磋商无效。</w:t>
      </w:r>
    </w:p>
    <w:p w14:paraId="78200F33">
      <w:pPr>
        <w:spacing w:line="360" w:lineRule="auto"/>
        <w:ind w:firstLine="480" w:firstLineChars="200"/>
        <w:rPr>
          <w:rFonts w:hint="eastAsia" w:ascii="楷体" w:hAnsi="楷体" w:eastAsia="楷体" w:cs="楷体"/>
          <w:color w:val="auto"/>
          <w:szCs w:val="24"/>
          <w:highlight w:val="none"/>
        </w:rPr>
      </w:pPr>
      <w:r>
        <w:rPr>
          <w:rFonts w:hint="eastAsia" w:ascii="楷体" w:hAnsi="楷体" w:eastAsia="楷体" w:cs="楷体"/>
          <w:color w:val="auto"/>
          <w:szCs w:val="24"/>
          <w:highlight w:val="none"/>
        </w:rPr>
        <w:t>21.6.3在详细评审前，根据本须知第21.6.</w:t>
      </w:r>
      <w:r>
        <w:rPr>
          <w:rFonts w:hint="eastAsia" w:ascii="楷体" w:hAnsi="楷体" w:eastAsia="楷体" w:cs="楷体"/>
          <w:color w:val="auto"/>
          <w:szCs w:val="24"/>
          <w:highlight w:val="none"/>
          <w:lang w:val="en-US" w:eastAsia="zh-CN"/>
        </w:rPr>
        <w:t>4</w:t>
      </w:r>
      <w:r>
        <w:rPr>
          <w:rFonts w:hint="eastAsia" w:ascii="楷体" w:hAnsi="楷体" w:eastAsia="楷体" w:cs="楷体"/>
          <w:color w:val="auto"/>
          <w:szCs w:val="24"/>
          <w:highlight w:val="none"/>
        </w:rPr>
        <w:t>条的规定，评审小组要审查每份磋商响应文件是否实质上响应了磋商文件的要求。对关键条文的偏离、保留或反对将被认为是实质上的偏离，这些偏离不允许在开标后修正。但允许修改不构成重大偏离的、微小的、非正规的不一致或不规则的地方。</w:t>
      </w:r>
    </w:p>
    <w:p w14:paraId="5268EF5A">
      <w:pPr>
        <w:spacing w:line="360" w:lineRule="auto"/>
        <w:ind w:firstLine="480" w:firstLineChars="200"/>
        <w:rPr>
          <w:rFonts w:hint="eastAsia" w:ascii="楷体" w:hAnsi="楷体" w:eastAsia="楷体" w:cs="楷体"/>
          <w:color w:val="auto"/>
          <w:szCs w:val="24"/>
          <w:highlight w:val="none"/>
        </w:rPr>
      </w:pPr>
      <w:r>
        <w:rPr>
          <w:rFonts w:hint="eastAsia" w:ascii="楷体" w:hAnsi="楷体" w:eastAsia="楷体" w:cs="楷体"/>
          <w:color w:val="auto"/>
          <w:szCs w:val="24"/>
          <w:highlight w:val="none"/>
        </w:rPr>
        <w:t>21.6.4实质上没有响应磋商文件要求的磋商将被拒绝。供应商不得通过修正或撤销不合要求的偏离从而使其磋商成为实质性响应的磋商。如发现下列情况之一的，其磋商将构成</w:t>
      </w:r>
      <w:r>
        <w:rPr>
          <w:rFonts w:hint="eastAsia" w:ascii="楷体" w:hAnsi="楷体" w:eastAsia="楷体" w:cs="楷体"/>
          <w:color w:val="auto"/>
          <w:szCs w:val="24"/>
          <w:highlight w:val="none"/>
          <w:lang w:val="en-US" w:eastAsia="zh-CN"/>
        </w:rPr>
        <w:t>未</w:t>
      </w:r>
      <w:r>
        <w:rPr>
          <w:rFonts w:hint="eastAsia" w:ascii="楷体" w:hAnsi="楷体" w:eastAsia="楷体" w:cs="楷体"/>
          <w:color w:val="auto"/>
          <w:szCs w:val="24"/>
          <w:highlight w:val="none"/>
        </w:rPr>
        <w:t>实质性响应，按无效响应处理：</w:t>
      </w:r>
    </w:p>
    <w:p w14:paraId="7C028692">
      <w:pPr>
        <w:tabs>
          <w:tab w:val="left" w:pos="1260"/>
        </w:tabs>
        <w:spacing w:line="360" w:lineRule="auto"/>
        <w:ind w:firstLine="480" w:firstLineChars="200"/>
        <w:rPr>
          <w:rFonts w:hint="eastAsia" w:ascii="楷体" w:hAnsi="楷体" w:eastAsia="楷体" w:cs="楷体"/>
          <w:color w:val="auto"/>
          <w:szCs w:val="24"/>
          <w:highlight w:val="none"/>
        </w:rPr>
      </w:pPr>
      <w:r>
        <w:rPr>
          <w:rFonts w:hint="eastAsia" w:ascii="楷体" w:hAnsi="楷体" w:eastAsia="楷体" w:cs="楷体"/>
          <w:color w:val="auto"/>
          <w:szCs w:val="24"/>
          <w:highlight w:val="none"/>
        </w:rPr>
        <w:t>21.6.4.1没有按照磋商文件要求提供的磋商响应文件或磋商响应文件构成有重大缺项；</w:t>
      </w:r>
    </w:p>
    <w:p w14:paraId="02ACCF8B">
      <w:pPr>
        <w:tabs>
          <w:tab w:val="left" w:pos="1260"/>
        </w:tabs>
        <w:spacing w:line="360" w:lineRule="auto"/>
        <w:ind w:firstLine="480" w:firstLineChars="200"/>
        <w:rPr>
          <w:rFonts w:hint="eastAsia" w:ascii="楷体" w:hAnsi="楷体" w:eastAsia="楷体" w:cs="楷体"/>
          <w:color w:val="auto"/>
          <w:szCs w:val="24"/>
          <w:highlight w:val="none"/>
        </w:rPr>
      </w:pPr>
      <w:r>
        <w:rPr>
          <w:rFonts w:hint="eastAsia" w:ascii="楷体" w:hAnsi="楷体" w:eastAsia="楷体" w:cs="楷体"/>
          <w:color w:val="auto"/>
          <w:szCs w:val="24"/>
          <w:highlight w:val="none"/>
        </w:rPr>
        <w:t>21.6.4.2磋商响应文件未按磋商文件要求签署、盖章</w:t>
      </w:r>
      <w:r>
        <w:rPr>
          <w:rFonts w:hint="eastAsia" w:ascii="楷体" w:hAnsi="楷体" w:eastAsia="楷体" w:cs="楷体"/>
          <w:color w:val="auto"/>
          <w:szCs w:val="24"/>
          <w:highlight w:val="none"/>
          <w:lang w:eastAsia="zh-CN"/>
        </w:rPr>
        <w:t>的</w:t>
      </w:r>
      <w:r>
        <w:rPr>
          <w:rFonts w:hint="eastAsia" w:ascii="楷体" w:hAnsi="楷体" w:eastAsia="楷体" w:cs="楷体"/>
          <w:color w:val="auto"/>
          <w:szCs w:val="24"/>
          <w:highlight w:val="none"/>
        </w:rPr>
        <w:t>；</w:t>
      </w:r>
    </w:p>
    <w:p w14:paraId="0384D96F">
      <w:pPr>
        <w:tabs>
          <w:tab w:val="left" w:pos="1260"/>
        </w:tabs>
        <w:spacing w:line="360" w:lineRule="auto"/>
        <w:ind w:firstLine="480" w:firstLineChars="200"/>
        <w:rPr>
          <w:rFonts w:hint="eastAsia" w:ascii="楷体" w:hAnsi="楷体" w:eastAsia="楷体" w:cs="楷体"/>
          <w:color w:val="auto"/>
          <w:szCs w:val="24"/>
          <w:highlight w:val="none"/>
        </w:rPr>
      </w:pPr>
      <w:r>
        <w:rPr>
          <w:rFonts w:hint="eastAsia" w:ascii="楷体" w:hAnsi="楷体" w:eastAsia="楷体" w:cs="楷体"/>
          <w:color w:val="auto"/>
          <w:szCs w:val="24"/>
          <w:highlight w:val="none"/>
        </w:rPr>
        <w:t>21.6.4.3资格证明文件不全的或无效的，或不符合国家规定的；</w:t>
      </w:r>
    </w:p>
    <w:p w14:paraId="65ED3343">
      <w:pPr>
        <w:tabs>
          <w:tab w:val="left" w:pos="1260"/>
        </w:tabs>
        <w:spacing w:line="360" w:lineRule="auto"/>
        <w:ind w:firstLine="480" w:firstLineChars="200"/>
        <w:rPr>
          <w:rFonts w:hint="eastAsia" w:ascii="楷体" w:hAnsi="楷体" w:eastAsia="楷体" w:cs="楷体"/>
          <w:color w:val="auto"/>
          <w:szCs w:val="24"/>
          <w:highlight w:val="none"/>
        </w:rPr>
      </w:pPr>
      <w:r>
        <w:rPr>
          <w:rFonts w:hint="eastAsia" w:ascii="楷体" w:hAnsi="楷体" w:eastAsia="楷体" w:cs="楷体"/>
          <w:color w:val="auto"/>
          <w:szCs w:val="24"/>
          <w:highlight w:val="none"/>
        </w:rPr>
        <w:t>21.6.4.4磋商响应文件无供应商公章、无法定代表人签字或签字人无法定代表人有效委托书的；</w:t>
      </w:r>
    </w:p>
    <w:p w14:paraId="4D209917">
      <w:pPr>
        <w:tabs>
          <w:tab w:val="left" w:pos="1260"/>
        </w:tabs>
        <w:spacing w:line="360" w:lineRule="auto"/>
        <w:ind w:firstLine="480" w:firstLineChars="200"/>
        <w:rPr>
          <w:rFonts w:hint="eastAsia" w:ascii="楷体" w:hAnsi="楷体" w:eastAsia="楷体" w:cs="楷体"/>
          <w:color w:val="auto"/>
          <w:szCs w:val="24"/>
          <w:highlight w:val="none"/>
        </w:rPr>
      </w:pPr>
      <w:r>
        <w:rPr>
          <w:rFonts w:hint="eastAsia" w:ascii="楷体" w:hAnsi="楷体" w:eastAsia="楷体" w:cs="楷体"/>
          <w:color w:val="auto"/>
          <w:szCs w:val="24"/>
          <w:highlight w:val="none"/>
        </w:rPr>
        <w:t>21.6.4.5</w:t>
      </w:r>
      <w:r>
        <w:rPr>
          <w:rFonts w:hint="eastAsia" w:ascii="楷体" w:hAnsi="楷体" w:eastAsia="楷体" w:cs="楷体"/>
          <w:color w:val="auto"/>
          <w:spacing w:val="-6"/>
          <w:szCs w:val="24"/>
          <w:highlight w:val="none"/>
        </w:rPr>
        <w:t>无磋商有效期或有效期不满足磋商文件要求的</w:t>
      </w:r>
      <w:r>
        <w:rPr>
          <w:rFonts w:hint="eastAsia" w:ascii="楷体" w:hAnsi="楷体" w:eastAsia="楷体" w:cs="楷体"/>
          <w:color w:val="auto"/>
          <w:szCs w:val="24"/>
          <w:highlight w:val="none"/>
        </w:rPr>
        <w:t>；</w:t>
      </w:r>
    </w:p>
    <w:p w14:paraId="6847C844">
      <w:pPr>
        <w:tabs>
          <w:tab w:val="left" w:pos="1260"/>
        </w:tabs>
        <w:spacing w:line="360" w:lineRule="auto"/>
        <w:ind w:firstLine="480" w:firstLineChars="200"/>
        <w:rPr>
          <w:rFonts w:hint="eastAsia" w:ascii="楷体" w:hAnsi="楷体" w:eastAsia="楷体" w:cs="楷体"/>
          <w:color w:val="auto"/>
          <w:szCs w:val="24"/>
          <w:highlight w:val="none"/>
        </w:rPr>
      </w:pPr>
      <w:r>
        <w:rPr>
          <w:rFonts w:hint="eastAsia" w:ascii="楷体" w:hAnsi="楷体" w:eastAsia="楷体" w:cs="楷体"/>
          <w:color w:val="auto"/>
          <w:szCs w:val="24"/>
          <w:highlight w:val="none"/>
        </w:rPr>
        <w:t>21.6.4.6供应商在同一份磋商响应文件中，有两个或多个报价的；</w:t>
      </w:r>
    </w:p>
    <w:p w14:paraId="149A182C">
      <w:pPr>
        <w:tabs>
          <w:tab w:val="left" w:pos="1260"/>
        </w:tabs>
        <w:spacing w:line="360" w:lineRule="auto"/>
        <w:ind w:firstLine="480" w:firstLineChars="200"/>
        <w:rPr>
          <w:rFonts w:hint="eastAsia" w:ascii="楷体" w:hAnsi="楷体" w:eastAsia="楷体" w:cs="楷体"/>
          <w:color w:val="auto"/>
          <w:szCs w:val="24"/>
          <w:highlight w:val="none"/>
        </w:rPr>
      </w:pPr>
      <w:r>
        <w:rPr>
          <w:rFonts w:hint="eastAsia" w:ascii="楷体" w:hAnsi="楷体" w:eastAsia="楷体" w:cs="楷体"/>
          <w:color w:val="auto"/>
          <w:szCs w:val="24"/>
          <w:highlight w:val="none"/>
        </w:rPr>
        <w:t>21.6.4.</w:t>
      </w:r>
      <w:r>
        <w:rPr>
          <w:rFonts w:hint="eastAsia" w:ascii="楷体" w:hAnsi="楷体" w:eastAsia="楷体" w:cs="楷体"/>
          <w:color w:val="auto"/>
          <w:szCs w:val="24"/>
          <w:highlight w:val="none"/>
          <w:lang w:val="en-US" w:eastAsia="zh-CN"/>
        </w:rPr>
        <w:t>7</w:t>
      </w:r>
      <w:r>
        <w:rPr>
          <w:rFonts w:hint="eastAsia" w:ascii="楷体" w:hAnsi="楷体" w:eastAsia="楷体" w:cs="楷体"/>
          <w:szCs w:val="24"/>
          <w:highlight w:val="none"/>
        </w:rPr>
        <w:t>存在有重大缺漏项（评审中进行扣分的除外）的；</w:t>
      </w:r>
    </w:p>
    <w:p w14:paraId="0EA1D92A">
      <w:pPr>
        <w:tabs>
          <w:tab w:val="left" w:pos="1260"/>
        </w:tabs>
        <w:spacing w:line="360" w:lineRule="auto"/>
        <w:ind w:firstLine="480" w:firstLineChars="200"/>
        <w:rPr>
          <w:rFonts w:hint="eastAsia" w:ascii="楷体" w:hAnsi="楷体" w:eastAsia="楷体" w:cs="楷体"/>
          <w:color w:val="auto"/>
          <w:szCs w:val="24"/>
          <w:highlight w:val="none"/>
        </w:rPr>
      </w:pPr>
      <w:r>
        <w:rPr>
          <w:rFonts w:hint="eastAsia" w:ascii="楷体" w:hAnsi="楷体" w:eastAsia="楷体" w:cs="楷体"/>
          <w:color w:val="auto"/>
          <w:szCs w:val="24"/>
          <w:highlight w:val="none"/>
        </w:rPr>
        <w:t>21.6.4.</w:t>
      </w:r>
      <w:r>
        <w:rPr>
          <w:rFonts w:hint="eastAsia" w:ascii="楷体" w:hAnsi="楷体" w:eastAsia="楷体" w:cs="楷体"/>
          <w:color w:val="auto"/>
          <w:szCs w:val="24"/>
          <w:highlight w:val="none"/>
          <w:lang w:val="en-US" w:eastAsia="zh-CN"/>
        </w:rPr>
        <w:t>8</w:t>
      </w:r>
      <w:r>
        <w:rPr>
          <w:rFonts w:hint="eastAsia" w:ascii="楷体" w:hAnsi="楷体" w:eastAsia="楷体" w:cs="楷体"/>
          <w:color w:val="auto"/>
          <w:szCs w:val="24"/>
          <w:highlight w:val="none"/>
        </w:rPr>
        <w:t>供应商有串通磋商、以他人名义磋商、行贿、提供虚假证明（包括第三方提供的虚假证明），开具虚假资质，出现虚假应答的，除按无效响应处理外，还将按照政府采购的有关规定进行处罚；</w:t>
      </w:r>
    </w:p>
    <w:p w14:paraId="5393F84A">
      <w:pPr>
        <w:spacing w:line="360" w:lineRule="auto"/>
        <w:ind w:firstLine="480" w:firstLineChars="200"/>
        <w:rPr>
          <w:rFonts w:hint="eastAsia" w:ascii="楷体" w:hAnsi="楷体" w:eastAsia="楷体" w:cs="楷体"/>
          <w:color w:val="auto"/>
          <w:szCs w:val="24"/>
          <w:highlight w:val="none"/>
        </w:rPr>
      </w:pPr>
      <w:r>
        <w:rPr>
          <w:rFonts w:hint="eastAsia" w:ascii="楷体" w:hAnsi="楷体" w:eastAsia="楷体" w:cs="楷体"/>
          <w:color w:val="auto"/>
          <w:szCs w:val="24"/>
          <w:highlight w:val="none"/>
        </w:rPr>
        <w:t>21.6.4.</w:t>
      </w:r>
      <w:r>
        <w:rPr>
          <w:rFonts w:hint="eastAsia" w:ascii="楷体" w:hAnsi="楷体" w:eastAsia="楷体" w:cs="楷体"/>
          <w:color w:val="auto"/>
          <w:szCs w:val="24"/>
          <w:highlight w:val="none"/>
          <w:lang w:val="en-US" w:eastAsia="zh-CN"/>
        </w:rPr>
        <w:t>9</w:t>
      </w:r>
      <w:r>
        <w:rPr>
          <w:rFonts w:hint="eastAsia" w:ascii="楷体" w:hAnsi="楷体" w:eastAsia="楷体" w:cs="楷体"/>
          <w:color w:val="auto"/>
          <w:szCs w:val="24"/>
          <w:highlight w:val="none"/>
        </w:rPr>
        <w:t>磋商响应文件名称与本项目名称不一致的；</w:t>
      </w:r>
    </w:p>
    <w:p w14:paraId="0BA7744B">
      <w:pPr>
        <w:spacing w:line="360" w:lineRule="auto"/>
        <w:ind w:firstLine="480" w:firstLineChars="200"/>
        <w:rPr>
          <w:rFonts w:hint="eastAsia" w:ascii="楷体" w:hAnsi="楷体" w:eastAsia="楷体" w:cs="楷体"/>
          <w:color w:val="auto"/>
          <w:szCs w:val="24"/>
          <w:highlight w:val="none"/>
        </w:rPr>
      </w:pPr>
      <w:r>
        <w:rPr>
          <w:rFonts w:hint="eastAsia" w:ascii="楷体" w:hAnsi="楷体" w:eastAsia="楷体" w:cs="楷体"/>
          <w:color w:val="auto"/>
          <w:szCs w:val="24"/>
          <w:highlight w:val="none"/>
        </w:rPr>
        <w:t>21.6.4.</w:t>
      </w:r>
      <w:r>
        <w:rPr>
          <w:rFonts w:hint="eastAsia" w:ascii="楷体" w:hAnsi="楷体" w:eastAsia="楷体" w:cs="楷体"/>
          <w:color w:val="auto"/>
          <w:szCs w:val="24"/>
          <w:highlight w:val="none"/>
          <w:lang w:val="en-US" w:eastAsia="zh-CN"/>
        </w:rPr>
        <w:t>10</w:t>
      </w:r>
      <w:r>
        <w:rPr>
          <w:rFonts w:hint="eastAsia" w:ascii="楷体" w:hAnsi="楷体" w:eastAsia="楷体" w:cs="楷体"/>
          <w:color w:val="auto"/>
          <w:szCs w:val="24"/>
          <w:highlight w:val="none"/>
        </w:rPr>
        <w:t>磋商总报价低于成本或者高于磋商文件公布的采购预算的。</w:t>
      </w:r>
    </w:p>
    <w:p w14:paraId="56FD02B6">
      <w:pPr>
        <w:spacing w:line="360" w:lineRule="auto"/>
        <w:ind w:firstLine="480" w:firstLineChars="200"/>
        <w:rPr>
          <w:rFonts w:hint="eastAsia" w:ascii="楷体" w:hAnsi="楷体" w:eastAsia="楷体" w:cs="楷体"/>
          <w:color w:val="auto"/>
          <w:szCs w:val="24"/>
          <w:highlight w:val="none"/>
        </w:rPr>
      </w:pPr>
      <w:r>
        <w:rPr>
          <w:rFonts w:hint="eastAsia" w:ascii="楷体" w:hAnsi="楷体" w:eastAsia="楷体" w:cs="楷体"/>
          <w:color w:val="auto"/>
          <w:szCs w:val="24"/>
          <w:highlight w:val="none"/>
        </w:rPr>
        <w:t>21.7磋商响应文件的详细评审</w:t>
      </w:r>
    </w:p>
    <w:p w14:paraId="20312749">
      <w:pPr>
        <w:spacing w:line="360" w:lineRule="auto"/>
        <w:ind w:firstLine="480" w:firstLineChars="200"/>
        <w:rPr>
          <w:rFonts w:hint="eastAsia" w:ascii="楷体" w:hAnsi="楷体" w:eastAsia="楷体" w:cs="楷体"/>
          <w:color w:val="auto"/>
          <w:szCs w:val="24"/>
          <w:highlight w:val="none"/>
        </w:rPr>
      </w:pPr>
      <w:r>
        <w:rPr>
          <w:rFonts w:hint="eastAsia" w:ascii="楷体" w:hAnsi="楷体" w:eastAsia="楷体" w:cs="楷体"/>
          <w:color w:val="auto"/>
          <w:szCs w:val="24"/>
          <w:highlight w:val="none"/>
        </w:rPr>
        <w:t>21.7.1评审小组将按照本须知第21.6.4条规定，只对确定为实质性响应磋商文件要求的磋商进行详细评审。评审时，评审小组各成员应当独立对每个供应商的磋商响应文件进行评价，并汇总每个供应商的得分。</w:t>
      </w:r>
    </w:p>
    <w:p w14:paraId="667BBC73">
      <w:pPr>
        <w:spacing w:line="360" w:lineRule="auto"/>
        <w:ind w:firstLine="480" w:firstLineChars="200"/>
        <w:rPr>
          <w:rFonts w:hint="eastAsia" w:ascii="楷体" w:hAnsi="楷体" w:eastAsia="楷体" w:cs="楷体"/>
          <w:color w:val="auto"/>
          <w:szCs w:val="24"/>
          <w:highlight w:val="none"/>
        </w:rPr>
      </w:pPr>
      <w:r>
        <w:rPr>
          <w:rFonts w:hint="eastAsia" w:ascii="楷体" w:hAnsi="楷体" w:eastAsia="楷体" w:cs="楷体"/>
          <w:color w:val="auto"/>
          <w:szCs w:val="24"/>
          <w:highlight w:val="none"/>
        </w:rPr>
        <w:t>21.7.2详细评审按照第五章“评审方法”的方法进行评审。</w:t>
      </w:r>
    </w:p>
    <w:p w14:paraId="1C52767B">
      <w:pPr>
        <w:spacing w:line="360" w:lineRule="auto"/>
        <w:ind w:firstLine="480" w:firstLineChars="200"/>
        <w:rPr>
          <w:rFonts w:hint="eastAsia" w:ascii="楷体" w:hAnsi="楷体" w:eastAsia="楷体" w:cs="楷体"/>
          <w:color w:val="auto"/>
          <w:szCs w:val="24"/>
          <w:highlight w:val="none"/>
        </w:rPr>
      </w:pPr>
      <w:r>
        <w:rPr>
          <w:rFonts w:hint="eastAsia" w:ascii="楷体" w:hAnsi="楷体" w:eastAsia="楷体" w:cs="楷体"/>
          <w:color w:val="auto"/>
          <w:szCs w:val="24"/>
          <w:highlight w:val="none"/>
        </w:rPr>
        <w:t>21.8成交候选人的确定</w:t>
      </w:r>
    </w:p>
    <w:p w14:paraId="09AE27F4">
      <w:pPr>
        <w:spacing w:line="360" w:lineRule="auto"/>
        <w:ind w:firstLine="480" w:firstLineChars="200"/>
        <w:rPr>
          <w:rFonts w:hint="eastAsia" w:ascii="楷体" w:hAnsi="楷体" w:eastAsia="楷体" w:cs="楷体"/>
          <w:color w:val="auto"/>
          <w:szCs w:val="24"/>
          <w:highlight w:val="none"/>
        </w:rPr>
      </w:pPr>
      <w:r>
        <w:rPr>
          <w:rFonts w:hint="eastAsia" w:ascii="楷体" w:hAnsi="楷体" w:eastAsia="楷体" w:cs="楷体"/>
          <w:color w:val="auto"/>
          <w:szCs w:val="24"/>
          <w:highlight w:val="none"/>
        </w:rPr>
        <w:t>21.8.1磋商小组完成评审后，向采购人提交书面磋商结果报告，并推荐一至三名成交候选人，标明排列顺序。</w:t>
      </w:r>
    </w:p>
    <w:p w14:paraId="5FAAEF30">
      <w:pPr>
        <w:spacing w:line="360" w:lineRule="auto"/>
        <w:rPr>
          <w:rFonts w:hint="eastAsia" w:ascii="楷体" w:hAnsi="楷体" w:eastAsia="楷体" w:cs="楷体"/>
          <w:b/>
          <w:color w:val="auto"/>
          <w:szCs w:val="24"/>
          <w:highlight w:val="none"/>
        </w:rPr>
      </w:pPr>
      <w:r>
        <w:rPr>
          <w:rFonts w:hint="eastAsia" w:ascii="楷体" w:hAnsi="楷体" w:eastAsia="楷体" w:cs="楷体"/>
          <w:b/>
          <w:color w:val="auto"/>
          <w:szCs w:val="24"/>
          <w:highlight w:val="none"/>
        </w:rPr>
        <w:t>22．评审过程的保密</w:t>
      </w:r>
    </w:p>
    <w:p w14:paraId="0F03B103">
      <w:pPr>
        <w:spacing w:line="360" w:lineRule="auto"/>
        <w:ind w:firstLine="480" w:firstLineChars="200"/>
        <w:rPr>
          <w:rFonts w:hint="eastAsia" w:ascii="楷体" w:hAnsi="楷体" w:eastAsia="楷体" w:cs="楷体"/>
          <w:color w:val="auto"/>
          <w:szCs w:val="24"/>
          <w:highlight w:val="none"/>
        </w:rPr>
      </w:pPr>
      <w:r>
        <w:rPr>
          <w:rFonts w:hint="eastAsia" w:ascii="楷体" w:hAnsi="楷体" w:eastAsia="楷体" w:cs="楷体"/>
          <w:color w:val="auto"/>
          <w:szCs w:val="24"/>
          <w:highlight w:val="none"/>
        </w:rPr>
        <w:t>22.1磋商小组全体成员和与评审活动有关的工作人员不得泄露有关磋商响应文件的评审和比较、成交候选人的推荐以及与评审有关的其他情况。</w:t>
      </w:r>
    </w:p>
    <w:p w14:paraId="605AD12B">
      <w:pPr>
        <w:spacing w:line="360" w:lineRule="auto"/>
        <w:ind w:firstLine="480" w:firstLineChars="200"/>
        <w:rPr>
          <w:rFonts w:hint="eastAsia" w:ascii="楷体" w:hAnsi="楷体" w:eastAsia="楷体" w:cs="楷体"/>
          <w:color w:val="auto"/>
          <w:szCs w:val="24"/>
          <w:highlight w:val="none"/>
        </w:rPr>
      </w:pPr>
      <w:r>
        <w:rPr>
          <w:rFonts w:hint="eastAsia" w:ascii="楷体" w:hAnsi="楷体" w:eastAsia="楷体" w:cs="楷体"/>
          <w:color w:val="auto"/>
          <w:szCs w:val="24"/>
          <w:highlight w:val="none"/>
        </w:rPr>
        <w:t>22.2在评审过程中，如果供应商试图在磋商响应文件的评审和比较、成交候选人的推荐以及与评审有关的其他方面，向磋商小组和采购人及</w:t>
      </w:r>
      <w:r>
        <w:rPr>
          <w:rFonts w:hint="eastAsia" w:ascii="楷体" w:hAnsi="楷体" w:eastAsia="楷体" w:cs="楷体"/>
          <w:color w:val="auto"/>
          <w:szCs w:val="24"/>
          <w:highlight w:val="none"/>
          <w:lang w:eastAsia="zh-CN"/>
        </w:rPr>
        <w:t>采购代理机构</w:t>
      </w:r>
      <w:r>
        <w:rPr>
          <w:rFonts w:hint="eastAsia" w:ascii="楷体" w:hAnsi="楷体" w:eastAsia="楷体" w:cs="楷体"/>
          <w:color w:val="auto"/>
          <w:szCs w:val="24"/>
          <w:highlight w:val="none"/>
        </w:rPr>
        <w:t>施加任何影响，应</w:t>
      </w:r>
      <w:r>
        <w:rPr>
          <w:rFonts w:hint="eastAsia" w:ascii="楷体" w:hAnsi="楷体" w:eastAsia="楷体" w:cs="楷体"/>
          <w:color w:val="auto"/>
          <w:szCs w:val="24"/>
          <w:highlight w:val="none"/>
          <w:lang w:eastAsia="zh-CN"/>
        </w:rPr>
        <w:t>取消其磋商资格</w:t>
      </w:r>
      <w:r>
        <w:rPr>
          <w:rFonts w:hint="eastAsia" w:ascii="楷体" w:hAnsi="楷体" w:eastAsia="楷体" w:cs="楷体"/>
          <w:color w:val="auto"/>
          <w:szCs w:val="24"/>
          <w:highlight w:val="none"/>
        </w:rPr>
        <w:t>。</w:t>
      </w:r>
    </w:p>
    <w:p w14:paraId="0678FD88">
      <w:pPr>
        <w:spacing w:line="360" w:lineRule="auto"/>
        <w:rPr>
          <w:rFonts w:hint="eastAsia" w:ascii="楷体" w:hAnsi="楷体" w:eastAsia="楷体" w:cs="楷体"/>
          <w:b/>
          <w:color w:val="auto"/>
          <w:szCs w:val="24"/>
          <w:highlight w:val="none"/>
        </w:rPr>
      </w:pPr>
      <w:r>
        <w:rPr>
          <w:rFonts w:hint="eastAsia" w:ascii="楷体" w:hAnsi="楷体" w:eastAsia="楷体" w:cs="楷体"/>
          <w:b/>
          <w:color w:val="auto"/>
          <w:szCs w:val="24"/>
          <w:highlight w:val="none"/>
        </w:rPr>
        <w:t>23．评审方法</w:t>
      </w:r>
    </w:p>
    <w:p w14:paraId="43D000A3">
      <w:pPr>
        <w:spacing w:line="360" w:lineRule="auto"/>
        <w:ind w:firstLine="480" w:firstLineChars="200"/>
        <w:rPr>
          <w:rFonts w:hint="eastAsia" w:ascii="楷体" w:hAnsi="楷体" w:eastAsia="楷体" w:cs="楷体"/>
          <w:color w:val="auto"/>
          <w:szCs w:val="24"/>
          <w:highlight w:val="none"/>
        </w:rPr>
      </w:pPr>
      <w:r>
        <w:rPr>
          <w:rFonts w:hint="eastAsia" w:ascii="楷体" w:hAnsi="楷体" w:eastAsia="楷体" w:cs="楷体"/>
          <w:color w:val="auto"/>
          <w:szCs w:val="24"/>
          <w:highlight w:val="none"/>
        </w:rPr>
        <w:t>23.1按照关于印发《政府采购竞争性磋商采购方式管理暂行办法》的通知财库【2014】214号的规定，本次评审采用综合评分法</w:t>
      </w:r>
      <w:r>
        <w:rPr>
          <w:rFonts w:hint="eastAsia" w:ascii="楷体" w:hAnsi="楷体" w:eastAsia="楷体" w:cs="楷体"/>
          <w:color w:val="auto"/>
          <w:szCs w:val="24"/>
          <w:highlight w:val="none"/>
          <w:lang w:eastAsia="zh-CN"/>
        </w:rPr>
        <w:t>，</w:t>
      </w:r>
      <w:r>
        <w:rPr>
          <w:rFonts w:hint="eastAsia" w:ascii="楷体" w:hAnsi="楷体" w:eastAsia="楷体" w:cs="楷体"/>
          <w:color w:val="auto"/>
          <w:szCs w:val="24"/>
          <w:highlight w:val="none"/>
        </w:rPr>
        <w:t>供应商在全部满足磋商文件实质性要求前提下，磋商小组应当根据综合评分情况，按照评审得分高低顺序推</w:t>
      </w:r>
      <w:r>
        <w:rPr>
          <w:rFonts w:hint="eastAsia" w:ascii="楷体" w:hAnsi="楷体" w:eastAsia="楷体" w:cs="楷体"/>
          <w:color w:val="auto"/>
          <w:szCs w:val="24"/>
          <w:highlight w:val="none"/>
          <w:lang w:eastAsia="zh-CN"/>
        </w:rPr>
        <w:t>荐</w:t>
      </w:r>
      <w:r>
        <w:rPr>
          <w:rFonts w:hint="eastAsia" w:ascii="楷体" w:hAnsi="楷体" w:eastAsia="楷体" w:cs="楷体"/>
          <w:color w:val="auto"/>
          <w:szCs w:val="24"/>
          <w:highlight w:val="none"/>
        </w:rPr>
        <w:t>一至三名成交候选供应商。</w:t>
      </w:r>
    </w:p>
    <w:p w14:paraId="245CDC71">
      <w:pPr>
        <w:spacing w:line="360" w:lineRule="auto"/>
        <w:rPr>
          <w:rFonts w:hint="eastAsia" w:ascii="楷体" w:hAnsi="楷体" w:eastAsia="楷体" w:cs="楷体"/>
          <w:b/>
          <w:color w:val="auto"/>
          <w:szCs w:val="24"/>
          <w:highlight w:val="none"/>
        </w:rPr>
      </w:pPr>
      <w:r>
        <w:rPr>
          <w:rFonts w:hint="eastAsia" w:ascii="楷体" w:hAnsi="楷体" w:eastAsia="楷体" w:cs="楷体"/>
          <w:b/>
          <w:color w:val="auto"/>
          <w:szCs w:val="24"/>
          <w:highlight w:val="none"/>
        </w:rPr>
        <w:t>24．评审程序</w:t>
      </w:r>
    </w:p>
    <w:p w14:paraId="63A346E0">
      <w:pPr>
        <w:pStyle w:val="13"/>
        <w:spacing w:line="360" w:lineRule="auto"/>
        <w:ind w:left="0" w:leftChars="0" w:firstLine="496" w:firstLineChars="200"/>
        <w:rPr>
          <w:rFonts w:hint="eastAsia" w:ascii="楷体" w:hAnsi="楷体" w:eastAsia="楷体" w:cs="楷体"/>
          <w:color w:val="auto"/>
          <w:sz w:val="24"/>
          <w:szCs w:val="24"/>
          <w:highlight w:val="none"/>
        </w:rPr>
      </w:pPr>
      <w:r>
        <w:rPr>
          <w:rFonts w:hint="eastAsia" w:ascii="楷体" w:hAnsi="楷体" w:eastAsia="楷体" w:cs="楷体"/>
          <w:color w:val="auto"/>
          <w:sz w:val="24"/>
          <w:szCs w:val="24"/>
          <w:highlight w:val="none"/>
        </w:rPr>
        <w:t>24.1按照初审（含资格性审查和符合性审查）、澄清有关问题、分别磋商、二次报价</w:t>
      </w:r>
      <w:r>
        <w:rPr>
          <w:rFonts w:hint="eastAsia" w:ascii="楷体" w:hAnsi="楷体" w:eastAsia="楷体" w:cs="楷体"/>
          <w:color w:val="auto"/>
          <w:sz w:val="24"/>
          <w:szCs w:val="24"/>
          <w:highlight w:val="none"/>
          <w:lang w:eastAsia="zh-CN"/>
        </w:rPr>
        <w:t>（最终报价）</w:t>
      </w:r>
      <w:r>
        <w:rPr>
          <w:rFonts w:hint="eastAsia" w:ascii="楷体" w:hAnsi="楷体" w:eastAsia="楷体" w:cs="楷体"/>
          <w:color w:val="auto"/>
          <w:sz w:val="24"/>
          <w:szCs w:val="24"/>
          <w:highlight w:val="none"/>
        </w:rPr>
        <w:t>、详细评审、推荐成交候选人名单的工作程序进行评审、在上一步评审中供应商被按无效磋商处理的或被认定为无效磋商者，不进入下一步的评审。</w:t>
      </w:r>
    </w:p>
    <w:p w14:paraId="4C4CC3BB">
      <w:pPr>
        <w:keepNext/>
        <w:keepLines/>
        <w:spacing w:line="360" w:lineRule="auto"/>
        <w:jc w:val="center"/>
        <w:rPr>
          <w:rFonts w:hint="eastAsia" w:ascii="楷体" w:hAnsi="楷体" w:eastAsia="楷体" w:cs="楷体"/>
          <w:b/>
          <w:color w:val="auto"/>
          <w:sz w:val="32"/>
          <w:szCs w:val="32"/>
          <w:highlight w:val="none"/>
        </w:rPr>
      </w:pPr>
      <w:r>
        <w:rPr>
          <w:rFonts w:hint="eastAsia" w:ascii="楷体" w:hAnsi="楷体" w:eastAsia="楷体" w:cs="楷体"/>
          <w:b/>
          <w:color w:val="auto"/>
          <w:sz w:val="32"/>
          <w:szCs w:val="32"/>
          <w:highlight w:val="none"/>
        </w:rPr>
        <w:t>六.成交、通知与签约</w:t>
      </w:r>
    </w:p>
    <w:p w14:paraId="13C136A8">
      <w:pPr>
        <w:spacing w:line="360" w:lineRule="auto"/>
        <w:rPr>
          <w:rFonts w:hint="eastAsia" w:ascii="楷体" w:hAnsi="楷体" w:eastAsia="楷体" w:cs="楷体"/>
          <w:b/>
          <w:color w:val="auto"/>
          <w:szCs w:val="24"/>
          <w:highlight w:val="none"/>
        </w:rPr>
      </w:pPr>
      <w:r>
        <w:rPr>
          <w:rFonts w:hint="eastAsia" w:ascii="楷体" w:hAnsi="楷体" w:eastAsia="楷体" w:cs="楷体"/>
          <w:b/>
          <w:color w:val="auto"/>
          <w:szCs w:val="24"/>
          <w:highlight w:val="none"/>
        </w:rPr>
        <w:t>25．成交程序</w:t>
      </w:r>
    </w:p>
    <w:p w14:paraId="07A9F892">
      <w:pPr>
        <w:spacing w:line="360" w:lineRule="auto"/>
        <w:ind w:firstLine="480" w:firstLineChars="200"/>
        <w:rPr>
          <w:rFonts w:hint="eastAsia" w:ascii="楷体" w:hAnsi="楷体" w:eastAsia="楷体" w:cs="楷体"/>
          <w:color w:val="auto"/>
          <w:szCs w:val="24"/>
          <w:highlight w:val="none"/>
        </w:rPr>
      </w:pPr>
      <w:r>
        <w:rPr>
          <w:rFonts w:hint="eastAsia" w:ascii="楷体" w:hAnsi="楷体" w:eastAsia="楷体" w:cs="楷体"/>
          <w:color w:val="auto"/>
          <w:szCs w:val="24"/>
          <w:highlight w:val="none"/>
        </w:rPr>
        <w:t>25.1磋商小组根据评审方法的规定对供应商进行评审排序，推荐</w:t>
      </w:r>
      <w:r>
        <w:rPr>
          <w:rFonts w:hint="eastAsia" w:ascii="楷体" w:hAnsi="楷体" w:eastAsia="楷体" w:cs="楷体"/>
          <w:color w:val="auto"/>
          <w:szCs w:val="24"/>
          <w:highlight w:val="none"/>
          <w:lang w:val="en-US" w:eastAsia="zh-CN"/>
        </w:rPr>
        <w:t>1-</w:t>
      </w:r>
      <w:r>
        <w:rPr>
          <w:rFonts w:hint="eastAsia" w:ascii="楷体" w:hAnsi="楷体" w:eastAsia="楷体" w:cs="楷体"/>
          <w:color w:val="auto"/>
          <w:szCs w:val="24"/>
          <w:highlight w:val="none"/>
        </w:rPr>
        <w:t>3名成交候选人，作为评审结果。评审结果由磋商小组全体成员签字确认。</w:t>
      </w:r>
    </w:p>
    <w:p w14:paraId="3099908D">
      <w:pPr>
        <w:spacing w:line="360" w:lineRule="auto"/>
        <w:ind w:firstLine="480" w:firstLineChars="200"/>
        <w:rPr>
          <w:rFonts w:hint="eastAsia" w:ascii="楷体" w:hAnsi="楷体" w:eastAsia="楷体" w:cs="楷体"/>
          <w:color w:val="auto"/>
          <w:szCs w:val="24"/>
          <w:highlight w:val="none"/>
        </w:rPr>
      </w:pPr>
      <w:r>
        <w:rPr>
          <w:rFonts w:hint="eastAsia" w:ascii="楷体" w:hAnsi="楷体" w:eastAsia="楷体" w:cs="楷体"/>
          <w:color w:val="auto"/>
          <w:szCs w:val="24"/>
          <w:highlight w:val="none"/>
        </w:rPr>
        <w:t>25.2采购人根据评标报告中推荐的成交候选人排列顺序，确定排名第一的为成交供应商。</w:t>
      </w:r>
    </w:p>
    <w:p w14:paraId="09D1498F">
      <w:pPr>
        <w:spacing w:line="360" w:lineRule="auto"/>
        <w:ind w:firstLine="480" w:firstLineChars="200"/>
        <w:rPr>
          <w:rFonts w:hint="eastAsia" w:ascii="楷体" w:hAnsi="楷体" w:eastAsia="楷体" w:cs="楷体"/>
          <w:color w:val="auto"/>
          <w:szCs w:val="24"/>
          <w:highlight w:val="none"/>
        </w:rPr>
      </w:pPr>
      <w:r>
        <w:rPr>
          <w:rFonts w:hint="eastAsia" w:ascii="楷体" w:hAnsi="楷体" w:eastAsia="楷体" w:cs="楷体"/>
          <w:color w:val="auto"/>
          <w:szCs w:val="24"/>
          <w:highlight w:val="none"/>
        </w:rPr>
        <w:t>25.3排名第一的成交候选人放弃成交、在规定期限内未能签订合同、因不可抗力不能履行合同、不按照竞争性磋商文件要求提交履约保证金，或者被查实存在影响成交结果的违法行为等情形，不符合成交条件的，采购人可以按照磋商小组提出的成交候选人名单排序依次确定其他成交候选人为成交供应商，也可以重新组织竞争性磋商。</w:t>
      </w:r>
    </w:p>
    <w:p w14:paraId="27BC7966">
      <w:pPr>
        <w:spacing w:line="360" w:lineRule="auto"/>
        <w:ind w:firstLine="480" w:firstLineChars="200"/>
        <w:rPr>
          <w:rFonts w:hint="eastAsia" w:ascii="楷体" w:hAnsi="楷体" w:eastAsia="楷体" w:cs="楷体"/>
          <w:color w:val="auto"/>
          <w:szCs w:val="24"/>
          <w:highlight w:val="none"/>
        </w:rPr>
      </w:pPr>
      <w:r>
        <w:rPr>
          <w:rFonts w:hint="eastAsia" w:ascii="楷体" w:hAnsi="楷体" w:eastAsia="楷体" w:cs="楷体"/>
          <w:color w:val="auto"/>
          <w:szCs w:val="24"/>
          <w:highlight w:val="none"/>
        </w:rPr>
        <w:t>25.4采购人也可以授权磋商小组评审后直接确定成交人。</w:t>
      </w:r>
    </w:p>
    <w:p w14:paraId="1C71D215">
      <w:pPr>
        <w:spacing w:line="360" w:lineRule="auto"/>
        <w:ind w:firstLine="480" w:firstLineChars="200"/>
        <w:rPr>
          <w:rFonts w:hint="eastAsia" w:ascii="楷体" w:hAnsi="楷体" w:eastAsia="楷体" w:cs="楷体"/>
          <w:color w:val="auto"/>
          <w:szCs w:val="24"/>
          <w:highlight w:val="none"/>
        </w:rPr>
      </w:pPr>
      <w:r>
        <w:rPr>
          <w:rFonts w:hint="eastAsia" w:ascii="楷体" w:hAnsi="楷体" w:eastAsia="楷体" w:cs="楷体"/>
          <w:color w:val="auto"/>
          <w:szCs w:val="24"/>
          <w:highlight w:val="none"/>
        </w:rPr>
        <w:t>25.5成交供应商确定之后，成交结果将在财政部门指定的政府采购信息发布媒体上公告。</w:t>
      </w:r>
    </w:p>
    <w:p w14:paraId="258794BC">
      <w:pPr>
        <w:spacing w:line="360" w:lineRule="auto"/>
        <w:rPr>
          <w:rFonts w:hint="eastAsia" w:ascii="楷体" w:hAnsi="楷体" w:eastAsia="楷体" w:cs="楷体"/>
          <w:b/>
          <w:color w:val="auto"/>
          <w:szCs w:val="24"/>
          <w:highlight w:val="none"/>
        </w:rPr>
      </w:pPr>
      <w:r>
        <w:rPr>
          <w:rFonts w:hint="eastAsia" w:ascii="楷体" w:hAnsi="楷体" w:eastAsia="楷体" w:cs="楷体"/>
          <w:b/>
          <w:color w:val="auto"/>
          <w:szCs w:val="24"/>
          <w:highlight w:val="none"/>
        </w:rPr>
        <w:t>26．成交与落标通知</w:t>
      </w:r>
    </w:p>
    <w:p w14:paraId="67A5C64A">
      <w:pPr>
        <w:spacing w:line="360" w:lineRule="auto"/>
        <w:ind w:firstLine="480" w:firstLineChars="200"/>
        <w:rPr>
          <w:rFonts w:hint="eastAsia" w:ascii="楷体" w:hAnsi="楷体" w:eastAsia="楷体" w:cs="楷体"/>
          <w:color w:val="auto"/>
          <w:szCs w:val="24"/>
          <w:highlight w:val="none"/>
        </w:rPr>
      </w:pPr>
      <w:r>
        <w:rPr>
          <w:rFonts w:hint="eastAsia" w:ascii="楷体" w:hAnsi="楷体" w:eastAsia="楷体" w:cs="楷体"/>
          <w:color w:val="auto"/>
          <w:szCs w:val="24"/>
          <w:highlight w:val="none"/>
        </w:rPr>
        <w:t>26.1</w:t>
      </w:r>
      <w:r>
        <w:rPr>
          <w:rFonts w:hint="eastAsia" w:ascii="楷体" w:hAnsi="楷体" w:eastAsia="楷体" w:cs="楷体"/>
          <w:color w:val="auto"/>
          <w:szCs w:val="24"/>
          <w:highlight w:val="none"/>
          <w:lang w:eastAsia="zh-CN"/>
        </w:rPr>
        <w:t>采购代理机构</w:t>
      </w:r>
      <w:r>
        <w:rPr>
          <w:rFonts w:hint="eastAsia" w:ascii="楷体" w:hAnsi="楷体" w:eastAsia="楷体" w:cs="楷体"/>
          <w:color w:val="auto"/>
          <w:szCs w:val="24"/>
          <w:highlight w:val="none"/>
        </w:rPr>
        <w:t>向成交供应商发出《成交通知书》。</w:t>
      </w:r>
    </w:p>
    <w:p w14:paraId="6F071168">
      <w:pPr>
        <w:spacing w:line="360" w:lineRule="auto"/>
        <w:ind w:firstLine="480" w:firstLineChars="200"/>
        <w:rPr>
          <w:rFonts w:hint="eastAsia" w:ascii="楷体" w:hAnsi="楷体" w:eastAsia="楷体" w:cs="楷体"/>
          <w:color w:val="auto"/>
          <w:szCs w:val="24"/>
          <w:highlight w:val="none"/>
        </w:rPr>
      </w:pPr>
      <w:r>
        <w:rPr>
          <w:rFonts w:hint="eastAsia" w:ascii="楷体" w:hAnsi="楷体" w:eastAsia="楷体" w:cs="楷体"/>
          <w:color w:val="auto"/>
          <w:szCs w:val="24"/>
          <w:highlight w:val="none"/>
        </w:rPr>
        <w:t>26.2成交通知书对采购人和成交供应商具有同等法律效力。成交通知书发出之后，采购人改变成交结果，或者向成交供应商放弃成交，应当承担相应的法律责任。</w:t>
      </w:r>
    </w:p>
    <w:p w14:paraId="44E36E70">
      <w:pPr>
        <w:spacing w:line="360" w:lineRule="auto"/>
        <w:rPr>
          <w:rFonts w:hint="eastAsia" w:ascii="楷体" w:hAnsi="楷体" w:eastAsia="楷体" w:cs="楷体"/>
          <w:b/>
          <w:color w:val="auto"/>
          <w:szCs w:val="24"/>
          <w:highlight w:val="none"/>
        </w:rPr>
      </w:pPr>
      <w:r>
        <w:rPr>
          <w:rFonts w:hint="eastAsia" w:ascii="楷体" w:hAnsi="楷体" w:eastAsia="楷体" w:cs="楷体"/>
          <w:b/>
          <w:color w:val="auto"/>
          <w:szCs w:val="24"/>
          <w:highlight w:val="none"/>
        </w:rPr>
        <w:t>27. 成交合同的签订</w:t>
      </w:r>
    </w:p>
    <w:p w14:paraId="110A891E">
      <w:pPr>
        <w:spacing w:line="360" w:lineRule="auto"/>
        <w:ind w:firstLine="480" w:firstLineChars="200"/>
        <w:rPr>
          <w:rFonts w:hint="eastAsia" w:ascii="楷体" w:hAnsi="楷体" w:eastAsia="楷体" w:cs="楷体"/>
          <w:color w:val="auto"/>
          <w:szCs w:val="24"/>
          <w:highlight w:val="none"/>
        </w:rPr>
      </w:pPr>
      <w:r>
        <w:rPr>
          <w:rFonts w:hint="eastAsia" w:ascii="楷体" w:hAnsi="楷体" w:eastAsia="楷体" w:cs="楷体"/>
          <w:color w:val="auto"/>
          <w:szCs w:val="24"/>
          <w:highlight w:val="none"/>
        </w:rPr>
        <w:t>27.1采购人应当自成交通知书发出之日起三十日内，按照磋商文件和成交供应商的磋商响应文件（包括评审中形成的澄清文件）的约定，与成交供应商签订书面合同。所签订的合同不得对磋商文件和成交供应商的磋商响应文件（包括评审中形成的澄清文件）作实质性修改。</w:t>
      </w:r>
    </w:p>
    <w:p w14:paraId="4827C830">
      <w:pPr>
        <w:spacing w:line="360" w:lineRule="auto"/>
        <w:ind w:firstLine="480" w:firstLineChars="200"/>
        <w:rPr>
          <w:rFonts w:hint="eastAsia" w:ascii="楷体" w:hAnsi="楷体" w:eastAsia="楷体" w:cs="楷体"/>
          <w:color w:val="auto"/>
          <w:szCs w:val="24"/>
          <w:highlight w:val="none"/>
        </w:rPr>
      </w:pPr>
      <w:r>
        <w:rPr>
          <w:rFonts w:hint="eastAsia" w:ascii="楷体" w:hAnsi="楷体" w:eastAsia="楷体" w:cs="楷体"/>
          <w:color w:val="auto"/>
          <w:szCs w:val="24"/>
          <w:highlight w:val="none"/>
        </w:rPr>
        <w:t>27.2采购人自政府采购合同签订之日起2个工作日内，将政府采购合同在省级以上人民政府财政部门指定的媒体上公告，但政府采购合同中涉及国家秘密、商业秘密的内容除外。</w:t>
      </w:r>
    </w:p>
    <w:p w14:paraId="048A49A4">
      <w:pPr>
        <w:numPr>
          <w:ilvl w:val="0"/>
          <w:numId w:val="5"/>
        </w:numPr>
        <w:spacing w:line="360" w:lineRule="auto"/>
        <w:rPr>
          <w:rFonts w:hint="eastAsia" w:ascii="楷体" w:hAnsi="楷体" w:eastAsia="楷体" w:cs="楷体"/>
          <w:b/>
          <w:color w:val="auto"/>
          <w:szCs w:val="24"/>
          <w:highlight w:val="none"/>
        </w:rPr>
      </w:pPr>
      <w:r>
        <w:rPr>
          <w:rFonts w:hint="eastAsia" w:ascii="楷体" w:hAnsi="楷体" w:eastAsia="楷体" w:cs="楷体"/>
          <w:b/>
          <w:color w:val="auto"/>
          <w:szCs w:val="24"/>
          <w:highlight w:val="none"/>
        </w:rPr>
        <w:t>招标代理服务费</w:t>
      </w:r>
    </w:p>
    <w:p w14:paraId="164FF3AD">
      <w:pPr>
        <w:spacing w:line="360" w:lineRule="auto"/>
        <w:ind w:firstLine="480" w:firstLineChars="200"/>
        <w:rPr>
          <w:rFonts w:hint="eastAsia" w:ascii="楷体" w:hAnsi="楷体" w:eastAsia="楷体" w:cs="楷体"/>
          <w:color w:val="auto"/>
          <w:szCs w:val="24"/>
          <w:highlight w:val="none"/>
        </w:rPr>
      </w:pPr>
      <w:r>
        <w:rPr>
          <w:rFonts w:hint="eastAsia" w:ascii="楷体" w:hAnsi="楷体" w:eastAsia="楷体" w:cs="楷体"/>
          <w:color w:val="auto"/>
          <w:szCs w:val="24"/>
          <w:highlight w:val="none"/>
        </w:rPr>
        <w:t>本项目收取代理服务费</w:t>
      </w:r>
    </w:p>
    <w:p w14:paraId="64DA3D5C">
      <w:pPr>
        <w:spacing w:line="360" w:lineRule="auto"/>
        <w:ind w:firstLine="480" w:firstLineChars="200"/>
        <w:rPr>
          <w:rFonts w:hint="eastAsia" w:ascii="楷体" w:hAnsi="楷体" w:eastAsia="楷体" w:cs="楷体"/>
          <w:color w:val="auto"/>
          <w:szCs w:val="24"/>
          <w:highlight w:val="none"/>
        </w:rPr>
      </w:pPr>
      <w:r>
        <w:rPr>
          <w:rFonts w:hint="eastAsia" w:ascii="楷体" w:hAnsi="楷体" w:eastAsia="楷体" w:cs="楷体"/>
          <w:color w:val="auto"/>
          <w:szCs w:val="24"/>
          <w:highlight w:val="none"/>
        </w:rPr>
        <w:t>代理服务费用收取对象：中标/成交供应商</w:t>
      </w:r>
    </w:p>
    <w:p w14:paraId="7D8B60C6">
      <w:pPr>
        <w:spacing w:line="360" w:lineRule="auto"/>
        <w:ind w:firstLine="480" w:firstLineChars="200"/>
        <w:rPr>
          <w:rFonts w:hint="eastAsia" w:ascii="楷体" w:hAnsi="楷体" w:eastAsia="楷体" w:cs="楷体"/>
          <w:color w:val="auto"/>
          <w:szCs w:val="24"/>
          <w:highlight w:val="none"/>
        </w:rPr>
      </w:pPr>
      <w:r>
        <w:rPr>
          <w:rFonts w:hint="eastAsia" w:ascii="楷体" w:hAnsi="楷体" w:eastAsia="楷体" w:cs="楷体"/>
          <w:color w:val="auto"/>
          <w:szCs w:val="24"/>
          <w:highlight w:val="none"/>
        </w:rPr>
        <w:t>代理服务费收费标准：</w:t>
      </w:r>
      <w:r>
        <w:rPr>
          <w:rFonts w:hint="eastAsia" w:ascii="楷体" w:hAnsi="楷体" w:eastAsia="楷体" w:cs="楷体"/>
          <w:color w:val="auto"/>
          <w:szCs w:val="24"/>
          <w:highlight w:val="none"/>
          <w:lang w:eastAsia="zh-CN"/>
        </w:rPr>
        <w:t>参照</w:t>
      </w:r>
      <w:r>
        <w:rPr>
          <w:rFonts w:hint="eastAsia" w:ascii="楷体" w:hAnsi="楷体" w:eastAsia="楷体" w:cs="楷体"/>
          <w:color w:val="auto"/>
          <w:szCs w:val="24"/>
          <w:highlight w:val="none"/>
        </w:rPr>
        <w:t>《招标代理服务收费管理暂行办法》（计价格[2002]1980号）和《关于招标代理服务收费有关问题的通知》（发改办价格[2003]857号）文件规定执行。</w:t>
      </w:r>
    </w:p>
    <w:p w14:paraId="496F6350">
      <w:pPr>
        <w:spacing w:line="360" w:lineRule="auto"/>
        <w:ind w:firstLine="480" w:firstLineChars="200"/>
        <w:rPr>
          <w:rFonts w:hint="eastAsia" w:ascii="楷体" w:hAnsi="楷体" w:eastAsia="楷体" w:cs="楷体"/>
          <w:color w:val="auto"/>
          <w:szCs w:val="24"/>
          <w:highlight w:val="none"/>
          <w:lang w:val="en-US" w:eastAsia="zh-CN"/>
        </w:rPr>
      </w:pPr>
      <w:r>
        <w:rPr>
          <w:rFonts w:hint="eastAsia" w:ascii="楷体" w:hAnsi="楷体" w:eastAsia="楷体" w:cs="楷体"/>
          <w:color w:val="auto"/>
          <w:szCs w:val="24"/>
          <w:highlight w:val="none"/>
          <w:lang w:val="en-US" w:eastAsia="zh-CN"/>
        </w:rPr>
        <w:t>各采购包</w:t>
      </w:r>
      <w:r>
        <w:rPr>
          <w:rFonts w:hint="eastAsia" w:ascii="楷体" w:hAnsi="楷体" w:eastAsia="楷体" w:cs="楷体"/>
          <w:color w:val="auto"/>
          <w:szCs w:val="24"/>
          <w:highlight w:val="none"/>
        </w:rPr>
        <w:t>代理服务费</w:t>
      </w:r>
      <w:r>
        <w:rPr>
          <w:rFonts w:hint="eastAsia" w:ascii="楷体" w:hAnsi="楷体" w:eastAsia="楷体" w:cs="楷体"/>
          <w:color w:val="auto"/>
          <w:szCs w:val="24"/>
          <w:highlight w:val="none"/>
          <w:lang w:eastAsia="zh-CN"/>
        </w:rPr>
        <w:t>定额收取标准如下：</w:t>
      </w:r>
    </w:p>
    <w:p w14:paraId="72D543AB">
      <w:pPr>
        <w:spacing w:line="360" w:lineRule="auto"/>
        <w:ind w:firstLine="480" w:firstLineChars="200"/>
        <w:rPr>
          <w:rFonts w:hint="eastAsia" w:ascii="楷体" w:hAnsi="楷体" w:eastAsia="楷体" w:cs="楷体"/>
          <w:color w:val="auto"/>
          <w:szCs w:val="24"/>
          <w:highlight w:val="none"/>
        </w:rPr>
      </w:pPr>
      <w:r>
        <w:rPr>
          <w:rFonts w:hint="eastAsia" w:ascii="楷体" w:hAnsi="楷体" w:eastAsia="楷体" w:cs="楷体"/>
          <w:color w:val="auto"/>
          <w:szCs w:val="24"/>
          <w:highlight w:val="none"/>
        </w:rPr>
        <w:t>采购包1：</w:t>
      </w:r>
      <w:r>
        <w:rPr>
          <w:rFonts w:hint="eastAsia" w:ascii="楷体" w:hAnsi="楷体" w:eastAsia="楷体" w:cs="楷体"/>
          <w:color w:val="auto"/>
          <w:szCs w:val="24"/>
          <w:highlight w:val="none"/>
          <w:lang w:val="en-US" w:eastAsia="zh-CN"/>
        </w:rPr>
        <w:t>4500.00</w:t>
      </w:r>
      <w:r>
        <w:rPr>
          <w:rFonts w:hint="eastAsia" w:ascii="楷体" w:hAnsi="楷体" w:eastAsia="楷体" w:cs="楷体"/>
          <w:color w:val="auto"/>
          <w:szCs w:val="24"/>
          <w:highlight w:val="none"/>
        </w:rPr>
        <w:t xml:space="preserve">元 </w:t>
      </w:r>
    </w:p>
    <w:p w14:paraId="631D99F3">
      <w:pPr>
        <w:spacing w:line="360" w:lineRule="auto"/>
        <w:ind w:firstLine="480" w:firstLineChars="200"/>
        <w:rPr>
          <w:rFonts w:hint="eastAsia" w:ascii="楷体" w:hAnsi="楷体" w:eastAsia="楷体" w:cs="楷体"/>
          <w:color w:val="auto"/>
          <w:szCs w:val="24"/>
          <w:highlight w:val="none"/>
        </w:rPr>
      </w:pPr>
      <w:r>
        <w:rPr>
          <w:rFonts w:hint="eastAsia" w:ascii="楷体" w:hAnsi="楷体" w:eastAsia="楷体" w:cs="楷体"/>
          <w:color w:val="auto"/>
          <w:szCs w:val="24"/>
          <w:highlight w:val="none"/>
        </w:rPr>
        <w:t>采购包</w:t>
      </w:r>
      <w:r>
        <w:rPr>
          <w:rFonts w:hint="eastAsia" w:ascii="楷体" w:hAnsi="楷体" w:eastAsia="楷体" w:cs="楷体"/>
          <w:color w:val="auto"/>
          <w:szCs w:val="24"/>
          <w:highlight w:val="none"/>
          <w:lang w:val="en-US" w:eastAsia="zh-CN"/>
        </w:rPr>
        <w:t>2</w:t>
      </w:r>
      <w:r>
        <w:rPr>
          <w:rFonts w:hint="eastAsia" w:ascii="楷体" w:hAnsi="楷体" w:eastAsia="楷体" w:cs="楷体"/>
          <w:color w:val="auto"/>
          <w:szCs w:val="24"/>
          <w:highlight w:val="none"/>
        </w:rPr>
        <w:t>：</w:t>
      </w:r>
      <w:r>
        <w:rPr>
          <w:rFonts w:hint="eastAsia" w:ascii="楷体" w:hAnsi="楷体" w:eastAsia="楷体" w:cs="楷体"/>
          <w:color w:val="auto"/>
          <w:szCs w:val="24"/>
          <w:highlight w:val="none"/>
          <w:lang w:val="en-US" w:eastAsia="zh-CN"/>
        </w:rPr>
        <w:t>3000.00</w:t>
      </w:r>
      <w:r>
        <w:rPr>
          <w:rFonts w:hint="eastAsia" w:ascii="楷体" w:hAnsi="楷体" w:eastAsia="楷体" w:cs="楷体"/>
          <w:color w:val="auto"/>
          <w:szCs w:val="24"/>
          <w:highlight w:val="none"/>
        </w:rPr>
        <w:t xml:space="preserve">元 </w:t>
      </w:r>
    </w:p>
    <w:p w14:paraId="5B6BB14B">
      <w:pPr>
        <w:spacing w:line="360" w:lineRule="auto"/>
        <w:ind w:firstLine="480" w:firstLineChars="200"/>
        <w:rPr>
          <w:rFonts w:hint="eastAsia" w:ascii="楷体" w:hAnsi="楷体" w:eastAsia="楷体" w:cs="楷体"/>
          <w:color w:val="auto"/>
          <w:szCs w:val="24"/>
          <w:highlight w:val="none"/>
        </w:rPr>
      </w:pPr>
      <w:r>
        <w:rPr>
          <w:rFonts w:hint="eastAsia" w:ascii="楷体" w:hAnsi="楷体" w:eastAsia="楷体" w:cs="楷体"/>
          <w:color w:val="auto"/>
          <w:szCs w:val="24"/>
          <w:highlight w:val="none"/>
        </w:rPr>
        <w:t>采购包</w:t>
      </w:r>
      <w:r>
        <w:rPr>
          <w:rFonts w:hint="eastAsia" w:ascii="楷体" w:hAnsi="楷体" w:eastAsia="楷体" w:cs="楷体"/>
          <w:color w:val="auto"/>
          <w:szCs w:val="24"/>
          <w:highlight w:val="none"/>
          <w:lang w:val="en-US" w:eastAsia="zh-CN"/>
        </w:rPr>
        <w:t>3</w:t>
      </w:r>
      <w:r>
        <w:rPr>
          <w:rFonts w:hint="eastAsia" w:ascii="楷体" w:hAnsi="楷体" w:eastAsia="楷体" w:cs="楷体"/>
          <w:color w:val="auto"/>
          <w:szCs w:val="24"/>
          <w:highlight w:val="none"/>
        </w:rPr>
        <w:t>：</w:t>
      </w:r>
      <w:r>
        <w:rPr>
          <w:rFonts w:hint="eastAsia" w:ascii="楷体" w:hAnsi="楷体" w:eastAsia="楷体" w:cs="楷体"/>
          <w:color w:val="auto"/>
          <w:szCs w:val="24"/>
          <w:highlight w:val="none"/>
          <w:lang w:val="en-US" w:eastAsia="zh-CN"/>
        </w:rPr>
        <w:t>3750.00</w:t>
      </w:r>
      <w:r>
        <w:rPr>
          <w:rFonts w:hint="eastAsia" w:ascii="楷体" w:hAnsi="楷体" w:eastAsia="楷体" w:cs="楷体"/>
          <w:color w:val="auto"/>
          <w:szCs w:val="24"/>
          <w:highlight w:val="none"/>
        </w:rPr>
        <w:t xml:space="preserve">元 </w:t>
      </w:r>
    </w:p>
    <w:p w14:paraId="172BD895">
      <w:pPr>
        <w:spacing w:line="360" w:lineRule="auto"/>
        <w:ind w:firstLine="480" w:firstLineChars="200"/>
        <w:rPr>
          <w:rFonts w:hint="eastAsia" w:ascii="楷体" w:hAnsi="楷体" w:eastAsia="楷体" w:cs="楷体"/>
          <w:color w:val="auto"/>
          <w:szCs w:val="24"/>
          <w:highlight w:val="none"/>
          <w:lang w:val="en-US" w:eastAsia="zh-CN"/>
        </w:rPr>
      </w:pPr>
      <w:r>
        <w:rPr>
          <w:rFonts w:hint="eastAsia" w:ascii="楷体" w:hAnsi="楷体" w:eastAsia="楷体" w:cs="楷体"/>
          <w:color w:val="auto"/>
          <w:szCs w:val="24"/>
          <w:highlight w:val="none"/>
        </w:rPr>
        <w:t>采购包</w:t>
      </w:r>
      <w:r>
        <w:rPr>
          <w:rFonts w:hint="eastAsia" w:ascii="楷体" w:hAnsi="楷体" w:eastAsia="楷体" w:cs="楷体"/>
          <w:color w:val="auto"/>
          <w:szCs w:val="24"/>
          <w:highlight w:val="none"/>
          <w:lang w:val="en-US" w:eastAsia="zh-CN"/>
        </w:rPr>
        <w:t>4</w:t>
      </w:r>
      <w:r>
        <w:rPr>
          <w:rFonts w:hint="eastAsia" w:ascii="楷体" w:hAnsi="楷体" w:eastAsia="楷体" w:cs="楷体"/>
          <w:color w:val="auto"/>
          <w:szCs w:val="24"/>
          <w:highlight w:val="none"/>
        </w:rPr>
        <w:t>：</w:t>
      </w:r>
      <w:r>
        <w:rPr>
          <w:rFonts w:hint="eastAsia" w:ascii="楷体" w:hAnsi="楷体" w:eastAsia="楷体" w:cs="楷体"/>
          <w:color w:val="auto"/>
          <w:szCs w:val="24"/>
          <w:highlight w:val="none"/>
          <w:lang w:val="en-US" w:eastAsia="zh-CN"/>
        </w:rPr>
        <w:t>3750.00</w:t>
      </w:r>
      <w:r>
        <w:rPr>
          <w:rFonts w:hint="eastAsia" w:ascii="楷体" w:hAnsi="楷体" w:eastAsia="楷体" w:cs="楷体"/>
          <w:color w:val="auto"/>
          <w:szCs w:val="24"/>
          <w:highlight w:val="none"/>
        </w:rPr>
        <w:t>元</w:t>
      </w:r>
    </w:p>
    <w:p w14:paraId="74CDFFE7">
      <w:pPr>
        <w:widowControl w:val="0"/>
        <w:numPr>
          <w:ilvl w:val="0"/>
          <w:numId w:val="0"/>
        </w:numPr>
        <w:spacing w:line="360" w:lineRule="auto"/>
        <w:ind w:firstLine="480" w:firstLineChars="200"/>
        <w:jc w:val="both"/>
        <w:rPr>
          <w:rFonts w:hint="eastAsia" w:ascii="楷体" w:hAnsi="楷体" w:eastAsia="楷体" w:cs="楷体"/>
          <w:b/>
          <w:color w:val="auto"/>
          <w:szCs w:val="24"/>
          <w:highlight w:val="none"/>
        </w:rPr>
      </w:pPr>
      <w:r>
        <w:rPr>
          <w:rFonts w:hint="eastAsia" w:ascii="楷体" w:hAnsi="楷体" w:eastAsia="楷体" w:cs="楷体"/>
          <w:color w:val="auto"/>
          <w:szCs w:val="24"/>
          <w:highlight w:val="none"/>
        </w:rPr>
        <w:t>收款账户如下： 收款单位：</w:t>
      </w:r>
      <w:r>
        <w:rPr>
          <w:rFonts w:hint="eastAsia" w:ascii="楷体" w:hAnsi="楷体" w:eastAsia="楷体" w:cs="楷体"/>
          <w:color w:val="auto"/>
          <w:szCs w:val="24"/>
          <w:highlight w:val="none"/>
          <w:lang w:val="en-US" w:eastAsia="zh-CN"/>
        </w:rPr>
        <w:t>陕西正翼项目管理咨询有限公司西安分公司</w:t>
      </w:r>
      <w:r>
        <w:rPr>
          <w:rFonts w:hint="eastAsia" w:ascii="楷体" w:hAnsi="楷体" w:eastAsia="楷体" w:cs="楷体"/>
          <w:color w:val="auto"/>
          <w:szCs w:val="24"/>
          <w:highlight w:val="none"/>
        </w:rPr>
        <w:t xml:space="preserve"> ；开户银行：</w:t>
      </w:r>
      <w:r>
        <w:rPr>
          <w:rFonts w:hint="eastAsia" w:ascii="楷体" w:hAnsi="楷体" w:eastAsia="楷体" w:cs="楷体"/>
          <w:color w:val="auto"/>
          <w:szCs w:val="24"/>
          <w:highlight w:val="none"/>
          <w:lang w:val="en-US" w:eastAsia="zh-CN"/>
        </w:rPr>
        <w:t>中国光大银行股份有限公司西安经济技术开发区支行</w:t>
      </w:r>
      <w:r>
        <w:rPr>
          <w:rFonts w:hint="eastAsia" w:ascii="楷体" w:hAnsi="楷体" w:eastAsia="楷体" w:cs="楷体"/>
          <w:color w:val="auto"/>
          <w:szCs w:val="24"/>
          <w:highlight w:val="none"/>
        </w:rPr>
        <w:t>；银行账号：</w:t>
      </w:r>
      <w:r>
        <w:rPr>
          <w:rFonts w:hint="eastAsia" w:ascii="楷体" w:hAnsi="楷体" w:eastAsia="楷体" w:cs="楷体"/>
          <w:color w:val="auto"/>
          <w:szCs w:val="24"/>
          <w:highlight w:val="none"/>
          <w:lang w:val="en-US" w:eastAsia="zh-CN"/>
        </w:rPr>
        <w:t>78680188000360910</w:t>
      </w:r>
    </w:p>
    <w:p w14:paraId="64AA15A4">
      <w:pPr>
        <w:numPr>
          <w:ilvl w:val="0"/>
          <w:numId w:val="0"/>
        </w:numPr>
        <w:tabs>
          <w:tab w:val="left" w:pos="1170"/>
        </w:tabs>
        <w:spacing w:line="360" w:lineRule="auto"/>
        <w:rPr>
          <w:rFonts w:hint="eastAsia" w:ascii="楷体" w:hAnsi="楷体" w:eastAsia="楷体" w:cs="仿宋"/>
          <w:b/>
          <w:bCs/>
          <w:szCs w:val="24"/>
          <w:highlight w:val="none"/>
          <w:lang w:eastAsia="zh-CN"/>
        </w:rPr>
      </w:pPr>
      <w:r>
        <w:rPr>
          <w:rFonts w:hint="eastAsia" w:ascii="楷体" w:hAnsi="楷体" w:eastAsia="楷体" w:cs="仿宋"/>
          <w:b/>
          <w:bCs/>
          <w:szCs w:val="24"/>
          <w:highlight w:val="none"/>
          <w:lang w:val="en-US" w:eastAsia="zh-CN"/>
        </w:rPr>
        <w:t>29.</w:t>
      </w:r>
      <w:r>
        <w:rPr>
          <w:rFonts w:hint="eastAsia" w:ascii="楷体" w:hAnsi="楷体" w:eastAsia="楷体" w:cs="仿宋"/>
          <w:b/>
          <w:bCs/>
          <w:szCs w:val="24"/>
          <w:highlight w:val="none"/>
          <w:lang w:eastAsia="zh-CN"/>
        </w:rPr>
        <w:t>磋商保证金</w:t>
      </w:r>
      <w:r>
        <w:rPr>
          <w:rFonts w:hint="eastAsia" w:ascii="楷体" w:hAnsi="楷体" w:eastAsia="楷体" w:cs="仿宋"/>
          <w:b/>
          <w:bCs/>
          <w:szCs w:val="24"/>
          <w:highlight w:val="none"/>
        </w:rPr>
        <w:t>:</w:t>
      </w:r>
      <w:r>
        <w:rPr>
          <w:rFonts w:hint="eastAsia" w:ascii="楷体" w:hAnsi="楷体" w:eastAsia="楷体" w:cs="仿宋"/>
          <w:b w:val="0"/>
          <w:bCs w:val="0"/>
          <w:szCs w:val="24"/>
          <w:highlight w:val="none"/>
          <w:lang w:eastAsia="zh-CN"/>
        </w:rPr>
        <w:t>本项目不收取磋商保证金。</w:t>
      </w:r>
    </w:p>
    <w:p w14:paraId="186096D7">
      <w:pPr>
        <w:spacing w:line="360" w:lineRule="auto"/>
        <w:rPr>
          <w:rFonts w:hint="eastAsia" w:ascii="楷体" w:hAnsi="楷体" w:eastAsia="楷体" w:cs="仿宋"/>
          <w:b/>
          <w:color w:val="000000"/>
          <w:szCs w:val="24"/>
          <w:highlight w:val="none"/>
        </w:rPr>
      </w:pPr>
      <w:r>
        <w:rPr>
          <w:rFonts w:hint="eastAsia" w:ascii="楷体" w:hAnsi="楷体" w:eastAsia="楷体" w:cs="仿宋"/>
          <w:b/>
          <w:szCs w:val="24"/>
          <w:highlight w:val="none"/>
          <w:lang w:val="en-US" w:eastAsia="zh-CN"/>
        </w:rPr>
        <w:t>30.</w:t>
      </w:r>
      <w:r>
        <w:rPr>
          <w:rFonts w:hint="eastAsia" w:ascii="楷体" w:hAnsi="楷体" w:eastAsia="楷体" w:cs="仿宋"/>
          <w:b/>
          <w:color w:val="000000"/>
          <w:szCs w:val="24"/>
          <w:highlight w:val="none"/>
        </w:rPr>
        <w:t>履约保证金</w:t>
      </w:r>
    </w:p>
    <w:p w14:paraId="0F18CF4D">
      <w:pPr>
        <w:spacing w:line="360" w:lineRule="auto"/>
        <w:ind w:firstLine="480" w:firstLineChars="200"/>
        <w:rPr>
          <w:rFonts w:hint="eastAsia" w:ascii="楷体" w:hAnsi="楷体" w:eastAsia="楷体" w:cs="仿宋"/>
          <w:szCs w:val="24"/>
          <w:highlight w:val="none"/>
          <w:lang w:val="en-US" w:eastAsia="zh-CN"/>
        </w:rPr>
      </w:pPr>
      <w:r>
        <w:rPr>
          <w:rFonts w:hint="eastAsia" w:ascii="楷体" w:hAnsi="楷体" w:eastAsia="楷体" w:cs="仿宋"/>
          <w:szCs w:val="24"/>
          <w:highlight w:val="none"/>
          <w:lang w:val="en-US" w:eastAsia="zh-CN"/>
        </w:rPr>
        <w:t>☑不要求提供</w:t>
      </w:r>
    </w:p>
    <w:p w14:paraId="79777BCF">
      <w:pPr>
        <w:spacing w:line="360" w:lineRule="auto"/>
        <w:ind w:firstLine="480" w:firstLineChars="200"/>
        <w:rPr>
          <w:rFonts w:hint="eastAsia" w:ascii="楷体" w:hAnsi="楷体" w:eastAsia="楷体" w:cs="仿宋"/>
          <w:szCs w:val="24"/>
          <w:highlight w:val="none"/>
        </w:rPr>
      </w:pPr>
      <w:r>
        <w:rPr>
          <w:rFonts w:hint="eastAsia" w:ascii="楷体" w:hAnsi="楷体" w:eastAsia="楷体" w:cs="仿宋"/>
          <w:szCs w:val="24"/>
          <w:highlight w:val="none"/>
          <w:lang w:val="en-US" w:eastAsia="zh-CN"/>
        </w:rPr>
        <w:t>□要求提供，金额为本采购项目履约保证金为合同金额的5%，提交方式为：</w:t>
      </w:r>
      <w:r>
        <w:rPr>
          <w:rFonts w:hint="eastAsia" w:ascii="楷体" w:hAnsi="楷体" w:eastAsia="楷体" w:cs="仿宋"/>
          <w:szCs w:val="24"/>
          <w:highlight w:val="none"/>
        </w:rPr>
        <w:t>转账、电汇、担保机构保函</w:t>
      </w:r>
      <w:r>
        <w:rPr>
          <w:rFonts w:hint="eastAsia" w:ascii="楷体" w:hAnsi="楷体" w:eastAsia="楷体" w:cs="仿宋"/>
          <w:szCs w:val="24"/>
          <w:highlight w:val="none"/>
          <w:lang w:eastAsia="zh-CN"/>
        </w:rPr>
        <w:t>。</w:t>
      </w:r>
    </w:p>
    <w:p w14:paraId="3BAC4495">
      <w:pPr>
        <w:spacing w:line="360" w:lineRule="auto"/>
        <w:rPr>
          <w:rFonts w:hint="eastAsia" w:ascii="楷体" w:hAnsi="楷体" w:eastAsia="楷体" w:cs="仿宋"/>
          <w:b/>
          <w:szCs w:val="24"/>
          <w:highlight w:val="none"/>
          <w:lang w:val="en-US" w:eastAsia="zh-CN"/>
        </w:rPr>
      </w:pPr>
      <w:r>
        <w:rPr>
          <w:rFonts w:hint="eastAsia" w:ascii="楷体" w:hAnsi="楷体" w:eastAsia="楷体" w:cs="仿宋"/>
          <w:b/>
          <w:szCs w:val="24"/>
          <w:highlight w:val="none"/>
          <w:lang w:val="en-US" w:eastAsia="zh-CN"/>
        </w:rPr>
        <w:t>31.其他</w:t>
      </w:r>
    </w:p>
    <w:p w14:paraId="2F42DDC3">
      <w:pPr>
        <w:spacing w:line="360" w:lineRule="auto"/>
        <w:ind w:firstLine="480" w:firstLineChars="200"/>
        <w:rPr>
          <w:rFonts w:hint="eastAsia" w:ascii="楷体" w:hAnsi="楷体" w:eastAsia="楷体" w:cs="仿宋"/>
          <w:szCs w:val="24"/>
          <w:highlight w:val="none"/>
        </w:rPr>
      </w:pPr>
      <w:r>
        <w:rPr>
          <w:rFonts w:hint="eastAsia" w:ascii="楷体" w:hAnsi="楷体" w:eastAsia="楷体" w:cs="仿宋"/>
          <w:szCs w:val="24"/>
          <w:highlight w:val="none"/>
          <w:lang w:val="en-US" w:eastAsia="zh-CN"/>
        </w:rPr>
        <w:t>31</w:t>
      </w:r>
      <w:r>
        <w:rPr>
          <w:rFonts w:hint="eastAsia" w:ascii="楷体" w:hAnsi="楷体" w:eastAsia="楷体" w:cs="仿宋"/>
          <w:szCs w:val="24"/>
          <w:highlight w:val="none"/>
        </w:rPr>
        <w:t>.1磋商步骤为：第一次报价（磋商响应文件的报价）---分别磋商---第二次报价---综合评审推荐成交候选人。</w:t>
      </w:r>
    </w:p>
    <w:p w14:paraId="43CE2459">
      <w:pPr>
        <w:spacing w:line="360" w:lineRule="auto"/>
        <w:ind w:firstLine="480" w:firstLineChars="200"/>
        <w:rPr>
          <w:rFonts w:hint="default" w:ascii="楷体" w:hAnsi="楷体" w:eastAsia="楷体" w:cs="仿宋"/>
          <w:szCs w:val="24"/>
          <w:highlight w:val="none"/>
          <w:lang w:val="en-US" w:eastAsia="zh-CN"/>
        </w:rPr>
      </w:pPr>
      <w:r>
        <w:rPr>
          <w:rFonts w:hint="eastAsia" w:ascii="楷体" w:hAnsi="楷体" w:eastAsia="楷体" w:cs="仿宋"/>
          <w:szCs w:val="24"/>
          <w:highlight w:val="none"/>
          <w:lang w:val="en-US" w:eastAsia="zh-CN"/>
        </w:rPr>
        <w:t>31</w:t>
      </w:r>
      <w:r>
        <w:rPr>
          <w:rFonts w:hint="eastAsia" w:ascii="楷体" w:hAnsi="楷体" w:eastAsia="楷体" w:cs="仿宋"/>
          <w:szCs w:val="24"/>
          <w:highlight w:val="none"/>
        </w:rPr>
        <w:t>.2</w:t>
      </w:r>
      <w:r>
        <w:rPr>
          <w:rFonts w:hint="eastAsia" w:ascii="楷体" w:hAnsi="楷体" w:eastAsia="楷体" w:cs="仿宋"/>
          <w:szCs w:val="24"/>
          <w:highlight w:val="none"/>
          <w:lang w:val="en-US" w:eastAsia="zh-CN"/>
        </w:rPr>
        <w:t xml:space="preserve"> 按照供应商须知前附表第18.4款规定执行。</w:t>
      </w:r>
    </w:p>
    <w:p w14:paraId="79233250">
      <w:pPr>
        <w:spacing w:line="360" w:lineRule="auto"/>
        <w:ind w:firstLine="480" w:firstLineChars="200"/>
        <w:rPr>
          <w:rFonts w:hint="eastAsia" w:ascii="楷体" w:hAnsi="楷体" w:eastAsia="楷体" w:cs="仿宋"/>
          <w:szCs w:val="24"/>
          <w:highlight w:val="none"/>
        </w:rPr>
      </w:pPr>
      <w:r>
        <w:rPr>
          <w:rFonts w:hint="eastAsia" w:ascii="楷体" w:hAnsi="楷体" w:eastAsia="楷体" w:cs="仿宋"/>
          <w:szCs w:val="24"/>
          <w:highlight w:val="none"/>
        </w:rPr>
        <w:t>3</w:t>
      </w:r>
      <w:r>
        <w:rPr>
          <w:rFonts w:hint="eastAsia" w:ascii="楷体" w:hAnsi="楷体" w:eastAsia="楷体" w:cs="仿宋"/>
          <w:szCs w:val="24"/>
          <w:highlight w:val="none"/>
          <w:lang w:val="en-US" w:eastAsia="zh-CN"/>
        </w:rPr>
        <w:t>1</w:t>
      </w:r>
      <w:r>
        <w:rPr>
          <w:rFonts w:hint="eastAsia" w:ascii="楷体" w:hAnsi="楷体" w:eastAsia="楷体" w:cs="仿宋"/>
          <w:szCs w:val="24"/>
          <w:highlight w:val="none"/>
        </w:rPr>
        <w:t>.3当第二次报价全部超过财政预算限额或均低于公认的制作成本时，磋商小组有权决定是否磋商失败或进行第三次报价。当第三次报价若超出财政预算，且采购人又无力支付，磋商小组有权决定磋商失败。</w:t>
      </w:r>
    </w:p>
    <w:p w14:paraId="7D834CAD">
      <w:pPr>
        <w:spacing w:line="360" w:lineRule="auto"/>
        <w:ind w:firstLine="480" w:firstLineChars="200"/>
        <w:rPr>
          <w:rFonts w:hint="eastAsia" w:ascii="楷体" w:hAnsi="楷体" w:eastAsia="楷体" w:cs="仿宋"/>
          <w:szCs w:val="24"/>
          <w:highlight w:val="none"/>
        </w:rPr>
      </w:pPr>
      <w:r>
        <w:rPr>
          <w:rFonts w:hint="eastAsia" w:ascii="楷体" w:hAnsi="楷体" w:eastAsia="楷体" w:cs="仿宋"/>
          <w:szCs w:val="24"/>
          <w:highlight w:val="none"/>
        </w:rPr>
        <w:t>3</w:t>
      </w:r>
      <w:r>
        <w:rPr>
          <w:rFonts w:hint="eastAsia" w:ascii="楷体" w:hAnsi="楷体" w:eastAsia="楷体" w:cs="仿宋"/>
          <w:szCs w:val="24"/>
          <w:highlight w:val="none"/>
          <w:lang w:val="en-US" w:eastAsia="zh-CN"/>
        </w:rPr>
        <w:t>1</w:t>
      </w:r>
      <w:r>
        <w:rPr>
          <w:rFonts w:hint="eastAsia" w:ascii="楷体" w:hAnsi="楷体" w:eastAsia="楷体" w:cs="仿宋"/>
          <w:szCs w:val="24"/>
          <w:highlight w:val="none"/>
        </w:rPr>
        <w:t>.4成交供应商确定后，成交供应商无正当理由拖延或拒签合同的，或未能按照规定的时间提供履约担保，采购人有权取消其成交资格，并按评审顺序重新确定成交供应商。同时报请监督机构予以通报，禁止其进入政府采购市场。</w:t>
      </w:r>
    </w:p>
    <w:p w14:paraId="27CD5A37">
      <w:pPr>
        <w:spacing w:line="360" w:lineRule="auto"/>
        <w:rPr>
          <w:rFonts w:hint="eastAsia" w:ascii="楷体" w:hAnsi="楷体" w:eastAsia="楷体" w:cs="楷体"/>
          <w:b/>
          <w:szCs w:val="24"/>
          <w:highlight w:val="none"/>
        </w:rPr>
      </w:pPr>
      <w:r>
        <w:rPr>
          <w:rFonts w:hint="eastAsia" w:ascii="楷体" w:hAnsi="楷体" w:eastAsia="楷体" w:cs="楷体"/>
          <w:b/>
          <w:szCs w:val="24"/>
          <w:highlight w:val="none"/>
          <w:lang w:val="en-US" w:eastAsia="zh-CN"/>
        </w:rPr>
        <w:t>32</w:t>
      </w:r>
      <w:r>
        <w:rPr>
          <w:rFonts w:hint="eastAsia" w:ascii="楷体" w:hAnsi="楷体" w:eastAsia="楷体" w:cs="楷体"/>
          <w:b/>
          <w:szCs w:val="24"/>
          <w:highlight w:val="none"/>
        </w:rPr>
        <w:t>.质疑与质疑答复</w:t>
      </w:r>
    </w:p>
    <w:p w14:paraId="56965FBE">
      <w:pPr>
        <w:spacing w:line="360" w:lineRule="auto"/>
        <w:ind w:firstLine="480" w:firstLineChars="200"/>
        <w:rPr>
          <w:rFonts w:hint="eastAsia" w:ascii="楷体" w:hAnsi="楷体" w:eastAsia="楷体" w:cs="楷体"/>
          <w:szCs w:val="24"/>
          <w:highlight w:val="none"/>
        </w:rPr>
      </w:pPr>
      <w:r>
        <w:rPr>
          <w:rFonts w:hint="eastAsia" w:ascii="楷体" w:hAnsi="楷体" w:eastAsia="楷体" w:cs="楷体"/>
          <w:szCs w:val="24"/>
          <w:highlight w:val="none"/>
          <w:lang w:val="en-US" w:eastAsia="zh-CN"/>
        </w:rPr>
        <w:t>32</w:t>
      </w:r>
      <w:r>
        <w:rPr>
          <w:rFonts w:hint="eastAsia" w:ascii="楷体" w:hAnsi="楷体" w:eastAsia="楷体" w:cs="楷体"/>
          <w:szCs w:val="24"/>
          <w:highlight w:val="none"/>
        </w:rPr>
        <w:t>.1供应商认为采购文件、采购过程、中标结果使自己的权益受到损害的，可以在知道或者应知其权益受到损害之日起七个工作日内，以书面形式向采购代理机构提出质疑（质疑函接收联系人、联系电话和通讯地址等详见</w:t>
      </w:r>
      <w:r>
        <w:rPr>
          <w:rFonts w:hint="eastAsia" w:ascii="楷体" w:hAnsi="楷体" w:eastAsia="楷体" w:cs="楷体"/>
          <w:szCs w:val="24"/>
          <w:highlight w:val="none"/>
          <w:lang w:eastAsia="zh-CN"/>
        </w:rPr>
        <w:t>磋商</w:t>
      </w:r>
      <w:r>
        <w:rPr>
          <w:rFonts w:hint="eastAsia" w:ascii="楷体" w:hAnsi="楷体" w:eastAsia="楷体" w:cs="楷体"/>
          <w:szCs w:val="24"/>
          <w:highlight w:val="none"/>
        </w:rPr>
        <w:t>公告）</w:t>
      </w:r>
      <w:r>
        <w:rPr>
          <w:rFonts w:hint="eastAsia" w:ascii="楷体" w:hAnsi="楷体" w:eastAsia="楷体" w:cs="楷体"/>
          <w:szCs w:val="24"/>
          <w:highlight w:val="none"/>
          <w:lang w:eastAsia="zh-CN"/>
        </w:rPr>
        <w:t>，谢绝邮寄</w:t>
      </w:r>
      <w:r>
        <w:rPr>
          <w:rFonts w:hint="eastAsia" w:ascii="楷体" w:hAnsi="楷体" w:eastAsia="楷体" w:cs="楷体"/>
          <w:szCs w:val="24"/>
          <w:highlight w:val="none"/>
        </w:rPr>
        <w:t>。</w:t>
      </w:r>
    </w:p>
    <w:p w14:paraId="537EBC4F">
      <w:pPr>
        <w:spacing w:line="360" w:lineRule="auto"/>
        <w:ind w:firstLine="480" w:firstLineChars="200"/>
        <w:rPr>
          <w:rFonts w:hint="eastAsia" w:ascii="楷体" w:hAnsi="楷体" w:eastAsia="楷体" w:cs="楷体"/>
          <w:szCs w:val="24"/>
          <w:highlight w:val="none"/>
        </w:rPr>
      </w:pPr>
      <w:r>
        <w:rPr>
          <w:rFonts w:hint="eastAsia" w:ascii="楷体" w:hAnsi="楷体" w:eastAsia="楷体" w:cs="楷体"/>
          <w:szCs w:val="24"/>
          <w:highlight w:val="none"/>
        </w:rPr>
        <w:t>3</w:t>
      </w:r>
      <w:r>
        <w:rPr>
          <w:rFonts w:hint="eastAsia" w:ascii="楷体" w:hAnsi="楷体" w:eastAsia="楷体" w:cs="楷体"/>
          <w:szCs w:val="24"/>
          <w:highlight w:val="none"/>
          <w:lang w:val="en-US" w:eastAsia="zh-CN"/>
        </w:rPr>
        <w:t>2</w:t>
      </w:r>
      <w:r>
        <w:rPr>
          <w:rFonts w:hint="eastAsia" w:ascii="楷体" w:hAnsi="楷体" w:eastAsia="楷体" w:cs="楷体"/>
          <w:szCs w:val="24"/>
          <w:highlight w:val="none"/>
        </w:rPr>
        <w:t>.2质疑函范本格式在中国政府采购网站（http://www.ccgp.gov.cn/）自行下载。</w:t>
      </w:r>
    </w:p>
    <w:p w14:paraId="77405C5F">
      <w:pPr>
        <w:spacing w:line="360" w:lineRule="auto"/>
        <w:ind w:firstLine="480" w:firstLineChars="200"/>
        <w:rPr>
          <w:rFonts w:ascii="楷体" w:hAnsi="楷体" w:eastAsia="楷体" w:cs="楷体"/>
          <w:szCs w:val="24"/>
          <w:highlight w:val="none"/>
        </w:rPr>
      </w:pPr>
      <w:r>
        <w:rPr>
          <w:rFonts w:hint="eastAsia" w:ascii="楷体" w:hAnsi="楷体" w:eastAsia="楷体" w:cs="楷体"/>
          <w:szCs w:val="24"/>
          <w:highlight w:val="none"/>
        </w:rPr>
        <w:t>3</w:t>
      </w:r>
      <w:r>
        <w:rPr>
          <w:rFonts w:hint="eastAsia" w:ascii="楷体" w:hAnsi="楷体" w:eastAsia="楷体" w:cs="楷体"/>
          <w:szCs w:val="24"/>
          <w:highlight w:val="none"/>
          <w:lang w:val="en-US" w:eastAsia="zh-CN"/>
        </w:rPr>
        <w:t>2</w:t>
      </w:r>
      <w:r>
        <w:rPr>
          <w:rFonts w:hint="eastAsia" w:ascii="楷体" w:hAnsi="楷体" w:eastAsia="楷体" w:cs="楷体"/>
          <w:szCs w:val="24"/>
          <w:highlight w:val="none"/>
        </w:rPr>
        <w:t>.</w:t>
      </w:r>
      <w:r>
        <w:rPr>
          <w:rFonts w:hint="eastAsia" w:ascii="楷体" w:hAnsi="楷体" w:eastAsia="楷体" w:cs="楷体"/>
          <w:szCs w:val="24"/>
          <w:highlight w:val="none"/>
          <w:lang w:val="en-US" w:eastAsia="zh-CN"/>
        </w:rPr>
        <w:t>3</w:t>
      </w:r>
      <w:r>
        <w:rPr>
          <w:rFonts w:hint="eastAsia" w:ascii="楷体" w:hAnsi="楷体" w:eastAsia="楷体" w:cs="楷体"/>
          <w:szCs w:val="24"/>
          <w:highlight w:val="none"/>
        </w:rPr>
        <w:t>供应商须在法定质疑期内一次性提出针对同一采购程序环节的质疑。</w:t>
      </w:r>
    </w:p>
    <w:p w14:paraId="1E0B40C8">
      <w:pPr>
        <w:spacing w:line="360" w:lineRule="auto"/>
        <w:ind w:firstLine="480" w:firstLineChars="200"/>
        <w:rPr>
          <w:rFonts w:hint="eastAsia" w:ascii="楷体" w:hAnsi="楷体" w:eastAsia="楷体" w:cs="楷体"/>
          <w:szCs w:val="24"/>
          <w:highlight w:val="none"/>
        </w:rPr>
      </w:pPr>
      <w:r>
        <w:rPr>
          <w:rFonts w:hint="eastAsia" w:ascii="楷体" w:hAnsi="楷体" w:eastAsia="楷体" w:cs="楷体"/>
          <w:szCs w:val="24"/>
          <w:highlight w:val="none"/>
        </w:rPr>
        <w:t>3</w:t>
      </w:r>
      <w:r>
        <w:rPr>
          <w:rFonts w:hint="eastAsia" w:ascii="楷体" w:hAnsi="楷体" w:eastAsia="楷体" w:cs="楷体"/>
          <w:szCs w:val="24"/>
          <w:highlight w:val="none"/>
          <w:lang w:val="en-US" w:eastAsia="zh-CN"/>
        </w:rPr>
        <w:t>2</w:t>
      </w:r>
      <w:r>
        <w:rPr>
          <w:rFonts w:hint="eastAsia" w:ascii="楷体" w:hAnsi="楷体" w:eastAsia="楷体" w:cs="楷体"/>
          <w:szCs w:val="24"/>
          <w:highlight w:val="none"/>
        </w:rPr>
        <w:t>.</w:t>
      </w:r>
      <w:r>
        <w:rPr>
          <w:rFonts w:hint="eastAsia" w:ascii="楷体" w:hAnsi="楷体" w:eastAsia="楷体" w:cs="楷体"/>
          <w:szCs w:val="24"/>
          <w:highlight w:val="none"/>
          <w:lang w:val="en-US" w:eastAsia="zh-CN"/>
        </w:rPr>
        <w:t>4</w:t>
      </w:r>
      <w:r>
        <w:rPr>
          <w:rFonts w:hint="eastAsia" w:ascii="楷体" w:hAnsi="楷体" w:eastAsia="楷体" w:cs="楷体"/>
          <w:szCs w:val="24"/>
          <w:highlight w:val="none"/>
        </w:rPr>
        <w:t>法定代表人提交质疑的，须出具法定代表人资格证明书；委托代理人提交质疑的，必须出具授权委托书，授权委托书应当载明代理人的姓名或者名称、代理事项、具体权限、期限和相关事项，由法定代表人签字或者盖章，并加盖单位公章。</w:t>
      </w:r>
    </w:p>
    <w:p w14:paraId="3C43D5ED">
      <w:pPr>
        <w:spacing w:line="360" w:lineRule="auto"/>
        <w:ind w:firstLine="480" w:firstLineChars="200"/>
        <w:rPr>
          <w:rFonts w:hint="eastAsia" w:ascii="楷体" w:hAnsi="楷体" w:eastAsia="楷体" w:cs="楷体"/>
          <w:szCs w:val="24"/>
          <w:highlight w:val="none"/>
        </w:rPr>
      </w:pPr>
      <w:r>
        <w:rPr>
          <w:rFonts w:hint="eastAsia" w:ascii="楷体" w:hAnsi="楷体" w:eastAsia="楷体" w:cs="楷体"/>
          <w:szCs w:val="24"/>
          <w:highlight w:val="none"/>
        </w:rPr>
        <w:t>质疑函应当包括下列内容：</w:t>
      </w:r>
    </w:p>
    <w:p w14:paraId="296981C6">
      <w:pPr>
        <w:spacing w:line="360" w:lineRule="auto"/>
        <w:ind w:firstLine="480" w:firstLineChars="200"/>
        <w:rPr>
          <w:rFonts w:hint="eastAsia" w:ascii="楷体" w:hAnsi="楷体" w:eastAsia="楷体" w:cs="楷体"/>
          <w:szCs w:val="24"/>
          <w:highlight w:val="none"/>
        </w:rPr>
      </w:pPr>
      <w:r>
        <w:rPr>
          <w:rFonts w:hint="eastAsia" w:ascii="楷体" w:hAnsi="楷体" w:eastAsia="楷体" w:cs="楷体"/>
          <w:szCs w:val="24"/>
          <w:highlight w:val="none"/>
        </w:rPr>
        <w:t>1、</w:t>
      </w:r>
      <w:r>
        <w:rPr>
          <w:rFonts w:hint="eastAsia" w:ascii="楷体" w:hAnsi="楷体" w:eastAsia="楷体" w:cs="楷体"/>
          <w:szCs w:val="24"/>
          <w:highlight w:val="none"/>
          <w:lang w:val="zh-CN"/>
        </w:rPr>
        <w:t>供应商</w:t>
      </w:r>
      <w:r>
        <w:rPr>
          <w:rFonts w:hint="eastAsia" w:ascii="楷体" w:hAnsi="楷体" w:eastAsia="楷体" w:cs="楷体"/>
          <w:szCs w:val="24"/>
          <w:highlight w:val="none"/>
        </w:rPr>
        <w:t>的姓名或者名称、地址、邮编、联系人及联系电话；</w:t>
      </w:r>
    </w:p>
    <w:p w14:paraId="5658CC75">
      <w:pPr>
        <w:spacing w:line="360" w:lineRule="auto"/>
        <w:ind w:firstLine="480" w:firstLineChars="200"/>
        <w:rPr>
          <w:rFonts w:hint="eastAsia" w:ascii="楷体" w:hAnsi="楷体" w:eastAsia="楷体" w:cs="楷体"/>
          <w:szCs w:val="24"/>
          <w:highlight w:val="none"/>
        </w:rPr>
      </w:pPr>
      <w:r>
        <w:rPr>
          <w:rFonts w:hint="eastAsia" w:ascii="楷体" w:hAnsi="楷体" w:eastAsia="楷体" w:cs="楷体"/>
          <w:szCs w:val="24"/>
          <w:highlight w:val="none"/>
        </w:rPr>
        <w:t>2、质疑项目的名称、编号；</w:t>
      </w:r>
    </w:p>
    <w:p w14:paraId="70F8564E">
      <w:pPr>
        <w:spacing w:line="360" w:lineRule="auto"/>
        <w:ind w:firstLine="480" w:firstLineChars="200"/>
        <w:rPr>
          <w:rFonts w:hint="eastAsia" w:ascii="楷体" w:hAnsi="楷体" w:eastAsia="楷体" w:cs="楷体"/>
          <w:szCs w:val="24"/>
          <w:highlight w:val="none"/>
        </w:rPr>
      </w:pPr>
      <w:r>
        <w:rPr>
          <w:rFonts w:hint="eastAsia" w:ascii="楷体" w:hAnsi="楷体" w:eastAsia="楷体" w:cs="楷体"/>
          <w:szCs w:val="24"/>
          <w:highlight w:val="none"/>
        </w:rPr>
        <w:t>3、具体、明确的质疑事项和与质疑事项相关的请求；</w:t>
      </w:r>
    </w:p>
    <w:p w14:paraId="4A916DE5">
      <w:pPr>
        <w:spacing w:line="360" w:lineRule="auto"/>
        <w:ind w:firstLine="480" w:firstLineChars="200"/>
        <w:rPr>
          <w:rFonts w:hint="eastAsia" w:ascii="楷体" w:hAnsi="楷体" w:eastAsia="楷体" w:cs="楷体"/>
          <w:szCs w:val="24"/>
          <w:highlight w:val="none"/>
        </w:rPr>
      </w:pPr>
      <w:r>
        <w:rPr>
          <w:rFonts w:hint="eastAsia" w:ascii="楷体" w:hAnsi="楷体" w:eastAsia="楷体" w:cs="楷体"/>
          <w:szCs w:val="24"/>
          <w:highlight w:val="none"/>
        </w:rPr>
        <w:t>4、事实依据；</w:t>
      </w:r>
    </w:p>
    <w:p w14:paraId="0A3FDC88">
      <w:pPr>
        <w:spacing w:line="360" w:lineRule="auto"/>
        <w:ind w:firstLine="480" w:firstLineChars="200"/>
        <w:rPr>
          <w:rFonts w:hint="eastAsia" w:ascii="楷体" w:hAnsi="楷体" w:eastAsia="楷体" w:cs="楷体"/>
          <w:szCs w:val="24"/>
          <w:highlight w:val="none"/>
        </w:rPr>
      </w:pPr>
      <w:r>
        <w:rPr>
          <w:rFonts w:hint="eastAsia" w:ascii="楷体" w:hAnsi="楷体" w:eastAsia="楷体" w:cs="楷体"/>
          <w:szCs w:val="24"/>
          <w:highlight w:val="none"/>
        </w:rPr>
        <w:t>5、必要的法律依据；</w:t>
      </w:r>
    </w:p>
    <w:p w14:paraId="6F702B30">
      <w:pPr>
        <w:spacing w:line="360" w:lineRule="auto"/>
        <w:ind w:firstLine="480" w:firstLineChars="200"/>
        <w:rPr>
          <w:rFonts w:hint="eastAsia" w:ascii="楷体" w:hAnsi="楷体" w:eastAsia="楷体" w:cs="楷体"/>
          <w:szCs w:val="24"/>
          <w:highlight w:val="none"/>
        </w:rPr>
      </w:pPr>
      <w:r>
        <w:rPr>
          <w:rFonts w:hint="eastAsia" w:ascii="楷体" w:hAnsi="楷体" w:eastAsia="楷体" w:cs="楷体"/>
          <w:szCs w:val="24"/>
          <w:highlight w:val="none"/>
        </w:rPr>
        <w:t xml:space="preserve">6、提出质疑的日期。 </w:t>
      </w:r>
    </w:p>
    <w:p w14:paraId="5034B776">
      <w:pPr>
        <w:spacing w:line="360" w:lineRule="auto"/>
        <w:ind w:firstLine="480" w:firstLineChars="200"/>
        <w:rPr>
          <w:rFonts w:hint="eastAsia" w:ascii="楷体" w:hAnsi="楷体" w:eastAsia="楷体" w:cs="楷体"/>
          <w:szCs w:val="24"/>
          <w:highlight w:val="none"/>
        </w:rPr>
      </w:pPr>
      <w:r>
        <w:rPr>
          <w:rFonts w:hint="eastAsia" w:ascii="楷体" w:hAnsi="楷体" w:eastAsia="楷体" w:cs="楷体"/>
          <w:szCs w:val="24"/>
          <w:highlight w:val="none"/>
        </w:rPr>
        <w:t>备注：</w:t>
      </w:r>
      <w:r>
        <w:rPr>
          <w:rFonts w:hint="eastAsia" w:ascii="楷体" w:hAnsi="楷体" w:eastAsia="楷体" w:cs="楷体"/>
          <w:szCs w:val="24"/>
          <w:highlight w:val="none"/>
          <w:lang w:val="zh-CN"/>
        </w:rPr>
        <w:t>供应商为自然人的，应当由本人签字；供应商为法人或者其他组织的，应当由法定代表人、主要负责人，或者其授权代表签字或者盖章，并加盖公章。</w:t>
      </w:r>
    </w:p>
    <w:p w14:paraId="63E9B107">
      <w:pPr>
        <w:spacing w:line="360" w:lineRule="auto"/>
        <w:ind w:firstLine="480" w:firstLineChars="200"/>
        <w:rPr>
          <w:rFonts w:hint="eastAsia" w:ascii="楷体" w:hAnsi="楷体" w:eastAsia="楷体" w:cs="楷体"/>
          <w:szCs w:val="24"/>
          <w:highlight w:val="none"/>
        </w:rPr>
      </w:pPr>
      <w:r>
        <w:rPr>
          <w:rFonts w:hint="eastAsia" w:ascii="楷体" w:hAnsi="楷体" w:eastAsia="楷体" w:cs="楷体"/>
          <w:szCs w:val="24"/>
          <w:highlight w:val="none"/>
        </w:rPr>
        <w:t>3</w:t>
      </w:r>
      <w:r>
        <w:rPr>
          <w:rFonts w:hint="eastAsia" w:ascii="楷体" w:hAnsi="楷体" w:eastAsia="楷体" w:cs="楷体"/>
          <w:szCs w:val="24"/>
          <w:highlight w:val="none"/>
          <w:lang w:val="en-US" w:eastAsia="zh-CN"/>
        </w:rPr>
        <w:t>2</w:t>
      </w:r>
      <w:r>
        <w:rPr>
          <w:rFonts w:hint="eastAsia" w:ascii="楷体" w:hAnsi="楷体" w:eastAsia="楷体" w:cs="楷体"/>
          <w:szCs w:val="24"/>
          <w:highlight w:val="none"/>
        </w:rPr>
        <w:t>.</w:t>
      </w:r>
      <w:r>
        <w:rPr>
          <w:rFonts w:hint="eastAsia" w:ascii="楷体" w:hAnsi="楷体" w:eastAsia="楷体" w:cs="楷体"/>
          <w:szCs w:val="24"/>
          <w:highlight w:val="none"/>
          <w:lang w:val="en-US" w:eastAsia="zh-CN"/>
        </w:rPr>
        <w:t>5</w:t>
      </w:r>
      <w:r>
        <w:rPr>
          <w:rFonts w:hint="eastAsia" w:ascii="楷体" w:hAnsi="楷体" w:eastAsia="楷体" w:cs="楷体"/>
          <w:szCs w:val="24"/>
          <w:highlight w:val="none"/>
        </w:rPr>
        <w:t>质疑有以下情形之一的，采购代理机构不予受理：</w:t>
      </w:r>
    </w:p>
    <w:p w14:paraId="519E8CB2">
      <w:pPr>
        <w:spacing w:line="360" w:lineRule="auto"/>
        <w:ind w:firstLine="480" w:firstLineChars="200"/>
        <w:rPr>
          <w:rFonts w:hint="eastAsia" w:ascii="楷体" w:hAnsi="楷体" w:eastAsia="楷体" w:cs="楷体"/>
          <w:szCs w:val="24"/>
          <w:highlight w:val="none"/>
        </w:rPr>
      </w:pPr>
      <w:r>
        <w:rPr>
          <w:rFonts w:hint="eastAsia" w:ascii="楷体" w:hAnsi="楷体" w:eastAsia="楷体" w:cs="楷体"/>
          <w:szCs w:val="24"/>
          <w:highlight w:val="none"/>
        </w:rPr>
        <w:t>1、未按规定程序和渠道提出质疑的；</w:t>
      </w:r>
    </w:p>
    <w:p w14:paraId="112D481D">
      <w:pPr>
        <w:spacing w:line="360" w:lineRule="auto"/>
        <w:ind w:firstLine="480" w:firstLineChars="200"/>
        <w:rPr>
          <w:rFonts w:hint="eastAsia" w:ascii="楷体" w:hAnsi="楷体" w:eastAsia="楷体" w:cs="楷体"/>
          <w:szCs w:val="24"/>
          <w:highlight w:val="none"/>
        </w:rPr>
      </w:pPr>
      <w:r>
        <w:rPr>
          <w:rFonts w:hint="eastAsia" w:ascii="楷体" w:hAnsi="楷体" w:eastAsia="楷体" w:cs="楷体"/>
          <w:szCs w:val="24"/>
          <w:highlight w:val="none"/>
        </w:rPr>
        <w:t xml:space="preserve">2、超过法定质疑期限的； </w:t>
      </w:r>
    </w:p>
    <w:p w14:paraId="41835FE1">
      <w:pPr>
        <w:spacing w:line="360" w:lineRule="auto"/>
        <w:ind w:firstLine="480" w:firstLineChars="200"/>
        <w:rPr>
          <w:rFonts w:hint="eastAsia" w:ascii="楷体" w:hAnsi="楷体" w:eastAsia="楷体" w:cs="楷体"/>
          <w:szCs w:val="24"/>
          <w:highlight w:val="none"/>
        </w:rPr>
      </w:pPr>
      <w:r>
        <w:rPr>
          <w:rFonts w:hint="eastAsia" w:ascii="楷体" w:hAnsi="楷体" w:eastAsia="楷体" w:cs="楷体"/>
          <w:szCs w:val="24"/>
          <w:highlight w:val="none"/>
        </w:rPr>
        <w:t>3、书面质疑的形式和内容不符合上述要求的；</w:t>
      </w:r>
    </w:p>
    <w:p w14:paraId="5C4F223D">
      <w:pPr>
        <w:spacing w:line="360" w:lineRule="auto"/>
        <w:ind w:firstLine="480" w:firstLineChars="200"/>
        <w:rPr>
          <w:rFonts w:hint="eastAsia" w:ascii="楷体" w:hAnsi="楷体" w:eastAsia="楷体" w:cs="楷体"/>
          <w:szCs w:val="24"/>
          <w:highlight w:val="none"/>
        </w:rPr>
      </w:pPr>
      <w:r>
        <w:rPr>
          <w:rFonts w:hint="eastAsia" w:ascii="楷体" w:hAnsi="楷体" w:eastAsia="楷体" w:cs="楷体"/>
          <w:szCs w:val="24"/>
          <w:highlight w:val="none"/>
        </w:rPr>
        <w:t xml:space="preserve">4、提出的质疑事项已经明确答复的； </w:t>
      </w:r>
    </w:p>
    <w:p w14:paraId="1863DDD8">
      <w:pPr>
        <w:spacing w:line="360" w:lineRule="auto"/>
        <w:ind w:firstLine="480" w:firstLineChars="200"/>
        <w:rPr>
          <w:rFonts w:hint="eastAsia" w:ascii="楷体" w:hAnsi="楷体" w:eastAsia="楷体" w:cs="楷体"/>
          <w:szCs w:val="24"/>
          <w:highlight w:val="none"/>
        </w:rPr>
      </w:pPr>
      <w:r>
        <w:rPr>
          <w:rFonts w:hint="eastAsia" w:ascii="楷体" w:hAnsi="楷体" w:eastAsia="楷体" w:cs="楷体"/>
          <w:szCs w:val="24"/>
          <w:highlight w:val="none"/>
        </w:rPr>
        <w:t>5、法律法规规定的其他不予受理的条件。</w:t>
      </w:r>
    </w:p>
    <w:p w14:paraId="70DCD7C0">
      <w:pPr>
        <w:spacing w:line="360" w:lineRule="auto"/>
        <w:ind w:firstLine="480" w:firstLineChars="200"/>
        <w:rPr>
          <w:rFonts w:hint="eastAsia" w:ascii="楷体" w:hAnsi="楷体" w:eastAsia="楷体" w:cs="楷体"/>
          <w:szCs w:val="24"/>
          <w:highlight w:val="none"/>
        </w:rPr>
      </w:pPr>
      <w:r>
        <w:rPr>
          <w:rFonts w:hint="eastAsia" w:ascii="楷体" w:hAnsi="楷体" w:eastAsia="楷体" w:cs="楷体"/>
          <w:szCs w:val="24"/>
          <w:highlight w:val="none"/>
        </w:rPr>
        <w:t>3</w:t>
      </w:r>
      <w:r>
        <w:rPr>
          <w:rFonts w:hint="eastAsia" w:ascii="楷体" w:hAnsi="楷体" w:eastAsia="楷体" w:cs="楷体"/>
          <w:szCs w:val="24"/>
          <w:highlight w:val="none"/>
          <w:lang w:val="en-US" w:eastAsia="zh-CN"/>
        </w:rPr>
        <w:t>2</w:t>
      </w:r>
      <w:r>
        <w:rPr>
          <w:rFonts w:hint="eastAsia" w:ascii="楷体" w:hAnsi="楷体" w:eastAsia="楷体" w:cs="楷体"/>
          <w:szCs w:val="24"/>
          <w:highlight w:val="none"/>
        </w:rPr>
        <w:t>.</w:t>
      </w:r>
      <w:r>
        <w:rPr>
          <w:rFonts w:hint="eastAsia" w:ascii="楷体" w:hAnsi="楷体" w:eastAsia="楷体" w:cs="楷体"/>
          <w:szCs w:val="24"/>
          <w:highlight w:val="none"/>
          <w:lang w:val="en-US" w:eastAsia="zh-CN"/>
        </w:rPr>
        <w:t>6</w:t>
      </w:r>
      <w:r>
        <w:rPr>
          <w:rFonts w:hint="eastAsia" w:ascii="楷体" w:hAnsi="楷体" w:eastAsia="楷体" w:cs="楷体"/>
          <w:szCs w:val="24"/>
          <w:highlight w:val="none"/>
        </w:rPr>
        <w:t>质疑答复</w:t>
      </w:r>
    </w:p>
    <w:p w14:paraId="763DA195">
      <w:pPr>
        <w:spacing w:line="360" w:lineRule="auto"/>
        <w:ind w:firstLine="480" w:firstLineChars="200"/>
        <w:rPr>
          <w:rFonts w:hint="eastAsia" w:ascii="楷体" w:hAnsi="楷体" w:eastAsia="楷体" w:cs="楷体"/>
          <w:szCs w:val="24"/>
          <w:highlight w:val="none"/>
        </w:rPr>
      </w:pPr>
      <w:r>
        <w:rPr>
          <w:rFonts w:hint="eastAsia" w:ascii="楷体" w:hAnsi="楷体" w:eastAsia="楷体" w:cs="楷体"/>
          <w:szCs w:val="24"/>
          <w:highlight w:val="none"/>
        </w:rPr>
        <w:t>采购人或招标代理机构在收到供应商的书面质疑后将按规定的时间进行回复。</w:t>
      </w:r>
    </w:p>
    <w:p w14:paraId="33DB62B3">
      <w:pPr>
        <w:spacing w:line="360" w:lineRule="auto"/>
        <w:ind w:firstLine="480" w:firstLineChars="200"/>
        <w:rPr>
          <w:rFonts w:hint="eastAsia" w:ascii="楷体" w:hAnsi="楷体" w:eastAsia="楷体" w:cs="仿宋"/>
          <w:szCs w:val="24"/>
          <w:highlight w:val="none"/>
          <w:lang w:val="zh-CN"/>
        </w:rPr>
      </w:pPr>
      <w:r>
        <w:rPr>
          <w:rFonts w:hint="eastAsia" w:ascii="楷体" w:hAnsi="楷体" w:eastAsia="楷体" w:cs="仿宋"/>
          <w:szCs w:val="24"/>
          <w:highlight w:val="none"/>
        </w:rPr>
        <w:t>3</w:t>
      </w:r>
      <w:r>
        <w:rPr>
          <w:rFonts w:hint="eastAsia" w:ascii="楷体" w:hAnsi="楷体" w:eastAsia="楷体" w:cs="仿宋"/>
          <w:szCs w:val="24"/>
          <w:highlight w:val="none"/>
          <w:lang w:val="en-US" w:eastAsia="zh-CN"/>
        </w:rPr>
        <w:t>2</w:t>
      </w:r>
      <w:r>
        <w:rPr>
          <w:rFonts w:hint="eastAsia" w:ascii="楷体" w:hAnsi="楷体" w:eastAsia="楷体" w:cs="仿宋"/>
          <w:szCs w:val="24"/>
          <w:highlight w:val="none"/>
        </w:rPr>
        <w:t>.</w:t>
      </w:r>
      <w:r>
        <w:rPr>
          <w:rFonts w:hint="eastAsia" w:ascii="楷体" w:hAnsi="楷体" w:eastAsia="楷体" w:cs="仿宋"/>
          <w:szCs w:val="24"/>
          <w:highlight w:val="none"/>
          <w:lang w:val="en-US" w:eastAsia="zh-CN"/>
        </w:rPr>
        <w:t>7</w:t>
      </w:r>
      <w:r>
        <w:rPr>
          <w:rFonts w:hint="eastAsia" w:ascii="楷体" w:hAnsi="楷体" w:eastAsia="楷体" w:cs="仿宋"/>
          <w:szCs w:val="24"/>
          <w:highlight w:val="none"/>
          <w:lang w:val="zh-CN"/>
        </w:rPr>
        <w:t>供应商进行虚假和恶意质疑的，采购代理机构将提供相关资料报监督机构，按其情况进行相应处理。</w:t>
      </w:r>
    </w:p>
    <w:p w14:paraId="159AE4C7">
      <w:pPr>
        <w:spacing w:line="360" w:lineRule="auto"/>
        <w:rPr>
          <w:rFonts w:hint="eastAsia" w:ascii="楷体" w:hAnsi="楷体" w:eastAsia="楷体" w:cs="楷体"/>
          <w:b/>
          <w:szCs w:val="24"/>
          <w:highlight w:val="none"/>
        </w:rPr>
      </w:pPr>
      <w:r>
        <w:rPr>
          <w:rFonts w:hint="eastAsia" w:ascii="楷体" w:hAnsi="楷体" w:eastAsia="楷体" w:cs="楷体"/>
          <w:b/>
          <w:szCs w:val="24"/>
          <w:highlight w:val="none"/>
          <w:lang w:val="en-US" w:eastAsia="zh-CN"/>
        </w:rPr>
        <w:t>33</w:t>
      </w:r>
      <w:r>
        <w:rPr>
          <w:rFonts w:hint="eastAsia" w:ascii="楷体" w:hAnsi="楷体" w:eastAsia="楷体" w:cs="楷体"/>
          <w:b/>
          <w:szCs w:val="24"/>
          <w:highlight w:val="none"/>
        </w:rPr>
        <w:t>.信用担保</w:t>
      </w:r>
    </w:p>
    <w:p w14:paraId="0DA669AF">
      <w:pPr>
        <w:pStyle w:val="8"/>
        <w:spacing w:after="0" w:line="360" w:lineRule="auto"/>
        <w:ind w:firstLine="480" w:firstLineChars="200"/>
        <w:jc w:val="left"/>
        <w:rPr>
          <w:rFonts w:hint="eastAsia" w:ascii="楷体" w:hAnsi="楷体" w:eastAsia="楷体" w:cs="楷体"/>
          <w:kern w:val="0"/>
          <w:sz w:val="24"/>
          <w:szCs w:val="24"/>
          <w:highlight w:val="none"/>
          <w:lang w:val="zh-CN" w:eastAsia="zh-CN"/>
        </w:rPr>
      </w:pPr>
      <w:r>
        <w:rPr>
          <w:rFonts w:hint="eastAsia" w:ascii="楷体" w:hAnsi="楷体" w:eastAsia="楷体" w:cs="楷体"/>
          <w:kern w:val="0"/>
          <w:sz w:val="24"/>
          <w:szCs w:val="24"/>
          <w:highlight w:val="none"/>
          <w:lang w:val="zh-CN" w:eastAsia="zh-CN"/>
        </w:rPr>
        <w:t>根据陕西省财政厅关于印发《陕西省中小企业政府采购信用融资办法》（陕财办采〔2018〕23号）和《陕西省财政厅关于加快推进我省中小企业政府采购信用融资工作的通知》（陕财办采〔2020〕15号）文件精神，有融资需求的供应商可根据自身情况，在陕西省政府采购信用融资平台（含各市分平台）自主选择金融机构及其融资产品，凭政府采购中标（成交）通知书或政府采购合同向金融机构提出融资申请。</w:t>
      </w:r>
    </w:p>
    <w:p w14:paraId="488365D1">
      <w:pPr>
        <w:pStyle w:val="8"/>
        <w:jc w:val="left"/>
        <w:rPr>
          <w:rFonts w:hint="eastAsia" w:ascii="楷体" w:hAnsi="楷体" w:eastAsia="楷体" w:cs="楷体"/>
          <w:b/>
          <w:bCs/>
          <w:color w:val="auto"/>
          <w:spacing w:val="6"/>
          <w:kern w:val="0"/>
          <w:sz w:val="28"/>
          <w:szCs w:val="28"/>
          <w:highlight w:val="none"/>
          <w:lang w:val="en-US" w:eastAsia="zh-CN" w:bidi="ar-SA"/>
        </w:rPr>
      </w:pPr>
      <w:r>
        <w:rPr>
          <w:rFonts w:hint="eastAsia" w:ascii="楷体" w:hAnsi="楷体" w:eastAsia="楷体" w:cs="楷体"/>
          <w:color w:val="auto"/>
          <w:szCs w:val="24"/>
          <w:highlight w:val="none"/>
        </w:rPr>
        <w:br w:type="page"/>
      </w:r>
      <w:r>
        <w:rPr>
          <w:rFonts w:hint="eastAsia" w:ascii="楷体" w:hAnsi="楷体" w:eastAsia="楷体" w:cs="楷体"/>
          <w:b/>
          <w:bCs/>
          <w:color w:val="auto"/>
          <w:spacing w:val="6"/>
          <w:kern w:val="0"/>
          <w:sz w:val="28"/>
          <w:szCs w:val="28"/>
          <w:highlight w:val="none"/>
          <w:lang w:val="en-US" w:eastAsia="zh-CN" w:bidi="ar-SA"/>
        </w:rPr>
        <w:t>附件1</w:t>
      </w:r>
    </w:p>
    <w:p w14:paraId="4E0EAD1E">
      <w:pPr>
        <w:pStyle w:val="8"/>
        <w:keepNext w:val="0"/>
        <w:keepLines w:val="0"/>
        <w:pageBreakBefore w:val="0"/>
        <w:widowControl/>
        <w:kinsoku/>
        <w:wordWrap/>
        <w:overflowPunct/>
        <w:topLinePunct w:val="0"/>
        <w:autoSpaceDE w:val="0"/>
        <w:autoSpaceDN w:val="0"/>
        <w:bidi w:val="0"/>
        <w:adjustRightInd/>
        <w:snapToGrid/>
        <w:spacing w:after="0" w:line="590" w:lineRule="exact"/>
        <w:ind w:firstLine="482" w:firstLineChars="200"/>
        <w:jc w:val="center"/>
        <w:textAlignment w:val="auto"/>
        <w:rPr>
          <w:rFonts w:hint="eastAsia" w:ascii="楷体" w:hAnsi="楷体" w:eastAsia="楷体" w:cs="楷体"/>
          <w:b/>
          <w:bCs/>
          <w:color w:val="auto"/>
          <w:kern w:val="2"/>
          <w:sz w:val="24"/>
          <w:szCs w:val="24"/>
          <w:highlight w:val="none"/>
          <w:lang w:val="en-US" w:eastAsia="zh-CN" w:bidi="ar-SA"/>
        </w:rPr>
      </w:pPr>
      <w:r>
        <w:rPr>
          <w:rFonts w:hint="eastAsia" w:ascii="楷体" w:hAnsi="楷体" w:eastAsia="楷体" w:cs="楷体"/>
          <w:b/>
          <w:bCs/>
          <w:color w:val="auto"/>
          <w:kern w:val="2"/>
          <w:sz w:val="24"/>
          <w:szCs w:val="24"/>
          <w:highlight w:val="none"/>
          <w:lang w:val="en-US" w:eastAsia="zh-CN" w:bidi="ar-SA"/>
        </w:rPr>
        <w:t>“政采贷”业务介绍</w:t>
      </w:r>
    </w:p>
    <w:p w14:paraId="25372B14">
      <w:pPr>
        <w:pStyle w:val="8"/>
        <w:keepNext w:val="0"/>
        <w:keepLines w:val="0"/>
        <w:pageBreakBefore w:val="0"/>
        <w:widowControl/>
        <w:kinsoku/>
        <w:wordWrap/>
        <w:overflowPunct/>
        <w:topLinePunct w:val="0"/>
        <w:autoSpaceDE w:val="0"/>
        <w:autoSpaceDN w:val="0"/>
        <w:bidi w:val="0"/>
        <w:adjustRightInd/>
        <w:snapToGrid/>
        <w:spacing w:after="0" w:line="590" w:lineRule="exact"/>
        <w:ind w:firstLine="480" w:firstLineChars="200"/>
        <w:jc w:val="left"/>
        <w:textAlignment w:val="auto"/>
        <w:rPr>
          <w:rFonts w:hint="eastAsia" w:ascii="楷体" w:hAnsi="楷体" w:eastAsia="楷体" w:cs="楷体"/>
          <w:color w:val="auto"/>
          <w:kern w:val="0"/>
          <w:sz w:val="24"/>
          <w:szCs w:val="24"/>
          <w:highlight w:val="none"/>
          <w:lang w:val="en-US" w:eastAsia="zh-CN" w:bidi="ar-SA"/>
        </w:rPr>
      </w:pPr>
      <w:r>
        <w:rPr>
          <w:rFonts w:hint="eastAsia" w:ascii="楷体" w:hAnsi="楷体" w:eastAsia="楷体" w:cs="楷体"/>
          <w:color w:val="auto"/>
          <w:kern w:val="0"/>
          <w:sz w:val="24"/>
          <w:szCs w:val="24"/>
          <w:highlight w:val="none"/>
          <w:lang w:val="en-US" w:eastAsia="zh-CN" w:bidi="ar-SA"/>
        </w:rPr>
        <w:t>政采贷，即政府采购合同融资，是银行机构以政府采购诚信考核和信用审查为基础，凭借中小企业取得并提供的政府采购合同，按优于一般中小企业贷款的利率直接向申请贷款的中小企业发放贷款的一种新融资方式。政府采购贷特点政采贷以中小企业的政府采购信用和国库集中支付作为履约保障的政府采购合同为基础，借力政府采购诚信保障，提供了银企对接的机会和相关的服务支持。</w:t>
      </w:r>
    </w:p>
    <w:p w14:paraId="523C3865">
      <w:pPr>
        <w:pStyle w:val="8"/>
        <w:jc w:val="left"/>
        <w:rPr>
          <w:rFonts w:hint="eastAsia" w:ascii="楷体" w:hAnsi="楷体" w:eastAsia="楷体" w:cs="楷体"/>
          <w:b/>
          <w:bCs/>
          <w:color w:val="auto"/>
          <w:spacing w:val="6"/>
          <w:kern w:val="0"/>
          <w:sz w:val="28"/>
          <w:szCs w:val="28"/>
          <w:highlight w:val="none"/>
          <w:lang w:val="en-US" w:eastAsia="zh-CN" w:bidi="ar-SA"/>
        </w:rPr>
      </w:pPr>
      <w:r>
        <w:rPr>
          <w:rFonts w:hint="eastAsia" w:ascii="仿宋" w:hAnsi="仿宋" w:eastAsia="仿宋" w:cs="仿宋"/>
          <w:color w:val="auto"/>
          <w:sz w:val="24"/>
          <w:szCs w:val="24"/>
          <w:highlight w:val="none"/>
          <w:lang w:val="en-US" w:eastAsia="zh-CN"/>
        </w:rPr>
        <w:br w:type="page"/>
      </w:r>
      <w:r>
        <w:rPr>
          <w:rFonts w:hint="eastAsia" w:ascii="楷体" w:hAnsi="楷体" w:eastAsia="楷体" w:cs="楷体"/>
          <w:b/>
          <w:bCs/>
          <w:color w:val="auto"/>
          <w:spacing w:val="6"/>
          <w:kern w:val="0"/>
          <w:sz w:val="28"/>
          <w:szCs w:val="28"/>
          <w:highlight w:val="none"/>
          <w:lang w:val="en-US" w:eastAsia="zh-CN" w:bidi="ar-SA"/>
        </w:rPr>
        <w:t>附件2</w:t>
      </w:r>
    </w:p>
    <w:p w14:paraId="2B3A0568">
      <w:pPr>
        <w:jc w:val="center"/>
        <w:rPr>
          <w:rFonts w:hint="eastAsia" w:ascii="楷体" w:hAnsi="楷体" w:eastAsia="楷体" w:cs="楷体"/>
          <w:b/>
          <w:bCs/>
          <w:color w:val="auto"/>
          <w:spacing w:val="-4"/>
          <w:w w:val="95"/>
          <w:kern w:val="2"/>
          <w:sz w:val="24"/>
          <w:szCs w:val="24"/>
          <w:highlight w:val="none"/>
          <w:lang w:val="en-US" w:eastAsia="zh-CN" w:bidi="ar-SA"/>
        </w:rPr>
      </w:pPr>
      <w:r>
        <w:rPr>
          <w:rFonts w:hint="eastAsia" w:ascii="楷体" w:hAnsi="楷体" w:eastAsia="楷体" w:cs="楷体"/>
          <w:b/>
          <w:bCs/>
          <w:color w:val="auto"/>
          <w:spacing w:val="-4"/>
          <w:w w:val="95"/>
          <w:kern w:val="2"/>
          <w:sz w:val="24"/>
          <w:szCs w:val="24"/>
          <w:highlight w:val="none"/>
          <w:lang w:val="en-US" w:eastAsia="zh-CN" w:bidi="ar-SA"/>
        </w:rPr>
        <w:t>陕西政府采购供应商信用融资信息服务平台操作手册</w:t>
      </w:r>
    </w:p>
    <w:p w14:paraId="18A17811">
      <w:pPr>
        <w:pStyle w:val="8"/>
        <w:keepNext w:val="0"/>
        <w:keepLines w:val="0"/>
        <w:pageBreakBefore w:val="0"/>
        <w:widowControl/>
        <w:kinsoku/>
        <w:wordWrap/>
        <w:overflowPunct/>
        <w:topLinePunct w:val="0"/>
        <w:autoSpaceDE w:val="0"/>
        <w:autoSpaceDN w:val="0"/>
        <w:bidi w:val="0"/>
        <w:adjustRightInd/>
        <w:snapToGrid/>
        <w:spacing w:after="0" w:line="590" w:lineRule="exact"/>
        <w:ind w:firstLine="480" w:firstLineChars="200"/>
        <w:jc w:val="left"/>
        <w:textAlignment w:val="auto"/>
        <w:rPr>
          <w:rFonts w:hint="eastAsia" w:ascii="楷体" w:hAnsi="楷体" w:eastAsia="楷体" w:cs="楷体"/>
          <w:color w:val="auto"/>
          <w:kern w:val="0"/>
          <w:sz w:val="24"/>
          <w:szCs w:val="24"/>
          <w:highlight w:val="none"/>
          <w:lang w:val="en-US" w:eastAsia="zh-CN" w:bidi="ar-SA"/>
        </w:rPr>
      </w:pPr>
      <w:r>
        <w:rPr>
          <w:rFonts w:hint="eastAsia" w:ascii="楷体" w:hAnsi="楷体" w:eastAsia="楷体" w:cs="楷体"/>
          <w:color w:val="auto"/>
          <w:kern w:val="0"/>
          <w:sz w:val="24"/>
          <w:szCs w:val="24"/>
          <w:highlight w:val="none"/>
          <w:lang w:val="en-US" w:eastAsia="zh-CN" w:bidi="ar-SA"/>
        </w:rPr>
        <w:t>陕西政府采购供应商信用融资信息服务平台主要功能为：供应商凭中标项目或成交合同提交融资意向，查看融资申请进度等功能，本操作手册将详细说明这些功能。</w:t>
      </w:r>
    </w:p>
    <w:p w14:paraId="49264465">
      <w:pPr>
        <w:pStyle w:val="8"/>
        <w:keepNext w:val="0"/>
        <w:keepLines w:val="0"/>
        <w:pageBreakBefore w:val="0"/>
        <w:widowControl/>
        <w:kinsoku/>
        <w:wordWrap/>
        <w:overflowPunct/>
        <w:topLinePunct w:val="0"/>
        <w:autoSpaceDE w:val="0"/>
        <w:autoSpaceDN w:val="0"/>
        <w:bidi w:val="0"/>
        <w:adjustRightInd/>
        <w:snapToGrid/>
        <w:spacing w:after="0" w:line="590" w:lineRule="exact"/>
        <w:ind w:firstLine="480" w:firstLineChars="200"/>
        <w:jc w:val="left"/>
        <w:textAlignment w:val="auto"/>
        <w:rPr>
          <w:rFonts w:hint="eastAsia" w:ascii="楷体" w:hAnsi="楷体" w:eastAsia="楷体" w:cs="楷体"/>
          <w:color w:val="auto"/>
          <w:kern w:val="0"/>
          <w:sz w:val="24"/>
          <w:szCs w:val="24"/>
          <w:highlight w:val="none"/>
          <w:lang w:val="en-US" w:eastAsia="zh-CN" w:bidi="ar-SA"/>
        </w:rPr>
      </w:pPr>
      <w:r>
        <w:rPr>
          <w:rFonts w:hint="eastAsia" w:ascii="楷体" w:hAnsi="楷体" w:eastAsia="楷体" w:cs="楷体"/>
          <w:color w:val="auto"/>
          <w:kern w:val="0"/>
          <w:sz w:val="24"/>
          <w:szCs w:val="24"/>
          <w:highlight w:val="none"/>
          <w:lang w:val="en-US" w:eastAsia="zh-CN" w:bidi="ar-SA"/>
        </w:rPr>
        <w:t>1、首页</w:t>
      </w:r>
    </w:p>
    <w:p w14:paraId="0B8ACCAB">
      <w:pPr>
        <w:pStyle w:val="8"/>
        <w:keepNext w:val="0"/>
        <w:keepLines w:val="0"/>
        <w:pageBreakBefore w:val="0"/>
        <w:widowControl/>
        <w:kinsoku/>
        <w:wordWrap/>
        <w:overflowPunct/>
        <w:topLinePunct w:val="0"/>
        <w:autoSpaceDE w:val="0"/>
        <w:autoSpaceDN w:val="0"/>
        <w:bidi w:val="0"/>
        <w:adjustRightInd/>
        <w:snapToGrid/>
        <w:spacing w:after="0" w:line="590" w:lineRule="exact"/>
        <w:ind w:firstLine="480" w:firstLineChars="200"/>
        <w:jc w:val="left"/>
        <w:textAlignment w:val="auto"/>
        <w:rPr>
          <w:rFonts w:hint="eastAsia" w:ascii="楷体" w:hAnsi="楷体" w:eastAsia="楷体" w:cs="楷体"/>
          <w:color w:val="auto"/>
          <w:kern w:val="0"/>
          <w:sz w:val="24"/>
          <w:szCs w:val="24"/>
          <w:highlight w:val="none"/>
          <w:lang w:val="en-US" w:eastAsia="zh-CN" w:bidi="ar-SA"/>
        </w:rPr>
      </w:pPr>
      <w:r>
        <w:rPr>
          <w:rFonts w:hint="eastAsia" w:ascii="楷体" w:hAnsi="楷体" w:eastAsia="楷体" w:cs="楷体"/>
          <w:color w:val="auto"/>
          <w:kern w:val="0"/>
          <w:sz w:val="24"/>
          <w:szCs w:val="24"/>
          <w:highlight w:val="none"/>
          <w:lang w:val="en-US" w:eastAsia="zh-CN" w:bidi="ar-SA"/>
        </w:rPr>
        <w:t>平台首页主要呈现陕西政府采购信用融资相关政策法规、基本操作流程及供应商帮助内容，供应商企业可由登录注册模块登录平台。</w:t>
      </w:r>
    </w:p>
    <w:p w14:paraId="47C2900E">
      <w:pPr>
        <w:pStyle w:val="8"/>
        <w:keepNext w:val="0"/>
        <w:keepLines w:val="0"/>
        <w:pageBreakBefore w:val="0"/>
        <w:widowControl/>
        <w:kinsoku/>
        <w:wordWrap/>
        <w:overflowPunct/>
        <w:topLinePunct w:val="0"/>
        <w:autoSpaceDE w:val="0"/>
        <w:autoSpaceDN w:val="0"/>
        <w:bidi w:val="0"/>
        <w:adjustRightInd/>
        <w:snapToGrid/>
        <w:spacing w:after="0" w:line="590" w:lineRule="exact"/>
        <w:ind w:firstLine="480" w:firstLineChars="200"/>
        <w:jc w:val="left"/>
        <w:textAlignment w:val="auto"/>
        <w:rPr>
          <w:rFonts w:hint="eastAsia" w:ascii="楷体" w:hAnsi="楷体" w:eastAsia="楷体" w:cs="楷体"/>
          <w:color w:val="auto"/>
          <w:kern w:val="0"/>
          <w:sz w:val="24"/>
          <w:szCs w:val="24"/>
          <w:highlight w:val="none"/>
          <w:lang w:val="en-US" w:eastAsia="zh-CN" w:bidi="ar-SA"/>
        </w:rPr>
      </w:pPr>
      <w:r>
        <w:rPr>
          <w:rFonts w:hint="eastAsia" w:ascii="楷体" w:hAnsi="楷体" w:eastAsia="楷体" w:cs="楷体"/>
          <w:color w:val="auto"/>
          <w:kern w:val="0"/>
          <w:sz w:val="24"/>
          <w:szCs w:val="24"/>
          <w:highlight w:val="none"/>
          <w:lang w:val="en-US" w:eastAsia="zh-CN" w:bidi="ar-SA"/>
        </w:rPr>
        <w:t>2、登录</w:t>
      </w:r>
    </w:p>
    <w:p w14:paraId="038F148F">
      <w:pPr>
        <w:pStyle w:val="8"/>
        <w:keepNext w:val="0"/>
        <w:keepLines w:val="0"/>
        <w:pageBreakBefore w:val="0"/>
        <w:widowControl/>
        <w:kinsoku/>
        <w:wordWrap/>
        <w:overflowPunct/>
        <w:topLinePunct w:val="0"/>
        <w:autoSpaceDE w:val="0"/>
        <w:autoSpaceDN w:val="0"/>
        <w:bidi w:val="0"/>
        <w:adjustRightInd/>
        <w:snapToGrid/>
        <w:spacing w:after="0" w:line="590" w:lineRule="exact"/>
        <w:ind w:firstLine="480" w:firstLineChars="200"/>
        <w:jc w:val="left"/>
        <w:textAlignment w:val="auto"/>
        <w:rPr>
          <w:rFonts w:hint="eastAsia" w:ascii="楷体" w:hAnsi="楷体" w:eastAsia="楷体" w:cs="楷体"/>
          <w:color w:val="auto"/>
          <w:kern w:val="0"/>
          <w:sz w:val="24"/>
          <w:szCs w:val="24"/>
          <w:highlight w:val="none"/>
          <w:lang w:val="en-US" w:eastAsia="zh-CN" w:bidi="ar-SA"/>
        </w:rPr>
      </w:pPr>
      <w:r>
        <w:rPr>
          <w:rFonts w:hint="eastAsia" w:ascii="楷体" w:hAnsi="楷体" w:eastAsia="楷体" w:cs="楷体"/>
          <w:color w:val="auto"/>
          <w:kern w:val="0"/>
          <w:sz w:val="24"/>
          <w:szCs w:val="24"/>
          <w:highlight w:val="none"/>
          <w:lang w:val="en-US" w:eastAsia="zh-CN" w:bidi="ar-SA"/>
        </w:rPr>
        <w:t>陕西政府采购网的中标企业可用手机号注册用户，注册时需要填写企业名称及统一社会信用代码等信息，如下图：</w:t>
      </w:r>
    </w:p>
    <w:p w14:paraId="6AFD64BA">
      <w:pPr>
        <w:pStyle w:val="8"/>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drawing>
          <wp:inline distT="0" distB="0" distL="114300" distR="114300">
            <wp:extent cx="5478780" cy="3080385"/>
            <wp:effectExtent l="0" t="0" r="7620" b="5715"/>
            <wp:docPr id="2" name="图片 1" descr="mmexport1630048836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mmexport1630048836254"/>
                    <pic:cNvPicPr>
                      <a:picLocks noChangeAspect="1"/>
                    </pic:cNvPicPr>
                  </pic:nvPicPr>
                  <pic:blipFill>
                    <a:blip r:embed="rId12"/>
                    <a:stretch>
                      <a:fillRect/>
                    </a:stretch>
                  </pic:blipFill>
                  <pic:spPr>
                    <a:xfrm>
                      <a:off x="0" y="0"/>
                      <a:ext cx="5478780" cy="3080385"/>
                    </a:xfrm>
                    <a:prstGeom prst="rect">
                      <a:avLst/>
                    </a:prstGeom>
                    <a:noFill/>
                    <a:ln>
                      <a:noFill/>
                    </a:ln>
                  </pic:spPr>
                </pic:pic>
              </a:graphicData>
            </a:graphic>
          </wp:inline>
        </w:drawing>
      </w:r>
    </w:p>
    <w:p w14:paraId="141EBED8">
      <w:pPr>
        <w:pStyle w:val="8"/>
        <w:keepNext w:val="0"/>
        <w:keepLines w:val="0"/>
        <w:pageBreakBefore w:val="0"/>
        <w:widowControl/>
        <w:kinsoku/>
        <w:wordWrap/>
        <w:overflowPunct/>
        <w:topLinePunct w:val="0"/>
        <w:autoSpaceDE w:val="0"/>
        <w:autoSpaceDN w:val="0"/>
        <w:bidi w:val="0"/>
        <w:adjustRightInd/>
        <w:snapToGrid/>
        <w:spacing w:after="0" w:line="590" w:lineRule="exact"/>
        <w:ind w:firstLine="480" w:firstLineChars="200"/>
        <w:jc w:val="left"/>
        <w:textAlignment w:val="auto"/>
        <w:rPr>
          <w:rFonts w:hint="eastAsia" w:ascii="楷体" w:hAnsi="楷体" w:eastAsia="楷体" w:cs="楷体"/>
          <w:color w:val="auto"/>
          <w:kern w:val="0"/>
          <w:sz w:val="24"/>
          <w:szCs w:val="24"/>
          <w:highlight w:val="none"/>
          <w:lang w:val="en-US" w:eastAsia="zh-CN" w:bidi="ar-SA"/>
        </w:rPr>
      </w:pPr>
      <w:r>
        <w:rPr>
          <w:rFonts w:hint="eastAsia" w:ascii="楷体" w:hAnsi="楷体" w:eastAsia="楷体" w:cs="楷体"/>
          <w:color w:val="auto"/>
          <w:kern w:val="0"/>
          <w:sz w:val="24"/>
          <w:szCs w:val="24"/>
          <w:highlight w:val="none"/>
          <w:lang w:val="en-US" w:eastAsia="zh-CN" w:bidi="ar-SA"/>
        </w:rPr>
        <w:br w:type="page"/>
      </w:r>
      <w:r>
        <w:rPr>
          <w:rFonts w:hint="eastAsia" w:ascii="楷体" w:hAnsi="楷体" w:eastAsia="楷体" w:cs="楷体"/>
          <w:color w:val="auto"/>
          <w:kern w:val="0"/>
          <w:sz w:val="24"/>
          <w:szCs w:val="24"/>
          <w:highlight w:val="none"/>
          <w:lang w:val="en-US" w:eastAsia="zh-CN" w:bidi="ar-SA"/>
        </w:rPr>
        <w:t>3、注册成功后，凭手机登录平台，如下图，点击首页：</w:t>
      </w:r>
    </w:p>
    <w:p w14:paraId="07863997">
      <w:pPr>
        <w:pStyle w:val="8"/>
        <w:spacing w:before="1"/>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drawing>
          <wp:inline distT="0" distB="0" distL="114300" distR="114300">
            <wp:extent cx="5478780" cy="3080385"/>
            <wp:effectExtent l="0" t="0" r="7620" b="5715"/>
            <wp:docPr id="7" name="图片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descr="2"/>
                    <pic:cNvPicPr>
                      <a:picLocks noChangeAspect="1"/>
                    </pic:cNvPicPr>
                  </pic:nvPicPr>
                  <pic:blipFill>
                    <a:blip r:embed="rId13"/>
                    <a:stretch>
                      <a:fillRect/>
                    </a:stretch>
                  </pic:blipFill>
                  <pic:spPr>
                    <a:xfrm>
                      <a:off x="0" y="0"/>
                      <a:ext cx="5478780" cy="3080385"/>
                    </a:xfrm>
                    <a:prstGeom prst="rect">
                      <a:avLst/>
                    </a:prstGeom>
                    <a:noFill/>
                    <a:ln>
                      <a:noFill/>
                    </a:ln>
                  </pic:spPr>
                </pic:pic>
              </a:graphicData>
            </a:graphic>
          </wp:inline>
        </w:drawing>
      </w:r>
    </w:p>
    <w:p w14:paraId="7581FF43">
      <w:pPr>
        <w:pStyle w:val="8"/>
        <w:autoSpaceDE w:val="0"/>
        <w:autoSpaceDN w:val="0"/>
        <w:ind w:firstLine="480" w:firstLineChars="200"/>
        <w:jc w:val="left"/>
        <w:rPr>
          <w:rFonts w:hint="eastAsia" w:ascii="仿宋" w:hAnsi="仿宋" w:eastAsia="仿宋" w:cs="仿宋"/>
          <w:color w:val="auto"/>
          <w:sz w:val="22"/>
          <w:szCs w:val="22"/>
          <w:highlight w:val="none"/>
        </w:rPr>
      </w:pPr>
      <w:r>
        <w:rPr>
          <w:rFonts w:hint="eastAsia" w:ascii="楷体" w:hAnsi="楷体" w:eastAsia="楷体" w:cs="楷体"/>
          <w:color w:val="auto"/>
          <w:kern w:val="0"/>
          <w:sz w:val="24"/>
          <w:szCs w:val="24"/>
          <w:highlight w:val="none"/>
          <w:lang w:val="en-US" w:eastAsia="zh-CN" w:bidi="ar-SA"/>
        </w:rPr>
        <w:t>3、点击“可融资项目/合同”，再点击申请贷款：</w:t>
      </w:r>
      <w:r>
        <w:rPr>
          <w:rFonts w:hint="eastAsia" w:ascii="仿宋" w:hAnsi="仿宋" w:eastAsia="仿宋" w:cs="仿宋"/>
          <w:color w:val="auto"/>
          <w:sz w:val="22"/>
          <w:szCs w:val="22"/>
          <w:highlight w:val="none"/>
        </w:rPr>
        <w:drawing>
          <wp:inline distT="0" distB="0" distL="114300" distR="114300">
            <wp:extent cx="5464175" cy="3072130"/>
            <wp:effectExtent l="0" t="0" r="3175" b="13970"/>
            <wp:docPr id="5" name="图片 3"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5"/>
                    <pic:cNvPicPr>
                      <a:picLocks noChangeAspect="1"/>
                    </pic:cNvPicPr>
                  </pic:nvPicPr>
                  <pic:blipFill>
                    <a:blip r:embed="rId14"/>
                    <a:stretch>
                      <a:fillRect/>
                    </a:stretch>
                  </pic:blipFill>
                  <pic:spPr>
                    <a:xfrm>
                      <a:off x="0" y="0"/>
                      <a:ext cx="5464175" cy="3072130"/>
                    </a:xfrm>
                    <a:prstGeom prst="rect">
                      <a:avLst/>
                    </a:prstGeom>
                    <a:noFill/>
                    <a:ln>
                      <a:noFill/>
                    </a:ln>
                  </pic:spPr>
                </pic:pic>
              </a:graphicData>
            </a:graphic>
          </wp:inline>
        </w:drawing>
      </w:r>
    </w:p>
    <w:p w14:paraId="12663746">
      <w:pPr>
        <w:pStyle w:val="8"/>
        <w:autoSpaceDE w:val="0"/>
        <w:autoSpaceDN w:val="0"/>
        <w:ind w:firstLine="440" w:firstLineChars="200"/>
        <w:jc w:val="left"/>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br w:type="page"/>
      </w:r>
      <w:r>
        <w:rPr>
          <w:rFonts w:hint="eastAsia" w:ascii="楷体" w:hAnsi="楷体" w:eastAsia="楷体" w:cs="楷体"/>
          <w:color w:val="auto"/>
          <w:kern w:val="0"/>
          <w:sz w:val="24"/>
          <w:szCs w:val="24"/>
          <w:highlight w:val="none"/>
          <w:lang w:val="en-US" w:eastAsia="zh-CN" w:bidi="ar-SA"/>
        </w:rPr>
        <w:t>4、勾选融资意向书：</w:t>
      </w:r>
      <w:r>
        <w:rPr>
          <w:rFonts w:hint="eastAsia" w:ascii="仿宋" w:hAnsi="仿宋" w:eastAsia="仿宋" w:cs="仿宋"/>
          <w:color w:val="auto"/>
          <w:sz w:val="22"/>
          <w:szCs w:val="22"/>
          <w:highlight w:val="none"/>
        </w:rPr>
        <w:drawing>
          <wp:inline distT="0" distB="0" distL="114300" distR="114300">
            <wp:extent cx="5464175" cy="3072130"/>
            <wp:effectExtent l="0" t="0" r="3175" b="13970"/>
            <wp:docPr id="8" name="图片 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descr="4"/>
                    <pic:cNvPicPr>
                      <a:picLocks noChangeAspect="1"/>
                    </pic:cNvPicPr>
                  </pic:nvPicPr>
                  <pic:blipFill>
                    <a:blip r:embed="rId15"/>
                    <a:stretch>
                      <a:fillRect/>
                    </a:stretch>
                  </pic:blipFill>
                  <pic:spPr>
                    <a:xfrm>
                      <a:off x="0" y="0"/>
                      <a:ext cx="5464175" cy="3072130"/>
                    </a:xfrm>
                    <a:prstGeom prst="rect">
                      <a:avLst/>
                    </a:prstGeom>
                    <a:noFill/>
                    <a:ln>
                      <a:noFill/>
                    </a:ln>
                  </pic:spPr>
                </pic:pic>
              </a:graphicData>
            </a:graphic>
          </wp:inline>
        </w:drawing>
      </w:r>
    </w:p>
    <w:p w14:paraId="5B445937">
      <w:pPr>
        <w:pStyle w:val="8"/>
        <w:keepNext w:val="0"/>
        <w:keepLines w:val="0"/>
        <w:pageBreakBefore w:val="0"/>
        <w:widowControl/>
        <w:numPr>
          <w:ilvl w:val="0"/>
          <w:numId w:val="0"/>
        </w:numPr>
        <w:kinsoku/>
        <w:wordWrap/>
        <w:overflowPunct/>
        <w:topLinePunct w:val="0"/>
        <w:autoSpaceDE/>
        <w:autoSpaceDN/>
        <w:bidi w:val="0"/>
        <w:adjustRightInd/>
        <w:snapToGrid/>
        <w:spacing w:after="0"/>
        <w:ind w:firstLine="480" w:firstLineChars="200"/>
        <w:jc w:val="left"/>
        <w:textAlignment w:val="auto"/>
        <w:rPr>
          <w:rFonts w:hint="eastAsia" w:ascii="仿宋" w:hAnsi="仿宋" w:eastAsia="仿宋" w:cs="仿宋"/>
          <w:color w:val="auto"/>
          <w:sz w:val="24"/>
          <w:szCs w:val="24"/>
          <w:highlight w:val="none"/>
        </w:rPr>
      </w:pPr>
      <w:r>
        <w:rPr>
          <w:rFonts w:hint="eastAsia" w:ascii="楷体" w:hAnsi="楷体" w:eastAsia="楷体" w:cs="楷体"/>
          <w:color w:val="auto"/>
          <w:kern w:val="0"/>
          <w:sz w:val="24"/>
          <w:szCs w:val="24"/>
          <w:highlight w:val="none"/>
          <w:lang w:val="en-US" w:eastAsia="zh-CN" w:bidi="ar-SA"/>
        </w:rPr>
        <w:t>5、页面下拉，输入贷款金额、预计用款周期、可接受利率、贷款资金用途，点击保存，选择办理贷款机构所在地，例如：长安区韦曲街道，然后点击下一步。</w:t>
      </w:r>
      <w:r>
        <w:rPr>
          <w:rFonts w:hint="eastAsia" w:ascii="仿宋" w:hAnsi="仿宋" w:eastAsia="仿宋" w:cs="仿宋"/>
          <w:color w:val="auto"/>
          <w:sz w:val="24"/>
          <w:szCs w:val="24"/>
          <w:highlight w:val="none"/>
        </w:rPr>
        <w:drawing>
          <wp:inline distT="0" distB="0" distL="114300" distR="114300">
            <wp:extent cx="5478780" cy="3080385"/>
            <wp:effectExtent l="0" t="0" r="7620" b="5715"/>
            <wp:docPr id="6" name="图片 5"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6"/>
                    <pic:cNvPicPr>
                      <a:picLocks noChangeAspect="1"/>
                    </pic:cNvPicPr>
                  </pic:nvPicPr>
                  <pic:blipFill>
                    <a:blip r:embed="rId16"/>
                    <a:stretch>
                      <a:fillRect/>
                    </a:stretch>
                  </pic:blipFill>
                  <pic:spPr>
                    <a:xfrm>
                      <a:off x="0" y="0"/>
                      <a:ext cx="5478780" cy="3080385"/>
                    </a:xfrm>
                    <a:prstGeom prst="rect">
                      <a:avLst/>
                    </a:prstGeom>
                    <a:noFill/>
                    <a:ln>
                      <a:noFill/>
                    </a:ln>
                  </pic:spPr>
                </pic:pic>
              </a:graphicData>
            </a:graphic>
          </wp:inline>
        </w:drawing>
      </w:r>
    </w:p>
    <w:p w14:paraId="2D07C34D">
      <w:pPr>
        <w:pStyle w:val="8"/>
        <w:keepNext w:val="0"/>
        <w:keepLines w:val="0"/>
        <w:pageBreakBefore w:val="0"/>
        <w:widowControl/>
        <w:numPr>
          <w:ilvl w:val="0"/>
          <w:numId w:val="0"/>
        </w:numPr>
        <w:kinsoku/>
        <w:wordWrap/>
        <w:overflowPunct/>
        <w:topLinePunct w:val="0"/>
        <w:autoSpaceDE/>
        <w:autoSpaceDN/>
        <w:bidi w:val="0"/>
        <w:adjustRightInd/>
        <w:snapToGrid/>
        <w:spacing w:after="0"/>
        <w:ind w:firstLine="480" w:firstLineChars="200"/>
        <w:jc w:val="left"/>
        <w:textAlignment w:val="auto"/>
        <w:rPr>
          <w:rFonts w:hint="eastAsia" w:ascii="仿宋" w:hAnsi="仿宋" w:eastAsia="仿宋" w:cs="仿宋"/>
          <w:color w:val="auto"/>
          <w:kern w:val="2"/>
          <w:sz w:val="24"/>
          <w:szCs w:val="24"/>
          <w:highlight w:val="none"/>
          <w:lang w:val="en-US" w:eastAsia="zh-CN" w:bidi="ar-SA"/>
        </w:rPr>
      </w:pPr>
      <w:r>
        <w:rPr>
          <w:rFonts w:hint="eastAsia" w:ascii="楷体" w:hAnsi="楷体" w:eastAsia="楷体" w:cs="楷体"/>
          <w:color w:val="auto"/>
          <w:kern w:val="0"/>
          <w:sz w:val="24"/>
          <w:szCs w:val="24"/>
          <w:highlight w:val="none"/>
          <w:lang w:val="en-US" w:eastAsia="zh-CN" w:bidi="ar-SA"/>
        </w:rPr>
        <w:br w:type="page"/>
      </w:r>
      <w:r>
        <w:rPr>
          <w:rFonts w:hint="eastAsia" w:ascii="楷体" w:hAnsi="楷体" w:eastAsia="楷体" w:cs="楷体"/>
          <w:color w:val="auto"/>
          <w:kern w:val="0"/>
          <w:sz w:val="24"/>
          <w:szCs w:val="24"/>
          <w:highlight w:val="none"/>
          <w:lang w:val="en-US" w:eastAsia="zh-CN" w:bidi="ar-SA"/>
        </w:rPr>
        <w:t>6、在意向银行列点击提交贷款意向并确定：</w:t>
      </w:r>
    </w:p>
    <w:p w14:paraId="049E9832">
      <w:pPr>
        <w:pStyle w:val="8"/>
        <w:spacing w:before="10"/>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drawing>
          <wp:inline distT="0" distB="0" distL="114300" distR="114300">
            <wp:extent cx="5478780" cy="3080385"/>
            <wp:effectExtent l="0" t="0" r="7620" b="5715"/>
            <wp:docPr id="3" name="图片 6"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 descr="8"/>
                    <pic:cNvPicPr>
                      <a:picLocks noChangeAspect="1"/>
                    </pic:cNvPicPr>
                  </pic:nvPicPr>
                  <pic:blipFill>
                    <a:blip r:embed="rId17"/>
                    <a:stretch>
                      <a:fillRect/>
                    </a:stretch>
                  </pic:blipFill>
                  <pic:spPr>
                    <a:xfrm>
                      <a:off x="0" y="0"/>
                      <a:ext cx="5478780" cy="3080385"/>
                    </a:xfrm>
                    <a:prstGeom prst="rect">
                      <a:avLst/>
                    </a:prstGeom>
                    <a:noFill/>
                    <a:ln>
                      <a:noFill/>
                    </a:ln>
                  </pic:spPr>
                </pic:pic>
              </a:graphicData>
            </a:graphic>
          </wp:inline>
        </w:drawing>
      </w:r>
    </w:p>
    <w:p w14:paraId="592AD450">
      <w:pPr>
        <w:pStyle w:val="8"/>
        <w:keepNext w:val="0"/>
        <w:keepLines w:val="0"/>
        <w:pageBreakBefore w:val="0"/>
        <w:widowControl/>
        <w:kinsoku/>
        <w:wordWrap/>
        <w:overflowPunct/>
        <w:topLinePunct w:val="0"/>
        <w:autoSpaceDE/>
        <w:autoSpaceDN/>
        <w:bidi w:val="0"/>
        <w:adjustRightInd/>
        <w:snapToGrid/>
        <w:spacing w:after="0"/>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在申请进度栏即可查看本笔融资进度：</w:t>
      </w:r>
      <w:r>
        <w:rPr>
          <w:rFonts w:hint="eastAsia" w:ascii="仿宋" w:hAnsi="仿宋" w:eastAsia="仿宋" w:cs="仿宋"/>
          <w:color w:val="auto"/>
          <w:sz w:val="22"/>
          <w:szCs w:val="22"/>
          <w:highlight w:val="none"/>
        </w:rPr>
        <w:drawing>
          <wp:inline distT="0" distB="0" distL="114300" distR="114300">
            <wp:extent cx="5464175" cy="3072130"/>
            <wp:effectExtent l="0" t="0" r="3175" b="13970"/>
            <wp:docPr id="9" name="图片 7"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descr="10"/>
                    <pic:cNvPicPr>
                      <a:picLocks noChangeAspect="1"/>
                    </pic:cNvPicPr>
                  </pic:nvPicPr>
                  <pic:blipFill>
                    <a:blip r:embed="rId18"/>
                    <a:stretch>
                      <a:fillRect/>
                    </a:stretch>
                  </pic:blipFill>
                  <pic:spPr>
                    <a:xfrm>
                      <a:off x="0" y="0"/>
                      <a:ext cx="5464175" cy="3072130"/>
                    </a:xfrm>
                    <a:prstGeom prst="rect">
                      <a:avLst/>
                    </a:prstGeom>
                    <a:noFill/>
                    <a:ln>
                      <a:noFill/>
                    </a:ln>
                  </pic:spPr>
                </pic:pic>
              </a:graphicData>
            </a:graphic>
          </wp:inline>
        </w:drawing>
      </w:r>
    </w:p>
    <w:p w14:paraId="21E17A7B">
      <w:pPr>
        <w:pStyle w:val="2"/>
        <w:numPr>
          <w:ilvl w:val="0"/>
          <w:numId w:val="0"/>
        </w:numPr>
        <w:spacing w:line="360" w:lineRule="auto"/>
        <w:jc w:val="center"/>
        <w:outlineLvl w:val="0"/>
        <w:rPr>
          <w:rFonts w:hint="eastAsia" w:ascii="楷体" w:hAnsi="楷体" w:eastAsia="楷体" w:cs="楷体"/>
          <w:bCs/>
          <w:color w:val="auto"/>
          <w:sz w:val="36"/>
          <w:szCs w:val="36"/>
          <w:highlight w:val="none"/>
        </w:rPr>
      </w:pPr>
      <w:r>
        <w:rPr>
          <w:rFonts w:hint="eastAsia" w:ascii="楷体" w:hAnsi="楷体" w:eastAsia="楷体" w:cs="楷体"/>
          <w:color w:val="auto"/>
          <w:szCs w:val="24"/>
          <w:highlight w:val="none"/>
        </w:rPr>
        <w:br w:type="page"/>
      </w:r>
      <w:bookmarkStart w:id="56" w:name="_Toc9420"/>
      <w:bookmarkStart w:id="57" w:name="_Toc25317_WPSOffice_Level1"/>
      <w:bookmarkStart w:id="58" w:name="_Toc13332"/>
      <w:bookmarkStart w:id="59" w:name="_Toc8070"/>
      <w:bookmarkStart w:id="60" w:name="_Toc5613"/>
      <w:bookmarkStart w:id="61" w:name="_Toc29904"/>
      <w:bookmarkStart w:id="62" w:name="_Toc25746"/>
      <w:bookmarkStart w:id="63" w:name="_Toc24527_WPSOffice_Level1"/>
      <w:bookmarkStart w:id="64" w:name="_Toc21408"/>
      <w:bookmarkStart w:id="65" w:name="_Toc6209"/>
      <w:bookmarkStart w:id="66" w:name="_Toc2694"/>
      <w:bookmarkStart w:id="67" w:name="_Toc6289"/>
      <w:bookmarkStart w:id="68" w:name="_Toc4059"/>
      <w:bookmarkStart w:id="69" w:name="_Toc12426"/>
      <w:bookmarkStart w:id="70" w:name="_Toc31588"/>
      <w:bookmarkStart w:id="71" w:name="_Toc7197"/>
      <w:r>
        <w:rPr>
          <w:rFonts w:hint="eastAsia" w:ascii="楷体" w:hAnsi="楷体" w:eastAsia="楷体" w:cs="楷体"/>
          <w:b/>
          <w:bCs/>
          <w:color w:val="auto"/>
          <w:sz w:val="36"/>
          <w:szCs w:val="36"/>
          <w:highlight w:val="none"/>
          <w:lang w:eastAsia="zh-CN"/>
        </w:rPr>
        <w:t>第三章</w:t>
      </w:r>
      <w:r>
        <w:rPr>
          <w:rFonts w:hint="eastAsia" w:ascii="楷体" w:hAnsi="楷体" w:eastAsia="楷体" w:cs="楷体"/>
          <w:b/>
          <w:bCs/>
          <w:color w:val="auto"/>
          <w:sz w:val="36"/>
          <w:szCs w:val="36"/>
          <w:highlight w:val="none"/>
          <w:lang w:val="en-US" w:eastAsia="zh-CN"/>
        </w:rPr>
        <w:t xml:space="preserve">  </w:t>
      </w:r>
      <w:r>
        <w:rPr>
          <w:rFonts w:hint="eastAsia" w:ascii="楷体" w:hAnsi="楷体" w:eastAsia="楷体" w:cs="楷体"/>
          <w:bCs/>
          <w:color w:val="auto"/>
          <w:sz w:val="36"/>
          <w:szCs w:val="36"/>
          <w:highlight w:val="none"/>
        </w:rPr>
        <w:t>合同条款及格式</w:t>
      </w:r>
      <w:bookmarkEnd w:id="44"/>
      <w:bookmarkEnd w:id="4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p>
    <w:p w14:paraId="0D6CFDD6">
      <w:pPr>
        <w:spacing w:line="360" w:lineRule="auto"/>
        <w:jc w:val="center"/>
        <w:rPr>
          <w:rFonts w:hint="eastAsia" w:ascii="楷体" w:hAnsi="楷体" w:eastAsia="楷体" w:cs="楷体"/>
          <w:b/>
          <w:bCs/>
          <w:color w:val="auto"/>
          <w:sz w:val="32"/>
          <w:highlight w:val="none"/>
        </w:rPr>
      </w:pPr>
      <w:bookmarkStart w:id="72" w:name="_Toc5421"/>
      <w:r>
        <w:rPr>
          <w:rFonts w:hint="eastAsia" w:ascii="楷体" w:hAnsi="楷体" w:eastAsia="楷体" w:cs="楷体"/>
          <w:b/>
          <w:bCs/>
          <w:color w:val="auto"/>
          <w:sz w:val="32"/>
          <w:highlight w:val="none"/>
        </w:rPr>
        <w:t>合同条款及格式前附表</w:t>
      </w:r>
      <w:bookmarkEnd w:id="72"/>
    </w:p>
    <w:p w14:paraId="60AAD2FA">
      <w:pPr>
        <w:spacing w:line="360" w:lineRule="auto"/>
        <w:ind w:firstLine="480" w:firstLineChars="200"/>
        <w:rPr>
          <w:rFonts w:hint="eastAsia" w:ascii="楷体" w:hAnsi="楷体" w:eastAsia="楷体" w:cs="楷体"/>
          <w:bCs/>
          <w:color w:val="auto"/>
          <w:szCs w:val="24"/>
          <w:highlight w:val="none"/>
        </w:rPr>
      </w:pPr>
      <w:r>
        <w:rPr>
          <w:rFonts w:hint="eastAsia" w:ascii="楷体" w:hAnsi="楷体" w:eastAsia="楷体" w:cs="楷体"/>
          <w:color w:val="auto"/>
          <w:szCs w:val="24"/>
          <w:highlight w:val="none"/>
        </w:rPr>
        <w:t>本表是对合同条款的具体补充和修改，如有矛盾，应以本资料表为准。</w:t>
      </w:r>
    </w:p>
    <w:tbl>
      <w:tblPr>
        <w:tblStyle w:val="17"/>
        <w:tblW w:w="8844"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659"/>
        <w:gridCol w:w="8185"/>
      </w:tblGrid>
      <w:tr w14:paraId="4970138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01" w:hRule="atLeast"/>
        </w:trPr>
        <w:tc>
          <w:tcPr>
            <w:tcW w:w="659" w:type="dxa"/>
            <w:noWrap w:val="0"/>
            <w:vAlign w:val="center"/>
          </w:tcPr>
          <w:p w14:paraId="14C251C2">
            <w:pPr>
              <w:spacing w:line="360" w:lineRule="auto"/>
              <w:jc w:val="center"/>
              <w:rPr>
                <w:rFonts w:hint="eastAsia" w:ascii="楷体" w:hAnsi="楷体" w:eastAsia="楷体" w:cs="楷体"/>
                <w:b/>
                <w:color w:val="auto"/>
                <w:szCs w:val="24"/>
                <w:highlight w:val="none"/>
              </w:rPr>
            </w:pPr>
            <w:bookmarkStart w:id="73" w:name="_Toc19199"/>
            <w:bookmarkStart w:id="74" w:name="_Toc31520"/>
            <w:bookmarkStart w:id="75" w:name="_Toc4679"/>
            <w:bookmarkStart w:id="76" w:name="_Toc19246"/>
            <w:bookmarkStart w:id="77" w:name="_Toc8333"/>
            <w:bookmarkStart w:id="78" w:name="_Toc29888"/>
            <w:bookmarkStart w:id="79" w:name="_Toc26595"/>
            <w:bookmarkStart w:id="80" w:name="_Toc389582037"/>
            <w:r>
              <w:rPr>
                <w:rFonts w:hint="eastAsia" w:ascii="楷体" w:hAnsi="楷体" w:eastAsia="楷体" w:cs="楷体"/>
                <w:b/>
                <w:color w:val="auto"/>
                <w:szCs w:val="24"/>
                <w:highlight w:val="none"/>
              </w:rPr>
              <w:t>序号</w:t>
            </w:r>
          </w:p>
        </w:tc>
        <w:tc>
          <w:tcPr>
            <w:tcW w:w="8185" w:type="dxa"/>
            <w:noWrap w:val="0"/>
            <w:vAlign w:val="center"/>
          </w:tcPr>
          <w:p w14:paraId="4B462679">
            <w:pPr>
              <w:spacing w:line="360" w:lineRule="auto"/>
              <w:jc w:val="center"/>
              <w:rPr>
                <w:rFonts w:hint="eastAsia" w:ascii="楷体" w:hAnsi="楷体" w:eastAsia="楷体" w:cs="楷体"/>
                <w:b/>
                <w:color w:val="auto"/>
                <w:szCs w:val="24"/>
                <w:highlight w:val="none"/>
              </w:rPr>
            </w:pPr>
            <w:r>
              <w:rPr>
                <w:rFonts w:hint="eastAsia" w:ascii="楷体" w:hAnsi="楷体" w:eastAsia="楷体" w:cs="楷体"/>
                <w:b/>
                <w:color w:val="auto"/>
                <w:szCs w:val="24"/>
                <w:highlight w:val="none"/>
              </w:rPr>
              <w:t>内      容</w:t>
            </w:r>
          </w:p>
        </w:tc>
      </w:tr>
      <w:tr w14:paraId="716F93F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28" w:hRule="atLeast"/>
        </w:trPr>
        <w:tc>
          <w:tcPr>
            <w:tcW w:w="659" w:type="dxa"/>
            <w:noWrap w:val="0"/>
            <w:vAlign w:val="center"/>
          </w:tcPr>
          <w:p w14:paraId="4FE87C42">
            <w:pPr>
              <w:spacing w:line="360" w:lineRule="auto"/>
              <w:jc w:val="center"/>
              <w:rPr>
                <w:rFonts w:hint="eastAsia" w:ascii="楷体" w:hAnsi="楷体" w:eastAsia="楷体" w:cs="楷体"/>
                <w:color w:val="auto"/>
                <w:szCs w:val="24"/>
                <w:highlight w:val="none"/>
              </w:rPr>
            </w:pPr>
            <w:r>
              <w:rPr>
                <w:rFonts w:hint="eastAsia" w:ascii="楷体" w:hAnsi="楷体" w:eastAsia="楷体" w:cs="楷体"/>
                <w:color w:val="auto"/>
                <w:szCs w:val="24"/>
                <w:highlight w:val="none"/>
              </w:rPr>
              <w:t>1</w:t>
            </w:r>
          </w:p>
        </w:tc>
        <w:tc>
          <w:tcPr>
            <w:tcW w:w="8185" w:type="dxa"/>
            <w:noWrap w:val="0"/>
            <w:vAlign w:val="center"/>
          </w:tcPr>
          <w:p w14:paraId="50B2EA4E">
            <w:pPr>
              <w:spacing w:line="360" w:lineRule="auto"/>
              <w:rPr>
                <w:rFonts w:hint="eastAsia" w:ascii="楷体" w:hAnsi="楷体" w:eastAsia="楷体" w:cs="楷体"/>
                <w:b/>
                <w:color w:val="auto"/>
                <w:szCs w:val="24"/>
                <w:highlight w:val="none"/>
                <w:lang w:eastAsia="zh-CN"/>
              </w:rPr>
            </w:pPr>
            <w:r>
              <w:rPr>
                <w:rFonts w:hint="eastAsia" w:ascii="楷体" w:hAnsi="楷体" w:eastAsia="楷体" w:cs="楷体"/>
                <w:b/>
                <w:color w:val="auto"/>
                <w:szCs w:val="24"/>
                <w:highlight w:val="none"/>
              </w:rPr>
              <w:t>采购人信息：</w:t>
            </w:r>
            <w:r>
              <w:rPr>
                <w:rFonts w:hint="eastAsia" w:ascii="楷体" w:hAnsi="楷体" w:eastAsia="楷体" w:cs="楷体"/>
                <w:b w:val="0"/>
                <w:bCs/>
                <w:color w:val="auto"/>
                <w:szCs w:val="24"/>
                <w:highlight w:val="none"/>
              </w:rPr>
              <w:t>西安市</w:t>
            </w:r>
            <w:r>
              <w:rPr>
                <w:rFonts w:hint="eastAsia" w:ascii="楷体" w:hAnsi="楷体" w:eastAsia="楷体" w:cs="楷体"/>
                <w:b w:val="0"/>
                <w:bCs/>
                <w:color w:val="auto"/>
                <w:szCs w:val="24"/>
                <w:highlight w:val="none"/>
                <w:lang w:eastAsia="zh-CN"/>
              </w:rPr>
              <w:t>市场监督管理局</w:t>
            </w:r>
          </w:p>
          <w:p w14:paraId="46D38EBC">
            <w:pPr>
              <w:spacing w:line="360" w:lineRule="auto"/>
              <w:rPr>
                <w:rFonts w:hint="eastAsia" w:ascii="楷体" w:hAnsi="楷体" w:eastAsia="楷体" w:cs="楷体"/>
                <w:b w:val="0"/>
                <w:bCs/>
                <w:color w:val="auto"/>
                <w:szCs w:val="24"/>
                <w:highlight w:val="none"/>
              </w:rPr>
            </w:pPr>
            <w:r>
              <w:rPr>
                <w:rFonts w:hint="eastAsia" w:ascii="楷体" w:hAnsi="楷体" w:eastAsia="楷体" w:cs="楷体"/>
                <w:b/>
                <w:color w:val="auto"/>
                <w:szCs w:val="24"/>
                <w:highlight w:val="none"/>
              </w:rPr>
              <w:t>地址：</w:t>
            </w:r>
            <w:r>
              <w:rPr>
                <w:rFonts w:hint="eastAsia" w:ascii="楷体" w:hAnsi="楷体" w:eastAsia="楷体" w:cs="楷体"/>
                <w:b w:val="0"/>
                <w:bCs/>
                <w:color w:val="auto"/>
                <w:szCs w:val="24"/>
                <w:highlight w:val="none"/>
              </w:rPr>
              <w:t>吉祥路181号</w:t>
            </w:r>
          </w:p>
          <w:p w14:paraId="5C1E79E8">
            <w:pPr>
              <w:spacing w:line="360" w:lineRule="auto"/>
              <w:rPr>
                <w:rFonts w:hint="eastAsia" w:ascii="楷体" w:hAnsi="楷体" w:eastAsia="楷体" w:cs="楷体"/>
                <w:bCs/>
                <w:color w:val="auto"/>
                <w:szCs w:val="24"/>
                <w:highlight w:val="none"/>
                <w:lang w:val="en-US" w:eastAsia="zh-CN"/>
              </w:rPr>
            </w:pPr>
            <w:r>
              <w:rPr>
                <w:rFonts w:hint="eastAsia" w:ascii="楷体" w:hAnsi="楷体" w:eastAsia="楷体" w:cs="楷体"/>
                <w:b/>
                <w:color w:val="auto"/>
                <w:szCs w:val="24"/>
                <w:highlight w:val="none"/>
              </w:rPr>
              <w:t>项目名称：</w:t>
            </w:r>
            <w:r>
              <w:rPr>
                <w:rFonts w:hint="eastAsia" w:ascii="楷体" w:hAnsi="楷体" w:eastAsia="楷体" w:cs="楷体"/>
                <w:b w:val="0"/>
                <w:bCs/>
                <w:color w:val="auto"/>
                <w:szCs w:val="24"/>
                <w:highlight w:val="none"/>
                <w:lang w:val="en-US" w:eastAsia="zh-CN"/>
              </w:rPr>
              <w:t>生态环境和安全相关产品质量监督抽查（四次）</w:t>
            </w:r>
          </w:p>
          <w:p w14:paraId="0585A1CF">
            <w:pPr>
              <w:spacing w:line="360" w:lineRule="auto"/>
              <w:rPr>
                <w:rFonts w:hint="eastAsia" w:ascii="楷体" w:hAnsi="楷体" w:eastAsia="楷体" w:cs="楷体"/>
                <w:color w:val="auto"/>
                <w:szCs w:val="24"/>
                <w:highlight w:val="none"/>
                <w:lang w:val="en-US" w:eastAsia="zh-CN"/>
              </w:rPr>
            </w:pPr>
            <w:r>
              <w:rPr>
                <w:rFonts w:hint="eastAsia" w:ascii="楷体" w:hAnsi="楷体" w:eastAsia="楷体" w:cs="楷体"/>
                <w:b/>
                <w:color w:val="auto"/>
                <w:szCs w:val="24"/>
                <w:highlight w:val="none"/>
              </w:rPr>
              <w:t>资金来源：</w:t>
            </w:r>
            <w:r>
              <w:rPr>
                <w:rFonts w:hint="eastAsia" w:ascii="楷体" w:hAnsi="楷体" w:eastAsia="楷体" w:cs="楷体"/>
                <w:bCs/>
                <w:color w:val="auto"/>
                <w:szCs w:val="24"/>
                <w:highlight w:val="none"/>
                <w:lang w:val="en-US" w:eastAsia="zh-CN"/>
              </w:rPr>
              <w:t>财政资金，资金已落实</w:t>
            </w:r>
          </w:p>
        </w:tc>
      </w:tr>
      <w:tr w14:paraId="17F9916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52" w:hRule="exact"/>
        </w:trPr>
        <w:tc>
          <w:tcPr>
            <w:tcW w:w="659" w:type="dxa"/>
            <w:noWrap w:val="0"/>
            <w:vAlign w:val="center"/>
          </w:tcPr>
          <w:p w14:paraId="23866CF8">
            <w:pPr>
              <w:spacing w:line="360" w:lineRule="auto"/>
              <w:jc w:val="center"/>
              <w:rPr>
                <w:rFonts w:hint="eastAsia" w:ascii="楷体" w:hAnsi="楷体" w:eastAsia="楷体" w:cs="楷体"/>
                <w:color w:val="auto"/>
                <w:szCs w:val="24"/>
                <w:highlight w:val="none"/>
              </w:rPr>
            </w:pPr>
            <w:r>
              <w:rPr>
                <w:rFonts w:hint="eastAsia" w:ascii="楷体" w:hAnsi="楷体" w:eastAsia="楷体" w:cs="楷体"/>
                <w:color w:val="auto"/>
                <w:szCs w:val="24"/>
                <w:highlight w:val="none"/>
              </w:rPr>
              <w:t>2</w:t>
            </w:r>
          </w:p>
        </w:tc>
        <w:tc>
          <w:tcPr>
            <w:tcW w:w="8185" w:type="dxa"/>
            <w:noWrap w:val="0"/>
            <w:vAlign w:val="center"/>
          </w:tcPr>
          <w:p w14:paraId="730CFC81">
            <w:pPr>
              <w:pStyle w:val="22"/>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highlight w:val="none"/>
              </w:rPr>
            </w:pPr>
            <w:r>
              <w:rPr>
                <w:rFonts w:hint="eastAsia" w:ascii="楷体" w:hAnsi="楷体" w:eastAsia="楷体" w:cs="楷体"/>
                <w:b/>
                <w:color w:val="auto"/>
                <w:sz w:val="24"/>
                <w:szCs w:val="24"/>
                <w:highlight w:val="none"/>
                <w:lang w:val="en-US" w:eastAsia="zh-CN" w:bidi="ar-SA"/>
              </w:rPr>
              <w:t>项目实施地点：</w:t>
            </w:r>
            <w:r>
              <w:rPr>
                <w:rFonts w:hint="eastAsia" w:ascii="楷体" w:hAnsi="楷体" w:eastAsia="楷体" w:cs="楷体"/>
                <w:bCs/>
                <w:color w:val="auto"/>
                <w:sz w:val="24"/>
                <w:szCs w:val="24"/>
                <w:highlight w:val="none"/>
                <w:lang w:val="en-US" w:eastAsia="zh-CN" w:bidi="ar-SA"/>
              </w:rPr>
              <w:t>采购方指定地点。</w:t>
            </w:r>
          </w:p>
          <w:p w14:paraId="2FA5E09B">
            <w:pPr>
              <w:spacing w:line="360" w:lineRule="auto"/>
              <w:rPr>
                <w:rFonts w:hint="eastAsia" w:ascii="楷体" w:hAnsi="楷体" w:eastAsia="楷体" w:cs="楷体"/>
                <w:b/>
                <w:color w:val="auto"/>
                <w:szCs w:val="24"/>
                <w:highlight w:val="none"/>
                <w:lang w:val="en-US" w:eastAsia="zh-CN"/>
              </w:rPr>
            </w:pPr>
          </w:p>
        </w:tc>
      </w:tr>
      <w:tr w14:paraId="6DCD8A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64" w:hRule="exact"/>
        </w:trPr>
        <w:tc>
          <w:tcPr>
            <w:tcW w:w="659" w:type="dxa"/>
            <w:noWrap w:val="0"/>
            <w:vAlign w:val="center"/>
          </w:tcPr>
          <w:p w14:paraId="10A7B215">
            <w:pPr>
              <w:spacing w:line="360" w:lineRule="auto"/>
              <w:jc w:val="center"/>
              <w:rPr>
                <w:rFonts w:hint="eastAsia" w:ascii="楷体" w:hAnsi="楷体" w:eastAsia="楷体" w:cs="楷体"/>
                <w:color w:val="auto"/>
                <w:szCs w:val="24"/>
                <w:highlight w:val="none"/>
              </w:rPr>
            </w:pPr>
            <w:r>
              <w:rPr>
                <w:rFonts w:hint="eastAsia" w:ascii="楷体" w:hAnsi="楷体" w:eastAsia="楷体" w:cs="楷体"/>
                <w:color w:val="auto"/>
                <w:szCs w:val="24"/>
                <w:highlight w:val="none"/>
              </w:rPr>
              <w:t>3</w:t>
            </w:r>
          </w:p>
        </w:tc>
        <w:tc>
          <w:tcPr>
            <w:tcW w:w="8185" w:type="dxa"/>
            <w:noWrap w:val="0"/>
            <w:vAlign w:val="center"/>
          </w:tcPr>
          <w:p w14:paraId="35A977CE">
            <w:pPr>
              <w:pStyle w:val="22"/>
              <w:pageBreakBefore w:val="0"/>
              <w:kinsoku/>
              <w:wordWrap/>
              <w:overflowPunct/>
              <w:topLinePunct w:val="0"/>
              <w:autoSpaceDE/>
              <w:autoSpaceDN/>
              <w:bidi w:val="0"/>
              <w:adjustRightInd/>
              <w:snapToGrid/>
              <w:spacing w:line="360" w:lineRule="auto"/>
              <w:textAlignment w:val="auto"/>
              <w:rPr>
                <w:rFonts w:hint="default" w:ascii="楷体" w:hAnsi="楷体" w:eastAsia="楷体" w:cs="楷体"/>
                <w:b/>
                <w:color w:val="auto"/>
                <w:szCs w:val="24"/>
                <w:highlight w:val="none"/>
                <w:lang w:val="en-US" w:eastAsia="zh-CN"/>
              </w:rPr>
            </w:pPr>
            <w:r>
              <w:rPr>
                <w:rFonts w:hint="eastAsia" w:ascii="楷体" w:hAnsi="楷体" w:eastAsia="楷体" w:cs="楷体"/>
                <w:b/>
                <w:color w:val="auto"/>
                <w:sz w:val="24"/>
                <w:szCs w:val="24"/>
                <w:highlight w:val="none"/>
                <w:lang w:val="en-US" w:eastAsia="zh-CN" w:bidi="ar-SA"/>
              </w:rPr>
              <w:t>服务期限：</w:t>
            </w:r>
            <w:bookmarkStart w:id="81" w:name="OLE_LINK110"/>
            <w:r>
              <w:rPr>
                <w:rFonts w:hint="eastAsia" w:ascii="楷体" w:hAnsi="楷体" w:eastAsia="楷体" w:cs="楷体"/>
                <w:bCs/>
                <w:color w:val="auto"/>
                <w:sz w:val="24"/>
                <w:szCs w:val="24"/>
                <w:highlight w:val="none"/>
                <w:lang w:val="en-US" w:eastAsia="zh-CN" w:bidi="ar-SA"/>
              </w:rPr>
              <w:t>自合同签订之日起至12月底，分批次完成质量监督抽查。</w:t>
            </w:r>
            <w:bookmarkEnd w:id="81"/>
          </w:p>
        </w:tc>
      </w:tr>
      <w:tr w14:paraId="018E9B0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26" w:hRule="atLeast"/>
        </w:trPr>
        <w:tc>
          <w:tcPr>
            <w:tcW w:w="659" w:type="dxa"/>
            <w:noWrap w:val="0"/>
            <w:vAlign w:val="center"/>
          </w:tcPr>
          <w:p w14:paraId="09B68307">
            <w:pPr>
              <w:spacing w:line="360" w:lineRule="auto"/>
              <w:jc w:val="center"/>
              <w:rPr>
                <w:rFonts w:hint="eastAsia" w:ascii="楷体" w:hAnsi="楷体" w:eastAsia="楷体" w:cs="楷体"/>
                <w:color w:val="auto"/>
                <w:szCs w:val="24"/>
                <w:highlight w:val="none"/>
                <w:shd w:val="clear" w:color="FFFFFF" w:fill="D9D9D9"/>
              </w:rPr>
            </w:pPr>
            <w:r>
              <w:rPr>
                <w:rFonts w:hint="eastAsia" w:ascii="楷体" w:hAnsi="楷体" w:eastAsia="楷体" w:cs="楷体"/>
                <w:color w:val="auto"/>
                <w:szCs w:val="24"/>
                <w:highlight w:val="none"/>
              </w:rPr>
              <w:t>4</w:t>
            </w:r>
          </w:p>
        </w:tc>
        <w:tc>
          <w:tcPr>
            <w:tcW w:w="8185" w:type="dxa"/>
            <w:noWrap w:val="0"/>
            <w:vAlign w:val="center"/>
          </w:tcPr>
          <w:p w14:paraId="7E59098B">
            <w:pPr>
              <w:spacing w:line="360" w:lineRule="auto"/>
              <w:rPr>
                <w:rFonts w:hint="eastAsia" w:ascii="楷体" w:hAnsi="楷体" w:eastAsia="楷体" w:cs="楷体"/>
                <w:b/>
                <w:bCs/>
                <w:color w:val="auto"/>
                <w:szCs w:val="24"/>
                <w:highlight w:val="none"/>
              </w:rPr>
            </w:pPr>
            <w:r>
              <w:rPr>
                <w:rFonts w:hint="eastAsia" w:ascii="楷体" w:hAnsi="楷体" w:eastAsia="楷体" w:cs="楷体"/>
                <w:b/>
                <w:bCs/>
                <w:color w:val="auto"/>
                <w:szCs w:val="24"/>
                <w:highlight w:val="none"/>
              </w:rPr>
              <w:t>付款：</w:t>
            </w:r>
          </w:p>
          <w:p w14:paraId="01C13794">
            <w:pPr>
              <w:spacing w:line="360" w:lineRule="auto"/>
              <w:ind w:firstLine="480" w:firstLineChars="200"/>
              <w:rPr>
                <w:rFonts w:hint="eastAsia" w:ascii="楷体" w:hAnsi="楷体" w:eastAsia="楷体" w:cs="楷体"/>
                <w:color w:val="000000"/>
                <w:szCs w:val="24"/>
                <w:highlight w:val="none"/>
                <w:lang w:val="en-US" w:eastAsia="zh-CN"/>
              </w:rPr>
            </w:pPr>
            <w:r>
              <w:rPr>
                <w:rFonts w:hint="eastAsia" w:ascii="楷体" w:hAnsi="楷体" w:eastAsia="楷体" w:cs="楷体"/>
                <w:color w:val="000000"/>
                <w:szCs w:val="24"/>
                <w:highlight w:val="none"/>
                <w:lang w:val="en-US" w:eastAsia="zh-CN"/>
              </w:rPr>
              <w:t>1.单项最终成交单价在实施期限内不受市场价变化或实际工作量变化的影响。</w:t>
            </w:r>
          </w:p>
          <w:p w14:paraId="4EF98FD5">
            <w:pPr>
              <w:spacing w:line="360" w:lineRule="auto"/>
              <w:ind w:firstLine="482" w:firstLineChars="200"/>
              <w:rPr>
                <w:rFonts w:hint="eastAsia" w:ascii="楷体" w:hAnsi="楷体" w:eastAsia="楷体" w:cs="楷体"/>
                <w:b/>
                <w:bCs/>
                <w:color w:val="auto"/>
                <w:szCs w:val="24"/>
                <w:highlight w:val="none"/>
              </w:rPr>
            </w:pPr>
            <w:r>
              <w:rPr>
                <w:rFonts w:hint="eastAsia" w:ascii="楷体" w:hAnsi="楷体" w:eastAsia="楷体" w:cs="楷体"/>
                <w:b/>
                <w:bCs/>
                <w:color w:val="auto"/>
                <w:szCs w:val="24"/>
                <w:highlight w:val="none"/>
              </w:rPr>
              <w:t>2.付款方式和程序：</w:t>
            </w:r>
          </w:p>
          <w:p w14:paraId="24DF7576">
            <w:pPr>
              <w:spacing w:line="360" w:lineRule="auto"/>
              <w:ind w:firstLine="480" w:firstLineChars="200"/>
              <w:rPr>
                <w:rFonts w:hint="eastAsia" w:ascii="楷体" w:hAnsi="楷体" w:eastAsia="楷体" w:cs="楷体"/>
                <w:b w:val="0"/>
                <w:bCs w:val="0"/>
                <w:color w:val="auto"/>
                <w:szCs w:val="24"/>
                <w:highlight w:val="none"/>
              </w:rPr>
            </w:pPr>
            <w:r>
              <w:rPr>
                <w:rFonts w:hint="eastAsia" w:ascii="楷体" w:hAnsi="楷体" w:eastAsia="楷体" w:cs="楷体"/>
                <w:b w:val="0"/>
                <w:bCs w:val="0"/>
                <w:color w:val="auto"/>
                <w:szCs w:val="24"/>
                <w:highlight w:val="none"/>
              </w:rPr>
              <w:t>2.1由采购人负责结算，在付款前，供应商必须开具全额发票给采购人（附详细清单）。</w:t>
            </w:r>
          </w:p>
          <w:p w14:paraId="5866DE74">
            <w:pPr>
              <w:spacing w:line="360" w:lineRule="auto"/>
              <w:rPr>
                <w:rFonts w:hint="eastAsia" w:ascii="楷体" w:hAnsi="楷体" w:eastAsia="楷体" w:cs="楷体"/>
                <w:b/>
                <w:bCs/>
                <w:color w:val="auto"/>
                <w:szCs w:val="24"/>
                <w:highlight w:val="none"/>
              </w:rPr>
            </w:pPr>
            <w:r>
              <w:rPr>
                <w:rFonts w:hint="eastAsia" w:ascii="楷体" w:hAnsi="楷体" w:eastAsia="楷体" w:cs="楷体"/>
                <w:b/>
                <w:bCs/>
                <w:color w:val="auto"/>
                <w:szCs w:val="24"/>
                <w:highlight w:val="none"/>
                <w:shd w:val="clear" w:color="auto" w:fill="auto"/>
              </w:rPr>
              <w:t xml:space="preserve">   </w:t>
            </w:r>
            <w:r>
              <w:rPr>
                <w:rFonts w:hint="eastAsia" w:ascii="楷体" w:hAnsi="楷体" w:eastAsia="楷体" w:cs="楷体"/>
                <w:b/>
                <w:bCs/>
                <w:color w:val="auto"/>
                <w:szCs w:val="24"/>
                <w:highlight w:val="none"/>
              </w:rPr>
              <w:t xml:space="preserve"> 2.2</w:t>
            </w:r>
            <w:r>
              <w:rPr>
                <w:rFonts w:hint="eastAsia" w:ascii="楷体" w:hAnsi="楷体" w:eastAsia="楷体" w:cs="楷体"/>
                <w:b/>
                <w:bCs/>
                <w:color w:val="auto"/>
                <w:szCs w:val="24"/>
                <w:highlight w:val="none"/>
                <w:lang w:val="en-US" w:eastAsia="zh-CN"/>
              </w:rPr>
              <w:t>.</w:t>
            </w:r>
            <w:r>
              <w:rPr>
                <w:rFonts w:hint="eastAsia" w:ascii="楷体" w:hAnsi="楷体" w:eastAsia="楷体" w:cs="楷体"/>
                <w:b/>
                <w:bCs/>
                <w:color w:val="auto"/>
                <w:szCs w:val="24"/>
                <w:highlight w:val="none"/>
              </w:rPr>
              <w:t>付款方式：</w:t>
            </w:r>
          </w:p>
          <w:p w14:paraId="4996E97E">
            <w:pPr>
              <w:pStyle w:val="23"/>
              <w:spacing w:after="0" w:line="520" w:lineRule="exact"/>
              <w:ind w:firstLine="480" w:firstLineChars="200"/>
              <w:jc w:val="both"/>
              <w:rPr>
                <w:rFonts w:hint="eastAsia" w:ascii="楷体" w:hAnsi="楷体" w:eastAsia="楷体" w:cs="楷体"/>
                <w:b w:val="0"/>
                <w:bCs w:val="0"/>
                <w:color w:val="auto"/>
                <w:sz w:val="24"/>
                <w:szCs w:val="24"/>
                <w:highlight w:val="none"/>
                <w:lang w:val="en-US" w:eastAsia="zh-CN" w:bidi="ar-SA"/>
              </w:rPr>
            </w:pPr>
            <w:r>
              <w:rPr>
                <w:rFonts w:hint="eastAsia" w:ascii="楷体" w:hAnsi="楷体" w:eastAsia="楷体" w:cs="楷体"/>
                <w:b w:val="0"/>
                <w:bCs w:val="0"/>
                <w:color w:val="auto"/>
                <w:sz w:val="24"/>
                <w:szCs w:val="24"/>
                <w:highlight w:val="none"/>
                <w:lang w:val="en-US" w:eastAsia="zh-CN" w:bidi="ar-SA"/>
              </w:rPr>
              <w:t>2.2.1合同签订后10个工作日内支付合同总价款的60%作为预付款。</w:t>
            </w:r>
          </w:p>
          <w:p w14:paraId="1E81A549">
            <w:pPr>
              <w:pStyle w:val="23"/>
              <w:spacing w:after="0" w:line="520" w:lineRule="exact"/>
              <w:ind w:firstLine="480" w:firstLineChars="200"/>
              <w:jc w:val="both"/>
              <w:rPr>
                <w:rFonts w:hint="eastAsia" w:ascii="楷体" w:hAnsi="楷体" w:eastAsia="楷体" w:cs="楷体"/>
                <w:b w:val="0"/>
                <w:bCs w:val="0"/>
                <w:color w:val="auto"/>
                <w:sz w:val="24"/>
                <w:szCs w:val="24"/>
                <w:highlight w:val="none"/>
                <w:lang w:val="en-US" w:eastAsia="zh-CN" w:bidi="ar-SA"/>
              </w:rPr>
            </w:pPr>
            <w:r>
              <w:rPr>
                <w:rFonts w:hint="eastAsia" w:ascii="楷体" w:hAnsi="楷体" w:eastAsia="楷体" w:cs="楷体"/>
                <w:b w:val="0"/>
                <w:bCs w:val="0"/>
                <w:color w:val="auto"/>
                <w:sz w:val="24"/>
                <w:szCs w:val="24"/>
                <w:highlight w:val="none"/>
                <w:lang w:val="en-US" w:eastAsia="zh-CN" w:bidi="ar-SA"/>
              </w:rPr>
              <w:t>2.2.2质量监督抽查工作完成后，由委托方按照工作程序进行验收并以单项最终成交价格为准据实结算，预算金额结算完毕为止。</w:t>
            </w:r>
          </w:p>
          <w:p w14:paraId="7ECCA731">
            <w:pPr>
              <w:spacing w:line="360" w:lineRule="auto"/>
              <w:ind w:firstLine="482" w:firstLineChars="200"/>
              <w:rPr>
                <w:rFonts w:hint="eastAsia" w:ascii="楷体" w:hAnsi="楷体" w:eastAsia="楷体" w:cs="楷体"/>
                <w:color w:val="auto"/>
                <w:szCs w:val="24"/>
                <w:highlight w:val="none"/>
                <w:shd w:val="clear" w:color="FFFFFF" w:fill="D9D9D9"/>
              </w:rPr>
            </w:pPr>
            <w:r>
              <w:rPr>
                <w:rFonts w:hint="eastAsia" w:ascii="楷体" w:hAnsi="楷体" w:eastAsia="楷体" w:cs="楷体"/>
                <w:b/>
                <w:bCs/>
                <w:color w:val="auto"/>
                <w:szCs w:val="24"/>
                <w:highlight w:val="none"/>
              </w:rPr>
              <w:t>2.</w:t>
            </w:r>
            <w:r>
              <w:rPr>
                <w:rFonts w:hint="eastAsia" w:ascii="楷体" w:hAnsi="楷体" w:eastAsia="楷体" w:cs="楷体"/>
                <w:b/>
                <w:bCs/>
                <w:color w:val="auto"/>
                <w:szCs w:val="24"/>
                <w:highlight w:val="none"/>
                <w:lang w:val="en-US" w:eastAsia="zh-CN"/>
              </w:rPr>
              <w:t>2</w:t>
            </w:r>
            <w:r>
              <w:rPr>
                <w:rFonts w:hint="eastAsia" w:ascii="楷体" w:hAnsi="楷体" w:eastAsia="楷体" w:cs="楷体"/>
                <w:b/>
                <w:bCs/>
                <w:color w:val="auto"/>
                <w:szCs w:val="24"/>
                <w:highlight w:val="none"/>
              </w:rPr>
              <w:t>支付方式：银行转账</w:t>
            </w:r>
          </w:p>
        </w:tc>
      </w:tr>
      <w:tr w14:paraId="79F361F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0" w:hRule="atLeast"/>
        </w:trPr>
        <w:tc>
          <w:tcPr>
            <w:tcW w:w="659" w:type="dxa"/>
            <w:noWrap w:val="0"/>
            <w:vAlign w:val="center"/>
          </w:tcPr>
          <w:p w14:paraId="7F120BC3">
            <w:pPr>
              <w:spacing w:line="360" w:lineRule="auto"/>
              <w:jc w:val="center"/>
              <w:rPr>
                <w:rFonts w:hint="eastAsia" w:ascii="楷体" w:hAnsi="楷体" w:eastAsia="楷体" w:cs="楷体"/>
                <w:color w:val="auto"/>
                <w:sz w:val="24"/>
                <w:szCs w:val="24"/>
                <w:highlight w:val="none"/>
                <w:lang w:val="en-US" w:eastAsia="zh-CN" w:bidi="ar-SA"/>
              </w:rPr>
            </w:pPr>
            <w:r>
              <w:rPr>
                <w:rFonts w:hint="eastAsia" w:ascii="楷体" w:hAnsi="楷体" w:eastAsia="楷体" w:cs="楷体"/>
                <w:color w:val="auto"/>
                <w:szCs w:val="24"/>
                <w:highlight w:val="none"/>
              </w:rPr>
              <w:t>5</w:t>
            </w:r>
          </w:p>
        </w:tc>
        <w:tc>
          <w:tcPr>
            <w:tcW w:w="8185" w:type="dxa"/>
            <w:noWrap w:val="0"/>
            <w:vAlign w:val="center"/>
          </w:tcPr>
          <w:p w14:paraId="0CE8FF6C">
            <w:pPr>
              <w:spacing w:line="360" w:lineRule="auto"/>
              <w:rPr>
                <w:rFonts w:ascii="楷体" w:hAnsi="楷体" w:eastAsia="楷体" w:cs="楷体"/>
                <w:b/>
                <w:color w:val="auto"/>
                <w:szCs w:val="24"/>
                <w:highlight w:val="none"/>
              </w:rPr>
            </w:pPr>
            <w:r>
              <w:rPr>
                <w:rFonts w:hint="eastAsia" w:ascii="楷体" w:hAnsi="楷体" w:eastAsia="楷体" w:cs="楷体"/>
                <w:b/>
                <w:color w:val="auto"/>
                <w:szCs w:val="24"/>
                <w:highlight w:val="none"/>
              </w:rPr>
              <w:t>质量保证：</w:t>
            </w:r>
          </w:p>
          <w:p w14:paraId="5164E1B4">
            <w:pPr>
              <w:spacing w:line="360" w:lineRule="auto"/>
              <w:ind w:firstLine="480" w:firstLineChars="200"/>
              <w:rPr>
                <w:rFonts w:hint="eastAsia" w:ascii="楷体" w:hAnsi="楷体" w:eastAsia="楷体" w:cs="楷体"/>
                <w:color w:val="auto"/>
                <w:szCs w:val="24"/>
                <w:highlight w:val="none"/>
              </w:rPr>
            </w:pPr>
            <w:r>
              <w:rPr>
                <w:rFonts w:hint="eastAsia" w:ascii="楷体" w:hAnsi="楷体" w:eastAsia="楷体" w:cs="楷体"/>
                <w:color w:val="auto"/>
                <w:szCs w:val="24"/>
                <w:highlight w:val="none"/>
              </w:rPr>
              <w:t>1、在服务范围内按工作内容和要求制定详细的方案，方案科学、合理、可靠。</w:t>
            </w:r>
          </w:p>
          <w:p w14:paraId="4E97FEB2">
            <w:pPr>
              <w:spacing w:line="360" w:lineRule="auto"/>
              <w:ind w:firstLine="480" w:firstLineChars="200"/>
              <w:rPr>
                <w:rFonts w:hint="eastAsia" w:ascii="楷体" w:hAnsi="楷体" w:eastAsia="楷体" w:cs="楷体"/>
                <w:color w:val="auto"/>
                <w:szCs w:val="24"/>
                <w:highlight w:val="none"/>
              </w:rPr>
            </w:pPr>
            <w:r>
              <w:rPr>
                <w:rFonts w:hint="eastAsia" w:ascii="楷体" w:hAnsi="楷体" w:eastAsia="楷体" w:cs="楷体"/>
                <w:color w:val="auto"/>
                <w:szCs w:val="24"/>
                <w:highlight w:val="none"/>
              </w:rPr>
              <w:t>2、人员配备合理。有针对本项目的专项服务小组，项目负责人、工作人员分工明确（应有具体成员名单，包括姓名、工作职责、联系方式等）</w:t>
            </w:r>
          </w:p>
          <w:p w14:paraId="469076E9">
            <w:pPr>
              <w:spacing w:line="360" w:lineRule="auto"/>
              <w:ind w:firstLine="480" w:firstLineChars="200"/>
              <w:rPr>
                <w:rFonts w:hint="eastAsia" w:ascii="楷体" w:hAnsi="楷体" w:eastAsia="楷体" w:cs="楷体"/>
                <w:color w:val="auto"/>
                <w:szCs w:val="24"/>
                <w:highlight w:val="none"/>
              </w:rPr>
            </w:pPr>
            <w:r>
              <w:rPr>
                <w:rFonts w:hint="eastAsia" w:ascii="楷体" w:hAnsi="楷体" w:eastAsia="楷体" w:cs="楷体"/>
                <w:color w:val="auto"/>
                <w:szCs w:val="24"/>
                <w:highlight w:val="none"/>
              </w:rPr>
              <w:t>3、有各类突发事件的应急预案和措施，有明确具体的承诺。</w:t>
            </w:r>
          </w:p>
          <w:p w14:paraId="28C07F56">
            <w:pPr>
              <w:spacing w:line="360" w:lineRule="auto"/>
              <w:ind w:firstLine="480" w:firstLineChars="200"/>
              <w:rPr>
                <w:rFonts w:hint="eastAsia" w:ascii="楷体" w:hAnsi="楷体" w:eastAsia="楷体" w:cs="楷体"/>
                <w:color w:val="auto"/>
                <w:sz w:val="24"/>
                <w:szCs w:val="24"/>
                <w:highlight w:val="none"/>
                <w:lang w:val="en-US" w:eastAsia="zh-CN" w:bidi="ar-SA"/>
              </w:rPr>
            </w:pPr>
            <w:r>
              <w:rPr>
                <w:rFonts w:hint="eastAsia" w:ascii="楷体" w:hAnsi="楷体" w:eastAsia="楷体" w:cs="楷体"/>
                <w:color w:val="auto"/>
                <w:szCs w:val="24"/>
                <w:highlight w:val="none"/>
              </w:rPr>
              <w:t>4、供应商所拟派的工作人员，若在服务期间发生任何伤害，采购人概不负责，由</w:t>
            </w:r>
            <w:r>
              <w:rPr>
                <w:rFonts w:hint="eastAsia" w:ascii="楷体" w:hAnsi="楷体" w:eastAsia="楷体" w:cs="楷体"/>
                <w:color w:val="auto"/>
                <w:szCs w:val="24"/>
                <w:highlight w:val="none"/>
                <w:lang w:eastAsia="zh-CN"/>
              </w:rPr>
              <w:t>供应商</w:t>
            </w:r>
            <w:r>
              <w:rPr>
                <w:rFonts w:hint="eastAsia" w:ascii="楷体" w:hAnsi="楷体" w:eastAsia="楷体" w:cs="楷体"/>
                <w:color w:val="auto"/>
                <w:szCs w:val="24"/>
                <w:highlight w:val="none"/>
              </w:rPr>
              <w:t>自行处理。</w:t>
            </w:r>
          </w:p>
        </w:tc>
      </w:tr>
      <w:tr w14:paraId="7000ED0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26" w:hRule="atLeast"/>
        </w:trPr>
        <w:tc>
          <w:tcPr>
            <w:tcW w:w="659" w:type="dxa"/>
            <w:noWrap w:val="0"/>
            <w:vAlign w:val="center"/>
          </w:tcPr>
          <w:p w14:paraId="52FE2A8C">
            <w:pPr>
              <w:pStyle w:val="9"/>
              <w:spacing w:line="360" w:lineRule="auto"/>
              <w:jc w:val="center"/>
              <w:rPr>
                <w:rFonts w:hint="eastAsia" w:ascii="楷体" w:hAnsi="楷体" w:eastAsia="楷体" w:cs="楷体"/>
                <w:color w:val="auto"/>
                <w:kern w:val="0"/>
                <w:sz w:val="24"/>
                <w:szCs w:val="24"/>
                <w:highlight w:val="none"/>
                <w:lang w:val="en-US" w:eastAsia="zh-CN" w:bidi="ar-SA"/>
              </w:rPr>
            </w:pPr>
            <w:r>
              <w:rPr>
                <w:rFonts w:hint="eastAsia" w:ascii="楷体" w:hAnsi="楷体" w:eastAsia="楷体" w:cs="楷体"/>
                <w:color w:val="auto"/>
                <w:kern w:val="0"/>
                <w:sz w:val="24"/>
                <w:szCs w:val="24"/>
                <w:highlight w:val="none"/>
                <w:lang w:val="en-US" w:eastAsia="zh-CN"/>
              </w:rPr>
              <w:t>6</w:t>
            </w:r>
          </w:p>
        </w:tc>
        <w:tc>
          <w:tcPr>
            <w:tcW w:w="8185" w:type="dxa"/>
            <w:noWrap w:val="0"/>
            <w:vAlign w:val="center"/>
          </w:tcPr>
          <w:p w14:paraId="67151432">
            <w:pPr>
              <w:spacing w:line="360" w:lineRule="auto"/>
              <w:rPr>
                <w:rFonts w:ascii="楷体" w:hAnsi="楷体" w:eastAsia="楷体" w:cs="楷体"/>
                <w:b/>
                <w:bCs/>
                <w:color w:val="auto"/>
                <w:szCs w:val="24"/>
                <w:highlight w:val="none"/>
              </w:rPr>
            </w:pPr>
            <w:r>
              <w:rPr>
                <w:rFonts w:hint="eastAsia" w:ascii="楷体" w:hAnsi="楷体" w:eastAsia="楷体" w:cs="楷体"/>
                <w:b/>
                <w:bCs/>
                <w:color w:val="auto"/>
                <w:szCs w:val="24"/>
                <w:highlight w:val="none"/>
              </w:rPr>
              <w:t>项目团队要求：</w:t>
            </w:r>
          </w:p>
          <w:p w14:paraId="6D469F65">
            <w:pPr>
              <w:spacing w:line="360" w:lineRule="auto"/>
              <w:ind w:firstLine="480" w:firstLineChars="200"/>
              <w:rPr>
                <w:rFonts w:ascii="楷体" w:hAnsi="楷体" w:eastAsia="楷体" w:cs="楷体"/>
                <w:color w:val="auto"/>
                <w:szCs w:val="24"/>
                <w:highlight w:val="none"/>
              </w:rPr>
            </w:pPr>
            <w:r>
              <w:rPr>
                <w:rFonts w:hint="eastAsia" w:ascii="楷体" w:hAnsi="楷体" w:eastAsia="楷体" w:cs="楷体"/>
                <w:color w:val="auto"/>
                <w:szCs w:val="24"/>
                <w:highlight w:val="none"/>
              </w:rPr>
              <w:t>1.若因不可抗力因素，成交供应商确需更换项目负责人，新更换的项目负责人须与磋商时所承诺的专业、资格等级、技术职称等内容一致或高于原资格条件；同时，要求至少提前7个工作日以书面形式通知采购人，并将拟更换的人员个人资料一并上报，经采购人审核同意后，方可更换。</w:t>
            </w:r>
          </w:p>
          <w:p w14:paraId="4C24CE0D">
            <w:pPr>
              <w:spacing w:line="360" w:lineRule="auto"/>
              <w:ind w:firstLine="480" w:firstLineChars="200"/>
              <w:rPr>
                <w:rFonts w:hint="eastAsia" w:ascii="楷体" w:hAnsi="楷体" w:eastAsia="楷体" w:cs="楷体"/>
                <w:color w:val="auto"/>
                <w:sz w:val="24"/>
                <w:szCs w:val="24"/>
                <w:highlight w:val="none"/>
                <w:lang w:val="en-US" w:eastAsia="zh-CN" w:bidi="ar-SA"/>
              </w:rPr>
            </w:pPr>
            <w:r>
              <w:rPr>
                <w:rFonts w:hint="eastAsia" w:ascii="楷体" w:hAnsi="楷体" w:eastAsia="楷体" w:cs="楷体"/>
                <w:color w:val="auto"/>
                <w:szCs w:val="24"/>
                <w:highlight w:val="none"/>
              </w:rPr>
              <w:t>2.签订合同之前，成交供应商须提供项目组人员一览表，与磋商响应文件的人员一览表进行比对，人员变更须征得采购人同意。</w:t>
            </w:r>
          </w:p>
        </w:tc>
      </w:tr>
      <w:tr w14:paraId="33D7DB5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26" w:hRule="atLeast"/>
        </w:trPr>
        <w:tc>
          <w:tcPr>
            <w:tcW w:w="659" w:type="dxa"/>
            <w:noWrap w:val="0"/>
            <w:vAlign w:val="center"/>
          </w:tcPr>
          <w:p w14:paraId="7C18C08F">
            <w:pPr>
              <w:pStyle w:val="9"/>
              <w:spacing w:line="360" w:lineRule="auto"/>
              <w:jc w:val="center"/>
              <w:rPr>
                <w:rFonts w:hint="eastAsia" w:ascii="楷体" w:hAnsi="楷体" w:eastAsia="楷体" w:cs="楷体"/>
                <w:color w:val="auto"/>
                <w:kern w:val="0"/>
                <w:sz w:val="24"/>
                <w:szCs w:val="24"/>
                <w:highlight w:val="none"/>
                <w:lang w:val="en-US" w:eastAsia="zh-CN" w:bidi="ar-SA"/>
              </w:rPr>
            </w:pPr>
            <w:r>
              <w:rPr>
                <w:rFonts w:hint="eastAsia" w:ascii="楷体" w:hAnsi="楷体" w:eastAsia="楷体" w:cs="楷体"/>
                <w:color w:val="auto"/>
                <w:kern w:val="0"/>
                <w:sz w:val="24"/>
                <w:szCs w:val="24"/>
                <w:highlight w:val="none"/>
                <w:lang w:val="en-US" w:eastAsia="zh-CN"/>
              </w:rPr>
              <w:t>7</w:t>
            </w:r>
          </w:p>
        </w:tc>
        <w:tc>
          <w:tcPr>
            <w:tcW w:w="8185" w:type="dxa"/>
            <w:noWrap w:val="0"/>
            <w:vAlign w:val="center"/>
          </w:tcPr>
          <w:p w14:paraId="3CEE90D2">
            <w:pPr>
              <w:spacing w:line="360" w:lineRule="auto"/>
              <w:rPr>
                <w:rFonts w:ascii="楷体" w:hAnsi="楷体" w:eastAsia="楷体" w:cs="楷体"/>
                <w:b/>
                <w:bCs/>
                <w:color w:val="auto"/>
                <w:szCs w:val="24"/>
                <w:highlight w:val="none"/>
              </w:rPr>
            </w:pPr>
            <w:r>
              <w:rPr>
                <w:rFonts w:hint="eastAsia" w:ascii="楷体" w:hAnsi="楷体" w:eastAsia="楷体" w:cs="楷体"/>
                <w:b/>
                <w:bCs/>
                <w:color w:val="auto"/>
                <w:szCs w:val="24"/>
                <w:highlight w:val="none"/>
              </w:rPr>
              <w:t>保密条款：</w:t>
            </w:r>
          </w:p>
          <w:p w14:paraId="55990223">
            <w:pPr>
              <w:spacing w:line="360" w:lineRule="auto"/>
              <w:ind w:firstLine="480" w:firstLineChars="200"/>
              <w:rPr>
                <w:rFonts w:ascii="楷体" w:hAnsi="楷体" w:eastAsia="楷体" w:cs="楷体"/>
                <w:color w:val="auto"/>
                <w:szCs w:val="24"/>
                <w:highlight w:val="none"/>
              </w:rPr>
            </w:pPr>
            <w:r>
              <w:rPr>
                <w:rFonts w:hint="eastAsia" w:ascii="楷体" w:hAnsi="楷体" w:eastAsia="楷体" w:cs="楷体"/>
                <w:color w:val="auto"/>
                <w:szCs w:val="24"/>
                <w:highlight w:val="none"/>
              </w:rPr>
              <w:t>1.成交供应商应严格遵守</w:t>
            </w:r>
            <w:r>
              <w:rPr>
                <w:rFonts w:hint="eastAsia" w:ascii="楷体" w:hAnsi="楷体" w:eastAsia="楷体" w:cs="楷体"/>
                <w:color w:val="auto"/>
                <w:szCs w:val="24"/>
                <w:highlight w:val="none"/>
                <w:lang w:eastAsia="zh-CN"/>
              </w:rPr>
              <w:t>采购人</w:t>
            </w:r>
            <w:r>
              <w:rPr>
                <w:rFonts w:hint="eastAsia" w:ascii="楷体" w:hAnsi="楷体" w:eastAsia="楷体" w:cs="楷体"/>
                <w:color w:val="auto"/>
                <w:szCs w:val="24"/>
                <w:highlight w:val="none"/>
              </w:rPr>
              <w:t>有关保密规定，不得泄漏一切机密；</w:t>
            </w:r>
          </w:p>
          <w:p w14:paraId="22CC354C">
            <w:pPr>
              <w:tabs>
                <w:tab w:val="left" w:pos="152"/>
              </w:tabs>
              <w:spacing w:line="360" w:lineRule="auto"/>
              <w:ind w:firstLine="480" w:firstLineChars="200"/>
              <w:rPr>
                <w:rFonts w:hint="eastAsia" w:ascii="楷体" w:hAnsi="楷体" w:eastAsia="楷体" w:cs="楷体"/>
                <w:color w:val="auto"/>
                <w:sz w:val="24"/>
                <w:szCs w:val="24"/>
                <w:highlight w:val="none"/>
                <w:lang w:val="en-US" w:eastAsia="zh-CN" w:bidi="ar-SA"/>
              </w:rPr>
            </w:pPr>
            <w:r>
              <w:rPr>
                <w:rFonts w:hint="eastAsia" w:ascii="楷体" w:hAnsi="楷体" w:eastAsia="楷体" w:cs="楷体"/>
                <w:color w:val="auto"/>
                <w:szCs w:val="24"/>
                <w:highlight w:val="none"/>
              </w:rPr>
              <w:t>2.在技术服务期间，成交供应商对接触到的有关</w:t>
            </w:r>
            <w:r>
              <w:rPr>
                <w:rFonts w:hint="eastAsia" w:ascii="楷体" w:hAnsi="楷体" w:eastAsia="楷体" w:cs="楷体"/>
                <w:color w:val="auto"/>
                <w:szCs w:val="24"/>
                <w:highlight w:val="none"/>
                <w:lang w:eastAsia="zh-CN"/>
              </w:rPr>
              <w:t>采购人</w:t>
            </w:r>
            <w:r>
              <w:rPr>
                <w:rFonts w:hint="eastAsia" w:ascii="楷体" w:hAnsi="楷体" w:eastAsia="楷体" w:cs="楷体"/>
                <w:color w:val="auto"/>
                <w:szCs w:val="24"/>
                <w:highlight w:val="none"/>
              </w:rPr>
              <w:t>商业活动、技术情报和技术资料等文件进行保密。</w:t>
            </w:r>
          </w:p>
        </w:tc>
      </w:tr>
      <w:tr w14:paraId="1891786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26" w:hRule="atLeast"/>
        </w:trPr>
        <w:tc>
          <w:tcPr>
            <w:tcW w:w="659" w:type="dxa"/>
            <w:noWrap w:val="0"/>
            <w:vAlign w:val="center"/>
          </w:tcPr>
          <w:p w14:paraId="5E7733C3">
            <w:pPr>
              <w:pStyle w:val="9"/>
              <w:spacing w:line="360" w:lineRule="auto"/>
              <w:jc w:val="center"/>
              <w:rPr>
                <w:rFonts w:hint="eastAsia" w:ascii="楷体" w:hAnsi="楷体" w:eastAsia="楷体" w:cs="楷体"/>
                <w:color w:val="auto"/>
                <w:kern w:val="0"/>
                <w:sz w:val="24"/>
                <w:szCs w:val="24"/>
                <w:highlight w:val="none"/>
                <w:lang w:val="en-US" w:eastAsia="zh-CN" w:bidi="ar-SA"/>
              </w:rPr>
            </w:pPr>
            <w:r>
              <w:rPr>
                <w:rFonts w:hint="eastAsia" w:ascii="楷体" w:hAnsi="楷体" w:eastAsia="楷体" w:cs="楷体"/>
                <w:color w:val="auto"/>
                <w:kern w:val="0"/>
                <w:sz w:val="24"/>
                <w:szCs w:val="24"/>
                <w:highlight w:val="none"/>
                <w:lang w:val="en-US" w:eastAsia="zh-CN"/>
              </w:rPr>
              <w:t>8</w:t>
            </w:r>
          </w:p>
        </w:tc>
        <w:tc>
          <w:tcPr>
            <w:tcW w:w="8185" w:type="dxa"/>
            <w:noWrap w:val="0"/>
            <w:vAlign w:val="center"/>
          </w:tcPr>
          <w:p w14:paraId="18E6C351">
            <w:pPr>
              <w:spacing w:line="360" w:lineRule="auto"/>
              <w:rPr>
                <w:rFonts w:ascii="楷体" w:hAnsi="楷体" w:eastAsia="楷体" w:cs="楷体"/>
                <w:b/>
                <w:color w:val="auto"/>
                <w:szCs w:val="24"/>
                <w:highlight w:val="none"/>
              </w:rPr>
            </w:pPr>
            <w:r>
              <w:rPr>
                <w:rFonts w:hint="eastAsia" w:ascii="楷体" w:hAnsi="楷体" w:eastAsia="楷体" w:cs="楷体"/>
                <w:b/>
                <w:color w:val="auto"/>
                <w:szCs w:val="24"/>
                <w:highlight w:val="none"/>
              </w:rPr>
              <w:t>违约责任：</w:t>
            </w:r>
          </w:p>
          <w:p w14:paraId="68FCFF46">
            <w:pPr>
              <w:spacing w:line="360" w:lineRule="auto"/>
              <w:ind w:firstLine="480" w:firstLineChars="200"/>
              <w:rPr>
                <w:rFonts w:ascii="楷体" w:hAnsi="楷体" w:eastAsia="楷体" w:cs="楷体"/>
                <w:color w:val="auto"/>
                <w:szCs w:val="24"/>
                <w:highlight w:val="none"/>
              </w:rPr>
            </w:pPr>
            <w:r>
              <w:rPr>
                <w:rFonts w:hint="eastAsia" w:ascii="楷体" w:hAnsi="楷体" w:eastAsia="楷体" w:cs="楷体"/>
                <w:color w:val="auto"/>
                <w:szCs w:val="24"/>
                <w:highlight w:val="none"/>
              </w:rPr>
              <w:t>按《中华人民共和国政府采购法》、《中华人民共和国民法典》中的相关条款执行。</w:t>
            </w:r>
          </w:p>
          <w:p w14:paraId="22F3557B">
            <w:pPr>
              <w:tabs>
                <w:tab w:val="left" w:pos="152"/>
              </w:tabs>
              <w:spacing w:line="360" w:lineRule="auto"/>
              <w:ind w:firstLine="480" w:firstLineChars="200"/>
              <w:rPr>
                <w:rFonts w:ascii="楷体" w:hAnsi="楷体" w:eastAsia="楷体" w:cs="楷体"/>
                <w:color w:val="auto"/>
                <w:szCs w:val="24"/>
                <w:highlight w:val="none"/>
              </w:rPr>
            </w:pPr>
            <w:r>
              <w:rPr>
                <w:rFonts w:hint="eastAsia" w:ascii="楷体" w:hAnsi="楷体" w:eastAsia="楷体" w:cs="楷体"/>
                <w:color w:val="auto"/>
                <w:szCs w:val="24"/>
                <w:highlight w:val="none"/>
              </w:rPr>
              <w:t>未按合同或磋商文件要求的或者质量不能满足采购人要求的，</w:t>
            </w:r>
            <w:r>
              <w:rPr>
                <w:rFonts w:hint="eastAsia" w:ascii="楷体" w:hAnsi="楷体" w:eastAsia="楷体" w:cs="楷体"/>
                <w:color w:val="auto"/>
                <w:szCs w:val="24"/>
                <w:highlight w:val="none"/>
                <w:lang w:eastAsia="zh-CN"/>
              </w:rPr>
              <w:t>采购人</w:t>
            </w:r>
            <w:r>
              <w:rPr>
                <w:rFonts w:hint="eastAsia" w:ascii="楷体" w:hAnsi="楷体" w:eastAsia="楷体" w:cs="楷体"/>
                <w:color w:val="auto"/>
                <w:szCs w:val="24"/>
                <w:highlight w:val="none"/>
              </w:rPr>
              <w:t>有权终止合同，并对供应商违约行为进行追究。</w:t>
            </w:r>
          </w:p>
          <w:p w14:paraId="607E3495">
            <w:pPr>
              <w:tabs>
                <w:tab w:val="left" w:pos="152"/>
              </w:tabs>
              <w:spacing w:line="360" w:lineRule="auto"/>
              <w:ind w:firstLine="480" w:firstLineChars="200"/>
              <w:rPr>
                <w:rFonts w:hint="eastAsia" w:ascii="楷体" w:hAnsi="楷体" w:eastAsia="楷体" w:cs="楷体"/>
                <w:color w:val="auto"/>
                <w:sz w:val="24"/>
                <w:szCs w:val="24"/>
                <w:highlight w:val="none"/>
                <w:lang w:val="en-US" w:eastAsia="zh-CN" w:bidi="ar-SA"/>
              </w:rPr>
            </w:pPr>
            <w:r>
              <w:rPr>
                <w:rFonts w:hint="eastAsia" w:ascii="楷体" w:hAnsi="楷体" w:eastAsia="楷体" w:cs="楷体"/>
                <w:color w:val="auto"/>
                <w:szCs w:val="24"/>
                <w:highlight w:val="none"/>
              </w:rPr>
              <w:t>供应商的磋商响应文件为签订正式书面合同书不可分割的部分，磋商响应应履行相应的责任。</w:t>
            </w:r>
          </w:p>
        </w:tc>
      </w:tr>
      <w:tr w14:paraId="0FEE269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26" w:hRule="atLeast"/>
        </w:trPr>
        <w:tc>
          <w:tcPr>
            <w:tcW w:w="0" w:type="auto"/>
            <w:noWrap w:val="0"/>
            <w:vAlign w:val="center"/>
          </w:tcPr>
          <w:p w14:paraId="409B3B7F">
            <w:pPr>
              <w:pStyle w:val="9"/>
              <w:spacing w:line="360" w:lineRule="auto"/>
              <w:jc w:val="center"/>
              <w:rPr>
                <w:rFonts w:hint="eastAsia" w:ascii="楷体" w:hAnsi="楷体" w:eastAsia="楷体" w:cs="楷体"/>
                <w:color w:val="auto"/>
                <w:kern w:val="0"/>
                <w:sz w:val="24"/>
                <w:szCs w:val="24"/>
                <w:highlight w:val="none"/>
                <w:lang w:val="en-US" w:eastAsia="zh-CN" w:bidi="ar-SA"/>
              </w:rPr>
            </w:pPr>
            <w:r>
              <w:rPr>
                <w:rFonts w:hint="eastAsia" w:ascii="楷体" w:hAnsi="楷体" w:eastAsia="楷体" w:cs="楷体"/>
                <w:color w:val="auto"/>
                <w:kern w:val="0"/>
                <w:sz w:val="24"/>
                <w:szCs w:val="24"/>
                <w:highlight w:val="none"/>
                <w:lang w:val="en-US" w:eastAsia="zh-CN"/>
              </w:rPr>
              <w:t>9</w:t>
            </w:r>
          </w:p>
        </w:tc>
        <w:tc>
          <w:tcPr>
            <w:tcW w:w="0" w:type="auto"/>
            <w:noWrap w:val="0"/>
            <w:vAlign w:val="center"/>
          </w:tcPr>
          <w:p w14:paraId="1C3FEED0">
            <w:pPr>
              <w:tabs>
                <w:tab w:val="left" w:pos="152"/>
              </w:tabs>
              <w:spacing w:line="360" w:lineRule="auto"/>
              <w:rPr>
                <w:rFonts w:ascii="楷体" w:hAnsi="楷体" w:eastAsia="楷体" w:cs="楷体"/>
                <w:b/>
                <w:color w:val="auto"/>
                <w:szCs w:val="24"/>
                <w:highlight w:val="none"/>
              </w:rPr>
            </w:pPr>
            <w:r>
              <w:rPr>
                <w:rFonts w:hint="eastAsia" w:ascii="楷体" w:hAnsi="楷体" w:eastAsia="楷体" w:cs="楷体"/>
                <w:b/>
                <w:color w:val="auto"/>
                <w:szCs w:val="24"/>
                <w:highlight w:val="none"/>
              </w:rPr>
              <w:t>政府采购合同：</w:t>
            </w:r>
          </w:p>
          <w:p w14:paraId="370B89AD">
            <w:pPr>
              <w:spacing w:line="360" w:lineRule="auto"/>
              <w:ind w:firstLine="480" w:firstLineChars="200"/>
              <w:rPr>
                <w:rFonts w:hint="eastAsia" w:ascii="楷体" w:hAnsi="楷体" w:eastAsia="楷体" w:cs="楷体"/>
                <w:color w:val="auto"/>
                <w:szCs w:val="24"/>
                <w:highlight w:val="none"/>
                <w:lang w:eastAsia="zh-CN"/>
              </w:rPr>
            </w:pPr>
            <w:r>
              <w:rPr>
                <w:rFonts w:hint="eastAsia" w:ascii="楷体" w:hAnsi="楷体" w:eastAsia="楷体" w:cs="楷体"/>
                <w:color w:val="auto"/>
                <w:szCs w:val="24"/>
                <w:highlight w:val="none"/>
              </w:rPr>
              <w:t>政府采购合同适用《中华人民共和国民法典》。采购人和供应商之间的权利和义务，应当按照平等、自愿的原则以合同方式约定。</w:t>
            </w:r>
          </w:p>
          <w:p w14:paraId="128383CA">
            <w:pPr>
              <w:spacing w:line="360" w:lineRule="auto"/>
              <w:ind w:firstLine="480" w:firstLineChars="200"/>
              <w:rPr>
                <w:rFonts w:ascii="楷体" w:hAnsi="楷体" w:eastAsia="楷体" w:cs="楷体"/>
                <w:color w:val="auto"/>
                <w:szCs w:val="24"/>
                <w:highlight w:val="none"/>
              </w:rPr>
            </w:pPr>
            <w:r>
              <w:rPr>
                <w:rFonts w:hint="eastAsia" w:ascii="楷体" w:hAnsi="楷体" w:eastAsia="楷体" w:cs="楷体"/>
                <w:color w:val="auto"/>
                <w:szCs w:val="24"/>
                <w:highlight w:val="none"/>
              </w:rPr>
              <w:t>采购人可以委托采购代理机构代表其与供应商签订政府采购合同。由采购代理机构以采购人名义签订合同的，应当提交采购人的授权委托书，作为合同附件。</w:t>
            </w:r>
          </w:p>
          <w:p w14:paraId="14DC9EBE">
            <w:pPr>
              <w:spacing w:line="360" w:lineRule="auto"/>
              <w:ind w:firstLine="480" w:firstLineChars="200"/>
              <w:rPr>
                <w:rFonts w:ascii="楷体" w:hAnsi="楷体" w:eastAsia="楷体" w:cs="楷体"/>
                <w:color w:val="auto"/>
                <w:szCs w:val="24"/>
                <w:highlight w:val="none"/>
              </w:rPr>
            </w:pPr>
            <w:r>
              <w:rPr>
                <w:rFonts w:hint="eastAsia" w:ascii="楷体" w:hAnsi="楷体" w:eastAsia="楷体" w:cs="楷体"/>
                <w:color w:val="auto"/>
                <w:szCs w:val="24"/>
                <w:highlight w:val="none"/>
              </w:rPr>
              <w:t>政府采购合同应当采用书面形式。</w:t>
            </w:r>
          </w:p>
          <w:p w14:paraId="05A3D619">
            <w:pPr>
              <w:spacing w:line="360" w:lineRule="auto"/>
              <w:ind w:firstLine="480" w:firstLineChars="200"/>
              <w:rPr>
                <w:rFonts w:hint="eastAsia" w:ascii="楷体" w:hAnsi="楷体" w:eastAsia="楷体" w:cs="楷体"/>
                <w:color w:val="auto"/>
                <w:szCs w:val="24"/>
                <w:highlight w:val="none"/>
                <w:lang w:eastAsia="zh-CN"/>
              </w:rPr>
            </w:pPr>
            <w:r>
              <w:rPr>
                <w:rFonts w:hint="eastAsia" w:ascii="楷体" w:hAnsi="楷体" w:eastAsia="楷体" w:cs="楷体"/>
                <w:color w:val="auto"/>
                <w:szCs w:val="24"/>
                <w:highlight w:val="none"/>
              </w:rPr>
              <w:t>国务院政府采购监督管理部门应当会同国务院有关部门，规定政府采购合同必须具备的条款。</w:t>
            </w:r>
          </w:p>
          <w:p w14:paraId="5377575B">
            <w:pPr>
              <w:spacing w:line="360" w:lineRule="auto"/>
              <w:ind w:firstLine="480" w:firstLineChars="200"/>
              <w:rPr>
                <w:rFonts w:hint="eastAsia" w:ascii="楷体" w:hAnsi="楷体" w:eastAsia="楷体" w:cs="楷体"/>
                <w:color w:val="auto"/>
                <w:szCs w:val="24"/>
                <w:highlight w:val="none"/>
                <w:lang w:eastAsia="zh-CN"/>
              </w:rPr>
            </w:pPr>
            <w:r>
              <w:rPr>
                <w:rFonts w:hint="eastAsia" w:ascii="楷体" w:hAnsi="楷体" w:eastAsia="楷体" w:cs="楷体"/>
                <w:color w:val="auto"/>
                <w:szCs w:val="24"/>
                <w:highlight w:val="none"/>
              </w:rPr>
              <w:t>采购人与中标、成交供应商应当在中标、成交通知书发出之日起</w:t>
            </w:r>
            <w:r>
              <w:rPr>
                <w:rFonts w:hint="eastAsia" w:ascii="楷体" w:hAnsi="楷体" w:eastAsia="楷体" w:cs="楷体"/>
                <w:color w:val="auto"/>
                <w:szCs w:val="24"/>
                <w:highlight w:val="none"/>
                <w:lang w:val="en-US" w:eastAsia="zh-CN"/>
              </w:rPr>
              <w:t>三十</w:t>
            </w:r>
            <w:r>
              <w:rPr>
                <w:rFonts w:hint="eastAsia" w:ascii="楷体" w:hAnsi="楷体" w:eastAsia="楷体" w:cs="楷体"/>
                <w:color w:val="auto"/>
                <w:szCs w:val="24"/>
                <w:highlight w:val="none"/>
              </w:rPr>
              <w:t>日内，按照磋商文件确定的事项签订政府采购合同。</w:t>
            </w:r>
          </w:p>
          <w:p w14:paraId="3E8B403F">
            <w:pPr>
              <w:spacing w:line="360" w:lineRule="auto"/>
              <w:ind w:firstLine="480" w:firstLineChars="200"/>
              <w:rPr>
                <w:rFonts w:hint="eastAsia" w:ascii="楷体" w:hAnsi="楷体" w:eastAsia="楷体" w:cs="楷体"/>
                <w:color w:val="auto"/>
                <w:szCs w:val="24"/>
                <w:highlight w:val="none"/>
                <w:lang w:eastAsia="zh-CN"/>
              </w:rPr>
            </w:pPr>
            <w:r>
              <w:rPr>
                <w:rFonts w:hint="eastAsia" w:ascii="楷体" w:hAnsi="楷体" w:eastAsia="楷体" w:cs="楷体"/>
                <w:color w:val="auto"/>
                <w:szCs w:val="24"/>
                <w:highlight w:val="none"/>
              </w:rPr>
              <w:t>中标、成交通知书对采购人和中标、成交供应商均具有法律效力。中标、成交通知书发出后，采购人改变中标、成交结果的，或者中标、成交供应商放弃中标、成交项目的，应当依法承担法律责任。</w:t>
            </w:r>
          </w:p>
          <w:p w14:paraId="7587B223">
            <w:pPr>
              <w:spacing w:line="360" w:lineRule="auto"/>
              <w:ind w:firstLine="480" w:firstLineChars="200"/>
              <w:rPr>
                <w:rFonts w:hint="eastAsia" w:ascii="楷体" w:hAnsi="楷体" w:eastAsia="楷体" w:cs="楷体"/>
                <w:color w:val="auto"/>
                <w:szCs w:val="24"/>
                <w:highlight w:val="none"/>
                <w:lang w:eastAsia="zh-CN"/>
              </w:rPr>
            </w:pPr>
            <w:r>
              <w:rPr>
                <w:rFonts w:hint="eastAsia" w:ascii="楷体" w:hAnsi="楷体" w:eastAsia="楷体" w:cs="楷体"/>
                <w:color w:val="auto"/>
                <w:szCs w:val="24"/>
                <w:highlight w:val="none"/>
              </w:rPr>
              <w:t>经采购人同意，中标、成交供应商可以依法采取分包方式履行合同。政府采购合同分包履行的，中标、成交供应商就采购项目和分包项目向采购人负责，分包供应商就分包项目承担责任。</w:t>
            </w:r>
          </w:p>
          <w:p w14:paraId="3B8A340F">
            <w:pPr>
              <w:spacing w:line="360" w:lineRule="auto"/>
              <w:ind w:firstLine="480" w:firstLineChars="200"/>
              <w:rPr>
                <w:rFonts w:hint="eastAsia" w:ascii="楷体" w:hAnsi="楷体" w:eastAsia="楷体" w:cs="楷体"/>
                <w:color w:val="auto"/>
                <w:szCs w:val="24"/>
                <w:highlight w:val="none"/>
                <w:lang w:eastAsia="zh-CN"/>
              </w:rPr>
            </w:pPr>
            <w:r>
              <w:rPr>
                <w:rFonts w:hint="eastAsia" w:ascii="楷体" w:hAnsi="楷体" w:eastAsia="楷体" w:cs="楷体"/>
                <w:color w:val="auto"/>
                <w:szCs w:val="24"/>
                <w:highlight w:val="none"/>
              </w:rPr>
              <w:t>政府采购合同履行中，采购人需追加与合同标的相同的货物、工程或者服务的，在不改变合同其他条款的前提下，可以与供应商协商签订补充合同，但所有补充合同的采购金额不得超过原合同采购金额的百分之十。</w:t>
            </w:r>
          </w:p>
          <w:p w14:paraId="3898B74F">
            <w:pPr>
              <w:spacing w:line="360" w:lineRule="auto"/>
              <w:ind w:firstLine="480" w:firstLineChars="200"/>
              <w:rPr>
                <w:rFonts w:ascii="楷体" w:hAnsi="楷体" w:eastAsia="楷体" w:cs="楷体"/>
                <w:color w:val="auto"/>
                <w:szCs w:val="24"/>
                <w:highlight w:val="none"/>
              </w:rPr>
            </w:pPr>
            <w:r>
              <w:rPr>
                <w:rFonts w:hint="eastAsia" w:ascii="楷体" w:hAnsi="楷体" w:eastAsia="楷体" w:cs="楷体"/>
                <w:color w:val="auto"/>
                <w:szCs w:val="24"/>
                <w:highlight w:val="none"/>
              </w:rPr>
              <w:t>政府采购合同的双方当事人不得擅自变更、中止或者终止合同。</w:t>
            </w:r>
          </w:p>
          <w:p w14:paraId="5D8E6568">
            <w:pPr>
              <w:tabs>
                <w:tab w:val="left" w:pos="152"/>
              </w:tabs>
              <w:spacing w:line="360" w:lineRule="auto"/>
              <w:ind w:firstLine="480" w:firstLineChars="0"/>
              <w:rPr>
                <w:rFonts w:hint="eastAsia" w:ascii="楷体" w:hAnsi="楷体" w:eastAsia="楷体" w:cs="楷体"/>
                <w:b/>
                <w:color w:val="auto"/>
                <w:sz w:val="24"/>
                <w:szCs w:val="24"/>
                <w:highlight w:val="none"/>
                <w:lang w:val="en-US" w:eastAsia="zh-CN" w:bidi="ar-SA"/>
              </w:rPr>
            </w:pPr>
            <w:r>
              <w:rPr>
                <w:rFonts w:hint="eastAsia" w:ascii="楷体" w:hAnsi="楷体" w:eastAsia="楷体" w:cs="楷体"/>
                <w:color w:val="auto"/>
                <w:szCs w:val="24"/>
                <w:highlight w:val="none"/>
              </w:rPr>
              <w:t>政府采购合同继续履行将损害国家利益和社会公共利益的，双方当事人应当变更、中止或者终止合同。有过错的一方应当承担赔偿责任，双方都有过错的，各自承担相应的责任。</w:t>
            </w:r>
          </w:p>
        </w:tc>
      </w:tr>
    </w:tbl>
    <w:p w14:paraId="66771DE0">
      <w:pPr>
        <w:jc w:val="center"/>
        <w:rPr>
          <w:rFonts w:hint="eastAsia" w:ascii="楷体" w:hAnsi="楷体" w:eastAsia="楷体" w:cs="楷体"/>
          <w:b/>
          <w:bCs/>
          <w:color w:val="auto"/>
          <w:sz w:val="48"/>
          <w:szCs w:val="48"/>
          <w:highlight w:val="none"/>
        </w:rPr>
      </w:pPr>
    </w:p>
    <w:p w14:paraId="59AFB281">
      <w:pPr>
        <w:jc w:val="center"/>
        <w:rPr>
          <w:rFonts w:hint="eastAsia" w:ascii="楷体" w:hAnsi="楷体" w:eastAsia="楷体" w:cs="楷体"/>
          <w:b/>
          <w:bCs/>
          <w:sz w:val="36"/>
          <w:szCs w:val="36"/>
          <w:highlight w:val="none"/>
        </w:rPr>
      </w:pPr>
      <w:r>
        <w:rPr>
          <w:rFonts w:hint="eastAsia" w:ascii="楷体" w:hAnsi="楷体" w:eastAsia="楷体" w:cs="楷体"/>
          <w:b/>
          <w:color w:val="auto"/>
          <w:sz w:val="44"/>
          <w:szCs w:val="44"/>
          <w:highlight w:val="none"/>
        </w:rPr>
        <w:br w:type="page"/>
      </w:r>
      <w:r>
        <w:rPr>
          <w:rFonts w:hint="eastAsia" w:ascii="楷体" w:hAnsi="楷体" w:eastAsia="楷体" w:cs="楷体"/>
          <w:b/>
          <w:bCs/>
          <w:sz w:val="36"/>
          <w:szCs w:val="36"/>
          <w:highlight w:val="none"/>
          <w:lang w:eastAsia="zh-CN"/>
        </w:rPr>
        <w:t>生态环境和安全相关产品质量监督抽查项目</w:t>
      </w:r>
    </w:p>
    <w:p w14:paraId="1059C217">
      <w:pPr>
        <w:pStyle w:val="7"/>
        <w:ind w:firstLine="480"/>
        <w:rPr>
          <w:rFonts w:hint="eastAsia" w:ascii="楷体" w:hAnsi="楷体" w:eastAsia="楷体" w:cs="楷体"/>
          <w:highlight w:val="none"/>
        </w:rPr>
      </w:pPr>
    </w:p>
    <w:p w14:paraId="1806A79A">
      <w:pPr>
        <w:pStyle w:val="7"/>
        <w:ind w:firstLine="480"/>
        <w:rPr>
          <w:rFonts w:hint="eastAsia" w:ascii="楷体" w:hAnsi="楷体" w:eastAsia="楷体" w:cs="楷体"/>
          <w:highlight w:val="none"/>
        </w:rPr>
      </w:pPr>
    </w:p>
    <w:p w14:paraId="0719A1A8">
      <w:pPr>
        <w:pStyle w:val="7"/>
        <w:ind w:firstLine="480"/>
        <w:rPr>
          <w:rFonts w:hint="eastAsia" w:ascii="楷体" w:hAnsi="楷体" w:eastAsia="楷体" w:cs="楷体"/>
          <w:highlight w:val="none"/>
        </w:rPr>
      </w:pPr>
    </w:p>
    <w:p w14:paraId="1FD440CC">
      <w:pPr>
        <w:pStyle w:val="7"/>
        <w:ind w:firstLine="480"/>
        <w:rPr>
          <w:rFonts w:hint="eastAsia" w:ascii="楷体" w:hAnsi="楷体" w:eastAsia="楷体" w:cs="楷体"/>
          <w:highlight w:val="none"/>
        </w:rPr>
      </w:pPr>
    </w:p>
    <w:p w14:paraId="1A84CF65">
      <w:pPr>
        <w:pStyle w:val="7"/>
        <w:ind w:firstLine="480"/>
        <w:rPr>
          <w:rFonts w:hint="eastAsia" w:ascii="楷体" w:hAnsi="楷体" w:eastAsia="楷体" w:cs="楷体"/>
          <w:highlight w:val="none"/>
        </w:rPr>
      </w:pPr>
    </w:p>
    <w:p w14:paraId="0A4BDAA1">
      <w:pPr>
        <w:pStyle w:val="7"/>
        <w:ind w:firstLine="480"/>
        <w:rPr>
          <w:rFonts w:hint="eastAsia" w:ascii="楷体" w:hAnsi="楷体" w:eastAsia="楷体" w:cs="楷体"/>
          <w:highlight w:val="none"/>
        </w:rPr>
      </w:pPr>
    </w:p>
    <w:p w14:paraId="1C508DA0">
      <w:pPr>
        <w:pStyle w:val="7"/>
        <w:ind w:firstLine="480"/>
        <w:rPr>
          <w:rFonts w:hint="eastAsia" w:ascii="楷体" w:hAnsi="楷体" w:eastAsia="楷体" w:cs="楷体"/>
          <w:highlight w:val="none"/>
        </w:rPr>
      </w:pPr>
    </w:p>
    <w:p w14:paraId="3E787118">
      <w:pPr>
        <w:pStyle w:val="7"/>
        <w:ind w:firstLine="480"/>
        <w:rPr>
          <w:rFonts w:hint="eastAsia" w:ascii="楷体" w:hAnsi="楷体" w:eastAsia="楷体" w:cs="楷体"/>
          <w:highlight w:val="none"/>
        </w:rPr>
      </w:pPr>
    </w:p>
    <w:p w14:paraId="6F69013E">
      <w:pPr>
        <w:pStyle w:val="7"/>
        <w:ind w:firstLine="480"/>
        <w:rPr>
          <w:rFonts w:hint="eastAsia" w:ascii="楷体" w:hAnsi="楷体" w:eastAsia="楷体" w:cs="楷体"/>
          <w:highlight w:val="none"/>
        </w:rPr>
      </w:pPr>
    </w:p>
    <w:p w14:paraId="56350870">
      <w:pPr>
        <w:jc w:val="center"/>
        <w:rPr>
          <w:rFonts w:hint="eastAsia" w:ascii="楷体" w:hAnsi="楷体" w:eastAsia="楷体" w:cs="楷体"/>
          <w:b/>
          <w:bCs/>
          <w:sz w:val="72"/>
          <w:szCs w:val="72"/>
          <w:highlight w:val="none"/>
        </w:rPr>
      </w:pPr>
      <w:r>
        <w:rPr>
          <w:rFonts w:hint="eastAsia" w:ascii="楷体" w:hAnsi="楷体" w:eastAsia="楷体" w:cs="楷体"/>
          <w:b/>
          <w:bCs/>
          <w:sz w:val="52"/>
          <w:szCs w:val="52"/>
          <w:highlight w:val="none"/>
        </w:rPr>
        <w:t>合同书</w:t>
      </w:r>
    </w:p>
    <w:p w14:paraId="17ADAF70">
      <w:pPr>
        <w:jc w:val="center"/>
        <w:rPr>
          <w:rFonts w:hint="eastAsia" w:ascii="楷体" w:hAnsi="楷体" w:eastAsia="楷体" w:cs="楷体"/>
          <w:sz w:val="44"/>
          <w:szCs w:val="44"/>
          <w:highlight w:val="none"/>
        </w:rPr>
      </w:pPr>
    </w:p>
    <w:p w14:paraId="5ECC2EA3">
      <w:pPr>
        <w:jc w:val="center"/>
        <w:rPr>
          <w:rFonts w:hint="eastAsia" w:ascii="楷体" w:hAnsi="楷体" w:eastAsia="楷体" w:cs="楷体"/>
          <w:sz w:val="44"/>
          <w:szCs w:val="44"/>
          <w:highlight w:val="none"/>
        </w:rPr>
      </w:pPr>
    </w:p>
    <w:p w14:paraId="2C57595C">
      <w:pPr>
        <w:rPr>
          <w:rFonts w:hint="eastAsia" w:ascii="楷体" w:hAnsi="楷体" w:eastAsia="楷体" w:cs="楷体"/>
          <w:sz w:val="44"/>
          <w:szCs w:val="44"/>
          <w:highlight w:val="none"/>
        </w:rPr>
      </w:pPr>
    </w:p>
    <w:p w14:paraId="272DDF45">
      <w:pPr>
        <w:jc w:val="center"/>
        <w:rPr>
          <w:rFonts w:hint="eastAsia" w:ascii="楷体" w:hAnsi="楷体" w:eastAsia="楷体" w:cs="楷体"/>
          <w:b/>
          <w:sz w:val="36"/>
          <w:szCs w:val="36"/>
          <w:highlight w:val="none"/>
        </w:rPr>
      </w:pPr>
      <w:r>
        <w:rPr>
          <w:rFonts w:hint="eastAsia" w:ascii="楷体" w:hAnsi="楷体" w:eastAsia="楷体" w:cs="楷体"/>
          <w:b/>
          <w:sz w:val="36"/>
          <w:szCs w:val="36"/>
          <w:highlight w:val="none"/>
        </w:rPr>
        <w:t>（示范文本）</w:t>
      </w:r>
    </w:p>
    <w:p w14:paraId="66DE57CB">
      <w:pPr>
        <w:spacing w:line="360" w:lineRule="auto"/>
        <w:ind w:left="718" w:leftChars="298" w:hanging="3"/>
        <w:rPr>
          <w:rFonts w:hint="eastAsia" w:ascii="楷体" w:hAnsi="楷体" w:eastAsia="楷体" w:cs="楷体"/>
          <w:b/>
          <w:bCs/>
          <w:color w:val="000000"/>
          <w:sz w:val="32"/>
          <w:szCs w:val="28"/>
          <w:highlight w:val="none"/>
        </w:rPr>
      </w:pPr>
    </w:p>
    <w:p w14:paraId="5C1FF088">
      <w:pPr>
        <w:spacing w:line="360" w:lineRule="auto"/>
        <w:ind w:left="718" w:leftChars="298" w:hanging="3"/>
        <w:rPr>
          <w:rFonts w:hint="eastAsia" w:ascii="楷体" w:hAnsi="楷体" w:eastAsia="楷体" w:cs="楷体"/>
          <w:b/>
          <w:bCs/>
          <w:color w:val="000000"/>
          <w:sz w:val="32"/>
          <w:szCs w:val="28"/>
          <w:highlight w:val="none"/>
        </w:rPr>
      </w:pPr>
    </w:p>
    <w:p w14:paraId="4DA9B681">
      <w:pPr>
        <w:pStyle w:val="7"/>
        <w:ind w:firstLine="480"/>
        <w:rPr>
          <w:rFonts w:hint="eastAsia" w:ascii="楷体" w:hAnsi="楷体" w:eastAsia="楷体" w:cs="楷体"/>
          <w:highlight w:val="none"/>
        </w:rPr>
      </w:pPr>
    </w:p>
    <w:p w14:paraId="4929AF9D">
      <w:pPr>
        <w:pStyle w:val="7"/>
        <w:ind w:firstLine="480"/>
        <w:rPr>
          <w:rFonts w:hint="eastAsia" w:ascii="楷体" w:hAnsi="楷体" w:eastAsia="楷体" w:cs="楷体"/>
          <w:highlight w:val="none"/>
        </w:rPr>
      </w:pPr>
    </w:p>
    <w:p w14:paraId="55C7F703">
      <w:pPr>
        <w:pStyle w:val="7"/>
        <w:ind w:firstLine="480"/>
        <w:rPr>
          <w:rFonts w:hint="eastAsia" w:ascii="楷体" w:hAnsi="楷体" w:eastAsia="楷体" w:cs="楷体"/>
          <w:highlight w:val="none"/>
        </w:rPr>
      </w:pPr>
    </w:p>
    <w:p w14:paraId="3868C25B">
      <w:pPr>
        <w:pStyle w:val="7"/>
        <w:ind w:firstLine="480"/>
        <w:rPr>
          <w:rFonts w:hint="eastAsia" w:ascii="楷体" w:hAnsi="楷体" w:eastAsia="楷体" w:cs="楷体"/>
          <w:highlight w:val="none"/>
        </w:rPr>
      </w:pPr>
    </w:p>
    <w:p w14:paraId="171E2B1A">
      <w:pPr>
        <w:pStyle w:val="7"/>
        <w:ind w:firstLine="480"/>
        <w:rPr>
          <w:rFonts w:hint="eastAsia" w:ascii="楷体" w:hAnsi="楷体" w:eastAsia="楷体" w:cs="楷体"/>
          <w:highlight w:val="none"/>
        </w:rPr>
      </w:pPr>
    </w:p>
    <w:p w14:paraId="77EF5B1D">
      <w:pPr>
        <w:pStyle w:val="7"/>
        <w:ind w:firstLine="480"/>
        <w:rPr>
          <w:rFonts w:hint="eastAsia" w:ascii="楷体" w:hAnsi="楷体" w:eastAsia="楷体" w:cs="楷体"/>
          <w:highlight w:val="none"/>
        </w:rPr>
      </w:pPr>
    </w:p>
    <w:p w14:paraId="6EAE5EDD">
      <w:pPr>
        <w:pStyle w:val="7"/>
        <w:ind w:firstLine="480"/>
        <w:rPr>
          <w:rFonts w:hint="eastAsia" w:ascii="楷体" w:hAnsi="楷体" w:eastAsia="楷体" w:cs="楷体"/>
          <w:highlight w:val="none"/>
        </w:rPr>
      </w:pPr>
    </w:p>
    <w:p w14:paraId="215E5DD2">
      <w:pPr>
        <w:spacing w:line="360" w:lineRule="auto"/>
        <w:ind w:left="718" w:leftChars="298" w:hanging="3"/>
        <w:rPr>
          <w:rFonts w:hint="eastAsia" w:ascii="楷体" w:hAnsi="楷体" w:eastAsia="楷体" w:cs="楷体"/>
          <w:b/>
          <w:bCs/>
          <w:color w:val="000000"/>
          <w:sz w:val="32"/>
          <w:szCs w:val="28"/>
          <w:highlight w:val="none"/>
        </w:rPr>
      </w:pPr>
    </w:p>
    <w:p w14:paraId="39E7F0E1">
      <w:pPr>
        <w:spacing w:line="360" w:lineRule="auto"/>
        <w:ind w:left="278" w:leftChars="116" w:firstLine="557" w:firstLineChars="198"/>
        <w:rPr>
          <w:rFonts w:hint="eastAsia" w:ascii="楷体" w:hAnsi="楷体" w:eastAsia="楷体" w:cs="楷体"/>
          <w:b/>
          <w:bCs/>
          <w:color w:val="000000"/>
          <w:sz w:val="28"/>
          <w:szCs w:val="24"/>
          <w:highlight w:val="none"/>
        </w:rPr>
      </w:pPr>
      <w:r>
        <w:rPr>
          <w:rFonts w:hint="eastAsia" w:ascii="楷体" w:hAnsi="楷体" w:eastAsia="楷体" w:cs="楷体"/>
          <w:b/>
          <w:bCs/>
          <w:color w:val="000000"/>
          <w:sz w:val="28"/>
          <w:szCs w:val="24"/>
          <w:highlight w:val="none"/>
        </w:rPr>
        <w:t>委托方（甲方）：</w:t>
      </w:r>
      <w:r>
        <w:rPr>
          <w:rFonts w:hint="eastAsia" w:ascii="楷体" w:hAnsi="楷体" w:eastAsia="楷体" w:cs="楷体"/>
          <w:b/>
          <w:bCs/>
          <w:color w:val="000000"/>
          <w:sz w:val="28"/>
          <w:szCs w:val="24"/>
          <w:highlight w:val="none"/>
          <w:u w:val="single"/>
        </w:rPr>
        <w:t>西安市市场监督管理局</w:t>
      </w:r>
    </w:p>
    <w:p w14:paraId="206AC1D2">
      <w:pPr>
        <w:spacing w:line="360" w:lineRule="auto"/>
        <w:ind w:left="278" w:leftChars="116" w:firstLine="557" w:firstLineChars="198"/>
        <w:rPr>
          <w:rFonts w:hint="eastAsia" w:ascii="楷体" w:hAnsi="楷体" w:eastAsia="楷体" w:cs="楷体"/>
          <w:b/>
          <w:bCs/>
          <w:color w:val="000000"/>
          <w:sz w:val="28"/>
          <w:szCs w:val="24"/>
          <w:highlight w:val="none"/>
          <w:u w:val="single"/>
          <w:lang w:val="en-US" w:eastAsia="zh-CN"/>
        </w:rPr>
      </w:pPr>
      <w:r>
        <w:rPr>
          <w:rFonts w:hint="eastAsia" w:ascii="楷体" w:hAnsi="楷体" w:eastAsia="楷体" w:cs="楷体"/>
          <w:b/>
          <w:bCs/>
          <w:color w:val="000000"/>
          <w:sz w:val="28"/>
          <w:szCs w:val="24"/>
          <w:highlight w:val="none"/>
        </w:rPr>
        <w:t>受托方（乙方）：</w:t>
      </w:r>
      <w:r>
        <w:rPr>
          <w:rFonts w:hint="eastAsia" w:ascii="楷体" w:hAnsi="楷体" w:eastAsia="楷体" w:cs="楷体"/>
          <w:b/>
          <w:bCs/>
          <w:color w:val="000000"/>
          <w:sz w:val="28"/>
          <w:szCs w:val="24"/>
          <w:highlight w:val="none"/>
          <w:u w:val="single"/>
          <w:lang w:val="en-US" w:eastAsia="zh-CN"/>
        </w:rPr>
        <w:t xml:space="preserve">                    </w:t>
      </w:r>
    </w:p>
    <w:p w14:paraId="1D54D5E8">
      <w:pPr>
        <w:spacing w:line="360" w:lineRule="auto"/>
        <w:ind w:firstLine="843" w:firstLineChars="300"/>
        <w:rPr>
          <w:rFonts w:hint="eastAsia" w:ascii="楷体" w:hAnsi="楷体" w:eastAsia="楷体" w:cs="楷体"/>
          <w:b/>
          <w:color w:val="000000"/>
          <w:szCs w:val="24"/>
          <w:highlight w:val="none"/>
        </w:rPr>
      </w:pPr>
      <w:r>
        <w:rPr>
          <w:rFonts w:hint="eastAsia" w:ascii="楷体" w:hAnsi="楷体" w:eastAsia="楷体" w:cs="楷体"/>
          <w:b/>
          <w:bCs/>
          <w:color w:val="000000"/>
          <w:sz w:val="28"/>
          <w:szCs w:val="24"/>
          <w:highlight w:val="none"/>
        </w:rPr>
        <w:t>签订时间：</w:t>
      </w:r>
      <w:r>
        <w:rPr>
          <w:rFonts w:hint="eastAsia" w:ascii="楷体" w:hAnsi="楷体" w:eastAsia="楷体" w:cs="楷体"/>
          <w:b/>
          <w:bCs/>
          <w:color w:val="000000"/>
          <w:sz w:val="28"/>
          <w:szCs w:val="24"/>
          <w:highlight w:val="none"/>
          <w:u w:val="single"/>
          <w:lang w:val="en-US" w:eastAsia="zh-CN"/>
        </w:rPr>
        <w:t xml:space="preserve">                </w:t>
      </w:r>
      <w:r>
        <w:rPr>
          <w:rFonts w:hint="eastAsia" w:ascii="楷体" w:hAnsi="楷体" w:eastAsia="楷体" w:cs="楷体"/>
          <w:bCs/>
          <w:sz w:val="48"/>
          <w:szCs w:val="48"/>
          <w:highlight w:val="none"/>
        </w:rPr>
        <w:br w:type="page"/>
      </w:r>
      <w:r>
        <w:rPr>
          <w:rFonts w:hint="eastAsia" w:hAnsi="宋体" w:cs="楷体"/>
          <w:bCs/>
          <w:sz w:val="48"/>
          <w:szCs w:val="48"/>
          <w:highlight w:val="none"/>
          <w:lang w:val="en-US" w:eastAsia="zh-CN"/>
        </w:rPr>
        <w:t xml:space="preserve"> </w:t>
      </w:r>
      <w:r>
        <w:rPr>
          <w:rFonts w:hint="eastAsia" w:ascii="方正仿宋_GB2312" w:hAnsi="方正仿宋_GB2312" w:eastAsia="方正仿宋_GB2312" w:cs="方正仿宋_GB2312"/>
          <w:bCs/>
          <w:sz w:val="48"/>
          <w:szCs w:val="48"/>
          <w:highlight w:val="none"/>
          <w:lang w:val="en-US" w:eastAsia="zh-CN"/>
        </w:rPr>
        <w:t xml:space="preserve"> </w:t>
      </w:r>
      <w:r>
        <w:rPr>
          <w:rFonts w:hint="eastAsia" w:ascii="楷体" w:hAnsi="楷体" w:eastAsia="楷体" w:cs="楷体"/>
          <w:b/>
          <w:color w:val="000000"/>
          <w:szCs w:val="24"/>
          <w:highlight w:val="none"/>
        </w:rPr>
        <w:t>委托方（全称）：</w:t>
      </w:r>
      <w:r>
        <w:rPr>
          <w:rFonts w:hint="eastAsia" w:ascii="楷体" w:hAnsi="楷体" w:eastAsia="楷体" w:cs="楷体"/>
          <w:b/>
          <w:color w:val="000000"/>
          <w:szCs w:val="24"/>
          <w:highlight w:val="none"/>
          <w:u w:val="single"/>
        </w:rPr>
        <w:t xml:space="preserve">  西安市市场监督管理局                         </w:t>
      </w:r>
    </w:p>
    <w:p w14:paraId="2682627F">
      <w:pPr>
        <w:adjustRightInd w:val="0"/>
        <w:snapToGrid w:val="0"/>
        <w:spacing w:line="360" w:lineRule="auto"/>
        <w:ind w:firstLine="482" w:firstLineChars="200"/>
        <w:rPr>
          <w:rFonts w:hint="eastAsia" w:ascii="楷体" w:hAnsi="楷体" w:eastAsia="楷体" w:cs="楷体"/>
          <w:color w:val="000000"/>
          <w:szCs w:val="24"/>
          <w:highlight w:val="none"/>
          <w:u w:val="single"/>
        </w:rPr>
      </w:pPr>
      <w:r>
        <w:rPr>
          <w:rFonts w:hint="eastAsia" w:ascii="楷体" w:hAnsi="楷体" w:eastAsia="楷体" w:cs="楷体"/>
          <w:b/>
          <w:color w:val="000000"/>
          <w:szCs w:val="24"/>
          <w:highlight w:val="none"/>
        </w:rPr>
        <w:t>受托方（全称）：</w:t>
      </w:r>
      <w:r>
        <w:rPr>
          <w:rFonts w:hint="eastAsia" w:ascii="楷体" w:hAnsi="楷体" w:eastAsia="楷体" w:cs="楷体"/>
          <w:b/>
          <w:color w:val="000000"/>
          <w:szCs w:val="24"/>
          <w:highlight w:val="none"/>
          <w:u w:val="single"/>
        </w:rPr>
        <w:t xml:space="preserve">                                           </w:t>
      </w:r>
      <w:r>
        <w:rPr>
          <w:rFonts w:hint="eastAsia" w:ascii="楷体" w:hAnsi="楷体" w:eastAsia="楷体" w:cs="楷体"/>
          <w:color w:val="000000"/>
          <w:szCs w:val="24"/>
          <w:highlight w:val="none"/>
          <w:u w:val="single"/>
        </w:rPr>
        <w:t xml:space="preserve">  </w:t>
      </w:r>
    </w:p>
    <w:p w14:paraId="1BA5E42F">
      <w:pPr>
        <w:adjustRightInd w:val="0"/>
        <w:snapToGrid w:val="0"/>
        <w:spacing w:line="360" w:lineRule="auto"/>
        <w:ind w:firstLine="480" w:firstLineChars="200"/>
        <w:rPr>
          <w:rFonts w:hint="eastAsia" w:ascii="楷体" w:hAnsi="楷体" w:eastAsia="楷体" w:cs="楷体"/>
          <w:color w:val="000000"/>
          <w:szCs w:val="24"/>
          <w:highlight w:val="none"/>
          <w:u w:val="single"/>
        </w:rPr>
      </w:pPr>
      <w:r>
        <w:rPr>
          <w:rFonts w:hint="eastAsia" w:ascii="楷体" w:hAnsi="楷体" w:eastAsia="楷体" w:cs="楷体"/>
          <w:color w:val="000000"/>
          <w:szCs w:val="24"/>
          <w:highlight w:val="none"/>
        </w:rPr>
        <w:t>根据《中华人民共和国民法典》及其他有关法律、法规，遵循平等、自愿、公平和诚信的原则，双方就下述项目范围与相关服务事项协商一致，订立本合同。</w:t>
      </w:r>
    </w:p>
    <w:p w14:paraId="4A076E15">
      <w:pPr>
        <w:spacing w:line="360" w:lineRule="auto"/>
        <w:rPr>
          <w:rFonts w:hint="eastAsia" w:ascii="楷体" w:hAnsi="楷体" w:eastAsia="楷体" w:cs="楷体"/>
          <w:b/>
          <w:color w:val="000000"/>
          <w:szCs w:val="24"/>
          <w:highlight w:val="none"/>
        </w:rPr>
      </w:pPr>
      <w:r>
        <w:rPr>
          <w:rFonts w:hint="eastAsia" w:ascii="楷体" w:hAnsi="楷体" w:eastAsia="楷体" w:cs="楷体"/>
          <w:b/>
          <w:color w:val="000000"/>
          <w:szCs w:val="24"/>
          <w:highlight w:val="none"/>
        </w:rPr>
        <w:t>一、项目概况</w:t>
      </w:r>
    </w:p>
    <w:p w14:paraId="753DF916">
      <w:pPr>
        <w:autoSpaceDE w:val="0"/>
        <w:autoSpaceDN w:val="0"/>
        <w:adjustRightInd w:val="0"/>
        <w:spacing w:line="360" w:lineRule="auto"/>
        <w:ind w:firstLine="480" w:firstLineChars="200"/>
        <w:rPr>
          <w:rFonts w:hint="eastAsia" w:ascii="楷体" w:hAnsi="楷体" w:eastAsia="楷体" w:cs="楷体"/>
          <w:color w:val="000000"/>
          <w:szCs w:val="24"/>
          <w:highlight w:val="none"/>
          <w:u w:val="single"/>
        </w:rPr>
      </w:pPr>
      <w:r>
        <w:rPr>
          <w:rFonts w:hint="eastAsia" w:ascii="楷体" w:hAnsi="楷体" w:eastAsia="楷体" w:cs="楷体"/>
          <w:color w:val="000000"/>
          <w:szCs w:val="24"/>
          <w:highlight w:val="none"/>
        </w:rPr>
        <w:t>1.项目名称</w:t>
      </w:r>
      <w:r>
        <w:rPr>
          <w:rFonts w:hint="eastAsia" w:ascii="楷体" w:hAnsi="楷体" w:eastAsia="楷体" w:cs="楷体"/>
          <w:color w:val="000000"/>
          <w:szCs w:val="24"/>
          <w:highlight w:val="none"/>
          <w:u w:val="single"/>
        </w:rPr>
        <w:t>：</w:t>
      </w:r>
      <w:r>
        <w:rPr>
          <w:rFonts w:hint="eastAsia" w:ascii="楷体" w:hAnsi="楷体" w:eastAsia="楷体" w:cs="楷体"/>
          <w:color w:val="000000"/>
          <w:szCs w:val="24"/>
          <w:highlight w:val="none"/>
          <w:u w:val="single"/>
          <w:lang w:eastAsia="zh-CN"/>
        </w:rPr>
        <w:t>生态环境和安全相关产品质量监督抽查</w:t>
      </w:r>
    </w:p>
    <w:p w14:paraId="7F1CE73F">
      <w:pPr>
        <w:autoSpaceDE w:val="0"/>
        <w:autoSpaceDN w:val="0"/>
        <w:adjustRightInd w:val="0"/>
        <w:spacing w:line="360" w:lineRule="auto"/>
        <w:ind w:firstLine="480" w:firstLineChars="200"/>
        <w:rPr>
          <w:rFonts w:hint="eastAsia" w:ascii="楷体" w:hAnsi="楷体" w:eastAsia="楷体" w:cs="楷体"/>
          <w:color w:val="000000"/>
          <w:szCs w:val="24"/>
          <w:highlight w:val="none"/>
        </w:rPr>
      </w:pPr>
      <w:r>
        <w:rPr>
          <w:rFonts w:hint="eastAsia" w:ascii="楷体" w:hAnsi="楷体" w:eastAsia="楷体" w:cs="楷体"/>
          <w:color w:val="000000"/>
          <w:szCs w:val="24"/>
          <w:highlight w:val="none"/>
        </w:rPr>
        <w:t>2.项目地点：</w:t>
      </w:r>
      <w:r>
        <w:rPr>
          <w:rFonts w:hint="eastAsia" w:ascii="楷体" w:hAnsi="楷体" w:eastAsia="楷体" w:cs="楷体"/>
          <w:color w:val="000000"/>
          <w:szCs w:val="24"/>
          <w:highlight w:val="none"/>
          <w:u w:val="single"/>
        </w:rPr>
        <w:t xml:space="preserve">西安市辖区范围内 </w:t>
      </w:r>
    </w:p>
    <w:p w14:paraId="3554A0C0">
      <w:pPr>
        <w:pStyle w:val="22"/>
        <w:pageBreakBefore w:val="0"/>
        <w:kinsoku/>
        <w:wordWrap/>
        <w:overflowPunct/>
        <w:topLinePunct w:val="0"/>
        <w:autoSpaceDE/>
        <w:autoSpaceDN/>
        <w:bidi w:val="0"/>
        <w:adjustRightInd/>
        <w:snapToGrid/>
        <w:spacing w:line="360" w:lineRule="auto"/>
        <w:ind w:firstLine="420" w:firstLineChars="200"/>
        <w:textAlignment w:val="auto"/>
        <w:rPr>
          <w:rFonts w:hint="eastAsia" w:ascii="楷体" w:hAnsi="楷体" w:eastAsia="楷体" w:cs="楷体"/>
          <w:sz w:val="24"/>
          <w:szCs w:val="24"/>
          <w:highlight w:val="none"/>
          <w:lang w:eastAsia="zh-CN"/>
        </w:rPr>
      </w:pPr>
      <w:r>
        <w:rPr>
          <w:rFonts w:hint="eastAsia" w:ascii="楷体" w:hAnsi="楷体" w:eastAsia="楷体" w:cs="楷体"/>
          <w:color w:val="000000"/>
          <w:kern w:val="2"/>
          <w:sz w:val="21"/>
          <w:szCs w:val="24"/>
          <w:highlight w:val="none"/>
          <w:lang w:val="en-US" w:eastAsia="zh-CN" w:bidi="ar-SA"/>
        </w:rPr>
        <w:t>3.项目内容</w:t>
      </w:r>
      <w:r>
        <w:rPr>
          <w:rFonts w:hint="eastAsia" w:ascii="楷体" w:hAnsi="楷体" w:eastAsia="楷体" w:cs="楷体"/>
          <w:color w:val="000000"/>
          <w:szCs w:val="24"/>
          <w:highlight w:val="none"/>
        </w:rPr>
        <w:t>：</w:t>
      </w:r>
      <w:r>
        <w:rPr>
          <w:rFonts w:hint="eastAsia" w:ascii="楷体" w:hAnsi="楷体" w:eastAsia="楷体" w:cs="楷体"/>
          <w:color w:val="000000"/>
          <w:sz w:val="24"/>
          <w:szCs w:val="24"/>
          <w:highlight w:val="none"/>
          <w:u w:val="single"/>
          <w:lang w:val="en-US" w:eastAsia="zh-CN" w:bidi="ar-SA"/>
        </w:rPr>
        <w:t>为规范市场秩序，加强生态环境和安全相关产品质量管控，计划在2025年进行生态环境和安全相关产品质量监督抽查。</w:t>
      </w:r>
    </w:p>
    <w:p w14:paraId="5C324A39">
      <w:pPr>
        <w:spacing w:line="360" w:lineRule="auto"/>
        <w:rPr>
          <w:rFonts w:hint="eastAsia" w:ascii="楷体" w:hAnsi="楷体" w:eastAsia="楷体" w:cs="楷体"/>
          <w:b/>
          <w:szCs w:val="24"/>
          <w:highlight w:val="none"/>
        </w:rPr>
      </w:pPr>
      <w:r>
        <w:rPr>
          <w:rFonts w:hint="eastAsia" w:ascii="楷体" w:hAnsi="楷体" w:eastAsia="楷体" w:cs="楷体"/>
          <w:b/>
          <w:szCs w:val="24"/>
          <w:highlight w:val="none"/>
        </w:rPr>
        <w:t>二、组成本合同的文件</w:t>
      </w:r>
    </w:p>
    <w:p w14:paraId="2AA11AD9">
      <w:pPr>
        <w:adjustRightInd w:val="0"/>
        <w:snapToGrid w:val="0"/>
        <w:spacing w:line="360" w:lineRule="auto"/>
        <w:ind w:firstLine="475" w:firstLineChars="198"/>
        <w:rPr>
          <w:rFonts w:hint="eastAsia" w:ascii="楷体" w:hAnsi="楷体" w:eastAsia="楷体" w:cs="楷体"/>
          <w:szCs w:val="24"/>
          <w:highlight w:val="none"/>
        </w:rPr>
      </w:pPr>
      <w:r>
        <w:rPr>
          <w:rFonts w:hint="eastAsia" w:ascii="楷体" w:hAnsi="楷体" w:eastAsia="楷体" w:cs="楷体"/>
          <w:szCs w:val="24"/>
          <w:highlight w:val="none"/>
        </w:rPr>
        <w:t>1. 协议书；</w:t>
      </w:r>
    </w:p>
    <w:p w14:paraId="5B895F64">
      <w:pPr>
        <w:adjustRightInd w:val="0"/>
        <w:snapToGrid w:val="0"/>
        <w:spacing w:line="360" w:lineRule="auto"/>
        <w:ind w:firstLine="475" w:firstLineChars="198"/>
        <w:rPr>
          <w:rFonts w:hint="eastAsia" w:ascii="楷体" w:hAnsi="楷体" w:eastAsia="楷体" w:cs="楷体"/>
          <w:szCs w:val="24"/>
          <w:highlight w:val="none"/>
        </w:rPr>
      </w:pPr>
      <w:r>
        <w:rPr>
          <w:rFonts w:hint="eastAsia" w:ascii="楷体" w:hAnsi="楷体" w:eastAsia="楷体" w:cs="楷体"/>
          <w:szCs w:val="24"/>
          <w:highlight w:val="none"/>
        </w:rPr>
        <w:t>2. 成交通知书、磋商响应文件、磋商文件、澄清、磋商补充文件（或委托书）；</w:t>
      </w:r>
    </w:p>
    <w:p w14:paraId="0957AF09">
      <w:pPr>
        <w:adjustRightInd w:val="0"/>
        <w:snapToGrid w:val="0"/>
        <w:spacing w:line="360" w:lineRule="auto"/>
        <w:ind w:firstLine="480" w:firstLineChars="200"/>
        <w:rPr>
          <w:rFonts w:hint="eastAsia" w:ascii="楷体" w:hAnsi="楷体" w:eastAsia="楷体" w:cs="楷体"/>
          <w:szCs w:val="24"/>
          <w:highlight w:val="none"/>
        </w:rPr>
      </w:pPr>
      <w:r>
        <w:rPr>
          <w:rFonts w:hint="eastAsia" w:ascii="楷体" w:hAnsi="楷体" w:eastAsia="楷体" w:cs="楷体"/>
          <w:szCs w:val="24"/>
          <w:highlight w:val="none"/>
        </w:rPr>
        <w:t>3. 相关服务建议书（如有）；</w:t>
      </w:r>
    </w:p>
    <w:p w14:paraId="3409DA4F">
      <w:pPr>
        <w:adjustRightInd w:val="0"/>
        <w:snapToGrid w:val="0"/>
        <w:spacing w:line="360" w:lineRule="auto"/>
        <w:rPr>
          <w:rFonts w:hint="eastAsia" w:ascii="楷体" w:hAnsi="楷体" w:eastAsia="楷体" w:cs="楷体"/>
          <w:szCs w:val="24"/>
          <w:highlight w:val="none"/>
        </w:rPr>
      </w:pPr>
      <w:r>
        <w:rPr>
          <w:rFonts w:hint="eastAsia" w:ascii="楷体" w:hAnsi="楷体" w:eastAsia="楷体" w:cs="楷体"/>
          <w:szCs w:val="24"/>
          <w:highlight w:val="none"/>
        </w:rPr>
        <w:t xml:space="preserve">    4. 附录；</w:t>
      </w:r>
    </w:p>
    <w:p w14:paraId="483DF9D4">
      <w:pPr>
        <w:adjustRightInd w:val="0"/>
        <w:snapToGrid w:val="0"/>
        <w:spacing w:line="360" w:lineRule="auto"/>
        <w:ind w:firstLine="475" w:firstLineChars="198"/>
        <w:rPr>
          <w:rFonts w:hint="eastAsia" w:ascii="楷体" w:hAnsi="楷体" w:eastAsia="楷体" w:cs="楷体"/>
          <w:szCs w:val="24"/>
          <w:highlight w:val="none"/>
        </w:rPr>
      </w:pPr>
      <w:r>
        <w:rPr>
          <w:rFonts w:hint="eastAsia" w:ascii="楷体" w:hAnsi="楷体" w:eastAsia="楷体" w:cs="楷体"/>
          <w:szCs w:val="24"/>
          <w:highlight w:val="none"/>
        </w:rPr>
        <w:t>本合同签订后，双方依法签订的补充协议也是本合同文件的组成部分。</w:t>
      </w:r>
    </w:p>
    <w:p w14:paraId="553BEFED">
      <w:pPr>
        <w:spacing w:line="360" w:lineRule="auto"/>
        <w:rPr>
          <w:rFonts w:hint="eastAsia" w:ascii="楷体" w:hAnsi="楷体" w:eastAsia="楷体" w:cs="楷体"/>
          <w:b/>
          <w:color w:val="000000"/>
          <w:szCs w:val="24"/>
          <w:highlight w:val="none"/>
        </w:rPr>
      </w:pPr>
      <w:r>
        <w:rPr>
          <w:rFonts w:hint="eastAsia" w:ascii="楷体" w:hAnsi="楷体" w:eastAsia="楷体" w:cs="楷体"/>
          <w:b/>
          <w:color w:val="000000"/>
          <w:szCs w:val="24"/>
          <w:highlight w:val="none"/>
        </w:rPr>
        <w:t>三、合同价款</w:t>
      </w:r>
    </w:p>
    <w:p w14:paraId="48EFC1FE">
      <w:pPr>
        <w:adjustRightInd w:val="0"/>
        <w:snapToGrid w:val="0"/>
        <w:spacing w:line="360" w:lineRule="auto"/>
        <w:ind w:firstLine="475" w:firstLineChars="198"/>
        <w:rPr>
          <w:rFonts w:hint="eastAsia" w:ascii="楷体" w:hAnsi="楷体" w:eastAsia="楷体" w:cs="楷体"/>
          <w:color w:val="000000"/>
          <w:szCs w:val="24"/>
          <w:highlight w:val="none"/>
        </w:rPr>
      </w:pPr>
      <w:r>
        <w:rPr>
          <w:rFonts w:hint="eastAsia" w:ascii="楷体" w:hAnsi="楷体" w:eastAsia="楷体" w:cs="楷体"/>
          <w:color w:val="000000"/>
          <w:szCs w:val="24"/>
          <w:highlight w:val="none"/>
        </w:rPr>
        <w:t>1.</w:t>
      </w:r>
      <w:r>
        <w:rPr>
          <w:rFonts w:hint="eastAsia" w:ascii="楷体" w:hAnsi="楷体" w:eastAsia="楷体" w:cs="楷体"/>
          <w:color w:val="000000"/>
          <w:szCs w:val="24"/>
          <w:highlight w:val="none"/>
          <w:lang w:val="en-US" w:eastAsia="zh-CN"/>
        </w:rPr>
        <w:t>单项最终成交单价</w:t>
      </w:r>
      <w:r>
        <w:rPr>
          <w:rFonts w:hint="eastAsia" w:ascii="楷体" w:hAnsi="楷体" w:eastAsia="楷体" w:cs="楷体"/>
          <w:color w:val="000000"/>
          <w:szCs w:val="24"/>
          <w:highlight w:val="none"/>
        </w:rPr>
        <w:t>（大写）：</w:t>
      </w:r>
      <w:r>
        <w:rPr>
          <w:rFonts w:hint="eastAsia" w:ascii="楷体" w:hAnsi="楷体" w:eastAsia="楷体" w:cs="楷体"/>
          <w:color w:val="000000"/>
          <w:szCs w:val="24"/>
          <w:highlight w:val="none"/>
          <w:u w:val="single"/>
        </w:rPr>
        <w:t xml:space="preserve">                 </w:t>
      </w:r>
      <w:r>
        <w:rPr>
          <w:rFonts w:hint="eastAsia" w:ascii="楷体" w:hAnsi="楷体" w:eastAsia="楷体" w:cs="楷体"/>
          <w:color w:val="000000"/>
          <w:szCs w:val="24"/>
          <w:highlight w:val="none"/>
        </w:rPr>
        <w:t xml:space="preserve">（¥ </w:t>
      </w:r>
      <w:r>
        <w:rPr>
          <w:rFonts w:hint="eastAsia" w:ascii="楷体" w:hAnsi="楷体" w:eastAsia="楷体" w:cs="楷体"/>
          <w:color w:val="000000"/>
          <w:szCs w:val="24"/>
          <w:highlight w:val="none"/>
          <w:u w:val="single"/>
        </w:rPr>
        <w:t xml:space="preserve">           </w:t>
      </w:r>
      <w:r>
        <w:rPr>
          <w:rFonts w:hint="eastAsia" w:ascii="楷体" w:hAnsi="楷体" w:eastAsia="楷体" w:cs="楷体"/>
          <w:color w:val="000000"/>
          <w:szCs w:val="24"/>
          <w:highlight w:val="none"/>
        </w:rPr>
        <w:t>）。</w:t>
      </w:r>
    </w:p>
    <w:p w14:paraId="00E43971">
      <w:pPr>
        <w:adjustRightInd w:val="0"/>
        <w:snapToGrid w:val="0"/>
        <w:spacing w:line="360" w:lineRule="auto"/>
        <w:ind w:firstLine="475" w:firstLineChars="198"/>
        <w:rPr>
          <w:rFonts w:hint="eastAsia" w:ascii="楷体" w:hAnsi="楷体" w:eastAsia="楷体" w:cs="楷体"/>
          <w:color w:val="000000"/>
          <w:szCs w:val="24"/>
          <w:highlight w:val="none"/>
        </w:rPr>
      </w:pPr>
      <w:r>
        <w:rPr>
          <w:rFonts w:hint="eastAsia" w:ascii="楷体" w:hAnsi="楷体" w:eastAsia="楷体" w:cs="楷体"/>
          <w:color w:val="000000"/>
          <w:szCs w:val="24"/>
          <w:highlight w:val="none"/>
        </w:rPr>
        <w:t>2.</w:t>
      </w:r>
      <w:r>
        <w:rPr>
          <w:rFonts w:hint="eastAsia" w:ascii="楷体" w:hAnsi="楷体" w:eastAsia="楷体" w:cs="楷体"/>
          <w:color w:val="000000"/>
          <w:szCs w:val="24"/>
          <w:highlight w:val="none"/>
          <w:lang w:val="en-US" w:eastAsia="zh-CN"/>
        </w:rPr>
        <w:t>单项最终成交单价</w:t>
      </w:r>
      <w:r>
        <w:rPr>
          <w:rFonts w:hint="eastAsia" w:ascii="楷体" w:hAnsi="楷体" w:eastAsia="楷体" w:cs="楷体"/>
          <w:color w:val="000000"/>
          <w:szCs w:val="24"/>
          <w:highlight w:val="none"/>
        </w:rPr>
        <w:t>不受市场价变化或实际工作量变化的影响。</w:t>
      </w:r>
    </w:p>
    <w:p w14:paraId="5CBC9506">
      <w:pPr>
        <w:adjustRightInd w:val="0"/>
        <w:snapToGrid w:val="0"/>
        <w:spacing w:line="360" w:lineRule="auto"/>
        <w:rPr>
          <w:rFonts w:hint="eastAsia" w:ascii="楷体" w:hAnsi="楷体" w:eastAsia="楷体" w:cs="楷体"/>
          <w:b/>
          <w:szCs w:val="24"/>
          <w:highlight w:val="none"/>
        </w:rPr>
      </w:pPr>
      <w:r>
        <w:rPr>
          <w:rFonts w:hint="eastAsia" w:ascii="楷体" w:hAnsi="楷体" w:eastAsia="楷体" w:cs="楷体"/>
          <w:b/>
          <w:szCs w:val="24"/>
          <w:highlight w:val="none"/>
        </w:rPr>
        <w:t>四、付款方式：</w:t>
      </w:r>
    </w:p>
    <w:p w14:paraId="677A8E9B">
      <w:pPr>
        <w:adjustRightInd w:val="0"/>
        <w:snapToGrid w:val="0"/>
        <w:spacing w:line="360" w:lineRule="auto"/>
        <w:ind w:firstLine="480" w:firstLineChars="200"/>
        <w:rPr>
          <w:rFonts w:hint="eastAsia" w:ascii="楷体" w:hAnsi="楷体" w:eastAsia="楷体" w:cs="楷体"/>
          <w:color w:val="000000"/>
          <w:szCs w:val="24"/>
          <w:highlight w:val="none"/>
          <w:lang w:val="en-US" w:eastAsia="zh-CN"/>
        </w:rPr>
      </w:pPr>
      <w:bookmarkStart w:id="82" w:name="OLE_LINK53"/>
      <w:r>
        <w:rPr>
          <w:rFonts w:hint="eastAsia" w:ascii="楷体" w:hAnsi="楷体" w:eastAsia="楷体" w:cs="楷体"/>
          <w:color w:val="000000"/>
          <w:szCs w:val="24"/>
          <w:highlight w:val="none"/>
          <w:lang w:val="en-US" w:eastAsia="zh-CN"/>
        </w:rPr>
        <w:t>1.合同签订后10个工作日内支付合同总价款的60%作为预付款。</w:t>
      </w:r>
    </w:p>
    <w:p w14:paraId="187E220D">
      <w:pPr>
        <w:adjustRightInd w:val="0"/>
        <w:snapToGrid w:val="0"/>
        <w:spacing w:line="360" w:lineRule="auto"/>
        <w:ind w:firstLine="480" w:firstLineChars="200"/>
        <w:rPr>
          <w:rFonts w:hint="eastAsia" w:ascii="楷体" w:hAnsi="楷体" w:eastAsia="楷体" w:cs="楷体"/>
          <w:color w:val="000000"/>
          <w:szCs w:val="24"/>
          <w:highlight w:val="none"/>
          <w:lang w:val="en-US" w:eastAsia="zh-CN"/>
        </w:rPr>
      </w:pPr>
      <w:r>
        <w:rPr>
          <w:rFonts w:hint="eastAsia" w:ascii="楷体" w:hAnsi="楷体" w:eastAsia="楷体" w:cs="楷体"/>
          <w:color w:val="000000"/>
          <w:szCs w:val="24"/>
          <w:highlight w:val="none"/>
          <w:lang w:val="en-US" w:eastAsia="zh-CN"/>
        </w:rPr>
        <w:t>2.质量监督抽查工作完成后，由委托方按照工作程序进行验收并以单项最终成交单价为准据实结算，预算金额结算完毕为止。</w:t>
      </w:r>
    </w:p>
    <w:bookmarkEnd w:id="82"/>
    <w:p w14:paraId="1F2AD615">
      <w:pPr>
        <w:adjustRightInd w:val="0"/>
        <w:snapToGrid w:val="0"/>
        <w:spacing w:line="360" w:lineRule="auto"/>
        <w:rPr>
          <w:rFonts w:hint="eastAsia" w:ascii="楷体" w:hAnsi="楷体" w:eastAsia="楷体" w:cs="楷体"/>
          <w:b/>
          <w:color w:val="000000"/>
          <w:szCs w:val="24"/>
          <w:highlight w:val="none"/>
        </w:rPr>
      </w:pPr>
      <w:r>
        <w:rPr>
          <w:rFonts w:hint="eastAsia" w:ascii="楷体" w:hAnsi="楷体" w:eastAsia="楷体" w:cs="楷体"/>
          <w:b/>
          <w:color w:val="000000"/>
          <w:szCs w:val="24"/>
          <w:highlight w:val="none"/>
        </w:rPr>
        <w:t>五、质量保证：</w:t>
      </w:r>
    </w:p>
    <w:p w14:paraId="2EC4C21A">
      <w:pPr>
        <w:pStyle w:val="21"/>
        <w:spacing w:line="360" w:lineRule="auto"/>
        <w:ind w:firstLine="480"/>
        <w:rPr>
          <w:rFonts w:hint="eastAsia" w:ascii="楷体" w:hAnsi="楷体" w:eastAsia="楷体" w:cs="楷体"/>
          <w:szCs w:val="24"/>
          <w:highlight w:val="none"/>
        </w:rPr>
      </w:pPr>
      <w:r>
        <w:rPr>
          <w:rFonts w:hint="eastAsia" w:ascii="楷体" w:hAnsi="楷体" w:eastAsia="楷体" w:cs="楷体"/>
          <w:szCs w:val="24"/>
          <w:highlight w:val="none"/>
        </w:rPr>
        <w:t>（一）</w:t>
      </w:r>
      <w:r>
        <w:rPr>
          <w:rFonts w:hint="eastAsia" w:ascii="楷体" w:hAnsi="楷体" w:eastAsia="楷体" w:cs="楷体"/>
          <w:color w:val="000000"/>
          <w:szCs w:val="24"/>
          <w:highlight w:val="none"/>
          <w:lang w:val="en-US" w:eastAsia="zh-CN"/>
        </w:rPr>
        <w:t>受托方</w:t>
      </w:r>
      <w:r>
        <w:rPr>
          <w:rFonts w:hint="eastAsia" w:ascii="楷体" w:hAnsi="楷体" w:eastAsia="楷体" w:cs="楷体"/>
          <w:szCs w:val="24"/>
          <w:highlight w:val="none"/>
        </w:rPr>
        <w:t>应遵循严谨、准确、客观、公开、公平原则，保证检验报告准确性并对检验质量及检验结果的真实性承担法律责任。</w:t>
      </w:r>
    </w:p>
    <w:p w14:paraId="58700C88">
      <w:pPr>
        <w:pStyle w:val="21"/>
        <w:spacing w:line="360" w:lineRule="auto"/>
        <w:ind w:firstLine="480"/>
        <w:rPr>
          <w:rFonts w:hint="eastAsia" w:ascii="楷体" w:hAnsi="楷体" w:eastAsia="楷体" w:cs="楷体"/>
          <w:szCs w:val="24"/>
          <w:highlight w:val="none"/>
        </w:rPr>
      </w:pPr>
      <w:r>
        <w:rPr>
          <w:rFonts w:hint="eastAsia" w:ascii="楷体" w:hAnsi="楷体" w:eastAsia="楷体" w:cs="楷体"/>
          <w:szCs w:val="24"/>
          <w:highlight w:val="none"/>
        </w:rPr>
        <w:t>（二）</w:t>
      </w:r>
      <w:r>
        <w:rPr>
          <w:rFonts w:hint="eastAsia" w:ascii="楷体" w:hAnsi="楷体" w:eastAsia="楷体" w:cs="楷体"/>
          <w:color w:val="000000"/>
          <w:szCs w:val="24"/>
          <w:highlight w:val="none"/>
          <w:lang w:val="en-US" w:eastAsia="zh-CN"/>
        </w:rPr>
        <w:t>受托方</w:t>
      </w:r>
      <w:r>
        <w:rPr>
          <w:rFonts w:hint="eastAsia" w:ascii="楷体" w:hAnsi="楷体" w:eastAsia="楷体" w:cs="楷体"/>
          <w:szCs w:val="24"/>
          <w:highlight w:val="none"/>
        </w:rPr>
        <w:t>保证按时、准确完成</w:t>
      </w:r>
      <w:r>
        <w:rPr>
          <w:rFonts w:hint="eastAsia" w:ascii="楷体" w:hAnsi="楷体" w:eastAsia="楷体" w:cs="楷体"/>
          <w:szCs w:val="24"/>
          <w:highlight w:val="none"/>
          <w:lang w:eastAsia="zh-CN"/>
        </w:rPr>
        <w:t>生态环境和安全相关产品质量</w:t>
      </w:r>
      <w:r>
        <w:rPr>
          <w:rFonts w:hint="eastAsia" w:ascii="楷体" w:hAnsi="楷体" w:eastAsia="楷体" w:cs="楷体"/>
          <w:szCs w:val="24"/>
          <w:highlight w:val="none"/>
        </w:rPr>
        <w:t>监督抽查任务；</w:t>
      </w:r>
    </w:p>
    <w:p w14:paraId="4F1EF3F9">
      <w:pPr>
        <w:pStyle w:val="21"/>
        <w:spacing w:line="360" w:lineRule="auto"/>
        <w:ind w:firstLine="480"/>
        <w:rPr>
          <w:rFonts w:hint="eastAsia" w:ascii="楷体" w:hAnsi="楷体" w:eastAsia="楷体" w:cs="楷体"/>
          <w:szCs w:val="24"/>
          <w:highlight w:val="none"/>
        </w:rPr>
      </w:pPr>
      <w:r>
        <w:rPr>
          <w:rFonts w:hint="eastAsia" w:ascii="楷体" w:hAnsi="楷体" w:eastAsia="楷体" w:cs="楷体"/>
          <w:szCs w:val="24"/>
          <w:highlight w:val="none"/>
        </w:rPr>
        <w:t>（三）</w:t>
      </w:r>
      <w:r>
        <w:rPr>
          <w:rFonts w:hint="eastAsia" w:ascii="楷体" w:hAnsi="楷体" w:eastAsia="楷体" w:cs="楷体"/>
          <w:color w:val="000000"/>
          <w:szCs w:val="24"/>
          <w:highlight w:val="none"/>
          <w:lang w:val="en-US" w:eastAsia="zh-CN"/>
        </w:rPr>
        <w:t>受托方</w:t>
      </w:r>
      <w:r>
        <w:rPr>
          <w:rFonts w:hint="eastAsia" w:ascii="楷体" w:hAnsi="楷体" w:eastAsia="楷体" w:cs="楷体"/>
          <w:szCs w:val="24"/>
          <w:highlight w:val="none"/>
        </w:rPr>
        <w:t>保证所供服务没有涉及其他权力纠纷。因侵权而产生的一切后果由</w:t>
      </w:r>
      <w:r>
        <w:rPr>
          <w:rFonts w:hint="eastAsia" w:ascii="楷体" w:hAnsi="楷体" w:eastAsia="楷体" w:cs="楷体"/>
          <w:color w:val="000000"/>
          <w:szCs w:val="24"/>
          <w:highlight w:val="none"/>
          <w:lang w:val="en-US" w:eastAsia="zh-CN"/>
        </w:rPr>
        <w:t>受托方</w:t>
      </w:r>
      <w:r>
        <w:rPr>
          <w:rFonts w:hint="eastAsia" w:ascii="楷体" w:hAnsi="楷体" w:eastAsia="楷体" w:cs="楷体"/>
          <w:szCs w:val="24"/>
          <w:highlight w:val="none"/>
        </w:rPr>
        <w:t>负责，</w:t>
      </w:r>
      <w:r>
        <w:rPr>
          <w:rFonts w:hint="eastAsia" w:ascii="楷体" w:hAnsi="楷体" w:eastAsia="楷体" w:cs="楷体"/>
          <w:szCs w:val="24"/>
          <w:highlight w:val="none"/>
          <w:lang w:eastAsia="zh-CN"/>
        </w:rPr>
        <w:t>委托方</w:t>
      </w:r>
      <w:r>
        <w:rPr>
          <w:rFonts w:hint="eastAsia" w:ascii="楷体" w:hAnsi="楷体" w:eastAsia="楷体" w:cs="楷体"/>
          <w:szCs w:val="24"/>
          <w:highlight w:val="none"/>
        </w:rPr>
        <w:t>保留索赔权利；</w:t>
      </w:r>
    </w:p>
    <w:p w14:paraId="1BCA2EC2">
      <w:pPr>
        <w:pStyle w:val="21"/>
        <w:spacing w:line="360" w:lineRule="auto"/>
        <w:ind w:firstLine="480"/>
        <w:rPr>
          <w:rFonts w:hint="eastAsia" w:ascii="楷体" w:hAnsi="楷体" w:eastAsia="楷体" w:cs="楷体"/>
          <w:szCs w:val="24"/>
          <w:highlight w:val="none"/>
        </w:rPr>
      </w:pPr>
      <w:r>
        <w:rPr>
          <w:rFonts w:hint="eastAsia" w:ascii="楷体" w:hAnsi="楷体" w:eastAsia="楷体" w:cs="楷体"/>
          <w:szCs w:val="24"/>
          <w:highlight w:val="none"/>
        </w:rPr>
        <w:t>（四）</w:t>
      </w:r>
      <w:r>
        <w:rPr>
          <w:rFonts w:hint="eastAsia" w:ascii="楷体" w:hAnsi="楷体" w:eastAsia="楷体" w:cs="楷体"/>
          <w:color w:val="000000"/>
          <w:szCs w:val="24"/>
          <w:highlight w:val="none"/>
          <w:lang w:val="en-US" w:eastAsia="zh-CN"/>
        </w:rPr>
        <w:t>受托方</w:t>
      </w:r>
      <w:r>
        <w:rPr>
          <w:rFonts w:hint="eastAsia" w:ascii="楷体" w:hAnsi="楷体" w:eastAsia="楷体" w:cs="楷体"/>
          <w:szCs w:val="24"/>
          <w:highlight w:val="none"/>
        </w:rPr>
        <w:t>所提供的服务符合国家现行标准和相应的技术规范，这些标准和技术规范应为合同签订之日为止最新公布发行的标准和技术规范。</w:t>
      </w:r>
    </w:p>
    <w:p w14:paraId="6B122B55">
      <w:pPr>
        <w:pStyle w:val="21"/>
        <w:spacing w:line="360" w:lineRule="auto"/>
        <w:ind w:firstLine="480"/>
        <w:rPr>
          <w:rFonts w:hint="eastAsia" w:ascii="楷体" w:hAnsi="楷体" w:eastAsia="楷体" w:cs="楷体"/>
          <w:szCs w:val="24"/>
          <w:highlight w:val="none"/>
        </w:rPr>
      </w:pPr>
      <w:r>
        <w:rPr>
          <w:rFonts w:hint="eastAsia" w:ascii="楷体" w:hAnsi="楷体" w:eastAsia="楷体" w:cs="楷体"/>
          <w:szCs w:val="24"/>
          <w:highlight w:val="none"/>
        </w:rPr>
        <w:t>（五）</w:t>
      </w:r>
      <w:r>
        <w:rPr>
          <w:rFonts w:hint="eastAsia" w:ascii="楷体" w:hAnsi="楷体" w:eastAsia="楷体" w:cs="楷体"/>
          <w:color w:val="000000"/>
          <w:szCs w:val="24"/>
          <w:highlight w:val="none"/>
          <w:lang w:val="en-US" w:eastAsia="zh-CN"/>
        </w:rPr>
        <w:t>受托方</w:t>
      </w:r>
      <w:r>
        <w:rPr>
          <w:rFonts w:hint="eastAsia" w:ascii="楷体" w:hAnsi="楷体" w:eastAsia="楷体" w:cs="楷体"/>
          <w:szCs w:val="24"/>
          <w:highlight w:val="none"/>
        </w:rPr>
        <w:t>提供的货物、工程、服务等需符合现行的国家、行业、地区、企业质量安全标准及要求，标准不一致的，以更为严格的为准，</w:t>
      </w:r>
      <w:r>
        <w:rPr>
          <w:rFonts w:hint="eastAsia" w:ascii="楷体" w:hAnsi="楷体" w:eastAsia="楷体" w:cs="楷体"/>
          <w:color w:val="000000"/>
          <w:szCs w:val="24"/>
          <w:highlight w:val="none"/>
          <w:lang w:val="en-US" w:eastAsia="zh-CN"/>
        </w:rPr>
        <w:t>受托方</w:t>
      </w:r>
      <w:r>
        <w:rPr>
          <w:rFonts w:hint="eastAsia" w:ascii="楷体" w:hAnsi="楷体" w:eastAsia="楷体" w:cs="楷体"/>
          <w:szCs w:val="24"/>
          <w:highlight w:val="none"/>
        </w:rPr>
        <w:t>对提供的货物、工程、服务等的质量、安全、环保等负全权责任。</w:t>
      </w:r>
    </w:p>
    <w:p w14:paraId="3DE5FA0A">
      <w:pPr>
        <w:pStyle w:val="21"/>
        <w:spacing w:line="360" w:lineRule="auto"/>
        <w:ind w:firstLine="480"/>
        <w:rPr>
          <w:rFonts w:hint="eastAsia" w:ascii="楷体" w:hAnsi="楷体" w:eastAsia="楷体" w:cs="楷体"/>
          <w:szCs w:val="24"/>
          <w:highlight w:val="none"/>
        </w:rPr>
      </w:pPr>
      <w:r>
        <w:rPr>
          <w:rFonts w:hint="eastAsia" w:ascii="楷体" w:hAnsi="楷体" w:eastAsia="楷体" w:cs="楷体"/>
          <w:szCs w:val="24"/>
          <w:highlight w:val="none"/>
        </w:rPr>
        <w:t>（六）</w:t>
      </w:r>
      <w:r>
        <w:rPr>
          <w:rFonts w:hint="eastAsia" w:ascii="楷体" w:hAnsi="楷体" w:eastAsia="楷体" w:cs="楷体"/>
          <w:color w:val="000000"/>
          <w:szCs w:val="24"/>
          <w:highlight w:val="none"/>
          <w:lang w:val="en-US" w:eastAsia="zh-CN"/>
        </w:rPr>
        <w:t>受托方</w:t>
      </w:r>
      <w:r>
        <w:rPr>
          <w:rFonts w:hint="eastAsia" w:ascii="楷体" w:hAnsi="楷体" w:eastAsia="楷体" w:cs="楷体"/>
          <w:szCs w:val="24"/>
          <w:highlight w:val="none"/>
        </w:rPr>
        <w:t>在抽查工作中接受西安市市场监督管理局的监督。抽查工作须保证整体工作质量，按时完成工作计划，配合西安市市场监督管理局、分局实施问题复查和后期处理工作。对西安市市场监督管理局责令整改逾期未改的，西安市市场监督管理局可根据实际情况，终止服务合同，并由</w:t>
      </w:r>
      <w:r>
        <w:rPr>
          <w:rFonts w:hint="eastAsia" w:ascii="楷体" w:hAnsi="楷体" w:eastAsia="楷体" w:cs="楷体"/>
          <w:color w:val="000000"/>
          <w:szCs w:val="24"/>
          <w:highlight w:val="none"/>
          <w:lang w:val="en-US" w:eastAsia="zh-CN"/>
        </w:rPr>
        <w:t>受托方</w:t>
      </w:r>
      <w:r>
        <w:rPr>
          <w:rFonts w:hint="eastAsia" w:ascii="楷体" w:hAnsi="楷体" w:eastAsia="楷体" w:cs="楷体"/>
          <w:szCs w:val="24"/>
          <w:highlight w:val="none"/>
        </w:rPr>
        <w:t>承担违约责任。</w:t>
      </w:r>
    </w:p>
    <w:p w14:paraId="0D8886E4">
      <w:pPr>
        <w:pStyle w:val="21"/>
        <w:spacing w:line="360" w:lineRule="auto"/>
        <w:ind w:firstLine="480"/>
        <w:rPr>
          <w:rFonts w:hint="eastAsia" w:ascii="楷体" w:hAnsi="楷体" w:eastAsia="楷体" w:cs="楷体"/>
          <w:szCs w:val="24"/>
          <w:highlight w:val="none"/>
        </w:rPr>
      </w:pPr>
      <w:r>
        <w:rPr>
          <w:rFonts w:hint="eastAsia" w:ascii="楷体" w:hAnsi="楷体" w:eastAsia="楷体" w:cs="楷体"/>
          <w:szCs w:val="24"/>
          <w:highlight w:val="none"/>
        </w:rPr>
        <w:t>（七）本项目设定质量保证期，质保期为项目验收完成后</w:t>
      </w:r>
      <w:r>
        <w:rPr>
          <w:rFonts w:hint="eastAsia" w:ascii="楷体" w:hAnsi="楷体" w:eastAsia="楷体" w:cs="楷体"/>
          <w:szCs w:val="24"/>
          <w:highlight w:val="none"/>
          <w:lang w:val="en-US" w:eastAsia="zh-CN"/>
        </w:rPr>
        <w:t>3</w:t>
      </w:r>
      <w:r>
        <w:rPr>
          <w:rFonts w:hint="eastAsia" w:ascii="楷体" w:hAnsi="楷体" w:eastAsia="楷体" w:cs="楷体"/>
          <w:szCs w:val="24"/>
          <w:highlight w:val="none"/>
        </w:rPr>
        <w:t>个月，主要内容为项目现场复核、报告复核、技术咨询回应等。</w:t>
      </w:r>
    </w:p>
    <w:p w14:paraId="31947BED">
      <w:pPr>
        <w:pStyle w:val="21"/>
        <w:spacing w:line="360" w:lineRule="auto"/>
        <w:ind w:firstLine="0" w:firstLineChars="0"/>
        <w:rPr>
          <w:rFonts w:hint="eastAsia" w:ascii="楷体" w:hAnsi="楷体" w:eastAsia="楷体" w:cs="楷体"/>
          <w:b/>
          <w:color w:val="000000"/>
          <w:szCs w:val="24"/>
          <w:highlight w:val="none"/>
        </w:rPr>
      </w:pPr>
      <w:r>
        <w:rPr>
          <w:rFonts w:hint="eastAsia" w:ascii="楷体" w:hAnsi="楷体" w:eastAsia="楷体" w:cs="楷体"/>
          <w:b/>
          <w:szCs w:val="24"/>
          <w:highlight w:val="none"/>
        </w:rPr>
        <w:t>六、</w:t>
      </w:r>
      <w:r>
        <w:rPr>
          <w:rFonts w:hint="eastAsia" w:ascii="楷体" w:hAnsi="楷体" w:eastAsia="楷体" w:cs="楷体"/>
          <w:b/>
          <w:color w:val="000000"/>
          <w:szCs w:val="24"/>
          <w:highlight w:val="none"/>
        </w:rPr>
        <w:t>安全责任：</w:t>
      </w:r>
    </w:p>
    <w:p w14:paraId="2870370E">
      <w:pPr>
        <w:pStyle w:val="21"/>
        <w:spacing w:line="360" w:lineRule="auto"/>
        <w:ind w:firstLine="480"/>
        <w:rPr>
          <w:rFonts w:hint="eastAsia" w:ascii="楷体" w:hAnsi="楷体" w:eastAsia="楷体" w:cs="楷体"/>
          <w:szCs w:val="24"/>
          <w:highlight w:val="none"/>
          <w:lang w:val="zh-CN"/>
        </w:rPr>
      </w:pPr>
      <w:r>
        <w:rPr>
          <w:rFonts w:hint="eastAsia" w:ascii="楷体" w:hAnsi="楷体" w:eastAsia="楷体" w:cs="楷体"/>
          <w:color w:val="000000"/>
          <w:szCs w:val="24"/>
          <w:highlight w:val="none"/>
          <w:lang w:val="en-US" w:eastAsia="zh-CN"/>
        </w:rPr>
        <w:t>受托方</w:t>
      </w:r>
      <w:r>
        <w:rPr>
          <w:rFonts w:hint="eastAsia" w:ascii="楷体" w:hAnsi="楷体" w:eastAsia="楷体" w:cs="楷体"/>
          <w:color w:val="000000"/>
          <w:szCs w:val="24"/>
          <w:highlight w:val="none"/>
          <w:lang w:val="zh-CN"/>
        </w:rPr>
        <w:t>应对其工作人员在现场工作期间的一切行为负责，如安全事故责任及因此发生的人身损害赔偿和其它费用由</w:t>
      </w:r>
      <w:r>
        <w:rPr>
          <w:rFonts w:hint="eastAsia" w:ascii="楷体" w:hAnsi="楷体" w:eastAsia="楷体" w:cs="楷体"/>
          <w:color w:val="000000"/>
          <w:szCs w:val="24"/>
          <w:highlight w:val="none"/>
          <w:lang w:val="en-US" w:eastAsia="zh-CN"/>
        </w:rPr>
        <w:t>受托方</w:t>
      </w:r>
      <w:r>
        <w:rPr>
          <w:rFonts w:hint="eastAsia" w:ascii="楷体" w:hAnsi="楷体" w:eastAsia="楷体" w:cs="楷体"/>
          <w:color w:val="000000"/>
          <w:szCs w:val="24"/>
          <w:highlight w:val="none"/>
          <w:lang w:val="zh-CN"/>
        </w:rPr>
        <w:t>积极申请工伤认定，并在工伤赔偿责任内承担</w:t>
      </w:r>
      <w:r>
        <w:rPr>
          <w:rFonts w:hint="eastAsia" w:ascii="楷体" w:hAnsi="楷体" w:eastAsia="楷体" w:cs="楷体"/>
          <w:szCs w:val="24"/>
          <w:highlight w:val="none"/>
          <w:lang w:val="zh-CN"/>
        </w:rPr>
        <w:t>。</w:t>
      </w:r>
    </w:p>
    <w:p w14:paraId="55E21C27">
      <w:pPr>
        <w:pStyle w:val="21"/>
        <w:spacing w:line="360" w:lineRule="auto"/>
        <w:ind w:firstLine="0" w:firstLineChars="0"/>
        <w:rPr>
          <w:rFonts w:hint="eastAsia" w:ascii="楷体" w:hAnsi="楷体" w:eastAsia="楷体" w:cs="楷体"/>
          <w:b/>
          <w:color w:val="000000"/>
          <w:szCs w:val="24"/>
          <w:highlight w:val="none"/>
        </w:rPr>
      </w:pPr>
      <w:r>
        <w:rPr>
          <w:rFonts w:hint="eastAsia" w:ascii="楷体" w:hAnsi="楷体" w:eastAsia="楷体" w:cs="楷体"/>
          <w:b/>
          <w:color w:val="000000"/>
          <w:szCs w:val="24"/>
          <w:highlight w:val="none"/>
        </w:rPr>
        <w:t>七、服务成果</w:t>
      </w:r>
    </w:p>
    <w:p w14:paraId="2A4DE7E8">
      <w:pPr>
        <w:pStyle w:val="21"/>
        <w:spacing w:line="360" w:lineRule="auto"/>
        <w:ind w:firstLine="480"/>
        <w:rPr>
          <w:rFonts w:hint="eastAsia" w:ascii="楷体" w:hAnsi="楷体" w:eastAsia="楷体" w:cs="楷体"/>
          <w:color w:val="000000"/>
          <w:szCs w:val="24"/>
          <w:highlight w:val="none"/>
          <w:lang w:val="en-US" w:eastAsia="zh-CN"/>
        </w:rPr>
      </w:pPr>
      <w:r>
        <w:rPr>
          <w:rFonts w:hint="eastAsia" w:ascii="楷体" w:hAnsi="楷体" w:eastAsia="楷体" w:cs="楷体"/>
          <w:color w:val="000000"/>
          <w:szCs w:val="24"/>
          <w:highlight w:val="none"/>
        </w:rPr>
        <w:t>1.</w:t>
      </w:r>
      <w:r>
        <w:rPr>
          <w:rFonts w:hint="eastAsia" w:ascii="楷体" w:hAnsi="楷体" w:eastAsia="楷体" w:cs="楷体"/>
          <w:color w:val="000000"/>
          <w:szCs w:val="24"/>
          <w:highlight w:val="none"/>
          <w:lang w:eastAsia="zh-CN"/>
        </w:rPr>
        <w:t>受托方</w:t>
      </w:r>
      <w:r>
        <w:rPr>
          <w:rFonts w:hint="eastAsia" w:ascii="楷体" w:hAnsi="楷体" w:eastAsia="楷体" w:cs="楷体"/>
          <w:color w:val="000000"/>
          <w:szCs w:val="24"/>
          <w:highlight w:val="none"/>
        </w:rPr>
        <w:t>于2025年12月10日前，</w:t>
      </w:r>
      <w:r>
        <w:rPr>
          <w:rFonts w:hint="eastAsia" w:ascii="楷体" w:hAnsi="楷体" w:eastAsia="楷体" w:cs="楷体"/>
          <w:color w:val="000000"/>
          <w:szCs w:val="24"/>
          <w:highlight w:val="none"/>
          <w:lang w:val="en-US" w:eastAsia="zh-CN"/>
        </w:rPr>
        <w:t>完成</w:t>
      </w:r>
      <w:r>
        <w:rPr>
          <w:rFonts w:hint="eastAsia" w:ascii="楷体" w:hAnsi="楷体" w:eastAsia="楷体" w:cs="楷体"/>
          <w:color w:val="000000"/>
          <w:szCs w:val="24"/>
          <w:highlight w:val="none"/>
          <w:lang w:eastAsia="zh-CN"/>
        </w:rPr>
        <w:t>车用成品油快速筛查抽查不少于</w:t>
      </w:r>
      <w:r>
        <w:rPr>
          <w:rFonts w:hint="eastAsia" w:ascii="楷体" w:hAnsi="楷体" w:eastAsia="楷体" w:cs="楷体"/>
          <w:color w:val="000000"/>
          <w:szCs w:val="24"/>
          <w:highlight w:val="none"/>
          <w:lang w:val="en-US" w:eastAsia="zh-CN"/>
        </w:rPr>
        <w:t>350批次；完成</w:t>
      </w:r>
      <w:r>
        <w:rPr>
          <w:rFonts w:hint="eastAsia" w:ascii="楷体" w:hAnsi="楷体" w:eastAsia="楷体" w:cs="楷体"/>
          <w:color w:val="000000"/>
          <w:szCs w:val="24"/>
          <w:highlight w:val="none"/>
          <w:lang w:eastAsia="zh-CN"/>
        </w:rPr>
        <w:t>挥发性有机物抽查不少于</w:t>
      </w:r>
      <w:r>
        <w:rPr>
          <w:rFonts w:hint="eastAsia" w:ascii="楷体" w:hAnsi="楷体" w:eastAsia="楷体" w:cs="楷体"/>
          <w:color w:val="000000"/>
          <w:szCs w:val="24"/>
          <w:highlight w:val="none"/>
          <w:lang w:val="en-US" w:eastAsia="zh-CN"/>
        </w:rPr>
        <w:t>200批次；完成</w:t>
      </w:r>
      <w:r>
        <w:rPr>
          <w:rFonts w:hint="eastAsia" w:ascii="楷体" w:hAnsi="楷体" w:eastAsia="楷体" w:cs="楷体"/>
          <w:color w:val="000000"/>
          <w:szCs w:val="24"/>
          <w:highlight w:val="none"/>
          <w:lang w:eastAsia="zh-CN"/>
        </w:rPr>
        <w:t>燃气器具抽查；</w:t>
      </w:r>
      <w:r>
        <w:rPr>
          <w:rFonts w:hint="eastAsia" w:ascii="楷体" w:hAnsi="楷体" w:eastAsia="楷体" w:cs="楷体"/>
          <w:color w:val="000000"/>
          <w:szCs w:val="24"/>
          <w:highlight w:val="none"/>
          <w:lang w:val="en-US" w:eastAsia="zh-CN"/>
        </w:rPr>
        <w:t>完成</w:t>
      </w:r>
      <w:r>
        <w:rPr>
          <w:rFonts w:hint="eastAsia" w:ascii="楷体" w:hAnsi="楷体" w:eastAsia="楷体" w:cs="楷体"/>
          <w:color w:val="000000"/>
          <w:szCs w:val="24"/>
          <w:highlight w:val="none"/>
          <w:lang w:eastAsia="zh-CN"/>
        </w:rPr>
        <w:t>消防产品抽查。</w:t>
      </w:r>
    </w:p>
    <w:p w14:paraId="27112579">
      <w:pPr>
        <w:pStyle w:val="21"/>
        <w:spacing w:line="360" w:lineRule="auto"/>
        <w:ind w:firstLine="480"/>
        <w:rPr>
          <w:rFonts w:hint="eastAsia" w:ascii="楷体" w:hAnsi="楷体" w:eastAsia="楷体" w:cs="楷体"/>
          <w:color w:val="000000"/>
          <w:szCs w:val="24"/>
          <w:highlight w:val="none"/>
          <w:lang w:eastAsia="zh-CN"/>
        </w:rPr>
      </w:pPr>
      <w:r>
        <w:rPr>
          <w:rFonts w:hint="eastAsia" w:ascii="楷体" w:hAnsi="楷体" w:eastAsia="楷体" w:cs="楷体"/>
          <w:color w:val="000000"/>
          <w:szCs w:val="24"/>
          <w:highlight w:val="none"/>
        </w:rPr>
        <w:t>2.</w:t>
      </w:r>
      <w:r>
        <w:rPr>
          <w:rFonts w:hint="eastAsia" w:ascii="楷体" w:hAnsi="楷体" w:eastAsia="楷体" w:cs="楷体"/>
          <w:color w:val="000000"/>
          <w:szCs w:val="24"/>
          <w:highlight w:val="none"/>
          <w:lang w:eastAsia="zh-CN"/>
        </w:rPr>
        <w:t>受托方</w:t>
      </w:r>
      <w:r>
        <w:rPr>
          <w:rFonts w:hint="eastAsia" w:ascii="楷体" w:hAnsi="楷体" w:eastAsia="楷体" w:cs="楷体"/>
          <w:color w:val="000000"/>
          <w:szCs w:val="24"/>
          <w:highlight w:val="none"/>
        </w:rPr>
        <w:t>于2025年12月20日前，向</w:t>
      </w:r>
      <w:r>
        <w:rPr>
          <w:rFonts w:hint="eastAsia" w:ascii="楷体" w:hAnsi="楷体" w:eastAsia="楷体" w:cs="楷体"/>
          <w:color w:val="000000"/>
          <w:szCs w:val="24"/>
          <w:highlight w:val="none"/>
          <w:lang w:eastAsia="zh-CN"/>
        </w:rPr>
        <w:t>委托方</w:t>
      </w:r>
      <w:r>
        <w:rPr>
          <w:rFonts w:hint="eastAsia" w:ascii="楷体" w:hAnsi="楷体" w:eastAsia="楷体" w:cs="楷体"/>
          <w:color w:val="000000"/>
          <w:szCs w:val="24"/>
          <w:highlight w:val="none"/>
        </w:rPr>
        <w:t>提交监督抽查汇总表、分析报告、总结报告</w:t>
      </w:r>
      <w:r>
        <w:rPr>
          <w:rFonts w:hint="eastAsia" w:ascii="楷体" w:hAnsi="楷体" w:eastAsia="楷体" w:cs="楷体"/>
          <w:color w:val="000000"/>
          <w:szCs w:val="24"/>
          <w:highlight w:val="none"/>
          <w:lang w:eastAsia="zh-CN"/>
        </w:rPr>
        <w:t>的纸质版及电子版材料，提交完成后</w:t>
      </w:r>
      <w:r>
        <w:rPr>
          <w:rFonts w:hint="eastAsia" w:ascii="楷体" w:hAnsi="楷体" w:eastAsia="楷体" w:cs="楷体"/>
          <w:color w:val="000000"/>
          <w:szCs w:val="24"/>
          <w:highlight w:val="none"/>
        </w:rPr>
        <w:t>视为合同履约完成。</w:t>
      </w:r>
    </w:p>
    <w:p w14:paraId="1A19A758">
      <w:pPr>
        <w:pStyle w:val="21"/>
        <w:spacing w:line="360" w:lineRule="auto"/>
        <w:ind w:firstLine="480"/>
        <w:rPr>
          <w:rFonts w:hint="eastAsia" w:ascii="楷体" w:hAnsi="楷体" w:eastAsia="楷体" w:cs="楷体"/>
          <w:color w:val="000000"/>
          <w:szCs w:val="24"/>
          <w:highlight w:val="none"/>
        </w:rPr>
      </w:pPr>
      <w:r>
        <w:rPr>
          <w:rFonts w:hint="eastAsia" w:ascii="楷体" w:hAnsi="楷体" w:eastAsia="楷体" w:cs="楷体"/>
          <w:color w:val="000000"/>
          <w:szCs w:val="24"/>
          <w:highlight w:val="none"/>
          <w:lang w:val="en-US" w:eastAsia="zh-CN"/>
        </w:rPr>
        <w:t>3.受托方承办生态环境和安全相关产品质量监督抽查</w:t>
      </w:r>
      <w:r>
        <w:rPr>
          <w:rFonts w:hint="eastAsia" w:ascii="楷体" w:hAnsi="楷体" w:eastAsia="楷体" w:cs="楷体"/>
          <w:color w:val="000000"/>
          <w:szCs w:val="24"/>
          <w:highlight w:val="none"/>
        </w:rPr>
        <w:t>工作动员部署会议、阶段小结、监督抽查完成后的总结会议以及项目验收会。</w:t>
      </w:r>
    </w:p>
    <w:p w14:paraId="031EDDE8">
      <w:pPr>
        <w:pStyle w:val="21"/>
        <w:spacing w:line="360" w:lineRule="auto"/>
        <w:ind w:firstLine="480"/>
        <w:rPr>
          <w:rFonts w:hint="eastAsia" w:ascii="楷体" w:hAnsi="楷体" w:eastAsia="楷体" w:cs="楷体"/>
          <w:color w:val="000000"/>
          <w:szCs w:val="24"/>
          <w:highlight w:val="none"/>
        </w:rPr>
      </w:pPr>
      <w:r>
        <w:rPr>
          <w:rFonts w:hint="eastAsia" w:ascii="楷体" w:hAnsi="楷体" w:eastAsia="楷体" w:cs="楷体"/>
          <w:color w:val="000000"/>
          <w:szCs w:val="24"/>
          <w:highlight w:val="none"/>
          <w:lang w:val="en-US" w:eastAsia="zh-CN"/>
        </w:rPr>
        <w:t>4.</w:t>
      </w:r>
      <w:r>
        <w:rPr>
          <w:rFonts w:hint="eastAsia" w:ascii="楷体" w:hAnsi="楷体" w:eastAsia="楷体" w:cs="楷体"/>
          <w:color w:val="000000"/>
          <w:szCs w:val="24"/>
          <w:highlight w:val="none"/>
        </w:rPr>
        <w:t>本项目设定质量保证期，质保期为项目验收完成后</w:t>
      </w:r>
      <w:r>
        <w:rPr>
          <w:rFonts w:hint="eastAsia" w:ascii="楷体" w:hAnsi="楷体" w:eastAsia="楷体" w:cs="楷体"/>
          <w:color w:val="000000"/>
          <w:szCs w:val="24"/>
          <w:highlight w:val="none"/>
          <w:lang w:val="en-US" w:eastAsia="zh-CN"/>
        </w:rPr>
        <w:t>3</w:t>
      </w:r>
      <w:r>
        <w:rPr>
          <w:rFonts w:hint="eastAsia" w:ascii="楷体" w:hAnsi="楷体" w:eastAsia="楷体" w:cs="楷体"/>
          <w:color w:val="000000"/>
          <w:szCs w:val="24"/>
          <w:highlight w:val="none"/>
        </w:rPr>
        <w:t>个月，主要内容为项目现场复核、报告复核、技术咨询回应等。</w:t>
      </w:r>
    </w:p>
    <w:p w14:paraId="66DF4EA3">
      <w:pPr>
        <w:pStyle w:val="21"/>
        <w:spacing w:line="360" w:lineRule="auto"/>
        <w:ind w:firstLine="454" w:firstLineChars="0"/>
        <w:rPr>
          <w:rFonts w:hint="eastAsia" w:ascii="楷体" w:hAnsi="楷体" w:eastAsia="楷体" w:cs="楷体"/>
          <w:color w:val="000000"/>
          <w:szCs w:val="24"/>
          <w:highlight w:val="none"/>
        </w:rPr>
      </w:pPr>
      <w:r>
        <w:rPr>
          <w:rFonts w:hint="eastAsia" w:ascii="楷体" w:hAnsi="楷体" w:eastAsia="楷体" w:cs="楷体"/>
          <w:color w:val="000000"/>
          <w:szCs w:val="24"/>
          <w:highlight w:val="none"/>
          <w:lang w:val="en-US" w:eastAsia="zh-CN"/>
        </w:rPr>
        <w:t>5</w:t>
      </w:r>
      <w:r>
        <w:rPr>
          <w:rFonts w:hint="eastAsia" w:ascii="楷体" w:hAnsi="楷体" w:eastAsia="楷体" w:cs="楷体"/>
          <w:color w:val="000000"/>
          <w:szCs w:val="24"/>
          <w:highlight w:val="none"/>
        </w:rPr>
        <w:t>.在监督抽查总任务量和总经费不变的情况下，根据工作实际，</w:t>
      </w:r>
      <w:r>
        <w:rPr>
          <w:rFonts w:hint="eastAsia" w:ascii="楷体" w:hAnsi="楷体" w:eastAsia="楷体" w:cs="楷体"/>
          <w:color w:val="000000"/>
          <w:szCs w:val="24"/>
          <w:highlight w:val="none"/>
          <w:lang w:eastAsia="zh-CN"/>
        </w:rPr>
        <w:t>受托方</w:t>
      </w:r>
      <w:r>
        <w:rPr>
          <w:rFonts w:hint="eastAsia" w:ascii="楷体" w:hAnsi="楷体" w:eastAsia="楷体" w:cs="楷体"/>
          <w:color w:val="000000"/>
          <w:szCs w:val="24"/>
          <w:highlight w:val="none"/>
        </w:rPr>
        <w:t>有权对监督抽查任务项目内容进行适当的调整，其他特殊情况双方协商确定。</w:t>
      </w:r>
    </w:p>
    <w:p w14:paraId="711D8B69">
      <w:pPr>
        <w:spacing w:line="360" w:lineRule="auto"/>
        <w:rPr>
          <w:rFonts w:hint="eastAsia" w:ascii="楷体" w:hAnsi="楷体" w:eastAsia="楷体" w:cs="楷体"/>
          <w:b/>
          <w:color w:val="000000"/>
          <w:highlight w:val="none"/>
          <w:lang w:val="en-US" w:eastAsia="zh-CN"/>
        </w:rPr>
      </w:pPr>
      <w:r>
        <w:rPr>
          <w:rFonts w:hint="eastAsia" w:ascii="楷体" w:hAnsi="楷体" w:eastAsia="楷体" w:cs="楷体"/>
          <w:b/>
          <w:color w:val="000000"/>
          <w:highlight w:val="none"/>
        </w:rPr>
        <w:t>八、考核验收：</w:t>
      </w:r>
    </w:p>
    <w:p w14:paraId="73559831">
      <w:pPr>
        <w:spacing w:line="360" w:lineRule="auto"/>
        <w:ind w:firstLine="480" w:firstLineChars="200"/>
        <w:rPr>
          <w:rFonts w:hint="eastAsia" w:ascii="楷体" w:hAnsi="楷体" w:eastAsia="楷体" w:cs="楷体"/>
          <w:highlight w:val="none"/>
        </w:rPr>
      </w:pPr>
      <w:r>
        <w:rPr>
          <w:rFonts w:hint="eastAsia" w:ascii="楷体" w:hAnsi="楷体" w:eastAsia="楷体" w:cs="楷体"/>
          <w:highlight w:val="none"/>
        </w:rPr>
        <w:t>（一）服务期满后，</w:t>
      </w:r>
      <w:r>
        <w:rPr>
          <w:rFonts w:hint="eastAsia" w:ascii="楷体" w:hAnsi="楷体" w:eastAsia="楷体" w:cs="楷体"/>
          <w:highlight w:val="none"/>
          <w:lang w:eastAsia="zh-CN"/>
        </w:rPr>
        <w:t>委托方</w:t>
      </w:r>
      <w:r>
        <w:rPr>
          <w:rFonts w:hint="eastAsia" w:ascii="楷体" w:hAnsi="楷体" w:eastAsia="楷体" w:cs="楷体"/>
          <w:highlight w:val="none"/>
        </w:rPr>
        <w:t>组织</w:t>
      </w:r>
      <w:r>
        <w:rPr>
          <w:rFonts w:hint="eastAsia" w:ascii="楷体" w:hAnsi="楷体" w:eastAsia="楷体" w:cs="楷体"/>
          <w:highlight w:val="none"/>
          <w:lang w:eastAsia="zh-CN"/>
        </w:rPr>
        <w:t>受托方</w:t>
      </w:r>
      <w:r>
        <w:rPr>
          <w:rFonts w:hint="eastAsia" w:ascii="楷体" w:hAnsi="楷体" w:eastAsia="楷体" w:cs="楷体"/>
          <w:highlight w:val="none"/>
        </w:rPr>
        <w:t>,必要时请有关专家进行考核验收，验收合格后，填写政府采购项目验收单（一式伍份）作为对服务的最终认可。</w:t>
      </w:r>
    </w:p>
    <w:p w14:paraId="6BD8028E">
      <w:pPr>
        <w:spacing w:line="360" w:lineRule="auto"/>
        <w:ind w:firstLine="480" w:firstLineChars="200"/>
        <w:rPr>
          <w:rFonts w:hint="eastAsia" w:ascii="楷体" w:hAnsi="楷体" w:eastAsia="楷体" w:cs="楷体"/>
          <w:highlight w:val="none"/>
        </w:rPr>
      </w:pPr>
      <w:r>
        <w:rPr>
          <w:rFonts w:hint="eastAsia" w:ascii="楷体" w:hAnsi="楷体" w:eastAsia="楷体" w:cs="楷体"/>
          <w:highlight w:val="none"/>
        </w:rPr>
        <w:t>（二）</w:t>
      </w:r>
      <w:r>
        <w:rPr>
          <w:rFonts w:hint="eastAsia" w:ascii="楷体" w:hAnsi="楷体" w:eastAsia="楷体" w:cs="楷体"/>
          <w:highlight w:val="none"/>
          <w:lang w:eastAsia="zh-CN"/>
        </w:rPr>
        <w:t>受托方</w:t>
      </w:r>
      <w:r>
        <w:rPr>
          <w:rFonts w:hint="eastAsia" w:ascii="楷体" w:hAnsi="楷体" w:eastAsia="楷体" w:cs="楷体"/>
          <w:highlight w:val="none"/>
        </w:rPr>
        <w:t>向</w:t>
      </w:r>
      <w:r>
        <w:rPr>
          <w:rFonts w:hint="eastAsia" w:ascii="楷体" w:hAnsi="楷体" w:eastAsia="楷体" w:cs="楷体"/>
          <w:highlight w:val="none"/>
          <w:lang w:eastAsia="zh-CN"/>
        </w:rPr>
        <w:t>委托方</w:t>
      </w:r>
      <w:r>
        <w:rPr>
          <w:rFonts w:hint="eastAsia" w:ascii="楷体" w:hAnsi="楷体" w:eastAsia="楷体" w:cs="楷体"/>
          <w:highlight w:val="none"/>
        </w:rPr>
        <w:t>提供服务过程中的所有资料,以便需方日后管理和维护。</w:t>
      </w:r>
    </w:p>
    <w:p w14:paraId="3A6456EA">
      <w:pPr>
        <w:spacing w:line="360" w:lineRule="auto"/>
        <w:ind w:firstLine="480" w:firstLineChars="200"/>
        <w:rPr>
          <w:rFonts w:hint="eastAsia" w:ascii="楷体" w:hAnsi="楷体" w:eastAsia="楷体" w:cs="楷体"/>
          <w:highlight w:val="none"/>
        </w:rPr>
      </w:pPr>
      <w:r>
        <w:rPr>
          <w:rFonts w:hint="eastAsia" w:ascii="楷体" w:hAnsi="楷体" w:eastAsia="楷体" w:cs="楷体"/>
          <w:highlight w:val="none"/>
        </w:rPr>
        <w:t xml:space="preserve">（三）验收依据 </w:t>
      </w:r>
    </w:p>
    <w:p w14:paraId="3737D80E">
      <w:pPr>
        <w:spacing w:line="360" w:lineRule="auto"/>
        <w:ind w:firstLine="480" w:firstLineChars="200"/>
        <w:rPr>
          <w:rFonts w:hint="eastAsia" w:ascii="楷体" w:hAnsi="楷体" w:eastAsia="楷体" w:cs="楷体"/>
          <w:highlight w:val="none"/>
        </w:rPr>
      </w:pPr>
      <w:r>
        <w:rPr>
          <w:rFonts w:hint="eastAsia" w:ascii="楷体" w:hAnsi="楷体" w:eastAsia="楷体" w:cs="楷体"/>
          <w:highlight w:val="none"/>
        </w:rPr>
        <w:t>1、招标文件、投标文件、澄清表（函）；</w:t>
      </w:r>
    </w:p>
    <w:p w14:paraId="7D866148">
      <w:pPr>
        <w:spacing w:line="360" w:lineRule="auto"/>
        <w:ind w:firstLine="480" w:firstLineChars="200"/>
        <w:rPr>
          <w:rFonts w:hint="eastAsia" w:ascii="楷体" w:hAnsi="楷体" w:eastAsia="楷体" w:cs="楷体"/>
          <w:highlight w:val="none"/>
        </w:rPr>
      </w:pPr>
      <w:r>
        <w:rPr>
          <w:rFonts w:hint="eastAsia" w:ascii="楷体" w:hAnsi="楷体" w:eastAsia="楷体" w:cs="楷体"/>
          <w:highlight w:val="none"/>
        </w:rPr>
        <w:t xml:space="preserve">2、本合同及附件文本； </w:t>
      </w:r>
    </w:p>
    <w:p w14:paraId="5C301A93">
      <w:pPr>
        <w:spacing w:line="360" w:lineRule="auto"/>
        <w:ind w:firstLine="480" w:firstLineChars="200"/>
        <w:rPr>
          <w:rFonts w:hint="eastAsia" w:ascii="楷体" w:hAnsi="楷体" w:eastAsia="楷体" w:cs="楷体"/>
          <w:highlight w:val="none"/>
        </w:rPr>
      </w:pPr>
      <w:r>
        <w:rPr>
          <w:rFonts w:hint="eastAsia" w:ascii="楷体" w:hAnsi="楷体" w:eastAsia="楷体" w:cs="楷体"/>
          <w:highlight w:val="none"/>
        </w:rPr>
        <w:t>3、国家相应的标准、规范。</w:t>
      </w:r>
    </w:p>
    <w:p w14:paraId="64CDB5B5">
      <w:pPr>
        <w:spacing w:line="360" w:lineRule="auto"/>
        <w:rPr>
          <w:rFonts w:hint="eastAsia" w:ascii="楷体" w:hAnsi="楷体" w:eastAsia="楷体" w:cs="楷体"/>
          <w:b/>
          <w:color w:val="000000"/>
          <w:highlight w:val="none"/>
        </w:rPr>
      </w:pPr>
      <w:r>
        <w:rPr>
          <w:rFonts w:hint="eastAsia" w:ascii="楷体" w:hAnsi="楷体" w:eastAsia="楷体" w:cs="楷体"/>
          <w:b/>
          <w:color w:val="000000"/>
          <w:highlight w:val="none"/>
        </w:rPr>
        <w:t>九、保密要求：</w:t>
      </w:r>
    </w:p>
    <w:p w14:paraId="57523AAB">
      <w:pPr>
        <w:pStyle w:val="21"/>
        <w:spacing w:line="360" w:lineRule="auto"/>
        <w:ind w:firstLine="480"/>
        <w:rPr>
          <w:rFonts w:hint="eastAsia" w:ascii="楷体" w:hAnsi="楷体" w:eastAsia="楷体" w:cs="楷体"/>
          <w:szCs w:val="24"/>
          <w:highlight w:val="none"/>
        </w:rPr>
      </w:pPr>
      <w:r>
        <w:rPr>
          <w:rFonts w:hint="eastAsia" w:ascii="楷体" w:hAnsi="楷体" w:eastAsia="楷体" w:cs="楷体"/>
          <w:szCs w:val="24"/>
          <w:highlight w:val="none"/>
        </w:rPr>
        <w:t>（一）未经</w:t>
      </w:r>
      <w:r>
        <w:rPr>
          <w:rFonts w:hint="eastAsia" w:ascii="楷体" w:hAnsi="楷体" w:eastAsia="楷体" w:cs="楷体"/>
          <w:szCs w:val="24"/>
          <w:highlight w:val="none"/>
          <w:lang w:eastAsia="zh-CN"/>
        </w:rPr>
        <w:t>委托方</w:t>
      </w:r>
      <w:r>
        <w:rPr>
          <w:rFonts w:hint="eastAsia" w:ascii="楷体" w:hAnsi="楷体" w:eastAsia="楷体" w:cs="楷体"/>
          <w:szCs w:val="24"/>
          <w:highlight w:val="none"/>
        </w:rPr>
        <w:t>同意，</w:t>
      </w:r>
      <w:r>
        <w:rPr>
          <w:rFonts w:hint="eastAsia" w:ascii="楷体" w:hAnsi="楷体" w:eastAsia="楷体" w:cs="楷体"/>
          <w:szCs w:val="24"/>
          <w:highlight w:val="none"/>
          <w:lang w:eastAsia="zh-CN"/>
        </w:rPr>
        <w:t>受托方</w:t>
      </w:r>
      <w:r>
        <w:rPr>
          <w:rFonts w:hint="eastAsia" w:ascii="楷体" w:hAnsi="楷体" w:eastAsia="楷体" w:cs="楷体"/>
          <w:szCs w:val="24"/>
          <w:highlight w:val="none"/>
        </w:rPr>
        <w:t>不得向第三方扩散、转让</w:t>
      </w:r>
      <w:r>
        <w:rPr>
          <w:rFonts w:hint="eastAsia" w:ascii="楷体" w:hAnsi="楷体" w:eastAsia="楷体" w:cs="楷体"/>
          <w:szCs w:val="24"/>
          <w:highlight w:val="none"/>
          <w:lang w:eastAsia="zh-CN"/>
        </w:rPr>
        <w:t>受托方</w:t>
      </w:r>
      <w:r>
        <w:rPr>
          <w:rFonts w:hint="eastAsia" w:ascii="楷体" w:hAnsi="楷体" w:eastAsia="楷体" w:cs="楷体"/>
          <w:szCs w:val="24"/>
          <w:highlight w:val="none"/>
        </w:rPr>
        <w:t>该项目中的所有中间抽查数据和总结报告；</w:t>
      </w:r>
    </w:p>
    <w:p w14:paraId="17D23B00">
      <w:pPr>
        <w:pStyle w:val="21"/>
        <w:spacing w:line="360" w:lineRule="auto"/>
        <w:ind w:firstLine="480"/>
        <w:rPr>
          <w:rFonts w:hint="eastAsia" w:ascii="楷体" w:hAnsi="楷体" w:eastAsia="楷体" w:cs="楷体"/>
          <w:szCs w:val="24"/>
          <w:highlight w:val="none"/>
        </w:rPr>
      </w:pPr>
      <w:r>
        <w:rPr>
          <w:rFonts w:hint="eastAsia" w:ascii="楷体" w:hAnsi="楷体" w:eastAsia="楷体" w:cs="楷体"/>
          <w:szCs w:val="24"/>
          <w:highlight w:val="none"/>
        </w:rPr>
        <w:t>（二）双方应妥善保管对方提供的资料，保守对方的各项秘密。未经对方许可，不得利用知悉的对方资料和总结报告为自己或第三方谋取利益。</w:t>
      </w:r>
    </w:p>
    <w:p w14:paraId="696EBDC7">
      <w:pPr>
        <w:pStyle w:val="21"/>
        <w:spacing w:line="360" w:lineRule="auto"/>
        <w:ind w:firstLine="480"/>
        <w:rPr>
          <w:rFonts w:hint="eastAsia" w:ascii="楷体" w:hAnsi="楷体" w:eastAsia="楷体" w:cs="楷体"/>
          <w:b/>
          <w:color w:val="000000"/>
          <w:szCs w:val="24"/>
          <w:highlight w:val="none"/>
        </w:rPr>
      </w:pPr>
      <w:r>
        <w:rPr>
          <w:rFonts w:hint="eastAsia" w:ascii="楷体" w:hAnsi="楷体" w:eastAsia="楷体" w:cs="楷体"/>
          <w:szCs w:val="24"/>
          <w:highlight w:val="none"/>
        </w:rPr>
        <w:t>（三）在合同有效期内，</w:t>
      </w:r>
      <w:r>
        <w:rPr>
          <w:rFonts w:hint="eastAsia" w:ascii="楷体" w:hAnsi="楷体" w:eastAsia="楷体" w:cs="楷体"/>
          <w:szCs w:val="24"/>
          <w:highlight w:val="none"/>
          <w:lang w:eastAsia="zh-CN"/>
        </w:rPr>
        <w:t>受托方</w:t>
      </w:r>
      <w:r>
        <w:rPr>
          <w:rFonts w:hint="eastAsia" w:ascii="楷体" w:hAnsi="楷体" w:eastAsia="楷体" w:cs="楷体"/>
          <w:szCs w:val="24"/>
          <w:highlight w:val="none"/>
        </w:rPr>
        <w:t>在合同义务下所完成的需提交给</w:t>
      </w:r>
      <w:r>
        <w:rPr>
          <w:rFonts w:hint="eastAsia" w:ascii="楷体" w:hAnsi="楷体" w:eastAsia="楷体" w:cs="楷体"/>
          <w:szCs w:val="24"/>
          <w:highlight w:val="none"/>
          <w:lang w:eastAsia="zh-CN"/>
        </w:rPr>
        <w:t>委托方</w:t>
      </w:r>
      <w:r>
        <w:rPr>
          <w:rFonts w:hint="eastAsia" w:ascii="楷体" w:hAnsi="楷体" w:eastAsia="楷体" w:cs="楷体"/>
          <w:szCs w:val="24"/>
          <w:highlight w:val="none"/>
        </w:rPr>
        <w:t>的全部成果（包括知识产权）全部归</w:t>
      </w:r>
      <w:r>
        <w:rPr>
          <w:rFonts w:hint="eastAsia" w:ascii="楷体" w:hAnsi="楷体" w:eastAsia="楷体" w:cs="楷体"/>
          <w:szCs w:val="24"/>
          <w:highlight w:val="none"/>
          <w:lang w:eastAsia="zh-CN"/>
        </w:rPr>
        <w:t>委托方</w:t>
      </w:r>
      <w:r>
        <w:rPr>
          <w:rFonts w:hint="eastAsia" w:ascii="楷体" w:hAnsi="楷体" w:eastAsia="楷体" w:cs="楷体"/>
          <w:szCs w:val="24"/>
          <w:highlight w:val="none"/>
        </w:rPr>
        <w:t>所有。</w:t>
      </w:r>
    </w:p>
    <w:p w14:paraId="6C457A79">
      <w:pPr>
        <w:pStyle w:val="21"/>
        <w:spacing w:line="360" w:lineRule="auto"/>
        <w:ind w:firstLine="0" w:firstLineChars="0"/>
        <w:rPr>
          <w:rFonts w:hint="eastAsia" w:ascii="楷体" w:hAnsi="楷体" w:eastAsia="楷体" w:cs="楷体"/>
          <w:b/>
          <w:szCs w:val="24"/>
          <w:highlight w:val="none"/>
        </w:rPr>
      </w:pPr>
      <w:r>
        <w:rPr>
          <w:rFonts w:hint="eastAsia" w:ascii="楷体" w:hAnsi="楷体" w:eastAsia="楷体" w:cs="楷体"/>
          <w:b/>
          <w:color w:val="000000"/>
          <w:szCs w:val="24"/>
          <w:highlight w:val="none"/>
        </w:rPr>
        <w:t>十、违约责</w:t>
      </w:r>
      <w:r>
        <w:rPr>
          <w:rFonts w:hint="eastAsia" w:ascii="楷体" w:hAnsi="楷体" w:eastAsia="楷体" w:cs="楷体"/>
          <w:b/>
          <w:szCs w:val="24"/>
          <w:highlight w:val="none"/>
        </w:rPr>
        <w:t>任：</w:t>
      </w:r>
    </w:p>
    <w:p w14:paraId="1D5CAD97">
      <w:pPr>
        <w:spacing w:line="360" w:lineRule="auto"/>
        <w:ind w:firstLine="480" w:firstLineChars="200"/>
        <w:rPr>
          <w:rFonts w:hint="eastAsia" w:ascii="楷体" w:hAnsi="楷体" w:eastAsia="楷体" w:cs="楷体"/>
          <w:szCs w:val="24"/>
          <w:highlight w:val="none"/>
        </w:rPr>
      </w:pPr>
      <w:r>
        <w:rPr>
          <w:rFonts w:hint="eastAsia" w:ascii="楷体" w:hAnsi="楷体" w:eastAsia="楷体" w:cs="楷体"/>
          <w:szCs w:val="24"/>
          <w:highlight w:val="none"/>
        </w:rPr>
        <w:t>（一）按《中华人民共和国民法典》中的相关条款执行。</w:t>
      </w:r>
    </w:p>
    <w:p w14:paraId="32978B19">
      <w:pPr>
        <w:spacing w:line="360" w:lineRule="auto"/>
        <w:ind w:firstLine="480" w:firstLineChars="200"/>
        <w:rPr>
          <w:rFonts w:hint="eastAsia" w:ascii="楷体" w:hAnsi="楷体" w:eastAsia="楷体" w:cs="楷体"/>
          <w:szCs w:val="24"/>
          <w:highlight w:val="none"/>
        </w:rPr>
      </w:pPr>
      <w:r>
        <w:rPr>
          <w:rFonts w:hint="eastAsia" w:ascii="楷体" w:hAnsi="楷体" w:eastAsia="楷体" w:cs="楷体"/>
          <w:szCs w:val="24"/>
          <w:highlight w:val="none"/>
        </w:rPr>
        <w:t>（二）未按合同要求提供服务或服务质量不能满足合同要求，</w:t>
      </w:r>
      <w:r>
        <w:rPr>
          <w:rFonts w:hint="eastAsia" w:ascii="楷体" w:hAnsi="楷体" w:eastAsia="楷体" w:cs="楷体"/>
          <w:szCs w:val="24"/>
          <w:highlight w:val="none"/>
          <w:lang w:eastAsia="zh-CN"/>
        </w:rPr>
        <w:t>委托方</w:t>
      </w:r>
      <w:r>
        <w:rPr>
          <w:rFonts w:hint="eastAsia" w:ascii="楷体" w:hAnsi="楷体" w:eastAsia="楷体" w:cs="楷体"/>
          <w:szCs w:val="24"/>
          <w:highlight w:val="none"/>
        </w:rPr>
        <w:t>应当将</w:t>
      </w:r>
      <w:r>
        <w:rPr>
          <w:rFonts w:hint="eastAsia" w:ascii="楷体" w:hAnsi="楷体" w:eastAsia="楷体" w:cs="楷体"/>
          <w:szCs w:val="24"/>
          <w:highlight w:val="none"/>
          <w:lang w:eastAsia="zh-CN"/>
        </w:rPr>
        <w:t>受托方</w:t>
      </w:r>
      <w:r>
        <w:rPr>
          <w:rFonts w:hint="eastAsia" w:ascii="楷体" w:hAnsi="楷体" w:eastAsia="楷体" w:cs="楷体"/>
          <w:szCs w:val="24"/>
          <w:highlight w:val="none"/>
        </w:rPr>
        <w:t>违约的情况以及拟采取的措施以书面形式报政府采购监管部门，根据政府采购监管部门的处理意见，</w:t>
      </w:r>
      <w:r>
        <w:rPr>
          <w:rFonts w:hint="eastAsia" w:ascii="楷体" w:hAnsi="楷体" w:eastAsia="楷体" w:cs="楷体"/>
          <w:szCs w:val="24"/>
          <w:highlight w:val="none"/>
          <w:lang w:eastAsia="zh-CN"/>
        </w:rPr>
        <w:t>委托方</w:t>
      </w:r>
      <w:r>
        <w:rPr>
          <w:rFonts w:hint="eastAsia" w:ascii="楷体" w:hAnsi="楷体" w:eastAsia="楷体" w:cs="楷体"/>
          <w:szCs w:val="24"/>
          <w:highlight w:val="none"/>
        </w:rPr>
        <w:t>有权依据《中华人民共和国民法典》有关条款及合同约定终止合同，并要求</w:t>
      </w:r>
      <w:r>
        <w:rPr>
          <w:rFonts w:hint="eastAsia" w:ascii="楷体" w:hAnsi="楷体" w:eastAsia="楷体" w:cs="楷体"/>
          <w:szCs w:val="24"/>
          <w:highlight w:val="none"/>
          <w:lang w:eastAsia="zh-CN"/>
        </w:rPr>
        <w:t>受托方</w:t>
      </w:r>
      <w:r>
        <w:rPr>
          <w:rFonts w:hint="eastAsia" w:ascii="楷体" w:hAnsi="楷体" w:eastAsia="楷体" w:cs="楷体"/>
          <w:szCs w:val="24"/>
          <w:highlight w:val="none"/>
        </w:rPr>
        <w:t>承担违约责任。同时，政府采购监管部门有权依据《政府采购法》及相关法律法规对</w:t>
      </w:r>
      <w:r>
        <w:rPr>
          <w:rFonts w:hint="eastAsia" w:ascii="楷体" w:hAnsi="楷体" w:eastAsia="楷体" w:cs="楷体"/>
          <w:szCs w:val="24"/>
          <w:highlight w:val="none"/>
          <w:lang w:eastAsia="zh-CN"/>
        </w:rPr>
        <w:t>受托方</w:t>
      </w:r>
      <w:r>
        <w:rPr>
          <w:rFonts w:hint="eastAsia" w:ascii="楷体" w:hAnsi="楷体" w:eastAsia="楷体" w:cs="楷体"/>
          <w:szCs w:val="24"/>
          <w:highlight w:val="none"/>
        </w:rPr>
        <w:t>的违法行为进行相应的处罚。</w:t>
      </w:r>
    </w:p>
    <w:p w14:paraId="07D5E2C2">
      <w:pPr>
        <w:spacing w:line="360" w:lineRule="auto"/>
        <w:ind w:firstLine="480" w:firstLineChars="200"/>
        <w:rPr>
          <w:rFonts w:hint="eastAsia" w:ascii="楷体" w:hAnsi="楷体" w:eastAsia="楷体" w:cs="楷体"/>
          <w:szCs w:val="24"/>
          <w:highlight w:val="none"/>
        </w:rPr>
      </w:pPr>
      <w:r>
        <w:rPr>
          <w:rFonts w:hint="eastAsia" w:ascii="楷体" w:hAnsi="楷体" w:eastAsia="楷体" w:cs="楷体"/>
          <w:szCs w:val="24"/>
          <w:highlight w:val="none"/>
        </w:rPr>
        <w:t>（三）在本合同履行过程中，双方因违约或造成对方经济、社会效益等损失的应当赔偿。</w:t>
      </w:r>
    </w:p>
    <w:p w14:paraId="0D6938E9">
      <w:pPr>
        <w:spacing w:line="360" w:lineRule="auto"/>
        <w:ind w:firstLine="480" w:firstLineChars="200"/>
        <w:rPr>
          <w:rFonts w:hint="eastAsia" w:ascii="楷体" w:hAnsi="楷体" w:eastAsia="楷体" w:cs="楷体"/>
          <w:szCs w:val="24"/>
          <w:highlight w:val="none"/>
        </w:rPr>
      </w:pPr>
      <w:r>
        <w:rPr>
          <w:rFonts w:hint="eastAsia" w:ascii="楷体" w:hAnsi="楷体" w:eastAsia="楷体" w:cs="楷体"/>
          <w:szCs w:val="24"/>
          <w:highlight w:val="none"/>
        </w:rPr>
        <w:t>（四）</w:t>
      </w:r>
      <w:r>
        <w:rPr>
          <w:rFonts w:hint="eastAsia" w:ascii="楷体" w:hAnsi="楷体" w:eastAsia="楷体" w:cs="楷体"/>
          <w:szCs w:val="24"/>
          <w:highlight w:val="none"/>
          <w:lang w:eastAsia="zh-CN"/>
        </w:rPr>
        <w:t>委托方</w:t>
      </w:r>
      <w:r>
        <w:rPr>
          <w:rFonts w:hint="eastAsia" w:ascii="楷体" w:hAnsi="楷体" w:eastAsia="楷体" w:cs="楷体"/>
          <w:szCs w:val="24"/>
          <w:highlight w:val="none"/>
        </w:rPr>
        <w:t>无正当理由拒绝接受服务，到期拒付服务费的，</w:t>
      </w:r>
      <w:r>
        <w:rPr>
          <w:rFonts w:hint="eastAsia" w:ascii="楷体" w:hAnsi="楷体" w:eastAsia="楷体" w:cs="楷体"/>
          <w:szCs w:val="24"/>
          <w:highlight w:val="none"/>
          <w:lang w:eastAsia="zh-CN"/>
        </w:rPr>
        <w:t>委托方</w:t>
      </w:r>
      <w:r>
        <w:rPr>
          <w:rFonts w:hint="eastAsia" w:ascii="楷体" w:hAnsi="楷体" w:eastAsia="楷体" w:cs="楷体"/>
          <w:szCs w:val="24"/>
          <w:highlight w:val="none"/>
        </w:rPr>
        <w:t>向</w:t>
      </w:r>
      <w:r>
        <w:rPr>
          <w:rFonts w:hint="eastAsia" w:ascii="楷体" w:hAnsi="楷体" w:eastAsia="楷体" w:cs="楷体"/>
          <w:szCs w:val="24"/>
          <w:highlight w:val="none"/>
          <w:lang w:eastAsia="zh-CN"/>
        </w:rPr>
        <w:t>受托方</w:t>
      </w:r>
      <w:r>
        <w:rPr>
          <w:rFonts w:hint="eastAsia" w:ascii="楷体" w:hAnsi="楷体" w:eastAsia="楷体" w:cs="楷体"/>
          <w:szCs w:val="24"/>
          <w:highlight w:val="none"/>
        </w:rPr>
        <w:t>偿付本合同总价款5 %的违约金。由于</w:t>
      </w:r>
      <w:r>
        <w:rPr>
          <w:rFonts w:hint="eastAsia" w:ascii="楷体" w:hAnsi="楷体" w:eastAsia="楷体" w:cs="楷体"/>
          <w:szCs w:val="24"/>
          <w:highlight w:val="none"/>
          <w:lang w:eastAsia="zh-CN"/>
        </w:rPr>
        <w:t>委托方</w:t>
      </w:r>
      <w:r>
        <w:rPr>
          <w:rFonts w:hint="eastAsia" w:ascii="楷体" w:hAnsi="楷体" w:eastAsia="楷体" w:cs="楷体"/>
          <w:szCs w:val="24"/>
          <w:highlight w:val="none"/>
        </w:rPr>
        <w:t>为政府职能部门，双方一致同意因地方政府涉及本合同中对应的抽检产品质量监管规定或有关法律、法规及政策的变化调整、财政支付程序性问题造成的</w:t>
      </w:r>
      <w:r>
        <w:rPr>
          <w:rFonts w:hint="eastAsia" w:ascii="楷体" w:hAnsi="楷体" w:eastAsia="楷体" w:cs="楷体"/>
          <w:szCs w:val="24"/>
          <w:highlight w:val="none"/>
          <w:lang w:eastAsia="zh-CN"/>
        </w:rPr>
        <w:t>委托方</w:t>
      </w:r>
      <w:r>
        <w:rPr>
          <w:rFonts w:hint="eastAsia" w:ascii="楷体" w:hAnsi="楷体" w:eastAsia="楷体" w:cs="楷体"/>
          <w:szCs w:val="24"/>
          <w:highlight w:val="none"/>
        </w:rPr>
        <w:t>支付延迟的，</w:t>
      </w:r>
      <w:r>
        <w:rPr>
          <w:rFonts w:hint="eastAsia" w:ascii="楷体" w:hAnsi="楷体" w:eastAsia="楷体" w:cs="楷体"/>
          <w:szCs w:val="24"/>
          <w:highlight w:val="none"/>
          <w:lang w:eastAsia="zh-CN"/>
        </w:rPr>
        <w:t>受托方</w:t>
      </w:r>
      <w:r>
        <w:rPr>
          <w:rFonts w:hint="eastAsia" w:ascii="楷体" w:hAnsi="楷体" w:eastAsia="楷体" w:cs="楷体"/>
          <w:szCs w:val="24"/>
          <w:highlight w:val="none"/>
        </w:rPr>
        <w:t>予以谅解，</w:t>
      </w:r>
      <w:r>
        <w:rPr>
          <w:rFonts w:hint="eastAsia" w:ascii="楷体" w:hAnsi="楷体" w:eastAsia="楷体" w:cs="楷体"/>
          <w:szCs w:val="24"/>
          <w:highlight w:val="none"/>
          <w:lang w:eastAsia="zh-CN"/>
        </w:rPr>
        <w:t>委托方</w:t>
      </w:r>
      <w:r>
        <w:rPr>
          <w:rFonts w:hint="eastAsia" w:ascii="楷体" w:hAnsi="楷体" w:eastAsia="楷体" w:cs="楷体"/>
          <w:szCs w:val="24"/>
          <w:highlight w:val="none"/>
        </w:rPr>
        <w:t>不必承担违约责任。</w:t>
      </w:r>
    </w:p>
    <w:p w14:paraId="663D5331">
      <w:pPr>
        <w:spacing w:line="360" w:lineRule="auto"/>
        <w:ind w:firstLine="480" w:firstLineChars="200"/>
        <w:rPr>
          <w:rFonts w:hint="eastAsia" w:ascii="楷体" w:hAnsi="楷体" w:eastAsia="楷体" w:cs="楷体"/>
          <w:szCs w:val="24"/>
          <w:highlight w:val="none"/>
        </w:rPr>
      </w:pPr>
      <w:r>
        <w:rPr>
          <w:rFonts w:hint="eastAsia" w:ascii="楷体" w:hAnsi="楷体" w:eastAsia="楷体" w:cs="楷体"/>
          <w:szCs w:val="24"/>
          <w:highlight w:val="none"/>
        </w:rPr>
        <w:t>（五）</w:t>
      </w:r>
      <w:r>
        <w:rPr>
          <w:rFonts w:hint="eastAsia" w:ascii="楷体" w:hAnsi="楷体" w:eastAsia="楷体" w:cs="楷体"/>
          <w:szCs w:val="24"/>
          <w:highlight w:val="none"/>
          <w:lang w:eastAsia="zh-CN"/>
        </w:rPr>
        <w:t>受托方</w:t>
      </w:r>
      <w:r>
        <w:rPr>
          <w:rFonts w:hint="eastAsia" w:ascii="楷体" w:hAnsi="楷体" w:eastAsia="楷体" w:cs="楷体"/>
          <w:szCs w:val="24"/>
          <w:highlight w:val="none"/>
        </w:rPr>
        <w:t>提供的服务不符合本项目相关文件和本合同规定的，</w:t>
      </w:r>
      <w:r>
        <w:rPr>
          <w:rFonts w:hint="eastAsia" w:ascii="楷体" w:hAnsi="楷体" w:eastAsia="楷体" w:cs="楷体"/>
          <w:szCs w:val="24"/>
          <w:highlight w:val="none"/>
          <w:lang w:eastAsia="zh-CN"/>
        </w:rPr>
        <w:t>委托方</w:t>
      </w:r>
      <w:r>
        <w:rPr>
          <w:rFonts w:hint="eastAsia" w:ascii="楷体" w:hAnsi="楷体" w:eastAsia="楷体" w:cs="楷体"/>
          <w:szCs w:val="24"/>
          <w:highlight w:val="none"/>
        </w:rPr>
        <w:t>有权拒绝，并且</w:t>
      </w:r>
      <w:r>
        <w:rPr>
          <w:rFonts w:hint="eastAsia" w:ascii="楷体" w:hAnsi="楷体" w:eastAsia="楷体" w:cs="楷体"/>
          <w:szCs w:val="24"/>
          <w:highlight w:val="none"/>
          <w:lang w:eastAsia="zh-CN"/>
        </w:rPr>
        <w:t>受托方</w:t>
      </w:r>
      <w:r>
        <w:rPr>
          <w:rFonts w:hint="eastAsia" w:ascii="楷体" w:hAnsi="楷体" w:eastAsia="楷体" w:cs="楷体"/>
          <w:szCs w:val="24"/>
          <w:highlight w:val="none"/>
        </w:rPr>
        <w:t>须向</w:t>
      </w:r>
      <w:r>
        <w:rPr>
          <w:rFonts w:hint="eastAsia" w:ascii="楷体" w:hAnsi="楷体" w:eastAsia="楷体" w:cs="楷体"/>
          <w:szCs w:val="24"/>
          <w:highlight w:val="none"/>
          <w:lang w:eastAsia="zh-CN"/>
        </w:rPr>
        <w:t>委托方</w:t>
      </w:r>
      <w:r>
        <w:rPr>
          <w:rFonts w:hint="eastAsia" w:ascii="楷体" w:hAnsi="楷体" w:eastAsia="楷体" w:cs="楷体"/>
          <w:szCs w:val="24"/>
          <w:highlight w:val="none"/>
        </w:rPr>
        <w:t>支付本合同总价款5%的违约金。</w:t>
      </w:r>
    </w:p>
    <w:p w14:paraId="48B72774">
      <w:pPr>
        <w:spacing w:line="360" w:lineRule="auto"/>
        <w:ind w:firstLine="480" w:firstLineChars="200"/>
        <w:rPr>
          <w:rFonts w:hint="eastAsia" w:ascii="楷体" w:hAnsi="楷体" w:eastAsia="楷体" w:cs="楷体"/>
          <w:szCs w:val="24"/>
          <w:highlight w:val="none"/>
        </w:rPr>
      </w:pPr>
      <w:r>
        <w:rPr>
          <w:rFonts w:hint="eastAsia" w:ascii="楷体" w:hAnsi="楷体" w:eastAsia="楷体" w:cs="楷体"/>
          <w:szCs w:val="24"/>
          <w:highlight w:val="none"/>
        </w:rPr>
        <w:t>（六）</w:t>
      </w:r>
      <w:r>
        <w:rPr>
          <w:rFonts w:hint="eastAsia" w:ascii="楷体" w:hAnsi="楷体" w:eastAsia="楷体" w:cs="楷体"/>
          <w:szCs w:val="24"/>
          <w:highlight w:val="none"/>
          <w:lang w:eastAsia="zh-CN"/>
        </w:rPr>
        <w:t>受托方</w:t>
      </w:r>
      <w:r>
        <w:rPr>
          <w:rFonts w:hint="eastAsia" w:ascii="楷体" w:hAnsi="楷体" w:eastAsia="楷体" w:cs="楷体"/>
          <w:szCs w:val="24"/>
          <w:highlight w:val="none"/>
        </w:rPr>
        <w:t>未能按照本合同约定时间提供服务或完成约定的项目服务内容的，从逾期之日起每日按本合同总价款 0.1 %的数额向</w:t>
      </w:r>
      <w:r>
        <w:rPr>
          <w:rFonts w:hint="eastAsia" w:ascii="楷体" w:hAnsi="楷体" w:eastAsia="楷体" w:cs="楷体"/>
          <w:szCs w:val="24"/>
          <w:highlight w:val="none"/>
          <w:lang w:eastAsia="zh-CN"/>
        </w:rPr>
        <w:t>委托方</w:t>
      </w:r>
      <w:r>
        <w:rPr>
          <w:rFonts w:hint="eastAsia" w:ascii="楷体" w:hAnsi="楷体" w:eastAsia="楷体" w:cs="楷体"/>
          <w:szCs w:val="24"/>
          <w:highlight w:val="none"/>
        </w:rPr>
        <w:t>支付违约金；逾期 30 日以上的，</w:t>
      </w:r>
      <w:r>
        <w:rPr>
          <w:rFonts w:hint="eastAsia" w:ascii="楷体" w:hAnsi="楷体" w:eastAsia="楷体" w:cs="楷体"/>
          <w:szCs w:val="24"/>
          <w:highlight w:val="none"/>
          <w:lang w:eastAsia="zh-CN"/>
        </w:rPr>
        <w:t>委托方</w:t>
      </w:r>
      <w:r>
        <w:rPr>
          <w:rFonts w:hint="eastAsia" w:ascii="楷体" w:hAnsi="楷体" w:eastAsia="楷体" w:cs="楷体"/>
          <w:szCs w:val="24"/>
          <w:highlight w:val="none"/>
        </w:rPr>
        <w:t>有权终止合同，由此造成的</w:t>
      </w:r>
      <w:r>
        <w:rPr>
          <w:rFonts w:hint="eastAsia" w:ascii="楷体" w:hAnsi="楷体" w:eastAsia="楷体" w:cs="楷体"/>
          <w:szCs w:val="24"/>
          <w:highlight w:val="none"/>
          <w:lang w:eastAsia="zh-CN"/>
        </w:rPr>
        <w:t>委托方</w:t>
      </w:r>
      <w:r>
        <w:rPr>
          <w:rFonts w:hint="eastAsia" w:ascii="楷体" w:hAnsi="楷体" w:eastAsia="楷体" w:cs="楷体"/>
          <w:szCs w:val="24"/>
          <w:highlight w:val="none"/>
        </w:rPr>
        <w:t>经济损失由</w:t>
      </w:r>
      <w:r>
        <w:rPr>
          <w:rFonts w:hint="eastAsia" w:ascii="楷体" w:hAnsi="楷体" w:eastAsia="楷体" w:cs="楷体"/>
          <w:szCs w:val="24"/>
          <w:highlight w:val="none"/>
          <w:lang w:eastAsia="zh-CN"/>
        </w:rPr>
        <w:t>受托方</w:t>
      </w:r>
      <w:r>
        <w:rPr>
          <w:rFonts w:hint="eastAsia" w:ascii="楷体" w:hAnsi="楷体" w:eastAsia="楷体" w:cs="楷体"/>
          <w:szCs w:val="24"/>
          <w:highlight w:val="none"/>
        </w:rPr>
        <w:t>承担。</w:t>
      </w:r>
    </w:p>
    <w:p w14:paraId="1B3806EF">
      <w:pPr>
        <w:spacing w:line="360" w:lineRule="auto"/>
        <w:ind w:firstLine="480" w:firstLineChars="200"/>
        <w:rPr>
          <w:rFonts w:hint="eastAsia" w:ascii="楷体" w:hAnsi="楷体" w:eastAsia="楷体" w:cs="楷体"/>
          <w:szCs w:val="24"/>
          <w:highlight w:val="none"/>
        </w:rPr>
      </w:pPr>
      <w:r>
        <w:rPr>
          <w:rFonts w:hint="eastAsia" w:ascii="楷体" w:hAnsi="楷体" w:eastAsia="楷体" w:cs="楷体"/>
          <w:szCs w:val="24"/>
          <w:highlight w:val="none"/>
        </w:rPr>
        <w:t>（七）未经</w:t>
      </w:r>
      <w:r>
        <w:rPr>
          <w:rFonts w:hint="eastAsia" w:ascii="楷体" w:hAnsi="楷体" w:eastAsia="楷体" w:cs="楷体"/>
          <w:szCs w:val="24"/>
          <w:highlight w:val="none"/>
          <w:lang w:eastAsia="zh-CN"/>
        </w:rPr>
        <w:t>委托方</w:t>
      </w:r>
      <w:r>
        <w:rPr>
          <w:rFonts w:hint="eastAsia" w:ascii="楷体" w:hAnsi="楷体" w:eastAsia="楷体" w:cs="楷体"/>
          <w:szCs w:val="24"/>
          <w:highlight w:val="none"/>
        </w:rPr>
        <w:t>同意，</w:t>
      </w:r>
      <w:r>
        <w:rPr>
          <w:rFonts w:hint="eastAsia" w:ascii="楷体" w:hAnsi="楷体" w:eastAsia="楷体" w:cs="楷体"/>
          <w:szCs w:val="24"/>
          <w:highlight w:val="none"/>
          <w:lang w:eastAsia="zh-CN"/>
        </w:rPr>
        <w:t>受托方</w:t>
      </w:r>
      <w:r>
        <w:rPr>
          <w:rFonts w:hint="eastAsia" w:ascii="楷体" w:hAnsi="楷体" w:eastAsia="楷体" w:cs="楷体"/>
          <w:szCs w:val="24"/>
          <w:highlight w:val="none"/>
        </w:rPr>
        <w:t>不得擅自将本合同服务转包第三方承担。</w:t>
      </w:r>
    </w:p>
    <w:p w14:paraId="230C372E">
      <w:pPr>
        <w:spacing w:line="360" w:lineRule="auto"/>
        <w:ind w:firstLine="480" w:firstLineChars="200"/>
        <w:rPr>
          <w:rFonts w:hint="eastAsia" w:ascii="楷体" w:hAnsi="楷体" w:eastAsia="楷体" w:cs="楷体"/>
          <w:szCs w:val="24"/>
          <w:highlight w:val="none"/>
        </w:rPr>
      </w:pPr>
      <w:r>
        <w:rPr>
          <w:rFonts w:hint="eastAsia" w:ascii="楷体" w:hAnsi="楷体" w:eastAsia="楷体" w:cs="楷体"/>
          <w:szCs w:val="24"/>
          <w:highlight w:val="none"/>
        </w:rPr>
        <w:t>（八）双方确定，在本合同有效期内，</w:t>
      </w:r>
      <w:r>
        <w:rPr>
          <w:rFonts w:hint="eastAsia" w:ascii="楷体" w:hAnsi="楷体" w:eastAsia="楷体" w:cs="楷体"/>
          <w:szCs w:val="24"/>
          <w:highlight w:val="none"/>
          <w:lang w:eastAsia="zh-CN"/>
        </w:rPr>
        <w:t>委托方</w:t>
      </w:r>
      <w:r>
        <w:rPr>
          <w:rFonts w:hint="eastAsia" w:ascii="楷体" w:hAnsi="楷体" w:eastAsia="楷体" w:cs="楷体"/>
          <w:szCs w:val="24"/>
          <w:highlight w:val="none"/>
        </w:rPr>
        <w:t>指定</w:t>
      </w:r>
      <w:r>
        <w:rPr>
          <w:rFonts w:hint="eastAsia" w:ascii="楷体" w:hAnsi="楷体" w:eastAsia="楷体" w:cs="楷体"/>
          <w:szCs w:val="24"/>
          <w:highlight w:val="none"/>
          <w:u w:val="single"/>
        </w:rPr>
        <w:t xml:space="preserve">    </w:t>
      </w:r>
      <w:r>
        <w:rPr>
          <w:rFonts w:hint="eastAsia" w:ascii="楷体" w:hAnsi="楷体" w:eastAsia="楷体" w:cs="楷体"/>
          <w:szCs w:val="24"/>
          <w:highlight w:val="none"/>
        </w:rPr>
        <w:t>为</w:t>
      </w:r>
      <w:r>
        <w:rPr>
          <w:rFonts w:hint="eastAsia" w:ascii="楷体" w:hAnsi="楷体" w:eastAsia="楷体" w:cs="楷体"/>
          <w:szCs w:val="24"/>
          <w:highlight w:val="none"/>
          <w:lang w:eastAsia="zh-CN"/>
        </w:rPr>
        <w:t>委托方</w:t>
      </w:r>
      <w:r>
        <w:rPr>
          <w:rFonts w:hint="eastAsia" w:ascii="楷体" w:hAnsi="楷体" w:eastAsia="楷体" w:cs="楷体"/>
          <w:szCs w:val="24"/>
          <w:highlight w:val="none"/>
        </w:rPr>
        <w:t>项目联系人，</w:t>
      </w:r>
      <w:r>
        <w:rPr>
          <w:rFonts w:hint="eastAsia" w:ascii="楷体" w:hAnsi="楷体" w:eastAsia="楷体" w:cs="楷体"/>
          <w:szCs w:val="24"/>
          <w:highlight w:val="none"/>
          <w:lang w:eastAsia="zh-CN"/>
        </w:rPr>
        <w:t>受托方</w:t>
      </w:r>
      <w:r>
        <w:rPr>
          <w:rFonts w:hint="eastAsia" w:ascii="楷体" w:hAnsi="楷体" w:eastAsia="楷体" w:cs="楷体"/>
          <w:szCs w:val="24"/>
          <w:highlight w:val="none"/>
        </w:rPr>
        <w:t>指定</w:t>
      </w:r>
      <w:r>
        <w:rPr>
          <w:rFonts w:hint="eastAsia" w:ascii="楷体" w:hAnsi="楷体" w:eastAsia="楷体" w:cs="楷体"/>
          <w:szCs w:val="24"/>
          <w:highlight w:val="none"/>
          <w:u w:val="single"/>
        </w:rPr>
        <w:t xml:space="preserve">     </w:t>
      </w:r>
      <w:r>
        <w:rPr>
          <w:rFonts w:hint="eastAsia" w:ascii="楷体" w:hAnsi="楷体" w:eastAsia="楷体" w:cs="楷体"/>
          <w:szCs w:val="24"/>
          <w:highlight w:val="none"/>
        </w:rPr>
        <w:t>为</w:t>
      </w:r>
      <w:r>
        <w:rPr>
          <w:rFonts w:hint="eastAsia" w:ascii="楷体" w:hAnsi="楷体" w:eastAsia="楷体" w:cs="楷体"/>
          <w:szCs w:val="24"/>
          <w:highlight w:val="none"/>
          <w:lang w:eastAsia="zh-CN"/>
        </w:rPr>
        <w:t>受托方</w:t>
      </w:r>
      <w:r>
        <w:rPr>
          <w:rFonts w:hint="eastAsia" w:ascii="楷体" w:hAnsi="楷体" w:eastAsia="楷体" w:cs="楷体"/>
          <w:szCs w:val="24"/>
          <w:highlight w:val="none"/>
        </w:rPr>
        <w:t>项目联系人。项目联系人承担以下责任：</w:t>
      </w:r>
    </w:p>
    <w:p w14:paraId="270D5AED">
      <w:pPr>
        <w:spacing w:line="360" w:lineRule="auto"/>
        <w:ind w:firstLine="480" w:firstLineChars="200"/>
        <w:rPr>
          <w:rFonts w:hint="eastAsia" w:ascii="楷体" w:hAnsi="楷体" w:eastAsia="楷体" w:cs="楷体"/>
          <w:szCs w:val="24"/>
          <w:highlight w:val="none"/>
        </w:rPr>
      </w:pPr>
      <w:r>
        <w:rPr>
          <w:rFonts w:hint="eastAsia" w:ascii="楷体" w:hAnsi="楷体" w:eastAsia="楷体" w:cs="楷体"/>
          <w:szCs w:val="24"/>
          <w:highlight w:val="none"/>
        </w:rPr>
        <w:t xml:space="preserve">1．保持联络，及时协调有关问题。 </w:t>
      </w:r>
    </w:p>
    <w:p w14:paraId="2B1DA21B">
      <w:pPr>
        <w:spacing w:line="360" w:lineRule="auto"/>
        <w:ind w:firstLine="480" w:firstLineChars="200"/>
        <w:rPr>
          <w:rFonts w:hint="eastAsia" w:ascii="楷体" w:hAnsi="楷体" w:eastAsia="楷体" w:cs="楷体"/>
          <w:szCs w:val="24"/>
          <w:highlight w:val="none"/>
        </w:rPr>
      </w:pPr>
      <w:r>
        <w:rPr>
          <w:rFonts w:hint="eastAsia" w:ascii="楷体" w:hAnsi="楷体" w:eastAsia="楷体" w:cs="楷体"/>
          <w:szCs w:val="24"/>
          <w:highlight w:val="none"/>
        </w:rPr>
        <w:t>2．监督合同的执行。</w:t>
      </w:r>
    </w:p>
    <w:p w14:paraId="34ABE66E">
      <w:pPr>
        <w:spacing w:line="360" w:lineRule="auto"/>
        <w:ind w:firstLine="480" w:firstLineChars="200"/>
        <w:rPr>
          <w:rFonts w:hint="eastAsia" w:ascii="楷体" w:hAnsi="楷体" w:eastAsia="楷体" w:cs="楷体"/>
          <w:szCs w:val="24"/>
          <w:highlight w:val="none"/>
        </w:rPr>
      </w:pPr>
      <w:r>
        <w:rPr>
          <w:rFonts w:hint="eastAsia" w:ascii="楷体" w:hAnsi="楷体" w:eastAsia="楷体" w:cs="楷体"/>
          <w:szCs w:val="24"/>
          <w:highlight w:val="none"/>
        </w:rPr>
        <w:t>一方变更项目联系人的，应当及时以书面形式通知另一方。未及时通知并影响本合同履行或造成损失的，应承担相应的责任。</w:t>
      </w:r>
    </w:p>
    <w:p w14:paraId="548EB772">
      <w:pPr>
        <w:adjustRightInd w:val="0"/>
        <w:snapToGrid w:val="0"/>
        <w:spacing w:line="360" w:lineRule="auto"/>
        <w:rPr>
          <w:rFonts w:hint="eastAsia" w:ascii="楷体" w:hAnsi="楷体" w:eastAsia="楷体" w:cs="楷体"/>
          <w:b/>
          <w:color w:val="000000"/>
          <w:szCs w:val="24"/>
          <w:highlight w:val="none"/>
        </w:rPr>
      </w:pPr>
      <w:r>
        <w:rPr>
          <w:rFonts w:hint="eastAsia" w:ascii="楷体" w:hAnsi="楷体" w:eastAsia="楷体" w:cs="楷体"/>
          <w:b/>
          <w:color w:val="000000"/>
          <w:szCs w:val="24"/>
          <w:highlight w:val="none"/>
        </w:rPr>
        <w:t>十一、合同争议的解决</w:t>
      </w:r>
    </w:p>
    <w:p w14:paraId="2A48A599">
      <w:pPr>
        <w:spacing w:line="360" w:lineRule="auto"/>
        <w:ind w:firstLine="480" w:firstLineChars="200"/>
        <w:rPr>
          <w:rFonts w:hint="eastAsia" w:ascii="楷体" w:hAnsi="楷体" w:eastAsia="楷体" w:cs="楷体"/>
          <w:color w:val="000000"/>
          <w:szCs w:val="24"/>
          <w:highlight w:val="none"/>
        </w:rPr>
      </w:pPr>
      <w:bookmarkStart w:id="83" w:name="OLE_LINK114"/>
      <w:r>
        <w:rPr>
          <w:rFonts w:hint="eastAsia" w:ascii="楷体" w:hAnsi="楷体" w:eastAsia="楷体" w:cs="楷体"/>
          <w:color w:val="000000"/>
          <w:szCs w:val="24"/>
          <w:highlight w:val="none"/>
        </w:rPr>
        <w:t>合同执行中发生争议的，当事人双方应协商解决，协商不一致时，应向需方所在地人民法院提请诉讼。。</w:t>
      </w:r>
    </w:p>
    <w:bookmarkEnd w:id="83"/>
    <w:p w14:paraId="70BCA957">
      <w:pPr>
        <w:spacing w:line="360" w:lineRule="auto"/>
        <w:jc w:val="left"/>
        <w:rPr>
          <w:rFonts w:hint="eastAsia" w:ascii="楷体" w:hAnsi="楷体" w:eastAsia="楷体" w:cs="楷体"/>
          <w:b/>
          <w:bCs/>
          <w:color w:val="000000"/>
          <w:szCs w:val="24"/>
          <w:highlight w:val="none"/>
        </w:rPr>
      </w:pPr>
      <w:r>
        <w:rPr>
          <w:rFonts w:hint="eastAsia" w:ascii="楷体" w:hAnsi="楷体" w:eastAsia="楷体" w:cs="楷体"/>
          <w:b/>
          <w:bCs/>
          <w:color w:val="000000"/>
          <w:szCs w:val="24"/>
          <w:highlight w:val="none"/>
        </w:rPr>
        <w:t>十二、不可抗力情况下的免责约定</w:t>
      </w:r>
    </w:p>
    <w:p w14:paraId="0DD56FD5">
      <w:pPr>
        <w:spacing w:line="360" w:lineRule="auto"/>
        <w:ind w:firstLine="480"/>
        <w:jc w:val="left"/>
        <w:rPr>
          <w:rFonts w:hint="eastAsia" w:ascii="楷体" w:hAnsi="楷体" w:eastAsia="楷体" w:cs="楷体"/>
          <w:color w:val="000000"/>
          <w:szCs w:val="24"/>
          <w:highlight w:val="none"/>
        </w:rPr>
      </w:pPr>
      <w:r>
        <w:rPr>
          <w:rFonts w:hint="eastAsia" w:ascii="楷体" w:hAnsi="楷体" w:eastAsia="楷体" w:cs="楷体"/>
          <w:color w:val="000000"/>
          <w:szCs w:val="24"/>
          <w:highlight w:val="none"/>
        </w:rPr>
        <w:t>双方约定不可抗力情况指：双方不可预见、不可避免、不可克服的客观情况，但不包括双方的违约或疏忽。这些事件包括但不限于：战争、严重火灾、洪水、台风、地震等。</w:t>
      </w:r>
    </w:p>
    <w:p w14:paraId="1B40C6E1">
      <w:pPr>
        <w:spacing w:line="360" w:lineRule="auto"/>
        <w:rPr>
          <w:rFonts w:hint="eastAsia" w:ascii="楷体" w:hAnsi="楷体" w:eastAsia="楷体" w:cs="楷体"/>
          <w:b/>
          <w:color w:val="000000"/>
          <w:szCs w:val="24"/>
          <w:highlight w:val="none"/>
        </w:rPr>
      </w:pPr>
      <w:r>
        <w:rPr>
          <w:rFonts w:hint="eastAsia" w:ascii="楷体" w:hAnsi="楷体" w:eastAsia="楷体" w:cs="楷体"/>
          <w:b/>
          <w:color w:val="000000"/>
          <w:szCs w:val="24"/>
          <w:highlight w:val="none"/>
        </w:rPr>
        <w:t>十三、其他</w:t>
      </w:r>
    </w:p>
    <w:p w14:paraId="4ED39EFE">
      <w:pPr>
        <w:pStyle w:val="7"/>
        <w:spacing w:line="360" w:lineRule="auto"/>
        <w:ind w:firstLine="480"/>
        <w:rPr>
          <w:rFonts w:hint="eastAsia" w:ascii="楷体" w:hAnsi="楷体" w:eastAsia="楷体" w:cs="楷体"/>
          <w:color w:val="000000"/>
          <w:szCs w:val="24"/>
          <w:highlight w:val="none"/>
        </w:rPr>
      </w:pPr>
      <w:r>
        <w:rPr>
          <w:rFonts w:hint="eastAsia" w:ascii="楷体" w:hAnsi="楷体" w:eastAsia="楷体" w:cs="楷体"/>
          <w:color w:val="000000"/>
          <w:szCs w:val="24"/>
          <w:highlight w:val="none"/>
        </w:rPr>
        <w:t>（一）采购文件、响应文件、澄清表（函）、成交通知书、合同附件均成为合同不可分割的部分。</w:t>
      </w:r>
    </w:p>
    <w:p w14:paraId="4B2EC16E">
      <w:pPr>
        <w:pStyle w:val="7"/>
        <w:spacing w:line="360" w:lineRule="auto"/>
        <w:ind w:firstLine="480"/>
        <w:rPr>
          <w:rFonts w:hint="eastAsia" w:ascii="楷体" w:hAnsi="楷体" w:eastAsia="楷体" w:cs="楷体"/>
          <w:color w:val="000000"/>
          <w:szCs w:val="24"/>
          <w:highlight w:val="none"/>
        </w:rPr>
      </w:pPr>
      <w:r>
        <w:rPr>
          <w:rFonts w:hint="eastAsia" w:ascii="楷体" w:hAnsi="楷体" w:eastAsia="楷体" w:cs="楷体"/>
          <w:color w:val="000000"/>
          <w:szCs w:val="24"/>
          <w:highlight w:val="none"/>
        </w:rPr>
        <w:t>（二）未尽事宜，经双方协商一致，签订补充协议，补充协议与本合同具有同等法律效力。</w:t>
      </w:r>
    </w:p>
    <w:p w14:paraId="2691A7FA">
      <w:pPr>
        <w:spacing w:line="360" w:lineRule="auto"/>
        <w:rPr>
          <w:rFonts w:hint="eastAsia" w:ascii="楷体" w:hAnsi="楷体" w:eastAsia="楷体" w:cs="楷体"/>
          <w:b/>
          <w:color w:val="000000"/>
          <w:szCs w:val="24"/>
          <w:highlight w:val="none"/>
        </w:rPr>
      </w:pPr>
      <w:r>
        <w:rPr>
          <w:rFonts w:hint="eastAsia" w:ascii="楷体" w:hAnsi="楷体" w:eastAsia="楷体" w:cs="楷体"/>
          <w:b/>
          <w:color w:val="000000"/>
          <w:szCs w:val="24"/>
          <w:highlight w:val="none"/>
        </w:rPr>
        <w:t>十四、合同订立</w:t>
      </w:r>
    </w:p>
    <w:p w14:paraId="60827BD2">
      <w:pPr>
        <w:adjustRightInd w:val="0"/>
        <w:snapToGrid w:val="0"/>
        <w:spacing w:line="360" w:lineRule="auto"/>
        <w:ind w:firstLine="475" w:firstLineChars="198"/>
        <w:rPr>
          <w:rFonts w:hint="eastAsia" w:ascii="楷体" w:hAnsi="楷体" w:eastAsia="楷体" w:cs="楷体"/>
          <w:color w:val="000000"/>
          <w:szCs w:val="24"/>
          <w:highlight w:val="none"/>
        </w:rPr>
      </w:pPr>
      <w:r>
        <w:rPr>
          <w:rFonts w:hint="eastAsia" w:ascii="楷体" w:hAnsi="楷体" w:eastAsia="楷体" w:cs="楷体"/>
          <w:color w:val="000000"/>
          <w:szCs w:val="24"/>
          <w:highlight w:val="none"/>
        </w:rPr>
        <w:t>1. 订立时间：</w:t>
      </w:r>
      <w:r>
        <w:rPr>
          <w:rFonts w:hint="eastAsia" w:ascii="楷体" w:hAnsi="楷体" w:eastAsia="楷体" w:cs="楷体"/>
          <w:color w:val="000000"/>
          <w:szCs w:val="24"/>
          <w:highlight w:val="none"/>
          <w:u w:val="single"/>
        </w:rPr>
        <w:t xml:space="preserve">          </w:t>
      </w:r>
      <w:r>
        <w:rPr>
          <w:rFonts w:hint="eastAsia" w:ascii="楷体" w:hAnsi="楷体" w:eastAsia="楷体" w:cs="楷体"/>
          <w:color w:val="000000"/>
          <w:szCs w:val="24"/>
          <w:highlight w:val="none"/>
        </w:rPr>
        <w:t>年</w:t>
      </w:r>
      <w:r>
        <w:rPr>
          <w:rFonts w:hint="eastAsia" w:ascii="楷体" w:hAnsi="楷体" w:eastAsia="楷体" w:cs="楷体"/>
          <w:color w:val="000000"/>
          <w:szCs w:val="24"/>
          <w:highlight w:val="none"/>
          <w:u w:val="single"/>
        </w:rPr>
        <w:t xml:space="preserve">       </w:t>
      </w:r>
      <w:r>
        <w:rPr>
          <w:rFonts w:hint="eastAsia" w:ascii="楷体" w:hAnsi="楷体" w:eastAsia="楷体" w:cs="楷体"/>
          <w:color w:val="000000"/>
          <w:szCs w:val="24"/>
          <w:highlight w:val="none"/>
        </w:rPr>
        <w:t>月</w:t>
      </w:r>
      <w:r>
        <w:rPr>
          <w:rFonts w:hint="eastAsia" w:ascii="楷体" w:hAnsi="楷体" w:eastAsia="楷体" w:cs="楷体"/>
          <w:color w:val="000000"/>
          <w:szCs w:val="24"/>
          <w:highlight w:val="none"/>
          <w:u w:val="single"/>
        </w:rPr>
        <w:t xml:space="preserve">      </w:t>
      </w:r>
      <w:r>
        <w:rPr>
          <w:rFonts w:hint="eastAsia" w:ascii="楷体" w:hAnsi="楷体" w:eastAsia="楷体" w:cs="楷体"/>
          <w:color w:val="000000"/>
          <w:szCs w:val="24"/>
          <w:highlight w:val="none"/>
        </w:rPr>
        <w:t>日。</w:t>
      </w:r>
    </w:p>
    <w:p w14:paraId="0BEB4E24">
      <w:pPr>
        <w:adjustRightInd w:val="0"/>
        <w:snapToGrid w:val="0"/>
        <w:spacing w:line="360" w:lineRule="auto"/>
        <w:ind w:firstLine="475" w:firstLineChars="198"/>
        <w:rPr>
          <w:rFonts w:hint="eastAsia" w:ascii="楷体" w:hAnsi="楷体" w:eastAsia="楷体" w:cs="楷体"/>
          <w:color w:val="000000"/>
          <w:szCs w:val="24"/>
          <w:highlight w:val="none"/>
        </w:rPr>
      </w:pPr>
      <w:r>
        <w:rPr>
          <w:rFonts w:hint="eastAsia" w:ascii="楷体" w:hAnsi="楷体" w:eastAsia="楷体" w:cs="楷体"/>
          <w:color w:val="000000"/>
          <w:szCs w:val="24"/>
          <w:highlight w:val="none"/>
        </w:rPr>
        <w:t>2. 订立地点：</w:t>
      </w:r>
      <w:r>
        <w:rPr>
          <w:rFonts w:hint="eastAsia" w:ascii="楷体" w:hAnsi="楷体" w:eastAsia="楷体" w:cs="楷体"/>
          <w:color w:val="000000"/>
          <w:szCs w:val="24"/>
          <w:highlight w:val="none"/>
          <w:u w:val="single"/>
        </w:rPr>
        <w:t xml:space="preserve">                                 </w:t>
      </w:r>
      <w:r>
        <w:rPr>
          <w:rFonts w:hint="eastAsia" w:ascii="楷体" w:hAnsi="楷体" w:eastAsia="楷体" w:cs="楷体"/>
          <w:color w:val="000000"/>
          <w:szCs w:val="24"/>
          <w:highlight w:val="none"/>
        </w:rPr>
        <w:t>。</w:t>
      </w:r>
    </w:p>
    <w:p w14:paraId="27C06C1B">
      <w:pPr>
        <w:tabs>
          <w:tab w:val="left" w:pos="980"/>
        </w:tabs>
        <w:kinsoku w:val="0"/>
        <w:spacing w:line="360" w:lineRule="auto"/>
        <w:ind w:firstLine="480" w:firstLineChars="200"/>
        <w:rPr>
          <w:rFonts w:hint="eastAsia" w:ascii="楷体" w:hAnsi="楷体" w:eastAsia="楷体" w:cs="楷体"/>
          <w:color w:val="000000"/>
          <w:szCs w:val="24"/>
          <w:highlight w:val="none"/>
        </w:rPr>
      </w:pPr>
      <w:r>
        <w:rPr>
          <w:rFonts w:hint="eastAsia" w:ascii="楷体" w:hAnsi="楷体" w:eastAsia="楷体" w:cs="楷体"/>
          <w:color w:val="000000"/>
          <w:szCs w:val="24"/>
          <w:highlight w:val="none"/>
        </w:rPr>
        <w:t>3. 本合同一式</w:t>
      </w:r>
      <w:r>
        <w:rPr>
          <w:rFonts w:hint="eastAsia" w:ascii="楷体" w:hAnsi="楷体" w:eastAsia="楷体" w:cs="楷体"/>
          <w:color w:val="000000"/>
          <w:szCs w:val="24"/>
          <w:highlight w:val="none"/>
          <w:u w:val="single"/>
        </w:rPr>
        <w:t xml:space="preserve"> 肆 </w:t>
      </w:r>
      <w:r>
        <w:rPr>
          <w:rFonts w:hint="eastAsia" w:ascii="楷体" w:hAnsi="楷体" w:eastAsia="楷体" w:cs="楷体"/>
          <w:color w:val="000000"/>
          <w:szCs w:val="24"/>
          <w:highlight w:val="none"/>
        </w:rPr>
        <w:t>份，具有同等法律效力，双方各执</w:t>
      </w:r>
      <w:r>
        <w:rPr>
          <w:rFonts w:hint="eastAsia" w:ascii="楷体" w:hAnsi="楷体" w:eastAsia="楷体" w:cs="楷体"/>
          <w:color w:val="000000"/>
          <w:szCs w:val="24"/>
          <w:highlight w:val="none"/>
          <w:u w:val="single"/>
        </w:rPr>
        <w:t xml:space="preserve"> 贰 </w:t>
      </w:r>
      <w:r>
        <w:rPr>
          <w:rFonts w:hint="eastAsia" w:ascii="楷体" w:hAnsi="楷体" w:eastAsia="楷体" w:cs="楷体"/>
          <w:color w:val="000000"/>
          <w:szCs w:val="24"/>
          <w:highlight w:val="none"/>
        </w:rPr>
        <w:t>份,各方签字盖章后生效，合同执行完毕自动失效。</w:t>
      </w:r>
    </w:p>
    <w:p w14:paraId="22946F13">
      <w:pPr>
        <w:pStyle w:val="7"/>
        <w:ind w:firstLine="480"/>
        <w:rPr>
          <w:rFonts w:hint="eastAsia" w:ascii="楷体" w:hAnsi="楷体" w:eastAsia="楷体" w:cs="楷体"/>
          <w:highlight w:val="none"/>
        </w:rPr>
      </w:pPr>
    </w:p>
    <w:p w14:paraId="0262C567">
      <w:pPr>
        <w:pStyle w:val="7"/>
        <w:ind w:firstLine="480"/>
        <w:rPr>
          <w:rFonts w:hint="eastAsia" w:ascii="楷体" w:hAnsi="楷体" w:eastAsia="楷体" w:cs="楷体"/>
          <w:highlight w:val="none"/>
        </w:rPr>
      </w:pPr>
    </w:p>
    <w:p w14:paraId="6F5F5805">
      <w:pPr>
        <w:pStyle w:val="7"/>
        <w:ind w:firstLine="480"/>
        <w:rPr>
          <w:rFonts w:hint="eastAsia" w:ascii="楷体" w:hAnsi="楷体" w:eastAsia="楷体" w:cs="楷体"/>
          <w:highlight w:val="none"/>
        </w:rPr>
      </w:pPr>
    </w:p>
    <w:p w14:paraId="5148223D">
      <w:pPr>
        <w:pStyle w:val="7"/>
        <w:ind w:firstLine="480"/>
        <w:rPr>
          <w:rFonts w:hint="eastAsia" w:ascii="楷体" w:hAnsi="楷体" w:eastAsia="楷体" w:cs="楷体"/>
          <w:highlight w:val="none"/>
        </w:rPr>
      </w:pPr>
    </w:p>
    <w:p w14:paraId="5E127E44">
      <w:pPr>
        <w:tabs>
          <w:tab w:val="left" w:pos="480"/>
        </w:tabs>
        <w:spacing w:line="360" w:lineRule="auto"/>
        <w:ind w:firstLine="1205" w:firstLineChars="500"/>
        <w:jc w:val="both"/>
        <w:rPr>
          <w:rFonts w:hint="eastAsia" w:ascii="楷体" w:hAnsi="楷体" w:eastAsia="楷体" w:cs="楷体"/>
          <w:b/>
          <w:color w:val="000000"/>
          <w:szCs w:val="24"/>
          <w:highlight w:val="none"/>
        </w:rPr>
      </w:pPr>
      <w:r>
        <w:rPr>
          <w:rFonts w:hint="eastAsia" w:ascii="楷体" w:hAnsi="楷体" w:eastAsia="楷体" w:cs="楷体"/>
          <w:b/>
          <w:color w:val="000000"/>
          <w:szCs w:val="24"/>
          <w:highlight w:val="none"/>
          <w:lang w:eastAsia="zh-CN"/>
        </w:rPr>
        <w:t>委托方（</w:t>
      </w:r>
      <w:r>
        <w:rPr>
          <w:rFonts w:hint="eastAsia" w:ascii="楷体" w:hAnsi="楷体" w:eastAsia="楷体" w:cs="楷体"/>
          <w:b/>
          <w:color w:val="000000"/>
          <w:szCs w:val="24"/>
          <w:highlight w:val="none"/>
        </w:rPr>
        <w:t>公章）</w:t>
      </w:r>
      <w:r>
        <w:rPr>
          <w:rFonts w:hint="eastAsia" w:ascii="楷体" w:hAnsi="楷体" w:eastAsia="楷体" w:cs="楷体"/>
          <w:color w:val="000000"/>
          <w:szCs w:val="24"/>
          <w:highlight w:val="none"/>
        </w:rPr>
        <w:t xml:space="preserve">                      </w:t>
      </w:r>
      <w:r>
        <w:rPr>
          <w:rFonts w:hint="eastAsia" w:ascii="楷体" w:hAnsi="楷体" w:eastAsia="楷体" w:cs="楷体"/>
          <w:b/>
          <w:color w:val="000000"/>
          <w:szCs w:val="24"/>
          <w:highlight w:val="none"/>
          <w:lang w:eastAsia="zh-CN"/>
        </w:rPr>
        <w:t>受托方</w:t>
      </w:r>
      <w:r>
        <w:rPr>
          <w:rFonts w:hint="eastAsia" w:ascii="楷体" w:hAnsi="楷体" w:eastAsia="楷体" w:cs="楷体"/>
          <w:b/>
          <w:color w:val="000000"/>
          <w:szCs w:val="24"/>
          <w:highlight w:val="none"/>
        </w:rPr>
        <w:t>（公章）</w:t>
      </w:r>
    </w:p>
    <w:p w14:paraId="1B3CB8AF">
      <w:pPr>
        <w:tabs>
          <w:tab w:val="left" w:pos="480"/>
        </w:tabs>
        <w:spacing w:line="360" w:lineRule="auto"/>
        <w:ind w:left="5280" w:leftChars="500" w:hanging="4080" w:hangingChars="1700"/>
        <w:rPr>
          <w:rFonts w:hint="eastAsia" w:ascii="楷体" w:hAnsi="楷体" w:eastAsia="楷体" w:cs="楷体"/>
          <w:color w:val="000000"/>
          <w:szCs w:val="24"/>
          <w:highlight w:val="none"/>
        </w:rPr>
      </w:pPr>
      <w:r>
        <w:rPr>
          <w:rFonts w:hint="eastAsia" w:ascii="楷体" w:hAnsi="楷体" w:eastAsia="楷体" w:cs="楷体"/>
          <w:color w:val="000000"/>
          <w:szCs w:val="24"/>
          <w:highlight w:val="none"/>
        </w:rPr>
        <w:t>单位名称：                          单位名称：</w:t>
      </w:r>
    </w:p>
    <w:p w14:paraId="4DF51532">
      <w:pPr>
        <w:tabs>
          <w:tab w:val="left" w:pos="480"/>
        </w:tabs>
        <w:wordWrap w:val="0"/>
        <w:spacing w:line="360" w:lineRule="auto"/>
        <w:ind w:firstLine="1200" w:firstLineChars="500"/>
        <w:rPr>
          <w:rFonts w:hint="eastAsia" w:ascii="楷体" w:hAnsi="楷体" w:eastAsia="楷体" w:cs="楷体"/>
          <w:color w:val="000000"/>
          <w:szCs w:val="24"/>
          <w:highlight w:val="none"/>
        </w:rPr>
      </w:pPr>
      <w:r>
        <w:rPr>
          <w:rFonts w:hint="eastAsia" w:ascii="楷体" w:hAnsi="楷体" w:eastAsia="楷体" w:cs="楷体"/>
          <w:color w:val="000000"/>
          <w:szCs w:val="24"/>
          <w:highlight w:val="none"/>
        </w:rPr>
        <w:t>地    址：                          地  址：</w:t>
      </w:r>
    </w:p>
    <w:p w14:paraId="0C2DE602">
      <w:pPr>
        <w:tabs>
          <w:tab w:val="left" w:pos="480"/>
        </w:tabs>
        <w:spacing w:line="360" w:lineRule="auto"/>
        <w:ind w:firstLine="1200" w:firstLineChars="500"/>
        <w:rPr>
          <w:rFonts w:hint="eastAsia" w:ascii="楷体" w:hAnsi="楷体" w:eastAsia="楷体" w:cs="楷体"/>
          <w:color w:val="000000"/>
          <w:szCs w:val="24"/>
          <w:highlight w:val="none"/>
        </w:rPr>
      </w:pPr>
      <w:r>
        <w:rPr>
          <w:rFonts w:hint="eastAsia" w:ascii="楷体" w:hAnsi="楷体" w:eastAsia="楷体" w:cs="楷体"/>
          <w:color w:val="000000"/>
          <w:szCs w:val="24"/>
          <w:highlight w:val="none"/>
        </w:rPr>
        <w:t>代 理 人：                          代 理 人：</w:t>
      </w:r>
    </w:p>
    <w:p w14:paraId="2943A21A">
      <w:pPr>
        <w:tabs>
          <w:tab w:val="left" w:pos="480"/>
        </w:tabs>
        <w:spacing w:line="360" w:lineRule="auto"/>
        <w:ind w:firstLine="1200" w:firstLineChars="500"/>
        <w:rPr>
          <w:rFonts w:hint="eastAsia" w:ascii="楷体" w:hAnsi="楷体" w:eastAsia="楷体" w:cs="楷体"/>
          <w:color w:val="000000"/>
          <w:szCs w:val="24"/>
          <w:highlight w:val="none"/>
        </w:rPr>
      </w:pPr>
      <w:r>
        <w:rPr>
          <w:rFonts w:hint="eastAsia" w:ascii="楷体" w:hAnsi="楷体" w:eastAsia="楷体" w:cs="楷体"/>
          <w:color w:val="000000"/>
          <w:szCs w:val="24"/>
          <w:highlight w:val="none"/>
        </w:rPr>
        <w:t>联系电话：                          联系电话：</w:t>
      </w:r>
    </w:p>
    <w:p w14:paraId="163AB6C2">
      <w:pPr>
        <w:tabs>
          <w:tab w:val="left" w:pos="480"/>
        </w:tabs>
        <w:spacing w:line="360" w:lineRule="auto"/>
        <w:jc w:val="center"/>
        <w:rPr>
          <w:rFonts w:hint="eastAsia" w:ascii="楷体" w:hAnsi="楷体" w:eastAsia="楷体" w:cs="楷体"/>
          <w:color w:val="000000"/>
          <w:szCs w:val="24"/>
          <w:highlight w:val="none"/>
        </w:rPr>
      </w:pPr>
      <w:r>
        <w:rPr>
          <w:rFonts w:hint="eastAsia" w:ascii="楷体" w:hAnsi="楷体" w:eastAsia="楷体" w:cs="楷体"/>
          <w:color w:val="000000"/>
          <w:szCs w:val="24"/>
          <w:highlight w:val="none"/>
        </w:rPr>
        <w:t xml:space="preserve">                       </w:t>
      </w:r>
      <w:r>
        <w:rPr>
          <w:rFonts w:hint="eastAsia" w:ascii="楷体" w:hAnsi="楷体" w:eastAsia="楷体" w:cs="楷体"/>
          <w:color w:val="000000"/>
          <w:szCs w:val="24"/>
          <w:highlight w:val="none"/>
          <w:lang w:val="en-US" w:eastAsia="zh-CN"/>
        </w:rPr>
        <w:t xml:space="preserve">          </w:t>
      </w:r>
      <w:r>
        <w:rPr>
          <w:rFonts w:hint="eastAsia" w:ascii="楷体" w:hAnsi="楷体" w:eastAsia="楷体" w:cs="楷体"/>
          <w:color w:val="000000"/>
          <w:szCs w:val="24"/>
          <w:highlight w:val="none"/>
          <w:lang w:eastAsia="zh-CN"/>
        </w:rPr>
        <w:t>账</w:t>
      </w:r>
      <w:r>
        <w:rPr>
          <w:rFonts w:hint="eastAsia" w:ascii="楷体" w:hAnsi="楷体" w:eastAsia="楷体" w:cs="楷体"/>
          <w:color w:val="000000"/>
          <w:szCs w:val="24"/>
          <w:highlight w:val="none"/>
        </w:rPr>
        <w:t xml:space="preserve">    号：</w:t>
      </w:r>
    </w:p>
    <w:p w14:paraId="0C486CC7">
      <w:pPr>
        <w:tabs>
          <w:tab w:val="left" w:pos="480"/>
        </w:tabs>
        <w:spacing w:line="360" w:lineRule="auto"/>
        <w:jc w:val="center"/>
        <w:rPr>
          <w:rFonts w:hint="eastAsia" w:ascii="楷体" w:hAnsi="楷体" w:eastAsia="楷体" w:cs="楷体"/>
          <w:color w:val="000000"/>
          <w:szCs w:val="24"/>
          <w:highlight w:val="none"/>
        </w:rPr>
      </w:pPr>
      <w:r>
        <w:rPr>
          <w:rFonts w:hint="eastAsia" w:ascii="楷体" w:hAnsi="楷体" w:eastAsia="楷体" w:cs="楷体"/>
          <w:color w:val="000000"/>
          <w:szCs w:val="24"/>
          <w:highlight w:val="none"/>
        </w:rPr>
        <w:t xml:space="preserve">                      </w:t>
      </w:r>
      <w:r>
        <w:rPr>
          <w:rFonts w:hint="eastAsia" w:ascii="楷体" w:hAnsi="楷体" w:eastAsia="楷体" w:cs="楷体"/>
          <w:color w:val="000000"/>
          <w:szCs w:val="24"/>
          <w:highlight w:val="none"/>
          <w:lang w:val="en-US" w:eastAsia="zh-CN"/>
        </w:rPr>
        <w:t xml:space="preserve">           </w:t>
      </w:r>
      <w:r>
        <w:rPr>
          <w:rFonts w:hint="eastAsia" w:ascii="楷体" w:hAnsi="楷体" w:eastAsia="楷体" w:cs="楷体"/>
          <w:color w:val="000000"/>
          <w:szCs w:val="24"/>
          <w:highlight w:val="none"/>
        </w:rPr>
        <w:t>开户银行：</w:t>
      </w:r>
    </w:p>
    <w:p w14:paraId="397B5D7B">
      <w:pPr>
        <w:tabs>
          <w:tab w:val="left" w:pos="480"/>
        </w:tabs>
        <w:spacing w:line="360" w:lineRule="auto"/>
        <w:ind w:firstLine="1200" w:firstLineChars="500"/>
        <w:jc w:val="both"/>
        <w:rPr>
          <w:rFonts w:hint="eastAsia" w:ascii="楷体" w:hAnsi="楷体" w:eastAsia="楷体" w:cs="楷体"/>
          <w:color w:val="000000"/>
          <w:szCs w:val="24"/>
          <w:highlight w:val="none"/>
        </w:rPr>
      </w:pPr>
      <w:r>
        <w:rPr>
          <w:rFonts w:hint="eastAsia" w:ascii="楷体" w:hAnsi="楷体" w:eastAsia="楷体" w:cs="楷体"/>
          <w:color w:val="000000"/>
          <w:szCs w:val="24"/>
          <w:highlight w:val="none"/>
        </w:rPr>
        <w:t xml:space="preserve">签订日期：                      </w:t>
      </w:r>
      <w:r>
        <w:rPr>
          <w:rFonts w:hint="eastAsia" w:ascii="楷体" w:hAnsi="楷体" w:eastAsia="楷体" w:cs="楷体"/>
          <w:color w:val="000000"/>
          <w:szCs w:val="24"/>
          <w:highlight w:val="none"/>
          <w:lang w:val="en-US" w:eastAsia="zh-CN"/>
        </w:rPr>
        <w:t xml:space="preserve">    </w:t>
      </w:r>
      <w:r>
        <w:rPr>
          <w:rFonts w:hint="eastAsia" w:ascii="楷体" w:hAnsi="楷体" w:eastAsia="楷体" w:cs="楷体"/>
          <w:color w:val="000000"/>
          <w:szCs w:val="24"/>
          <w:highlight w:val="none"/>
        </w:rPr>
        <w:t>签订日期：</w:t>
      </w:r>
    </w:p>
    <w:p w14:paraId="4F5CFB20">
      <w:pPr>
        <w:rPr>
          <w:rFonts w:hint="eastAsia" w:ascii="楷体" w:hAnsi="楷体" w:eastAsia="楷体" w:cs="楷体"/>
          <w:highlight w:val="none"/>
        </w:rPr>
      </w:pPr>
    </w:p>
    <w:p w14:paraId="1E0A18FF">
      <w:pPr>
        <w:tabs>
          <w:tab w:val="left" w:pos="480"/>
        </w:tabs>
        <w:spacing w:line="360" w:lineRule="auto"/>
        <w:ind w:firstLine="960" w:firstLineChars="400"/>
        <w:rPr>
          <w:rFonts w:hint="eastAsia" w:ascii="方正仿宋_GB2312" w:hAnsi="方正仿宋_GB2312" w:eastAsia="方正仿宋_GB2312" w:cs="方正仿宋_GB2312"/>
          <w:color w:val="auto"/>
          <w:highlight w:val="none"/>
        </w:rPr>
        <w:sectPr>
          <w:footerReference r:id="rId9" w:type="default"/>
          <w:pgSz w:w="11906" w:h="16838"/>
          <w:pgMar w:top="1440" w:right="1800" w:bottom="1440" w:left="1800" w:header="851" w:footer="992" w:gutter="0"/>
          <w:pgNumType w:fmt="decimal" w:start="1"/>
          <w:cols w:space="720" w:num="1"/>
          <w:docGrid w:type="lines" w:linePitch="312" w:charSpace="0"/>
        </w:sectPr>
      </w:pPr>
      <w:r>
        <w:rPr>
          <w:rFonts w:hint="eastAsia" w:ascii="方正仿宋_GB2312" w:hAnsi="方正仿宋_GB2312" w:eastAsia="方正仿宋_GB2312" w:cs="方正仿宋_GB2312"/>
          <w:color w:val="auto"/>
          <w:highlight w:val="none"/>
        </w:rPr>
        <w:t xml:space="preserve">       </w:t>
      </w:r>
    </w:p>
    <w:p w14:paraId="28025327">
      <w:pPr>
        <w:pStyle w:val="10"/>
        <w:numPr>
          <w:ilvl w:val="0"/>
          <w:numId w:val="6"/>
        </w:numPr>
        <w:spacing w:line="360" w:lineRule="auto"/>
        <w:jc w:val="center"/>
        <w:outlineLvl w:val="0"/>
        <w:rPr>
          <w:rFonts w:hint="eastAsia" w:ascii="楷体" w:hAnsi="楷体" w:eastAsia="楷体" w:cs="楷体"/>
          <w:b/>
          <w:color w:val="auto"/>
          <w:sz w:val="36"/>
          <w:szCs w:val="36"/>
          <w:highlight w:val="none"/>
        </w:rPr>
      </w:pPr>
      <w:bookmarkStart w:id="84" w:name="_Toc28117"/>
      <w:bookmarkStart w:id="85" w:name="_Toc8719"/>
      <w:bookmarkStart w:id="86" w:name="_Toc8259"/>
      <w:bookmarkStart w:id="87" w:name="_Toc20944_WPSOffice_Level1"/>
      <w:bookmarkStart w:id="88" w:name="_Toc24210"/>
      <w:bookmarkStart w:id="89" w:name="_Toc29387"/>
      <w:bookmarkStart w:id="90" w:name="_Toc11601"/>
      <w:bookmarkStart w:id="91" w:name="_Toc31793"/>
      <w:bookmarkStart w:id="92" w:name="_Toc8406"/>
      <w:bookmarkStart w:id="93" w:name="_Toc16267"/>
      <w:bookmarkStart w:id="94" w:name="_Toc4168"/>
      <w:bookmarkStart w:id="95" w:name="_Toc28790"/>
      <w:bookmarkStart w:id="96" w:name="_Toc9450_WPSOffice_Level1"/>
      <w:bookmarkStart w:id="97" w:name="_Toc16849"/>
      <w:bookmarkStart w:id="98" w:name="_Toc6817"/>
      <w:bookmarkStart w:id="99" w:name="_Toc7345"/>
      <w:r>
        <w:rPr>
          <w:rFonts w:hint="eastAsia" w:ascii="楷体" w:hAnsi="楷体" w:eastAsia="楷体" w:cs="楷体"/>
          <w:b/>
          <w:color w:val="auto"/>
          <w:sz w:val="36"/>
          <w:szCs w:val="36"/>
          <w:highlight w:val="none"/>
          <w:lang w:val="en-US" w:eastAsia="zh-CN"/>
        </w:rPr>
        <w:t xml:space="preserve"> </w:t>
      </w:r>
      <w:r>
        <w:rPr>
          <w:rFonts w:hint="eastAsia" w:ascii="楷体" w:hAnsi="楷体" w:eastAsia="楷体" w:cs="楷体"/>
          <w:b/>
          <w:color w:val="auto"/>
          <w:sz w:val="36"/>
          <w:szCs w:val="36"/>
          <w:highlight w:val="none"/>
        </w:rPr>
        <w:t>磋商内容及技术要求</w:t>
      </w:r>
      <w:bookmarkEnd w:id="73"/>
      <w:bookmarkEnd w:id="74"/>
      <w:bookmarkEnd w:id="75"/>
      <w:bookmarkEnd w:id="76"/>
      <w:bookmarkEnd w:id="77"/>
      <w:bookmarkEnd w:id="78"/>
      <w:bookmarkEnd w:id="79"/>
      <w:bookmarkEnd w:id="80"/>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Start w:id="100" w:name="_Toc13146"/>
      <w:bookmarkStart w:id="101" w:name="_Toc14348"/>
      <w:bookmarkStart w:id="102" w:name="_Toc10237"/>
      <w:bookmarkStart w:id="103" w:name="_Toc389582038"/>
      <w:bookmarkStart w:id="104" w:name="_Toc20481"/>
      <w:bookmarkStart w:id="105" w:name="_Toc23856"/>
      <w:bookmarkStart w:id="106" w:name="_Toc11450"/>
      <w:bookmarkStart w:id="107" w:name="_Toc2711"/>
      <w:bookmarkStart w:id="108" w:name="_Toc4053"/>
      <w:bookmarkStart w:id="109" w:name="_Toc1025"/>
    </w:p>
    <w:p w14:paraId="305B2D98">
      <w:pPr>
        <w:pStyle w:val="10"/>
        <w:numPr>
          <w:ilvl w:val="0"/>
          <w:numId w:val="0"/>
        </w:numPr>
        <w:spacing w:line="360" w:lineRule="auto"/>
        <w:jc w:val="both"/>
        <w:outlineLvl w:val="0"/>
        <w:rPr>
          <w:rFonts w:hint="eastAsia" w:ascii="楷体" w:hAnsi="楷体" w:eastAsia="楷体" w:cs="楷体"/>
          <w:b/>
          <w:color w:val="auto"/>
          <w:sz w:val="28"/>
          <w:szCs w:val="28"/>
          <w:highlight w:val="none"/>
          <w:lang w:val="en-US" w:eastAsia="zh-CN"/>
        </w:rPr>
      </w:pPr>
      <w:bookmarkStart w:id="110" w:name="_Toc2013"/>
      <w:bookmarkStart w:id="111" w:name="_Toc11919"/>
      <w:bookmarkStart w:id="112" w:name="_Toc32550"/>
      <w:bookmarkStart w:id="113" w:name="_Toc6662"/>
      <w:bookmarkStart w:id="114" w:name="_Toc404"/>
      <w:bookmarkStart w:id="115" w:name="_Toc8242"/>
      <w:bookmarkStart w:id="116" w:name="_Toc14775_WPSOffice_Level1"/>
      <w:bookmarkStart w:id="117" w:name="_Toc11078_WPSOffice_Level1"/>
      <w:bookmarkStart w:id="118" w:name="_Toc23291"/>
      <w:r>
        <w:rPr>
          <w:rFonts w:hint="eastAsia" w:ascii="楷体" w:hAnsi="楷体" w:eastAsia="楷体" w:cs="楷体"/>
          <w:b/>
          <w:color w:val="auto"/>
          <w:sz w:val="28"/>
          <w:szCs w:val="28"/>
          <w:highlight w:val="none"/>
          <w:lang w:val="en-US" w:eastAsia="zh-CN"/>
        </w:rPr>
        <w:t>采购包1</w:t>
      </w:r>
    </w:p>
    <w:tbl>
      <w:tblPr>
        <w:tblStyle w:val="17"/>
        <w:tblW w:w="851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632"/>
        <w:gridCol w:w="585"/>
        <w:gridCol w:w="7302"/>
      </w:tblGrid>
      <w:tr w14:paraId="25EA4ED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632" w:type="dxa"/>
            <w:noWrap w:val="0"/>
            <w:vAlign w:val="center"/>
          </w:tcPr>
          <w:p w14:paraId="27E61D01">
            <w:pPr>
              <w:pStyle w:val="22"/>
              <w:pageBreakBefore w:val="0"/>
              <w:kinsoku/>
              <w:wordWrap/>
              <w:overflowPunct/>
              <w:topLinePunct w:val="0"/>
              <w:autoSpaceDE/>
              <w:autoSpaceDN/>
              <w:bidi w:val="0"/>
              <w:adjustRightInd/>
              <w:snapToGrid/>
              <w:spacing w:line="360" w:lineRule="auto"/>
              <w:jc w:val="center"/>
              <w:textAlignment w:val="auto"/>
              <w:rPr>
                <w:rFonts w:hint="eastAsia" w:ascii="楷体" w:hAnsi="楷体" w:eastAsia="楷体" w:cs="楷体"/>
                <w:sz w:val="18"/>
                <w:szCs w:val="18"/>
                <w:highlight w:val="none"/>
              </w:rPr>
            </w:pPr>
            <w:r>
              <w:rPr>
                <w:rFonts w:hint="eastAsia" w:ascii="楷体" w:hAnsi="楷体" w:eastAsia="楷体" w:cs="楷体"/>
                <w:sz w:val="18"/>
                <w:szCs w:val="18"/>
                <w:highlight w:val="none"/>
              </w:rPr>
              <w:t>参数</w:t>
            </w:r>
          </w:p>
          <w:p w14:paraId="53581C27">
            <w:pPr>
              <w:pStyle w:val="22"/>
              <w:pageBreakBefore w:val="0"/>
              <w:kinsoku/>
              <w:wordWrap/>
              <w:overflowPunct/>
              <w:topLinePunct w:val="0"/>
              <w:autoSpaceDE/>
              <w:autoSpaceDN/>
              <w:bidi w:val="0"/>
              <w:adjustRightInd/>
              <w:snapToGrid/>
              <w:spacing w:line="360" w:lineRule="auto"/>
              <w:jc w:val="center"/>
              <w:textAlignment w:val="auto"/>
              <w:rPr>
                <w:rFonts w:hint="eastAsia" w:ascii="楷体" w:hAnsi="楷体" w:eastAsia="楷体" w:cs="楷体"/>
                <w:sz w:val="18"/>
                <w:szCs w:val="18"/>
                <w:highlight w:val="none"/>
              </w:rPr>
            </w:pPr>
            <w:r>
              <w:rPr>
                <w:rFonts w:hint="eastAsia" w:ascii="楷体" w:hAnsi="楷体" w:eastAsia="楷体" w:cs="楷体"/>
                <w:sz w:val="18"/>
                <w:szCs w:val="18"/>
                <w:highlight w:val="none"/>
              </w:rPr>
              <w:t>性质</w:t>
            </w:r>
          </w:p>
        </w:tc>
        <w:tc>
          <w:tcPr>
            <w:tcW w:w="585" w:type="dxa"/>
            <w:noWrap w:val="0"/>
            <w:vAlign w:val="center"/>
          </w:tcPr>
          <w:p w14:paraId="5376AEBA">
            <w:pPr>
              <w:pStyle w:val="22"/>
              <w:pageBreakBefore w:val="0"/>
              <w:kinsoku/>
              <w:wordWrap/>
              <w:overflowPunct/>
              <w:topLinePunct w:val="0"/>
              <w:autoSpaceDE/>
              <w:autoSpaceDN/>
              <w:bidi w:val="0"/>
              <w:adjustRightInd/>
              <w:snapToGrid/>
              <w:spacing w:line="360" w:lineRule="auto"/>
              <w:jc w:val="center"/>
              <w:textAlignment w:val="auto"/>
              <w:rPr>
                <w:rFonts w:hint="eastAsia" w:ascii="楷体" w:hAnsi="楷体" w:eastAsia="楷体" w:cs="楷体"/>
                <w:sz w:val="18"/>
                <w:szCs w:val="18"/>
                <w:highlight w:val="none"/>
              </w:rPr>
            </w:pPr>
            <w:r>
              <w:rPr>
                <w:rFonts w:hint="eastAsia" w:ascii="楷体" w:hAnsi="楷体" w:eastAsia="楷体" w:cs="楷体"/>
                <w:sz w:val="18"/>
                <w:szCs w:val="18"/>
                <w:highlight w:val="none"/>
              </w:rPr>
              <w:t>序号</w:t>
            </w:r>
          </w:p>
        </w:tc>
        <w:tc>
          <w:tcPr>
            <w:tcW w:w="7302" w:type="dxa"/>
            <w:noWrap w:val="0"/>
            <w:vAlign w:val="center"/>
          </w:tcPr>
          <w:p w14:paraId="5B9FA88F">
            <w:pPr>
              <w:pStyle w:val="22"/>
              <w:pageBreakBefore w:val="0"/>
              <w:kinsoku/>
              <w:wordWrap/>
              <w:overflowPunct/>
              <w:topLinePunct w:val="0"/>
              <w:autoSpaceDE/>
              <w:autoSpaceDN/>
              <w:bidi w:val="0"/>
              <w:adjustRightInd/>
              <w:snapToGrid/>
              <w:spacing w:line="360" w:lineRule="auto"/>
              <w:jc w:val="center"/>
              <w:textAlignment w:val="auto"/>
              <w:rPr>
                <w:rFonts w:hint="eastAsia" w:ascii="楷体" w:hAnsi="楷体" w:eastAsia="楷体" w:cs="楷体"/>
                <w:sz w:val="18"/>
                <w:szCs w:val="18"/>
                <w:highlight w:val="none"/>
              </w:rPr>
            </w:pPr>
            <w:r>
              <w:rPr>
                <w:rFonts w:hint="eastAsia" w:ascii="楷体" w:hAnsi="楷体" w:eastAsia="楷体" w:cs="楷体"/>
                <w:sz w:val="18"/>
                <w:szCs w:val="18"/>
                <w:highlight w:val="none"/>
              </w:rPr>
              <w:t>技术参数与性能指标</w:t>
            </w:r>
          </w:p>
        </w:tc>
      </w:tr>
      <w:tr w14:paraId="58A1B23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632" w:type="dxa"/>
            <w:noWrap w:val="0"/>
            <w:vAlign w:val="top"/>
          </w:tcPr>
          <w:p w14:paraId="027ABC57">
            <w:pPr>
              <w:pageBreakBefore w:val="0"/>
              <w:kinsoku/>
              <w:wordWrap/>
              <w:overflowPunct/>
              <w:topLinePunct w:val="0"/>
              <w:autoSpaceDE/>
              <w:autoSpaceDN/>
              <w:bidi w:val="0"/>
              <w:adjustRightInd/>
              <w:snapToGrid/>
              <w:spacing w:line="360" w:lineRule="auto"/>
              <w:textAlignment w:val="auto"/>
              <w:rPr>
                <w:rFonts w:hint="eastAsia" w:ascii="楷体" w:hAnsi="楷体" w:eastAsia="楷体" w:cs="楷体"/>
                <w:sz w:val="21"/>
                <w:szCs w:val="21"/>
                <w:highlight w:val="none"/>
              </w:rPr>
            </w:pPr>
          </w:p>
        </w:tc>
        <w:tc>
          <w:tcPr>
            <w:tcW w:w="585" w:type="dxa"/>
            <w:noWrap w:val="0"/>
            <w:vAlign w:val="top"/>
          </w:tcPr>
          <w:p w14:paraId="0538FB4B">
            <w:pPr>
              <w:pStyle w:val="22"/>
              <w:pageBreakBefore w:val="0"/>
              <w:kinsoku/>
              <w:wordWrap/>
              <w:overflowPunct/>
              <w:topLinePunct w:val="0"/>
              <w:autoSpaceDE/>
              <w:autoSpaceDN/>
              <w:bidi w:val="0"/>
              <w:adjustRightInd/>
              <w:snapToGrid/>
              <w:spacing w:line="360" w:lineRule="auto"/>
              <w:textAlignment w:val="auto"/>
              <w:rPr>
                <w:rFonts w:hint="eastAsia" w:ascii="楷体" w:hAnsi="楷体" w:eastAsia="楷体" w:cs="楷体"/>
                <w:sz w:val="21"/>
                <w:szCs w:val="21"/>
                <w:highlight w:val="none"/>
              </w:rPr>
            </w:pPr>
            <w:r>
              <w:rPr>
                <w:rFonts w:hint="eastAsia" w:ascii="楷体" w:hAnsi="楷体" w:eastAsia="楷体" w:cs="楷体"/>
                <w:sz w:val="21"/>
                <w:szCs w:val="21"/>
                <w:highlight w:val="none"/>
              </w:rPr>
              <w:t>1</w:t>
            </w:r>
          </w:p>
        </w:tc>
        <w:tc>
          <w:tcPr>
            <w:tcW w:w="7302" w:type="dxa"/>
            <w:noWrap w:val="0"/>
            <w:vAlign w:val="top"/>
          </w:tcPr>
          <w:p w14:paraId="1B7DF98D">
            <w:pPr>
              <w:keepNext w:val="0"/>
              <w:keepLines w:val="0"/>
              <w:pageBreakBefore w:val="0"/>
              <w:widowControl w:val="0"/>
              <w:numPr>
                <w:ilvl w:val="0"/>
                <w:numId w:val="7"/>
              </w:numPr>
              <w:kinsoku/>
              <w:wordWrap/>
              <w:overflowPunct/>
              <w:topLinePunct w:val="0"/>
              <w:autoSpaceDE/>
              <w:autoSpaceDN/>
              <w:bidi w:val="0"/>
              <w:adjustRightInd/>
              <w:snapToGrid/>
              <w:spacing w:line="360" w:lineRule="auto"/>
              <w:jc w:val="both"/>
              <w:textAlignment w:val="auto"/>
              <w:rPr>
                <w:rFonts w:hint="eastAsia" w:ascii="楷体" w:hAnsi="楷体" w:eastAsia="楷体" w:cs="楷体"/>
                <w:b/>
                <w:bCs/>
                <w:color w:val="000000"/>
                <w:sz w:val="21"/>
                <w:szCs w:val="21"/>
                <w:highlight w:val="none"/>
                <w:lang w:val="en-US" w:eastAsia="zh-CN"/>
              </w:rPr>
            </w:pPr>
            <w:r>
              <w:rPr>
                <w:rFonts w:hint="eastAsia" w:ascii="楷体" w:hAnsi="楷体" w:eastAsia="楷体" w:cs="楷体"/>
                <w:b/>
                <w:bCs/>
                <w:color w:val="000000"/>
                <w:sz w:val="21"/>
                <w:szCs w:val="21"/>
                <w:highlight w:val="none"/>
                <w:lang w:val="en-US" w:eastAsia="zh-CN"/>
              </w:rPr>
              <w:t>项目概况</w:t>
            </w:r>
            <w:bookmarkStart w:id="119" w:name="OLE_LINK105"/>
          </w:p>
          <w:p w14:paraId="7FC796DB">
            <w:pPr>
              <w:pStyle w:val="22"/>
              <w:pageBreakBefore w:val="0"/>
              <w:kinsoku/>
              <w:wordWrap/>
              <w:overflowPunct/>
              <w:topLinePunct w:val="0"/>
              <w:autoSpaceDE/>
              <w:autoSpaceDN/>
              <w:bidi w:val="0"/>
              <w:adjustRightInd/>
              <w:snapToGrid/>
              <w:spacing w:line="360" w:lineRule="auto"/>
              <w:ind w:firstLine="480"/>
              <w:textAlignment w:val="auto"/>
              <w:rPr>
                <w:rFonts w:hint="eastAsia" w:ascii="楷体" w:hAnsi="楷体" w:eastAsia="楷体" w:cs="楷体"/>
                <w:sz w:val="21"/>
                <w:szCs w:val="21"/>
                <w:highlight w:val="none"/>
                <w:lang w:eastAsia="zh-CN"/>
              </w:rPr>
            </w:pPr>
            <w:r>
              <w:rPr>
                <w:rFonts w:hint="eastAsia" w:ascii="楷体" w:hAnsi="楷体" w:eastAsia="楷体" w:cs="楷体"/>
                <w:sz w:val="21"/>
                <w:szCs w:val="21"/>
                <w:highlight w:val="none"/>
                <w:lang w:eastAsia="zh-CN"/>
              </w:rPr>
              <w:t>为规范市场秩序，加强生态环境和安全相关产品质量管控，</w:t>
            </w:r>
            <w:r>
              <w:rPr>
                <w:rFonts w:hint="eastAsia" w:ascii="楷体" w:hAnsi="楷体" w:eastAsia="楷体" w:cs="楷体"/>
                <w:sz w:val="21"/>
                <w:szCs w:val="21"/>
                <w:highlight w:val="none"/>
              </w:rPr>
              <w:t>计划在2025年</w:t>
            </w:r>
            <w:r>
              <w:rPr>
                <w:rFonts w:hint="eastAsia" w:ascii="楷体" w:hAnsi="楷体" w:eastAsia="楷体" w:cs="楷体"/>
                <w:sz w:val="21"/>
                <w:szCs w:val="21"/>
                <w:highlight w:val="none"/>
                <w:lang w:eastAsia="zh-CN"/>
              </w:rPr>
              <w:t>进行生态环境和安全相关产品质量监督抽查。</w:t>
            </w:r>
          </w:p>
          <w:p w14:paraId="6D5E469E">
            <w:pPr>
              <w:pStyle w:val="24"/>
              <w:keepNext/>
              <w:keepLines/>
              <w:numPr>
                <w:ilvl w:val="0"/>
                <w:numId w:val="7"/>
              </w:numPr>
              <w:pBdr>
                <w:bottom w:val="single" w:color="auto" w:sz="4" w:space="0"/>
              </w:pBdr>
              <w:spacing w:after="156" w:afterLines="50" w:line="622" w:lineRule="exact"/>
              <w:ind w:left="0" w:leftChars="0" w:firstLine="0" w:firstLineChars="0"/>
              <w:jc w:val="both"/>
              <w:rPr>
                <w:rFonts w:hint="eastAsia" w:ascii="楷体" w:hAnsi="楷体" w:eastAsia="楷体" w:cs="楷体"/>
                <w:color w:val="000000"/>
                <w:kern w:val="2"/>
                <w:sz w:val="21"/>
                <w:szCs w:val="21"/>
                <w:highlight w:val="none"/>
                <w:lang w:val="en-US" w:eastAsia="zh-CN" w:bidi="ar-SA"/>
              </w:rPr>
            </w:pPr>
            <w:r>
              <w:rPr>
                <w:rFonts w:hint="eastAsia" w:ascii="楷体" w:hAnsi="楷体" w:eastAsia="楷体" w:cs="楷体"/>
                <w:color w:val="000000"/>
                <w:kern w:val="2"/>
                <w:sz w:val="21"/>
                <w:szCs w:val="21"/>
                <w:highlight w:val="none"/>
                <w:lang w:val="en-US" w:eastAsia="zh-CN" w:bidi="ar-SA"/>
              </w:rPr>
              <w:t>服务内容及执行标准</w:t>
            </w:r>
          </w:p>
          <w:tbl>
            <w:tblPr>
              <w:tblStyle w:val="18"/>
              <w:tblpPr w:leftFromText="180" w:rightFromText="180" w:vertAnchor="text" w:horzAnchor="page" w:tblpX="113" w:tblpY="418"/>
              <w:tblOverlap w:val="never"/>
              <w:tblW w:w="70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8"/>
              <w:gridCol w:w="2145"/>
              <w:gridCol w:w="2323"/>
              <w:gridCol w:w="1639"/>
            </w:tblGrid>
            <w:tr w14:paraId="1C7FA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8" w:type="dxa"/>
                  <w:noWrap w:val="0"/>
                  <w:vAlign w:val="center"/>
                </w:tcPr>
                <w:p w14:paraId="5D462074">
                  <w:pPr>
                    <w:pageBreakBefore w:val="0"/>
                    <w:overflowPunct/>
                    <w:topLinePunct w:val="0"/>
                    <w:bidi w:val="0"/>
                    <w:snapToGrid/>
                    <w:spacing w:line="360" w:lineRule="auto"/>
                    <w:ind w:left="0" w:leftChars="0" w:right="0" w:rightChars="0"/>
                    <w:jc w:val="center"/>
                    <w:rPr>
                      <w:rFonts w:hint="eastAsia" w:ascii="楷体" w:hAnsi="楷体" w:eastAsia="楷体" w:cs="楷体"/>
                      <w:b/>
                      <w:bCs/>
                      <w:color w:val="auto"/>
                      <w:kern w:val="2"/>
                      <w:sz w:val="21"/>
                      <w:szCs w:val="21"/>
                      <w:highlight w:val="none"/>
                      <w:lang w:val="en-US" w:eastAsia="zh-CN" w:bidi="ar-SA"/>
                    </w:rPr>
                  </w:pPr>
                  <w:r>
                    <w:rPr>
                      <w:rFonts w:hint="eastAsia" w:ascii="楷体" w:hAnsi="楷体" w:eastAsia="楷体" w:cs="楷体"/>
                      <w:b/>
                      <w:bCs/>
                      <w:color w:val="auto"/>
                      <w:sz w:val="21"/>
                      <w:szCs w:val="21"/>
                      <w:highlight w:val="none"/>
                      <w:lang w:val="en-US" w:eastAsia="zh-CN"/>
                    </w:rPr>
                    <w:t>包号</w:t>
                  </w:r>
                </w:p>
              </w:tc>
              <w:tc>
                <w:tcPr>
                  <w:tcW w:w="2145" w:type="dxa"/>
                  <w:noWrap w:val="0"/>
                  <w:vAlign w:val="center"/>
                </w:tcPr>
                <w:p w14:paraId="4C7068F1">
                  <w:pPr>
                    <w:pageBreakBefore w:val="0"/>
                    <w:overflowPunct/>
                    <w:topLinePunct w:val="0"/>
                    <w:bidi w:val="0"/>
                    <w:snapToGrid/>
                    <w:spacing w:line="360" w:lineRule="auto"/>
                    <w:ind w:left="0" w:leftChars="0" w:right="0" w:rightChars="0"/>
                    <w:jc w:val="center"/>
                    <w:rPr>
                      <w:rFonts w:hint="eastAsia" w:ascii="楷体" w:hAnsi="楷体" w:eastAsia="楷体" w:cs="楷体"/>
                      <w:b/>
                      <w:bCs/>
                      <w:color w:val="auto"/>
                      <w:kern w:val="2"/>
                      <w:sz w:val="21"/>
                      <w:szCs w:val="21"/>
                      <w:highlight w:val="none"/>
                      <w:lang w:val="en-US" w:eastAsia="zh-CN" w:bidi="ar-SA"/>
                    </w:rPr>
                  </w:pPr>
                  <w:r>
                    <w:rPr>
                      <w:rFonts w:hint="eastAsia" w:ascii="楷体" w:hAnsi="楷体" w:eastAsia="楷体" w:cs="楷体"/>
                      <w:b/>
                      <w:bCs/>
                      <w:color w:val="auto"/>
                      <w:sz w:val="21"/>
                      <w:szCs w:val="21"/>
                      <w:highlight w:val="none"/>
                      <w:lang w:val="en-US" w:eastAsia="zh-CN"/>
                    </w:rPr>
                    <w:t>包名称</w:t>
                  </w:r>
                </w:p>
              </w:tc>
              <w:tc>
                <w:tcPr>
                  <w:tcW w:w="2323" w:type="dxa"/>
                  <w:noWrap w:val="0"/>
                  <w:vAlign w:val="center"/>
                </w:tcPr>
                <w:p w14:paraId="72ABB0F5">
                  <w:pPr>
                    <w:pageBreakBefore w:val="0"/>
                    <w:overflowPunct/>
                    <w:topLinePunct w:val="0"/>
                    <w:bidi w:val="0"/>
                    <w:snapToGrid/>
                    <w:spacing w:line="360" w:lineRule="auto"/>
                    <w:ind w:left="0" w:right="0" w:rightChars="0"/>
                    <w:jc w:val="center"/>
                    <w:rPr>
                      <w:rFonts w:hint="eastAsia" w:ascii="楷体" w:hAnsi="楷体" w:eastAsia="楷体" w:cs="楷体"/>
                      <w:b/>
                      <w:bCs/>
                      <w:color w:val="auto"/>
                      <w:sz w:val="21"/>
                      <w:szCs w:val="21"/>
                      <w:highlight w:val="none"/>
                      <w:lang w:val="en-US" w:eastAsia="zh-CN"/>
                    </w:rPr>
                  </w:pPr>
                  <w:r>
                    <w:rPr>
                      <w:rFonts w:hint="eastAsia" w:ascii="楷体" w:hAnsi="楷体" w:eastAsia="楷体" w:cs="楷体"/>
                      <w:b/>
                      <w:bCs/>
                      <w:color w:val="auto"/>
                      <w:sz w:val="21"/>
                      <w:szCs w:val="21"/>
                      <w:highlight w:val="none"/>
                      <w:lang w:val="en-US" w:eastAsia="zh-CN"/>
                    </w:rPr>
                    <w:t>包预算</w:t>
                  </w:r>
                </w:p>
                <w:p w14:paraId="251A6E37">
                  <w:pPr>
                    <w:pageBreakBefore w:val="0"/>
                    <w:overflowPunct/>
                    <w:topLinePunct w:val="0"/>
                    <w:bidi w:val="0"/>
                    <w:snapToGrid/>
                    <w:spacing w:line="360" w:lineRule="auto"/>
                    <w:ind w:left="0" w:leftChars="0" w:right="0" w:rightChars="0"/>
                    <w:jc w:val="center"/>
                    <w:rPr>
                      <w:rFonts w:hint="eastAsia" w:ascii="楷体" w:hAnsi="楷体" w:eastAsia="楷体" w:cs="楷体"/>
                      <w:b/>
                      <w:bCs/>
                      <w:color w:val="auto"/>
                      <w:kern w:val="2"/>
                      <w:sz w:val="21"/>
                      <w:szCs w:val="21"/>
                      <w:highlight w:val="none"/>
                      <w:lang w:val="en-US" w:eastAsia="zh-CN" w:bidi="ar-SA"/>
                    </w:rPr>
                  </w:pPr>
                  <w:r>
                    <w:rPr>
                      <w:rFonts w:hint="eastAsia" w:ascii="楷体" w:hAnsi="楷体" w:eastAsia="楷体" w:cs="楷体"/>
                      <w:b/>
                      <w:bCs/>
                      <w:color w:val="auto"/>
                      <w:sz w:val="21"/>
                      <w:szCs w:val="21"/>
                      <w:highlight w:val="none"/>
                      <w:lang w:val="en-US" w:eastAsia="zh-CN"/>
                    </w:rPr>
                    <w:t>（万元）</w:t>
                  </w:r>
                </w:p>
              </w:tc>
              <w:tc>
                <w:tcPr>
                  <w:tcW w:w="1639" w:type="dxa"/>
                  <w:noWrap w:val="0"/>
                  <w:vAlign w:val="center"/>
                </w:tcPr>
                <w:p w14:paraId="7FFF49D4">
                  <w:pPr>
                    <w:pageBreakBefore w:val="0"/>
                    <w:overflowPunct/>
                    <w:topLinePunct w:val="0"/>
                    <w:bidi w:val="0"/>
                    <w:snapToGrid/>
                    <w:spacing w:line="360" w:lineRule="auto"/>
                    <w:ind w:left="0" w:leftChars="0" w:right="0" w:rightChars="0"/>
                    <w:jc w:val="center"/>
                    <w:rPr>
                      <w:rFonts w:hint="eastAsia" w:ascii="楷体" w:hAnsi="楷体" w:eastAsia="楷体" w:cs="楷体"/>
                      <w:b/>
                      <w:bCs/>
                      <w:color w:val="auto"/>
                      <w:kern w:val="2"/>
                      <w:sz w:val="21"/>
                      <w:szCs w:val="21"/>
                      <w:highlight w:val="none"/>
                      <w:lang w:val="en-US" w:eastAsia="zh-CN" w:bidi="ar-SA"/>
                    </w:rPr>
                  </w:pPr>
                  <w:r>
                    <w:rPr>
                      <w:rFonts w:hint="eastAsia" w:ascii="楷体" w:hAnsi="楷体" w:eastAsia="楷体" w:cs="楷体"/>
                      <w:b/>
                      <w:bCs/>
                      <w:color w:val="auto"/>
                      <w:sz w:val="21"/>
                      <w:szCs w:val="21"/>
                      <w:highlight w:val="none"/>
                      <w:lang w:val="en-US" w:eastAsia="zh-CN"/>
                    </w:rPr>
                    <w:t>备注</w:t>
                  </w:r>
                </w:p>
              </w:tc>
            </w:tr>
            <w:tr w14:paraId="5BE69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8" w:type="dxa"/>
                  <w:noWrap w:val="0"/>
                  <w:vAlign w:val="center"/>
                </w:tcPr>
                <w:p w14:paraId="328EF23D">
                  <w:pPr>
                    <w:pageBreakBefore w:val="0"/>
                    <w:overflowPunct/>
                    <w:topLinePunct w:val="0"/>
                    <w:bidi w:val="0"/>
                    <w:snapToGrid/>
                    <w:spacing w:line="360" w:lineRule="auto"/>
                    <w:ind w:left="0" w:leftChars="0" w:right="0" w:rightChars="0"/>
                    <w:jc w:val="center"/>
                    <w:rPr>
                      <w:rFonts w:hint="eastAsia" w:ascii="楷体" w:hAnsi="楷体" w:eastAsia="楷体" w:cs="楷体"/>
                      <w:b/>
                      <w:bCs/>
                      <w:color w:val="auto"/>
                      <w:kern w:val="2"/>
                      <w:sz w:val="21"/>
                      <w:szCs w:val="21"/>
                      <w:highlight w:val="none"/>
                      <w:lang w:val="en-US" w:eastAsia="zh-CN" w:bidi="ar-SA"/>
                    </w:rPr>
                  </w:pPr>
                  <w:r>
                    <w:rPr>
                      <w:rFonts w:hint="eastAsia" w:ascii="楷体" w:hAnsi="楷体" w:eastAsia="楷体" w:cs="楷体"/>
                      <w:b/>
                      <w:bCs/>
                      <w:color w:val="auto"/>
                      <w:kern w:val="2"/>
                      <w:sz w:val="21"/>
                      <w:szCs w:val="21"/>
                      <w:highlight w:val="none"/>
                      <w:lang w:val="en-US" w:eastAsia="zh-CN" w:bidi="ar-SA"/>
                    </w:rPr>
                    <w:t>一</w:t>
                  </w:r>
                </w:p>
              </w:tc>
              <w:tc>
                <w:tcPr>
                  <w:tcW w:w="2145" w:type="dxa"/>
                  <w:noWrap w:val="0"/>
                  <w:vAlign w:val="center"/>
                </w:tcPr>
                <w:p w14:paraId="6057CDE8">
                  <w:pPr>
                    <w:pageBreakBefore w:val="0"/>
                    <w:overflowPunct/>
                    <w:topLinePunct w:val="0"/>
                    <w:bidi w:val="0"/>
                    <w:snapToGrid/>
                    <w:spacing w:line="360" w:lineRule="auto"/>
                    <w:ind w:left="0" w:leftChars="0" w:right="0" w:rightChars="0"/>
                    <w:jc w:val="center"/>
                    <w:rPr>
                      <w:rFonts w:hint="eastAsia" w:ascii="楷体" w:hAnsi="楷体" w:eastAsia="楷体" w:cs="楷体"/>
                      <w:b/>
                      <w:bCs/>
                      <w:color w:val="auto"/>
                      <w:kern w:val="0"/>
                      <w:sz w:val="21"/>
                      <w:szCs w:val="21"/>
                      <w:highlight w:val="none"/>
                      <w:lang w:val="en-US" w:eastAsia="zh-CN" w:bidi="ar-SA"/>
                    </w:rPr>
                  </w:pPr>
                  <w:r>
                    <w:rPr>
                      <w:rFonts w:hint="eastAsia" w:ascii="楷体" w:hAnsi="楷体" w:eastAsia="楷体" w:cs="楷体"/>
                      <w:b/>
                      <w:bCs/>
                      <w:color w:val="auto"/>
                      <w:kern w:val="0"/>
                      <w:sz w:val="21"/>
                      <w:szCs w:val="21"/>
                      <w:highlight w:val="none"/>
                      <w:lang w:val="en-US" w:eastAsia="zh-CN" w:bidi="ar-SA"/>
                    </w:rPr>
                    <w:t>车用成品油</w:t>
                  </w:r>
                </w:p>
                <w:p w14:paraId="3CDC5036">
                  <w:pPr>
                    <w:pageBreakBefore w:val="0"/>
                    <w:overflowPunct/>
                    <w:topLinePunct w:val="0"/>
                    <w:bidi w:val="0"/>
                    <w:snapToGrid/>
                    <w:spacing w:line="360" w:lineRule="auto"/>
                    <w:ind w:left="0" w:leftChars="0" w:right="0" w:rightChars="0"/>
                    <w:jc w:val="center"/>
                    <w:rPr>
                      <w:rFonts w:hint="eastAsia" w:ascii="楷体" w:hAnsi="楷体" w:eastAsia="楷体" w:cs="楷体"/>
                      <w:b/>
                      <w:bCs/>
                      <w:color w:val="auto"/>
                      <w:kern w:val="2"/>
                      <w:sz w:val="21"/>
                      <w:szCs w:val="21"/>
                      <w:highlight w:val="none"/>
                      <w:lang w:val="en-US" w:eastAsia="zh-CN" w:bidi="ar-SA"/>
                    </w:rPr>
                  </w:pPr>
                  <w:r>
                    <w:rPr>
                      <w:rFonts w:hint="eastAsia" w:ascii="楷体" w:hAnsi="楷体" w:eastAsia="楷体" w:cs="楷体"/>
                      <w:b/>
                      <w:bCs/>
                      <w:color w:val="auto"/>
                      <w:kern w:val="0"/>
                      <w:sz w:val="21"/>
                      <w:szCs w:val="21"/>
                      <w:highlight w:val="none"/>
                      <w:lang w:val="en-US" w:eastAsia="zh-CN" w:bidi="ar-SA"/>
                    </w:rPr>
                    <w:t>快速筛查</w:t>
                  </w:r>
                </w:p>
              </w:tc>
              <w:tc>
                <w:tcPr>
                  <w:tcW w:w="2323" w:type="dxa"/>
                  <w:noWrap w:val="0"/>
                  <w:vAlign w:val="center"/>
                </w:tcPr>
                <w:p w14:paraId="78C55ED9">
                  <w:pPr>
                    <w:pageBreakBefore w:val="0"/>
                    <w:overflowPunct/>
                    <w:topLinePunct w:val="0"/>
                    <w:bidi w:val="0"/>
                    <w:snapToGrid/>
                    <w:spacing w:line="360" w:lineRule="auto"/>
                    <w:ind w:left="0" w:leftChars="0" w:right="0" w:rightChars="0"/>
                    <w:jc w:val="center"/>
                    <w:rPr>
                      <w:rFonts w:hint="eastAsia" w:ascii="楷体" w:hAnsi="楷体" w:eastAsia="楷体" w:cs="楷体"/>
                      <w:b/>
                      <w:bCs/>
                      <w:color w:val="000000"/>
                      <w:kern w:val="2"/>
                      <w:sz w:val="21"/>
                      <w:szCs w:val="21"/>
                      <w:highlight w:val="none"/>
                      <w:vertAlign w:val="baseline"/>
                      <w:lang w:val="en-US" w:eastAsia="zh-CN" w:bidi="ar-SA"/>
                    </w:rPr>
                  </w:pPr>
                  <w:r>
                    <w:rPr>
                      <w:rFonts w:hint="eastAsia" w:ascii="楷体" w:hAnsi="楷体" w:eastAsia="楷体" w:cs="楷体"/>
                      <w:b/>
                      <w:bCs/>
                      <w:color w:val="auto"/>
                      <w:sz w:val="21"/>
                      <w:szCs w:val="21"/>
                      <w:highlight w:val="none"/>
                      <w:lang w:val="en-US" w:eastAsia="zh-CN"/>
                    </w:rPr>
                    <w:t>30</w:t>
                  </w:r>
                </w:p>
              </w:tc>
              <w:tc>
                <w:tcPr>
                  <w:tcW w:w="1639" w:type="dxa"/>
                  <w:noWrap w:val="0"/>
                  <w:vAlign w:val="center"/>
                </w:tcPr>
                <w:p w14:paraId="64EED0F3">
                  <w:pPr>
                    <w:pageBreakBefore w:val="0"/>
                    <w:overflowPunct/>
                    <w:topLinePunct w:val="0"/>
                    <w:bidi w:val="0"/>
                    <w:snapToGrid/>
                    <w:spacing w:line="360" w:lineRule="auto"/>
                    <w:ind w:left="0" w:leftChars="0" w:right="0" w:rightChars="0"/>
                    <w:jc w:val="center"/>
                    <w:rPr>
                      <w:rFonts w:hint="eastAsia" w:ascii="楷体" w:hAnsi="楷体" w:eastAsia="楷体" w:cs="楷体"/>
                      <w:b/>
                      <w:bCs/>
                      <w:color w:val="000000"/>
                      <w:kern w:val="2"/>
                      <w:sz w:val="21"/>
                      <w:szCs w:val="21"/>
                      <w:highlight w:val="none"/>
                      <w:vertAlign w:val="baseline"/>
                      <w:lang w:val="en-US" w:eastAsia="zh-CN" w:bidi="ar-SA"/>
                    </w:rPr>
                  </w:pPr>
                  <w:r>
                    <w:rPr>
                      <w:rFonts w:hint="eastAsia" w:ascii="楷体" w:hAnsi="楷体" w:eastAsia="楷体" w:cs="楷体"/>
                      <w:b/>
                      <w:bCs/>
                      <w:color w:val="auto"/>
                      <w:sz w:val="21"/>
                      <w:szCs w:val="21"/>
                      <w:highlight w:val="none"/>
                      <w:lang w:val="en-US" w:eastAsia="zh-CN"/>
                    </w:rPr>
                    <w:t>不少于350批次</w:t>
                  </w:r>
                </w:p>
              </w:tc>
            </w:tr>
            <w:tr w14:paraId="276EF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8" w:type="dxa"/>
                  <w:noWrap w:val="0"/>
                  <w:vAlign w:val="center"/>
                </w:tcPr>
                <w:p w14:paraId="288222B0">
                  <w:pPr>
                    <w:pageBreakBefore w:val="0"/>
                    <w:overflowPunct/>
                    <w:topLinePunct w:val="0"/>
                    <w:bidi w:val="0"/>
                    <w:snapToGrid/>
                    <w:spacing w:line="360" w:lineRule="auto"/>
                    <w:ind w:left="0" w:right="0" w:rightChars="0"/>
                    <w:jc w:val="center"/>
                    <w:rPr>
                      <w:rFonts w:hint="eastAsia" w:ascii="楷体" w:hAnsi="楷体" w:eastAsia="楷体" w:cs="楷体"/>
                      <w:bCs/>
                      <w:color w:val="auto"/>
                      <w:sz w:val="21"/>
                      <w:szCs w:val="21"/>
                      <w:highlight w:val="none"/>
                      <w:lang w:val="en-US" w:eastAsia="zh-CN"/>
                    </w:rPr>
                  </w:pPr>
                  <w:r>
                    <w:rPr>
                      <w:rFonts w:hint="eastAsia" w:ascii="楷体" w:hAnsi="楷体" w:eastAsia="楷体" w:cs="楷体"/>
                      <w:bCs/>
                      <w:color w:val="auto"/>
                      <w:sz w:val="21"/>
                      <w:szCs w:val="21"/>
                      <w:highlight w:val="none"/>
                      <w:lang w:val="en-US" w:eastAsia="zh-CN"/>
                    </w:rPr>
                    <w:t>产品</w:t>
                  </w:r>
                </w:p>
                <w:p w14:paraId="7C9A687B">
                  <w:pPr>
                    <w:pageBreakBefore w:val="0"/>
                    <w:overflowPunct/>
                    <w:topLinePunct w:val="0"/>
                    <w:bidi w:val="0"/>
                    <w:snapToGrid/>
                    <w:spacing w:line="360" w:lineRule="auto"/>
                    <w:ind w:left="0" w:leftChars="0" w:right="0" w:rightChars="0"/>
                    <w:jc w:val="center"/>
                    <w:rPr>
                      <w:rFonts w:hint="eastAsia" w:ascii="楷体" w:hAnsi="楷体" w:eastAsia="楷体" w:cs="楷体"/>
                      <w:bCs/>
                      <w:color w:val="auto"/>
                      <w:kern w:val="2"/>
                      <w:sz w:val="21"/>
                      <w:szCs w:val="21"/>
                      <w:highlight w:val="none"/>
                      <w:lang w:val="en-US" w:eastAsia="zh-CN" w:bidi="ar-SA"/>
                    </w:rPr>
                  </w:pPr>
                  <w:r>
                    <w:rPr>
                      <w:rFonts w:hint="eastAsia" w:ascii="楷体" w:hAnsi="楷体" w:eastAsia="楷体" w:cs="楷体"/>
                      <w:bCs/>
                      <w:color w:val="auto"/>
                      <w:sz w:val="21"/>
                      <w:szCs w:val="21"/>
                      <w:highlight w:val="none"/>
                      <w:lang w:val="en-US" w:eastAsia="zh-CN"/>
                    </w:rPr>
                    <w:t>名称</w:t>
                  </w:r>
                </w:p>
              </w:tc>
              <w:tc>
                <w:tcPr>
                  <w:tcW w:w="2145" w:type="dxa"/>
                  <w:noWrap w:val="0"/>
                  <w:vAlign w:val="center"/>
                </w:tcPr>
                <w:p w14:paraId="67352F5C">
                  <w:pPr>
                    <w:pageBreakBefore w:val="0"/>
                    <w:overflowPunct/>
                    <w:topLinePunct w:val="0"/>
                    <w:bidi w:val="0"/>
                    <w:snapToGrid/>
                    <w:spacing w:line="360" w:lineRule="auto"/>
                    <w:ind w:left="0" w:leftChars="0" w:right="0" w:rightChars="0"/>
                    <w:jc w:val="center"/>
                    <w:rPr>
                      <w:rFonts w:hint="eastAsia" w:ascii="楷体" w:hAnsi="楷体" w:eastAsia="楷体" w:cs="楷体"/>
                      <w:bCs/>
                      <w:color w:val="auto"/>
                      <w:kern w:val="2"/>
                      <w:sz w:val="21"/>
                      <w:szCs w:val="21"/>
                      <w:highlight w:val="none"/>
                      <w:lang w:val="en-US" w:eastAsia="zh-CN" w:bidi="ar-SA"/>
                    </w:rPr>
                  </w:pPr>
                  <w:r>
                    <w:rPr>
                      <w:rFonts w:hint="eastAsia" w:ascii="楷体" w:hAnsi="楷体" w:eastAsia="楷体" w:cs="楷体"/>
                      <w:bCs/>
                      <w:color w:val="auto"/>
                      <w:sz w:val="21"/>
                      <w:szCs w:val="21"/>
                      <w:highlight w:val="none"/>
                      <w:lang w:val="en-US" w:eastAsia="zh-CN"/>
                    </w:rPr>
                    <w:t>执行标准</w:t>
                  </w:r>
                </w:p>
              </w:tc>
              <w:tc>
                <w:tcPr>
                  <w:tcW w:w="3962" w:type="dxa"/>
                  <w:gridSpan w:val="2"/>
                  <w:noWrap w:val="0"/>
                  <w:vAlign w:val="center"/>
                </w:tcPr>
                <w:p w14:paraId="7EEDC91E">
                  <w:pPr>
                    <w:pStyle w:val="8"/>
                    <w:jc w:val="center"/>
                    <w:rPr>
                      <w:rFonts w:hint="eastAsia" w:ascii="楷体" w:hAnsi="楷体" w:eastAsia="楷体" w:cs="楷体"/>
                      <w:b/>
                      <w:bCs/>
                      <w:color w:val="000000"/>
                      <w:kern w:val="2"/>
                      <w:sz w:val="21"/>
                      <w:szCs w:val="21"/>
                      <w:highlight w:val="none"/>
                      <w:vertAlign w:val="baseline"/>
                      <w:lang w:val="en-US" w:eastAsia="zh-CN" w:bidi="ar-SA"/>
                    </w:rPr>
                  </w:pPr>
                  <w:r>
                    <w:rPr>
                      <w:rFonts w:hint="eastAsia" w:ascii="楷体" w:hAnsi="楷体" w:eastAsia="楷体" w:cs="楷体"/>
                      <w:bCs/>
                      <w:color w:val="auto"/>
                      <w:sz w:val="21"/>
                      <w:szCs w:val="21"/>
                      <w:highlight w:val="none"/>
                      <w:lang w:val="en-US" w:eastAsia="zh-CN"/>
                    </w:rPr>
                    <w:t>检验项目</w:t>
                  </w:r>
                </w:p>
              </w:tc>
            </w:tr>
            <w:tr w14:paraId="3ADFE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8" w:type="dxa"/>
                  <w:noWrap w:val="0"/>
                  <w:vAlign w:val="center"/>
                </w:tcPr>
                <w:p w14:paraId="43BBEF81">
                  <w:pPr>
                    <w:pageBreakBefore w:val="0"/>
                    <w:overflowPunct/>
                    <w:topLinePunct w:val="0"/>
                    <w:bidi w:val="0"/>
                    <w:snapToGrid/>
                    <w:spacing w:line="360" w:lineRule="auto"/>
                    <w:ind w:left="0" w:right="0" w:rightChars="0"/>
                    <w:jc w:val="center"/>
                    <w:rPr>
                      <w:rFonts w:hint="eastAsia" w:ascii="楷体" w:hAnsi="楷体" w:eastAsia="楷体" w:cs="楷体"/>
                      <w:bCs/>
                      <w:color w:val="auto"/>
                      <w:sz w:val="21"/>
                      <w:szCs w:val="21"/>
                      <w:highlight w:val="none"/>
                      <w:lang w:val="en-US" w:eastAsia="zh-CN"/>
                    </w:rPr>
                  </w:pPr>
                  <w:r>
                    <w:rPr>
                      <w:rFonts w:hint="eastAsia" w:ascii="楷体" w:hAnsi="楷体" w:eastAsia="楷体" w:cs="楷体"/>
                      <w:bCs/>
                      <w:color w:val="auto"/>
                      <w:sz w:val="21"/>
                      <w:szCs w:val="21"/>
                      <w:highlight w:val="none"/>
                      <w:lang w:val="en-US" w:eastAsia="zh-CN"/>
                    </w:rPr>
                    <w:t>车用</w:t>
                  </w:r>
                </w:p>
                <w:p w14:paraId="3CDFC42A">
                  <w:pPr>
                    <w:pageBreakBefore w:val="0"/>
                    <w:overflowPunct/>
                    <w:topLinePunct w:val="0"/>
                    <w:bidi w:val="0"/>
                    <w:snapToGrid/>
                    <w:spacing w:line="360" w:lineRule="auto"/>
                    <w:ind w:left="0" w:leftChars="0" w:right="0" w:rightChars="0"/>
                    <w:jc w:val="center"/>
                    <w:rPr>
                      <w:rFonts w:hint="eastAsia" w:ascii="楷体" w:hAnsi="楷体" w:eastAsia="楷体" w:cs="楷体"/>
                      <w:bCs/>
                      <w:color w:val="auto"/>
                      <w:kern w:val="2"/>
                      <w:sz w:val="21"/>
                      <w:szCs w:val="21"/>
                      <w:highlight w:val="none"/>
                      <w:lang w:val="en-US" w:eastAsia="zh-CN" w:bidi="ar-SA"/>
                    </w:rPr>
                  </w:pPr>
                  <w:r>
                    <w:rPr>
                      <w:rFonts w:hint="eastAsia" w:ascii="楷体" w:hAnsi="楷体" w:eastAsia="楷体" w:cs="楷体"/>
                      <w:bCs/>
                      <w:color w:val="auto"/>
                      <w:sz w:val="21"/>
                      <w:szCs w:val="21"/>
                      <w:highlight w:val="none"/>
                      <w:lang w:val="en-US" w:eastAsia="zh-CN"/>
                    </w:rPr>
                    <w:t>汽油</w:t>
                  </w:r>
                </w:p>
              </w:tc>
              <w:tc>
                <w:tcPr>
                  <w:tcW w:w="2145" w:type="dxa"/>
                  <w:noWrap w:val="0"/>
                  <w:vAlign w:val="center"/>
                </w:tcPr>
                <w:p w14:paraId="2076F88B">
                  <w:pPr>
                    <w:pageBreakBefore w:val="0"/>
                    <w:overflowPunct/>
                    <w:topLinePunct w:val="0"/>
                    <w:bidi w:val="0"/>
                    <w:snapToGrid/>
                    <w:spacing w:line="360" w:lineRule="auto"/>
                    <w:ind w:left="0" w:leftChars="0" w:right="0" w:rightChars="0"/>
                    <w:jc w:val="left"/>
                    <w:rPr>
                      <w:rFonts w:hint="eastAsia" w:ascii="楷体" w:hAnsi="楷体" w:eastAsia="楷体" w:cs="楷体"/>
                      <w:bCs/>
                      <w:color w:val="auto"/>
                      <w:kern w:val="2"/>
                      <w:sz w:val="21"/>
                      <w:szCs w:val="21"/>
                      <w:highlight w:val="none"/>
                      <w:lang w:val="en-US" w:eastAsia="zh-CN" w:bidi="ar-SA"/>
                    </w:rPr>
                  </w:pPr>
                  <w:r>
                    <w:rPr>
                      <w:rFonts w:hint="eastAsia" w:ascii="楷体" w:hAnsi="楷体" w:eastAsia="楷体" w:cs="楷体"/>
                      <w:bCs/>
                      <w:color w:val="auto"/>
                      <w:sz w:val="21"/>
                      <w:szCs w:val="21"/>
                      <w:highlight w:val="none"/>
                    </w:rPr>
                    <w:t xml:space="preserve">GB </w:t>
                  </w:r>
                  <w:r>
                    <w:rPr>
                      <w:rFonts w:hint="eastAsia" w:ascii="楷体" w:hAnsi="楷体" w:eastAsia="楷体" w:cs="楷体"/>
                      <w:bCs/>
                      <w:color w:val="auto"/>
                      <w:sz w:val="21"/>
                      <w:szCs w:val="21"/>
                      <w:highlight w:val="none"/>
                      <w:lang w:val="en-US" w:eastAsia="zh-CN"/>
                    </w:rPr>
                    <w:t>17930</w:t>
                  </w:r>
                  <w:r>
                    <w:rPr>
                      <w:rFonts w:hint="eastAsia" w:ascii="楷体" w:hAnsi="楷体" w:eastAsia="楷体" w:cs="楷体"/>
                      <w:bCs/>
                      <w:color w:val="auto"/>
                      <w:sz w:val="21"/>
                      <w:szCs w:val="21"/>
                      <w:highlight w:val="none"/>
                    </w:rPr>
                    <w:t>—201</w:t>
                  </w:r>
                  <w:r>
                    <w:rPr>
                      <w:rFonts w:hint="eastAsia" w:ascii="楷体" w:hAnsi="楷体" w:eastAsia="楷体" w:cs="楷体"/>
                      <w:bCs/>
                      <w:color w:val="auto"/>
                      <w:sz w:val="21"/>
                      <w:szCs w:val="21"/>
                      <w:highlight w:val="none"/>
                      <w:lang w:val="en-US" w:eastAsia="zh-CN"/>
                    </w:rPr>
                    <w:t>6</w:t>
                  </w:r>
                  <w:r>
                    <w:rPr>
                      <w:rFonts w:hint="eastAsia" w:ascii="楷体" w:hAnsi="楷体" w:eastAsia="楷体" w:cs="楷体"/>
                      <w:color w:val="auto"/>
                      <w:sz w:val="21"/>
                      <w:szCs w:val="21"/>
                      <w:highlight w:val="none"/>
                      <w:lang w:eastAsia="zh-CN"/>
                    </w:rPr>
                    <w:t>等</w:t>
                  </w:r>
                  <w:r>
                    <w:rPr>
                      <w:rFonts w:hint="eastAsia" w:ascii="楷体" w:hAnsi="楷体" w:eastAsia="楷体" w:cs="楷体"/>
                      <w:color w:val="auto"/>
                      <w:sz w:val="21"/>
                      <w:szCs w:val="21"/>
                      <w:highlight w:val="none"/>
                    </w:rPr>
                    <w:t>现行有效的企业标准、团体标准、地方标准及产品明示质量要求</w:t>
                  </w:r>
                </w:p>
              </w:tc>
              <w:tc>
                <w:tcPr>
                  <w:tcW w:w="3962" w:type="dxa"/>
                  <w:gridSpan w:val="2"/>
                  <w:noWrap w:val="0"/>
                  <w:vAlign w:val="center"/>
                </w:tcPr>
                <w:p w14:paraId="51A450BB">
                  <w:pPr>
                    <w:pageBreakBefore w:val="0"/>
                    <w:overflowPunct/>
                    <w:topLinePunct w:val="0"/>
                    <w:bidi w:val="0"/>
                    <w:snapToGrid/>
                    <w:spacing w:line="360" w:lineRule="auto"/>
                    <w:ind w:left="0" w:leftChars="0" w:right="0" w:rightChars="0"/>
                    <w:jc w:val="left"/>
                    <w:rPr>
                      <w:rFonts w:hint="eastAsia" w:ascii="楷体" w:hAnsi="楷体" w:eastAsia="楷体" w:cs="楷体"/>
                      <w:bCs/>
                      <w:color w:val="auto"/>
                      <w:sz w:val="21"/>
                      <w:szCs w:val="21"/>
                      <w:highlight w:val="none"/>
                      <w:lang w:val="en-US" w:eastAsia="zh-CN"/>
                    </w:rPr>
                  </w:pPr>
                  <w:r>
                    <w:rPr>
                      <w:rFonts w:hint="eastAsia" w:ascii="楷体" w:hAnsi="楷体" w:eastAsia="楷体" w:cs="楷体"/>
                      <w:bCs/>
                      <w:color w:val="auto"/>
                      <w:sz w:val="21"/>
                      <w:szCs w:val="21"/>
                      <w:highlight w:val="none"/>
                      <w:lang w:val="en-US" w:eastAsia="zh-CN"/>
                    </w:rPr>
                    <w:t>研究法辛烷值、硫含量、烯烃含量、芳烃含量、苯含量、氧含量、甲醇含量、密度、蒸汽压等</w:t>
                  </w:r>
                </w:p>
              </w:tc>
            </w:tr>
            <w:tr w14:paraId="15092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8" w:type="dxa"/>
                  <w:noWrap w:val="0"/>
                  <w:vAlign w:val="center"/>
                </w:tcPr>
                <w:p w14:paraId="705DBC1F">
                  <w:pPr>
                    <w:pageBreakBefore w:val="0"/>
                    <w:overflowPunct/>
                    <w:topLinePunct w:val="0"/>
                    <w:bidi w:val="0"/>
                    <w:snapToGrid/>
                    <w:spacing w:line="360" w:lineRule="auto"/>
                    <w:ind w:left="0" w:right="0" w:rightChars="0"/>
                    <w:jc w:val="center"/>
                    <w:rPr>
                      <w:rFonts w:hint="eastAsia" w:ascii="楷体" w:hAnsi="楷体" w:eastAsia="楷体" w:cs="楷体"/>
                      <w:bCs/>
                      <w:color w:val="auto"/>
                      <w:sz w:val="21"/>
                      <w:szCs w:val="21"/>
                      <w:highlight w:val="none"/>
                      <w:lang w:eastAsia="zh-CN"/>
                    </w:rPr>
                  </w:pPr>
                  <w:r>
                    <w:rPr>
                      <w:rFonts w:hint="eastAsia" w:ascii="楷体" w:hAnsi="楷体" w:eastAsia="楷体" w:cs="楷体"/>
                      <w:bCs/>
                      <w:color w:val="auto"/>
                      <w:sz w:val="21"/>
                      <w:szCs w:val="21"/>
                      <w:highlight w:val="none"/>
                      <w:lang w:eastAsia="zh-CN"/>
                    </w:rPr>
                    <w:t>车用</w:t>
                  </w:r>
                </w:p>
                <w:p w14:paraId="770F2C36">
                  <w:pPr>
                    <w:pageBreakBefore w:val="0"/>
                    <w:overflowPunct/>
                    <w:topLinePunct w:val="0"/>
                    <w:bidi w:val="0"/>
                    <w:snapToGrid/>
                    <w:spacing w:line="360" w:lineRule="auto"/>
                    <w:ind w:left="0" w:leftChars="0" w:right="0" w:rightChars="0"/>
                    <w:jc w:val="center"/>
                    <w:rPr>
                      <w:rFonts w:hint="eastAsia" w:ascii="楷体" w:hAnsi="楷体" w:eastAsia="楷体" w:cs="楷体"/>
                      <w:bCs/>
                      <w:color w:val="auto"/>
                      <w:kern w:val="2"/>
                      <w:sz w:val="21"/>
                      <w:szCs w:val="21"/>
                      <w:highlight w:val="none"/>
                      <w:lang w:val="en-US" w:eastAsia="zh-CN" w:bidi="ar-SA"/>
                    </w:rPr>
                  </w:pPr>
                  <w:r>
                    <w:rPr>
                      <w:rFonts w:hint="eastAsia" w:ascii="楷体" w:hAnsi="楷体" w:eastAsia="楷体" w:cs="楷体"/>
                      <w:bCs/>
                      <w:color w:val="auto"/>
                      <w:sz w:val="21"/>
                      <w:szCs w:val="21"/>
                      <w:highlight w:val="none"/>
                      <w:lang w:eastAsia="zh-CN"/>
                    </w:rPr>
                    <w:t>柴油</w:t>
                  </w:r>
                </w:p>
              </w:tc>
              <w:tc>
                <w:tcPr>
                  <w:tcW w:w="2145" w:type="dxa"/>
                  <w:noWrap w:val="0"/>
                  <w:vAlign w:val="center"/>
                </w:tcPr>
                <w:p w14:paraId="1E78FE00">
                  <w:pPr>
                    <w:pageBreakBefore w:val="0"/>
                    <w:overflowPunct/>
                    <w:topLinePunct w:val="0"/>
                    <w:bidi w:val="0"/>
                    <w:snapToGrid/>
                    <w:spacing w:line="360" w:lineRule="auto"/>
                    <w:ind w:left="0" w:leftChars="0" w:right="0" w:rightChars="0"/>
                    <w:jc w:val="left"/>
                    <w:rPr>
                      <w:rFonts w:hint="eastAsia" w:ascii="楷体" w:hAnsi="楷体" w:eastAsia="楷体" w:cs="楷体"/>
                      <w:color w:val="auto"/>
                      <w:kern w:val="2"/>
                      <w:sz w:val="21"/>
                      <w:szCs w:val="21"/>
                      <w:highlight w:val="none"/>
                      <w:lang w:val="en-US" w:eastAsia="zh-CN" w:bidi="ar-SA"/>
                    </w:rPr>
                  </w:pPr>
                  <w:r>
                    <w:rPr>
                      <w:rFonts w:hint="eastAsia" w:ascii="楷体" w:hAnsi="楷体" w:eastAsia="楷体" w:cs="楷体"/>
                      <w:bCs/>
                      <w:color w:val="auto"/>
                      <w:sz w:val="21"/>
                      <w:szCs w:val="21"/>
                      <w:highlight w:val="none"/>
                    </w:rPr>
                    <w:t>GB 1</w:t>
                  </w:r>
                  <w:r>
                    <w:rPr>
                      <w:rFonts w:hint="eastAsia" w:ascii="楷体" w:hAnsi="楷体" w:eastAsia="楷体" w:cs="楷体"/>
                      <w:bCs/>
                      <w:color w:val="auto"/>
                      <w:sz w:val="21"/>
                      <w:szCs w:val="21"/>
                      <w:highlight w:val="none"/>
                      <w:lang w:val="en-US" w:eastAsia="zh-CN"/>
                    </w:rPr>
                    <w:t>9147</w:t>
                  </w:r>
                  <w:r>
                    <w:rPr>
                      <w:rFonts w:hint="eastAsia" w:ascii="楷体" w:hAnsi="楷体" w:eastAsia="楷体" w:cs="楷体"/>
                      <w:bCs/>
                      <w:color w:val="auto"/>
                      <w:sz w:val="21"/>
                      <w:szCs w:val="21"/>
                      <w:highlight w:val="none"/>
                    </w:rPr>
                    <w:t>-201</w:t>
                  </w:r>
                  <w:r>
                    <w:rPr>
                      <w:rFonts w:hint="eastAsia" w:ascii="楷体" w:hAnsi="楷体" w:eastAsia="楷体" w:cs="楷体"/>
                      <w:bCs/>
                      <w:color w:val="auto"/>
                      <w:sz w:val="21"/>
                      <w:szCs w:val="21"/>
                      <w:highlight w:val="none"/>
                      <w:lang w:val="en-US" w:eastAsia="zh-CN"/>
                    </w:rPr>
                    <w:t>6</w:t>
                  </w:r>
                  <w:r>
                    <w:rPr>
                      <w:rFonts w:hint="eastAsia" w:ascii="楷体" w:hAnsi="楷体" w:eastAsia="楷体" w:cs="楷体"/>
                      <w:color w:val="auto"/>
                      <w:sz w:val="21"/>
                      <w:szCs w:val="21"/>
                      <w:highlight w:val="none"/>
                      <w:lang w:eastAsia="zh-CN"/>
                    </w:rPr>
                    <w:t>等</w:t>
                  </w:r>
                  <w:r>
                    <w:rPr>
                      <w:rFonts w:hint="eastAsia" w:ascii="楷体" w:hAnsi="楷体" w:eastAsia="楷体" w:cs="楷体"/>
                      <w:color w:val="auto"/>
                      <w:sz w:val="21"/>
                      <w:szCs w:val="21"/>
                      <w:highlight w:val="none"/>
                    </w:rPr>
                    <w:t>现行有效的企业标准、团体标准、地方标准及产品明示质量要求</w:t>
                  </w:r>
                </w:p>
              </w:tc>
              <w:tc>
                <w:tcPr>
                  <w:tcW w:w="3962" w:type="dxa"/>
                  <w:gridSpan w:val="2"/>
                  <w:noWrap w:val="0"/>
                  <w:vAlign w:val="center"/>
                </w:tcPr>
                <w:p w14:paraId="469AF637">
                  <w:pPr>
                    <w:pageBreakBefore w:val="0"/>
                    <w:overflowPunct/>
                    <w:topLinePunct w:val="0"/>
                    <w:bidi w:val="0"/>
                    <w:snapToGrid/>
                    <w:spacing w:line="360" w:lineRule="auto"/>
                    <w:ind w:left="0" w:leftChars="0" w:right="0" w:rightChars="0"/>
                    <w:jc w:val="left"/>
                    <w:rPr>
                      <w:rFonts w:hint="eastAsia" w:ascii="楷体" w:hAnsi="楷体" w:eastAsia="楷体" w:cs="楷体"/>
                      <w:bCs/>
                      <w:color w:val="auto"/>
                      <w:sz w:val="21"/>
                      <w:szCs w:val="21"/>
                      <w:highlight w:val="none"/>
                      <w:lang w:val="en-US" w:eastAsia="zh-CN"/>
                    </w:rPr>
                  </w:pPr>
                  <w:r>
                    <w:rPr>
                      <w:rFonts w:hint="eastAsia" w:ascii="楷体" w:hAnsi="楷体" w:eastAsia="楷体" w:cs="楷体"/>
                      <w:bCs/>
                      <w:color w:val="auto"/>
                      <w:sz w:val="21"/>
                      <w:szCs w:val="21"/>
                      <w:highlight w:val="none"/>
                      <w:lang w:val="en-US" w:eastAsia="zh-CN"/>
                    </w:rPr>
                    <w:t>十六烷值、十六烷指数、闪点（闭口）、密度、硫含量、多环芳烃含量、凝点、冷滤点等</w:t>
                  </w:r>
                </w:p>
              </w:tc>
            </w:tr>
          </w:tbl>
          <w:p w14:paraId="2517B797">
            <w:pPr>
              <w:rPr>
                <w:rFonts w:hint="eastAsia" w:ascii="楷体" w:hAnsi="楷体" w:eastAsia="楷体" w:cs="楷体"/>
                <w:b/>
                <w:bCs/>
                <w:color w:val="000000"/>
                <w:kern w:val="2"/>
                <w:sz w:val="21"/>
                <w:szCs w:val="21"/>
                <w:highlight w:val="none"/>
                <w:lang w:val="en-US" w:eastAsia="zh-CN" w:bidi="ar-SA"/>
              </w:rPr>
            </w:pPr>
          </w:p>
          <w:p w14:paraId="0346C385">
            <w:pPr>
              <w:pStyle w:val="24"/>
              <w:keepNext/>
              <w:keepLines/>
              <w:pBdr>
                <w:bottom w:val="single" w:color="auto" w:sz="4" w:space="0"/>
              </w:pBdr>
              <w:spacing w:after="156" w:afterLines="50" w:line="622" w:lineRule="exact"/>
              <w:ind w:left="0" w:leftChars="0" w:firstLine="0" w:firstLineChars="0"/>
              <w:jc w:val="both"/>
              <w:rPr>
                <w:rFonts w:hint="eastAsia" w:ascii="楷体" w:hAnsi="楷体" w:eastAsia="楷体" w:cs="楷体"/>
                <w:b/>
                <w:bCs/>
                <w:color w:val="000000"/>
                <w:sz w:val="21"/>
                <w:szCs w:val="21"/>
                <w:highlight w:val="none"/>
              </w:rPr>
            </w:pPr>
            <w:r>
              <w:rPr>
                <w:rFonts w:hint="eastAsia" w:ascii="楷体" w:hAnsi="楷体" w:eastAsia="楷体" w:cs="楷体"/>
                <w:b/>
                <w:bCs/>
                <w:color w:val="000000"/>
                <w:sz w:val="21"/>
                <w:szCs w:val="21"/>
                <w:highlight w:val="none"/>
                <w:lang w:val="en-US" w:eastAsia="zh-CN"/>
              </w:rPr>
              <w:t>三</w:t>
            </w:r>
            <w:r>
              <w:rPr>
                <w:rFonts w:hint="eastAsia" w:ascii="楷体" w:hAnsi="楷体" w:eastAsia="楷体" w:cs="楷体"/>
                <w:b/>
                <w:bCs/>
                <w:color w:val="000000"/>
                <w:sz w:val="21"/>
                <w:szCs w:val="21"/>
                <w:highlight w:val="none"/>
              </w:rPr>
              <w:t>、商务要求</w:t>
            </w:r>
          </w:p>
          <w:p w14:paraId="069E8B10">
            <w:pPr>
              <w:pStyle w:val="23"/>
              <w:spacing w:after="0" w:line="520" w:lineRule="exact"/>
              <w:ind w:firstLine="420" w:firstLineChars="200"/>
              <w:jc w:val="both"/>
              <w:rPr>
                <w:rFonts w:hint="eastAsia" w:ascii="楷体" w:hAnsi="楷体" w:eastAsia="楷体" w:cs="楷体"/>
                <w:color w:val="000000"/>
                <w:sz w:val="21"/>
                <w:szCs w:val="21"/>
                <w:highlight w:val="none"/>
              </w:rPr>
            </w:pPr>
            <w:r>
              <w:rPr>
                <w:rFonts w:hint="eastAsia" w:ascii="楷体" w:hAnsi="楷体" w:eastAsia="楷体" w:cs="楷体"/>
                <w:color w:val="000000"/>
                <w:sz w:val="21"/>
                <w:szCs w:val="21"/>
                <w:highlight w:val="none"/>
              </w:rPr>
              <w:t>（一）服务期限及地点</w:t>
            </w:r>
          </w:p>
          <w:p w14:paraId="37518BD6">
            <w:pPr>
              <w:pStyle w:val="23"/>
              <w:spacing w:after="0" w:line="520" w:lineRule="exact"/>
              <w:ind w:firstLine="420" w:firstLineChars="200"/>
              <w:jc w:val="both"/>
              <w:rPr>
                <w:rFonts w:hint="eastAsia" w:ascii="楷体" w:hAnsi="楷体" w:eastAsia="楷体" w:cs="楷体"/>
                <w:color w:val="000000"/>
                <w:sz w:val="21"/>
                <w:szCs w:val="21"/>
                <w:highlight w:val="none"/>
              </w:rPr>
            </w:pPr>
            <w:r>
              <w:rPr>
                <w:rFonts w:hint="eastAsia" w:ascii="楷体" w:hAnsi="楷体" w:eastAsia="楷体" w:cs="楷体"/>
                <w:color w:val="000000"/>
                <w:sz w:val="21"/>
                <w:szCs w:val="21"/>
                <w:highlight w:val="none"/>
              </w:rPr>
              <w:t>1.服务期限：自合同签订之日起至</w:t>
            </w:r>
            <w:r>
              <w:rPr>
                <w:rFonts w:hint="eastAsia" w:ascii="楷体" w:hAnsi="楷体" w:eastAsia="楷体" w:cs="楷体"/>
                <w:color w:val="000000"/>
                <w:sz w:val="21"/>
                <w:szCs w:val="21"/>
                <w:highlight w:val="none"/>
                <w:lang w:val="en-US" w:eastAsia="zh-CN"/>
              </w:rPr>
              <w:t>12</w:t>
            </w:r>
            <w:r>
              <w:rPr>
                <w:rFonts w:hint="eastAsia" w:ascii="楷体" w:hAnsi="楷体" w:eastAsia="楷体" w:cs="楷体"/>
                <w:color w:val="000000"/>
                <w:sz w:val="21"/>
                <w:szCs w:val="21"/>
                <w:highlight w:val="none"/>
              </w:rPr>
              <w:t>月底，</w:t>
            </w:r>
            <w:r>
              <w:rPr>
                <w:rFonts w:hint="eastAsia" w:ascii="楷体" w:hAnsi="楷体" w:eastAsia="楷体" w:cs="楷体"/>
                <w:color w:val="000000"/>
                <w:sz w:val="21"/>
                <w:szCs w:val="21"/>
                <w:highlight w:val="none"/>
                <w:lang w:eastAsia="zh-CN"/>
              </w:rPr>
              <w:t>分批次完成质量监督抽查</w:t>
            </w:r>
            <w:r>
              <w:rPr>
                <w:rFonts w:hint="eastAsia" w:ascii="楷体" w:hAnsi="楷体" w:eastAsia="楷体" w:cs="楷体"/>
                <w:color w:val="000000"/>
                <w:sz w:val="21"/>
                <w:szCs w:val="21"/>
                <w:highlight w:val="none"/>
              </w:rPr>
              <w:t>。</w:t>
            </w:r>
          </w:p>
          <w:p w14:paraId="375751A6">
            <w:pPr>
              <w:pStyle w:val="23"/>
              <w:spacing w:after="0" w:line="520" w:lineRule="exact"/>
              <w:ind w:firstLine="420" w:firstLineChars="200"/>
              <w:jc w:val="both"/>
              <w:rPr>
                <w:rFonts w:hint="eastAsia" w:ascii="楷体" w:hAnsi="楷体" w:eastAsia="楷体" w:cs="楷体"/>
                <w:color w:val="000000"/>
                <w:sz w:val="21"/>
                <w:szCs w:val="21"/>
                <w:highlight w:val="none"/>
              </w:rPr>
            </w:pPr>
            <w:r>
              <w:rPr>
                <w:rFonts w:hint="eastAsia" w:ascii="楷体" w:hAnsi="楷体" w:eastAsia="楷体" w:cs="楷体"/>
                <w:color w:val="000000"/>
                <w:sz w:val="21"/>
                <w:szCs w:val="21"/>
                <w:highlight w:val="none"/>
              </w:rPr>
              <w:t>2.服务地点：采购方指定地点。</w:t>
            </w:r>
          </w:p>
          <w:p w14:paraId="315C0395">
            <w:pPr>
              <w:pStyle w:val="23"/>
              <w:spacing w:after="0" w:line="520" w:lineRule="exact"/>
              <w:ind w:firstLine="420" w:firstLineChars="200"/>
              <w:jc w:val="both"/>
              <w:rPr>
                <w:rFonts w:hint="eastAsia" w:ascii="楷体" w:hAnsi="楷体" w:eastAsia="楷体" w:cs="楷体"/>
                <w:color w:val="000000"/>
                <w:sz w:val="21"/>
                <w:szCs w:val="21"/>
                <w:highlight w:val="none"/>
              </w:rPr>
            </w:pPr>
            <w:r>
              <w:rPr>
                <w:rFonts w:hint="eastAsia" w:ascii="楷体" w:hAnsi="楷体" w:eastAsia="楷体" w:cs="楷体"/>
                <w:color w:val="000000"/>
                <w:sz w:val="21"/>
                <w:szCs w:val="21"/>
                <w:highlight w:val="none"/>
              </w:rPr>
              <w:t>（二）款项结算</w:t>
            </w:r>
          </w:p>
          <w:p w14:paraId="5DF7BE90">
            <w:pPr>
              <w:pStyle w:val="23"/>
              <w:spacing w:after="0" w:line="520" w:lineRule="exact"/>
              <w:ind w:firstLine="420" w:firstLineChars="200"/>
              <w:jc w:val="both"/>
              <w:rPr>
                <w:rFonts w:hint="eastAsia" w:ascii="楷体" w:hAnsi="楷体" w:eastAsia="楷体" w:cs="楷体"/>
                <w:color w:val="000000"/>
                <w:sz w:val="21"/>
                <w:szCs w:val="21"/>
                <w:highlight w:val="none"/>
              </w:rPr>
            </w:pPr>
            <w:r>
              <w:rPr>
                <w:rFonts w:hint="eastAsia" w:ascii="楷体" w:hAnsi="楷体" w:eastAsia="楷体" w:cs="楷体"/>
                <w:color w:val="000000"/>
                <w:sz w:val="21"/>
                <w:szCs w:val="21"/>
                <w:highlight w:val="none"/>
              </w:rPr>
              <w:t>根据采购方工作实际需求进行分批</w:t>
            </w:r>
            <w:r>
              <w:rPr>
                <w:rFonts w:hint="eastAsia" w:ascii="楷体" w:hAnsi="楷体" w:eastAsia="楷体" w:cs="楷体"/>
                <w:color w:val="000000"/>
                <w:sz w:val="21"/>
                <w:szCs w:val="21"/>
                <w:highlight w:val="none"/>
                <w:lang w:eastAsia="zh-CN"/>
              </w:rPr>
              <w:t>监督抽查</w:t>
            </w:r>
            <w:r>
              <w:rPr>
                <w:rFonts w:hint="eastAsia" w:ascii="楷体" w:hAnsi="楷体" w:eastAsia="楷体" w:cs="楷体"/>
                <w:color w:val="000000"/>
                <w:sz w:val="21"/>
                <w:szCs w:val="21"/>
                <w:highlight w:val="none"/>
              </w:rPr>
              <w:t>。</w:t>
            </w:r>
          </w:p>
          <w:p w14:paraId="66E11CEB">
            <w:pPr>
              <w:pStyle w:val="23"/>
              <w:spacing w:after="0" w:line="520" w:lineRule="exact"/>
              <w:ind w:firstLine="420" w:firstLineChars="200"/>
              <w:jc w:val="both"/>
              <w:rPr>
                <w:rFonts w:hint="eastAsia" w:ascii="楷体" w:hAnsi="楷体" w:eastAsia="楷体" w:cs="楷体"/>
                <w:color w:val="000000"/>
                <w:sz w:val="21"/>
                <w:szCs w:val="21"/>
                <w:highlight w:val="none"/>
                <w:lang w:val="en-US" w:eastAsia="zh-CN"/>
              </w:rPr>
            </w:pPr>
            <w:r>
              <w:rPr>
                <w:rFonts w:hint="eastAsia" w:ascii="楷体" w:hAnsi="楷体" w:eastAsia="楷体" w:cs="楷体"/>
                <w:color w:val="000000"/>
                <w:sz w:val="21"/>
                <w:szCs w:val="21"/>
                <w:highlight w:val="none"/>
                <w:lang w:val="en-US" w:eastAsia="zh-CN"/>
              </w:rPr>
              <w:t>1.合同签订后10个工作日内支付合同总价款的60%作为预付款。</w:t>
            </w:r>
          </w:p>
          <w:p w14:paraId="5AC90D61">
            <w:pPr>
              <w:pStyle w:val="23"/>
              <w:spacing w:after="0" w:line="520" w:lineRule="exact"/>
              <w:ind w:firstLine="420" w:firstLineChars="200"/>
              <w:jc w:val="both"/>
              <w:rPr>
                <w:rFonts w:hint="eastAsia" w:ascii="楷体" w:hAnsi="楷体" w:eastAsia="楷体" w:cs="楷体"/>
                <w:color w:val="000000"/>
                <w:sz w:val="21"/>
                <w:szCs w:val="21"/>
                <w:highlight w:val="none"/>
                <w:lang w:val="en-US" w:eastAsia="zh-CN"/>
              </w:rPr>
            </w:pPr>
            <w:r>
              <w:rPr>
                <w:rFonts w:hint="eastAsia" w:ascii="楷体" w:hAnsi="楷体" w:eastAsia="楷体" w:cs="楷体"/>
                <w:color w:val="000000"/>
                <w:sz w:val="21"/>
                <w:szCs w:val="21"/>
                <w:highlight w:val="none"/>
                <w:lang w:val="en-US" w:eastAsia="zh-CN"/>
              </w:rPr>
              <w:t>2.质量监督抽查工作完成后，由委托方按照工作程序进行验收并以单项最终成交价格为准据实结算，预算金额结算完毕为止。</w:t>
            </w:r>
          </w:p>
          <w:p w14:paraId="7548BB1B">
            <w:pPr>
              <w:pStyle w:val="23"/>
              <w:spacing w:after="0" w:line="520" w:lineRule="exact"/>
              <w:ind w:firstLine="420" w:firstLineChars="200"/>
              <w:jc w:val="both"/>
              <w:rPr>
                <w:rFonts w:hint="eastAsia" w:ascii="楷体" w:hAnsi="楷体" w:eastAsia="楷体" w:cs="楷体"/>
                <w:color w:val="000000"/>
                <w:sz w:val="21"/>
                <w:szCs w:val="21"/>
                <w:highlight w:val="none"/>
              </w:rPr>
            </w:pPr>
            <w:r>
              <w:rPr>
                <w:rFonts w:hint="eastAsia" w:ascii="楷体" w:hAnsi="楷体" w:eastAsia="楷体" w:cs="楷体"/>
                <w:color w:val="000000"/>
                <w:sz w:val="21"/>
                <w:szCs w:val="21"/>
                <w:highlight w:val="none"/>
              </w:rPr>
              <w:t>（三）合同实施</w:t>
            </w:r>
          </w:p>
          <w:p w14:paraId="6E8EF306">
            <w:pPr>
              <w:pStyle w:val="23"/>
              <w:spacing w:after="0" w:line="520" w:lineRule="exact"/>
              <w:ind w:firstLine="420" w:firstLineChars="200"/>
              <w:jc w:val="both"/>
              <w:rPr>
                <w:rFonts w:hint="eastAsia" w:ascii="楷体" w:hAnsi="楷体" w:eastAsia="楷体" w:cs="楷体"/>
                <w:color w:val="000000"/>
                <w:sz w:val="21"/>
                <w:szCs w:val="21"/>
                <w:highlight w:val="none"/>
              </w:rPr>
            </w:pPr>
            <w:r>
              <w:rPr>
                <w:rFonts w:hint="eastAsia" w:ascii="楷体" w:hAnsi="楷体" w:eastAsia="楷体" w:cs="楷体"/>
                <w:color w:val="000000"/>
                <w:sz w:val="21"/>
                <w:szCs w:val="21"/>
                <w:highlight w:val="none"/>
              </w:rPr>
              <w:t>1.成交单位应在合同签订后接招标人通知之日起7个日历日内对</w:t>
            </w:r>
            <w:r>
              <w:rPr>
                <w:rFonts w:hint="eastAsia" w:ascii="楷体" w:hAnsi="楷体" w:eastAsia="楷体" w:cs="楷体"/>
                <w:color w:val="000000"/>
                <w:sz w:val="21"/>
                <w:szCs w:val="21"/>
                <w:highlight w:val="none"/>
                <w:lang w:eastAsia="zh-CN"/>
              </w:rPr>
              <w:t>质量监督抽查工作</w:t>
            </w:r>
            <w:r>
              <w:rPr>
                <w:rFonts w:hint="eastAsia" w:ascii="楷体" w:hAnsi="楷体" w:eastAsia="楷体" w:cs="楷体"/>
                <w:color w:val="000000"/>
                <w:sz w:val="21"/>
                <w:szCs w:val="21"/>
                <w:highlight w:val="none"/>
              </w:rPr>
              <w:t>进行安排、部署、计划。</w:t>
            </w:r>
          </w:p>
          <w:p w14:paraId="17587F18">
            <w:pPr>
              <w:pStyle w:val="23"/>
              <w:spacing w:after="0" w:line="520" w:lineRule="exact"/>
              <w:ind w:firstLine="420" w:firstLineChars="200"/>
              <w:jc w:val="both"/>
              <w:rPr>
                <w:rFonts w:hint="eastAsia" w:ascii="楷体" w:hAnsi="楷体" w:eastAsia="楷体" w:cs="楷体"/>
                <w:color w:val="000000"/>
                <w:sz w:val="21"/>
                <w:szCs w:val="21"/>
                <w:highlight w:val="none"/>
              </w:rPr>
            </w:pPr>
            <w:r>
              <w:rPr>
                <w:rFonts w:hint="eastAsia" w:ascii="楷体" w:hAnsi="楷体" w:eastAsia="楷体" w:cs="楷体"/>
                <w:color w:val="000000"/>
                <w:sz w:val="21"/>
                <w:szCs w:val="21"/>
                <w:highlight w:val="none"/>
              </w:rPr>
              <w:t>2.若未能在按照项目实际工作时间完成规定的义务，由此对采购单位造成的延误和一切损失，由成交单位承担和赔偿。</w:t>
            </w:r>
          </w:p>
          <w:p w14:paraId="4899E883">
            <w:pPr>
              <w:pStyle w:val="24"/>
              <w:keepNext/>
              <w:keepLines/>
              <w:pBdr>
                <w:bottom w:val="single" w:color="auto" w:sz="4" w:space="0"/>
              </w:pBdr>
              <w:spacing w:after="156" w:afterLines="50" w:line="622" w:lineRule="exact"/>
              <w:ind w:left="0" w:leftChars="0" w:firstLine="0" w:firstLineChars="0"/>
              <w:jc w:val="both"/>
              <w:rPr>
                <w:rFonts w:hint="eastAsia" w:ascii="楷体" w:hAnsi="楷体" w:eastAsia="楷体" w:cs="楷体"/>
                <w:b/>
                <w:bCs/>
                <w:color w:val="000000"/>
                <w:sz w:val="21"/>
                <w:szCs w:val="21"/>
                <w:highlight w:val="none"/>
              </w:rPr>
            </w:pPr>
            <w:r>
              <w:rPr>
                <w:rFonts w:hint="eastAsia" w:ascii="楷体" w:hAnsi="楷体" w:eastAsia="楷体" w:cs="楷体"/>
                <w:b/>
                <w:bCs/>
                <w:color w:val="000000"/>
                <w:sz w:val="21"/>
                <w:szCs w:val="21"/>
                <w:highlight w:val="none"/>
                <w:lang w:val="en-US" w:eastAsia="zh-CN"/>
              </w:rPr>
              <w:t>四</w:t>
            </w:r>
            <w:r>
              <w:rPr>
                <w:rFonts w:hint="eastAsia" w:ascii="楷体" w:hAnsi="楷体" w:eastAsia="楷体" w:cs="楷体"/>
                <w:b/>
                <w:bCs/>
                <w:color w:val="000000"/>
                <w:sz w:val="21"/>
                <w:szCs w:val="21"/>
                <w:highlight w:val="none"/>
              </w:rPr>
              <w:t>、其他</w:t>
            </w:r>
          </w:p>
          <w:p w14:paraId="514A15F3">
            <w:pPr>
              <w:pStyle w:val="23"/>
              <w:spacing w:after="0" w:line="520" w:lineRule="exact"/>
              <w:ind w:firstLine="420" w:firstLineChars="200"/>
              <w:jc w:val="both"/>
              <w:rPr>
                <w:rFonts w:hint="eastAsia" w:ascii="楷体" w:hAnsi="楷体" w:eastAsia="楷体" w:cs="楷体"/>
                <w:color w:val="000000"/>
                <w:sz w:val="21"/>
                <w:szCs w:val="21"/>
                <w:highlight w:val="none"/>
              </w:rPr>
            </w:pPr>
            <w:r>
              <w:rPr>
                <w:rFonts w:hint="eastAsia" w:ascii="楷体" w:hAnsi="楷体" w:eastAsia="楷体" w:cs="楷体"/>
                <w:color w:val="000000"/>
                <w:sz w:val="21"/>
                <w:szCs w:val="21"/>
                <w:highlight w:val="none"/>
              </w:rPr>
              <w:t>（</w:t>
            </w:r>
            <w:r>
              <w:rPr>
                <w:rFonts w:hint="eastAsia" w:ascii="楷体" w:hAnsi="楷体" w:eastAsia="楷体" w:cs="楷体"/>
                <w:color w:val="000000"/>
                <w:sz w:val="21"/>
                <w:szCs w:val="21"/>
                <w:highlight w:val="none"/>
                <w:lang w:val="en-US" w:eastAsia="zh-CN"/>
              </w:rPr>
              <w:t>一</w:t>
            </w:r>
            <w:r>
              <w:rPr>
                <w:rFonts w:hint="eastAsia" w:ascii="楷体" w:hAnsi="楷体" w:eastAsia="楷体" w:cs="楷体"/>
                <w:color w:val="000000"/>
                <w:sz w:val="21"/>
                <w:szCs w:val="21"/>
                <w:highlight w:val="none"/>
              </w:rPr>
              <w:t>）验收标准或规范</w:t>
            </w:r>
          </w:p>
          <w:p w14:paraId="5959C885">
            <w:pPr>
              <w:pStyle w:val="23"/>
              <w:spacing w:after="0" w:line="520" w:lineRule="exact"/>
              <w:ind w:firstLine="420" w:firstLineChars="200"/>
              <w:jc w:val="both"/>
              <w:rPr>
                <w:rFonts w:hint="eastAsia" w:ascii="楷体" w:hAnsi="楷体" w:eastAsia="楷体" w:cs="楷体"/>
                <w:color w:val="000000"/>
                <w:sz w:val="21"/>
                <w:szCs w:val="21"/>
                <w:highlight w:val="none"/>
              </w:rPr>
            </w:pPr>
            <w:r>
              <w:rPr>
                <w:rFonts w:hint="eastAsia" w:ascii="楷体" w:hAnsi="楷体" w:eastAsia="楷体" w:cs="楷体"/>
                <w:color w:val="000000"/>
                <w:sz w:val="21"/>
                <w:szCs w:val="21"/>
                <w:highlight w:val="none"/>
              </w:rPr>
              <w:t>1.在</w:t>
            </w:r>
            <w:r>
              <w:rPr>
                <w:rFonts w:hint="eastAsia" w:ascii="楷体" w:hAnsi="楷体" w:eastAsia="楷体" w:cs="楷体"/>
                <w:color w:val="000000"/>
                <w:sz w:val="21"/>
                <w:szCs w:val="21"/>
                <w:highlight w:val="none"/>
                <w:lang w:eastAsia="zh-CN"/>
              </w:rPr>
              <w:t>批次抽检工作完成后</w:t>
            </w:r>
            <w:r>
              <w:rPr>
                <w:rFonts w:hint="eastAsia" w:ascii="楷体" w:hAnsi="楷体" w:eastAsia="楷体" w:cs="楷体"/>
                <w:color w:val="000000"/>
                <w:sz w:val="21"/>
                <w:szCs w:val="21"/>
                <w:highlight w:val="none"/>
              </w:rPr>
              <w:t>，服务商应对实施的效果等进行准确而全面的</w:t>
            </w:r>
            <w:r>
              <w:rPr>
                <w:rFonts w:hint="eastAsia" w:ascii="楷体" w:hAnsi="楷体" w:eastAsia="楷体" w:cs="楷体"/>
                <w:color w:val="000000"/>
                <w:sz w:val="21"/>
                <w:szCs w:val="21"/>
                <w:highlight w:val="none"/>
                <w:lang w:eastAsia="zh-CN"/>
              </w:rPr>
              <w:t>总结评估</w:t>
            </w:r>
            <w:r>
              <w:rPr>
                <w:rFonts w:hint="eastAsia" w:ascii="楷体" w:hAnsi="楷体" w:eastAsia="楷体" w:cs="楷体"/>
                <w:color w:val="000000"/>
                <w:sz w:val="21"/>
                <w:szCs w:val="21"/>
                <w:highlight w:val="none"/>
              </w:rPr>
              <w:t>，并出具</w:t>
            </w:r>
            <w:r>
              <w:rPr>
                <w:rFonts w:hint="eastAsia" w:ascii="楷体" w:hAnsi="楷体" w:eastAsia="楷体" w:cs="楷体"/>
                <w:color w:val="000000"/>
                <w:sz w:val="21"/>
                <w:szCs w:val="21"/>
                <w:highlight w:val="none"/>
                <w:lang w:eastAsia="zh-CN"/>
              </w:rPr>
              <w:t>抽检</w:t>
            </w:r>
            <w:r>
              <w:rPr>
                <w:rFonts w:hint="eastAsia" w:ascii="楷体" w:hAnsi="楷体" w:eastAsia="楷体" w:cs="楷体"/>
                <w:color w:val="000000"/>
                <w:sz w:val="21"/>
                <w:szCs w:val="21"/>
                <w:highlight w:val="none"/>
              </w:rPr>
              <w:t>报告。</w:t>
            </w:r>
          </w:p>
          <w:p w14:paraId="36496FD3">
            <w:pPr>
              <w:pStyle w:val="23"/>
              <w:spacing w:after="0" w:line="520" w:lineRule="exact"/>
              <w:ind w:firstLine="420" w:firstLineChars="200"/>
              <w:jc w:val="both"/>
              <w:rPr>
                <w:rFonts w:hint="eastAsia" w:ascii="楷体" w:hAnsi="楷体" w:eastAsia="楷体" w:cs="楷体"/>
                <w:color w:val="000000"/>
                <w:sz w:val="21"/>
                <w:szCs w:val="21"/>
                <w:highlight w:val="none"/>
              </w:rPr>
            </w:pPr>
            <w:r>
              <w:rPr>
                <w:rFonts w:hint="eastAsia" w:ascii="楷体" w:hAnsi="楷体" w:eastAsia="楷体" w:cs="楷体"/>
                <w:color w:val="000000"/>
                <w:sz w:val="21"/>
                <w:szCs w:val="21"/>
                <w:highlight w:val="none"/>
              </w:rPr>
              <w:t>2.采购人应按照政府采购合同约定的服务内容与标准组织对服务商服务内容进行验收。验收内容包含</w:t>
            </w:r>
            <w:r>
              <w:rPr>
                <w:rFonts w:hint="eastAsia" w:ascii="楷体" w:hAnsi="楷体" w:eastAsia="楷体" w:cs="楷体"/>
                <w:color w:val="000000"/>
                <w:sz w:val="21"/>
                <w:szCs w:val="21"/>
                <w:highlight w:val="none"/>
                <w:lang w:eastAsia="zh-CN"/>
              </w:rPr>
              <w:t>人员投入</w:t>
            </w:r>
            <w:r>
              <w:rPr>
                <w:rFonts w:hint="eastAsia" w:ascii="楷体" w:hAnsi="楷体" w:eastAsia="楷体" w:cs="楷体"/>
                <w:color w:val="000000"/>
                <w:sz w:val="21"/>
                <w:szCs w:val="21"/>
                <w:highlight w:val="none"/>
              </w:rPr>
              <w:t>情况、</w:t>
            </w:r>
            <w:r>
              <w:rPr>
                <w:rFonts w:hint="eastAsia" w:ascii="楷体" w:hAnsi="楷体" w:eastAsia="楷体" w:cs="楷体"/>
                <w:color w:val="000000"/>
                <w:sz w:val="21"/>
                <w:szCs w:val="21"/>
                <w:highlight w:val="none"/>
                <w:lang w:eastAsia="zh-CN"/>
              </w:rPr>
              <w:t>实际抽检批次数量、抽检效果</w:t>
            </w:r>
            <w:r>
              <w:rPr>
                <w:rFonts w:hint="eastAsia" w:ascii="楷体" w:hAnsi="楷体" w:eastAsia="楷体" w:cs="楷体"/>
                <w:color w:val="000000"/>
                <w:sz w:val="21"/>
                <w:szCs w:val="21"/>
                <w:highlight w:val="none"/>
              </w:rPr>
              <w:t>以及其他服务内容的履约完成情况。</w:t>
            </w:r>
          </w:p>
          <w:p w14:paraId="63CB3CDF">
            <w:pPr>
              <w:pStyle w:val="23"/>
              <w:spacing w:after="0" w:line="520" w:lineRule="exact"/>
              <w:ind w:firstLine="420" w:firstLineChars="200"/>
              <w:jc w:val="both"/>
              <w:rPr>
                <w:rFonts w:hint="eastAsia" w:ascii="楷体" w:hAnsi="楷体" w:eastAsia="楷体" w:cs="楷体"/>
                <w:color w:val="000000"/>
                <w:sz w:val="21"/>
                <w:szCs w:val="21"/>
                <w:highlight w:val="none"/>
              </w:rPr>
            </w:pPr>
            <w:r>
              <w:rPr>
                <w:rFonts w:hint="eastAsia" w:ascii="楷体" w:hAnsi="楷体" w:eastAsia="楷体" w:cs="楷体"/>
                <w:color w:val="000000"/>
                <w:sz w:val="21"/>
                <w:szCs w:val="21"/>
                <w:highlight w:val="none"/>
              </w:rPr>
              <w:t>3.服务商应向采购人提交项目实施过程中的所有资料，主动配合采购方完成验收工作程序。</w:t>
            </w:r>
          </w:p>
          <w:p w14:paraId="6D16F1A7">
            <w:pPr>
              <w:pStyle w:val="23"/>
              <w:spacing w:after="0" w:line="520" w:lineRule="exact"/>
              <w:ind w:firstLine="420" w:firstLineChars="200"/>
              <w:jc w:val="both"/>
              <w:rPr>
                <w:rFonts w:hint="eastAsia" w:ascii="楷体" w:hAnsi="楷体" w:eastAsia="楷体" w:cs="楷体"/>
                <w:color w:val="000000"/>
                <w:sz w:val="21"/>
                <w:szCs w:val="21"/>
                <w:highlight w:val="none"/>
              </w:rPr>
            </w:pPr>
            <w:r>
              <w:rPr>
                <w:rFonts w:hint="eastAsia" w:ascii="楷体" w:hAnsi="楷体" w:eastAsia="楷体" w:cs="楷体"/>
                <w:color w:val="000000"/>
                <w:sz w:val="21"/>
                <w:szCs w:val="21"/>
                <w:highlight w:val="none"/>
              </w:rPr>
              <w:t>4.验收合格后，填写政府采购项目验收单（一式伍份）。</w:t>
            </w:r>
          </w:p>
          <w:p w14:paraId="13E8C3C5">
            <w:pPr>
              <w:pStyle w:val="23"/>
              <w:spacing w:after="0" w:line="520" w:lineRule="exact"/>
              <w:ind w:firstLine="420" w:firstLineChars="200"/>
              <w:jc w:val="both"/>
              <w:rPr>
                <w:rFonts w:hint="eastAsia" w:ascii="楷体" w:hAnsi="楷体" w:eastAsia="楷体" w:cs="楷体"/>
                <w:color w:val="000000"/>
                <w:sz w:val="21"/>
                <w:szCs w:val="21"/>
                <w:highlight w:val="none"/>
              </w:rPr>
            </w:pPr>
            <w:r>
              <w:rPr>
                <w:rFonts w:hint="eastAsia" w:ascii="楷体" w:hAnsi="楷体" w:eastAsia="楷体" w:cs="楷体"/>
                <w:color w:val="000000"/>
                <w:sz w:val="21"/>
                <w:szCs w:val="21"/>
                <w:highlight w:val="none"/>
              </w:rPr>
              <w:t>（</w:t>
            </w:r>
            <w:r>
              <w:rPr>
                <w:rFonts w:hint="eastAsia" w:ascii="楷体" w:hAnsi="楷体" w:eastAsia="楷体" w:cs="楷体"/>
                <w:color w:val="000000"/>
                <w:sz w:val="21"/>
                <w:szCs w:val="21"/>
                <w:highlight w:val="none"/>
                <w:lang w:val="en-US" w:eastAsia="zh-CN"/>
              </w:rPr>
              <w:t>二</w:t>
            </w:r>
            <w:r>
              <w:rPr>
                <w:rFonts w:hint="eastAsia" w:ascii="楷体" w:hAnsi="楷体" w:eastAsia="楷体" w:cs="楷体"/>
                <w:color w:val="000000"/>
                <w:sz w:val="21"/>
                <w:szCs w:val="21"/>
                <w:highlight w:val="none"/>
              </w:rPr>
              <w:t>）违约责任</w:t>
            </w:r>
          </w:p>
          <w:p w14:paraId="595F9CCA">
            <w:pPr>
              <w:pStyle w:val="23"/>
              <w:spacing w:after="0" w:line="520" w:lineRule="exact"/>
              <w:ind w:firstLine="420" w:firstLineChars="200"/>
              <w:jc w:val="both"/>
              <w:rPr>
                <w:rFonts w:hint="eastAsia" w:ascii="楷体" w:hAnsi="楷体" w:eastAsia="楷体" w:cs="楷体"/>
                <w:color w:val="000000"/>
                <w:sz w:val="21"/>
                <w:szCs w:val="21"/>
                <w:highlight w:val="none"/>
              </w:rPr>
            </w:pPr>
            <w:r>
              <w:rPr>
                <w:rFonts w:hint="eastAsia" w:ascii="楷体" w:hAnsi="楷体" w:eastAsia="楷体" w:cs="楷体"/>
                <w:color w:val="000000"/>
                <w:sz w:val="21"/>
                <w:szCs w:val="21"/>
                <w:highlight w:val="none"/>
              </w:rPr>
              <w:t>1.按《中华人民共和国民法典》中的相关条款执行。</w:t>
            </w:r>
          </w:p>
          <w:p w14:paraId="6CFA934F">
            <w:pPr>
              <w:pStyle w:val="23"/>
              <w:spacing w:after="0" w:line="520" w:lineRule="exact"/>
              <w:ind w:firstLine="420" w:firstLineChars="200"/>
              <w:jc w:val="both"/>
              <w:rPr>
                <w:rFonts w:hint="eastAsia" w:ascii="楷体" w:hAnsi="楷体" w:eastAsia="楷体" w:cs="楷体"/>
                <w:color w:val="000000"/>
                <w:sz w:val="21"/>
                <w:szCs w:val="21"/>
                <w:highlight w:val="none"/>
              </w:rPr>
            </w:pPr>
            <w:r>
              <w:rPr>
                <w:rFonts w:hint="eastAsia" w:ascii="楷体" w:hAnsi="楷体" w:eastAsia="楷体" w:cs="楷体"/>
                <w:color w:val="000000"/>
                <w:sz w:val="21"/>
                <w:szCs w:val="21"/>
                <w:highlight w:val="none"/>
              </w:rPr>
              <w:t>2.未按合同要求提供服务或服务质量不能满足服务要求和标准，采购方有权终止合同，并对供方违约行为进行追究，同时按《中华人民共和国政府采购法》的有关规定进行处罚。</w:t>
            </w:r>
          </w:p>
          <w:p w14:paraId="3A7D2C41">
            <w:pPr>
              <w:pStyle w:val="23"/>
              <w:spacing w:after="0" w:line="520" w:lineRule="exact"/>
              <w:ind w:firstLine="420" w:firstLineChars="200"/>
              <w:jc w:val="both"/>
              <w:rPr>
                <w:rFonts w:hint="eastAsia" w:ascii="楷体" w:hAnsi="楷体" w:eastAsia="楷体" w:cs="楷体"/>
                <w:color w:val="000000"/>
                <w:sz w:val="21"/>
                <w:szCs w:val="21"/>
                <w:highlight w:val="none"/>
              </w:rPr>
            </w:pPr>
            <w:r>
              <w:rPr>
                <w:rFonts w:hint="eastAsia" w:ascii="楷体" w:hAnsi="楷体" w:eastAsia="楷体" w:cs="楷体"/>
                <w:color w:val="000000"/>
                <w:sz w:val="21"/>
                <w:szCs w:val="21"/>
                <w:highlight w:val="none"/>
              </w:rPr>
              <w:t>3.服务商如未按合同约定</w:t>
            </w:r>
            <w:r>
              <w:rPr>
                <w:rFonts w:hint="eastAsia" w:ascii="楷体" w:hAnsi="楷体" w:eastAsia="楷体" w:cs="楷体"/>
                <w:color w:val="000000"/>
                <w:sz w:val="21"/>
                <w:szCs w:val="21"/>
                <w:highlight w:val="none"/>
                <w:lang w:eastAsia="zh-CN"/>
              </w:rPr>
              <w:t>及采购方要求</w:t>
            </w:r>
            <w:r>
              <w:rPr>
                <w:rFonts w:hint="eastAsia" w:ascii="楷体" w:hAnsi="楷体" w:eastAsia="楷体" w:cs="楷体"/>
                <w:color w:val="000000"/>
                <w:sz w:val="21"/>
                <w:szCs w:val="21"/>
                <w:highlight w:val="none"/>
              </w:rPr>
              <w:t>的时间</w:t>
            </w:r>
            <w:r>
              <w:rPr>
                <w:rFonts w:hint="eastAsia" w:ascii="楷体" w:hAnsi="楷体" w:eastAsia="楷体" w:cs="楷体"/>
                <w:color w:val="000000"/>
                <w:sz w:val="21"/>
                <w:szCs w:val="21"/>
                <w:highlight w:val="none"/>
                <w:lang w:eastAsia="zh-CN"/>
              </w:rPr>
              <w:t>进行监督抽查</w:t>
            </w:r>
            <w:r>
              <w:rPr>
                <w:rFonts w:hint="eastAsia" w:ascii="楷体" w:hAnsi="楷体" w:eastAsia="楷体" w:cs="楷体"/>
                <w:color w:val="000000"/>
                <w:sz w:val="21"/>
                <w:szCs w:val="21"/>
                <w:highlight w:val="none"/>
              </w:rPr>
              <w:t>，每逾期一天应承担合同总价款千分之五的违约金，逾期超过七天，采购方可单方解除本合同，并要求服务商承担合同总价款 5 %的违约金，给采购方造成损失的，还应承担赔偿责任。</w:t>
            </w:r>
          </w:p>
          <w:p w14:paraId="46A4574C">
            <w:pPr>
              <w:pStyle w:val="23"/>
              <w:spacing w:after="0" w:line="520" w:lineRule="exact"/>
              <w:ind w:firstLine="420" w:firstLineChars="200"/>
              <w:jc w:val="both"/>
              <w:rPr>
                <w:rFonts w:hint="eastAsia" w:ascii="楷体" w:hAnsi="楷体" w:eastAsia="楷体" w:cs="楷体"/>
                <w:color w:val="000000"/>
                <w:sz w:val="21"/>
                <w:szCs w:val="21"/>
                <w:highlight w:val="none"/>
              </w:rPr>
            </w:pPr>
            <w:r>
              <w:rPr>
                <w:rFonts w:hint="eastAsia" w:ascii="楷体" w:hAnsi="楷体" w:eastAsia="楷体" w:cs="楷体"/>
                <w:color w:val="000000"/>
                <w:sz w:val="21"/>
                <w:szCs w:val="21"/>
                <w:highlight w:val="none"/>
              </w:rPr>
              <w:t>（</w:t>
            </w:r>
            <w:r>
              <w:rPr>
                <w:rFonts w:hint="eastAsia" w:ascii="楷体" w:hAnsi="楷体" w:eastAsia="楷体" w:cs="楷体"/>
                <w:color w:val="000000"/>
                <w:sz w:val="21"/>
                <w:szCs w:val="21"/>
                <w:highlight w:val="none"/>
                <w:lang w:val="en-US" w:eastAsia="zh-CN"/>
              </w:rPr>
              <w:t>三</w:t>
            </w:r>
            <w:r>
              <w:rPr>
                <w:rFonts w:hint="eastAsia" w:ascii="楷体" w:hAnsi="楷体" w:eastAsia="楷体" w:cs="楷体"/>
                <w:color w:val="000000"/>
                <w:sz w:val="21"/>
                <w:szCs w:val="21"/>
                <w:highlight w:val="none"/>
              </w:rPr>
              <w:t>）采购方的权利及责任</w:t>
            </w:r>
          </w:p>
          <w:p w14:paraId="659EC4F0">
            <w:pPr>
              <w:pStyle w:val="23"/>
              <w:spacing w:after="0" w:line="520" w:lineRule="exact"/>
              <w:ind w:firstLine="420" w:firstLineChars="200"/>
              <w:jc w:val="both"/>
              <w:rPr>
                <w:rFonts w:hint="eastAsia" w:ascii="楷体" w:hAnsi="楷体" w:eastAsia="楷体" w:cs="楷体"/>
                <w:color w:val="000000"/>
                <w:sz w:val="21"/>
                <w:szCs w:val="21"/>
                <w:highlight w:val="none"/>
              </w:rPr>
            </w:pPr>
            <w:r>
              <w:rPr>
                <w:rFonts w:hint="eastAsia" w:ascii="楷体" w:hAnsi="楷体" w:eastAsia="楷体" w:cs="楷体"/>
                <w:color w:val="000000"/>
                <w:sz w:val="21"/>
                <w:szCs w:val="21"/>
                <w:highlight w:val="none"/>
              </w:rPr>
              <w:t>采购方协助服务商负责相关</w:t>
            </w:r>
            <w:r>
              <w:rPr>
                <w:rFonts w:hint="eastAsia" w:ascii="楷体" w:hAnsi="楷体" w:eastAsia="楷体" w:cs="楷体"/>
                <w:color w:val="000000"/>
                <w:sz w:val="21"/>
                <w:szCs w:val="21"/>
                <w:highlight w:val="none"/>
                <w:lang w:eastAsia="zh-CN"/>
              </w:rPr>
              <w:t>组织协调</w:t>
            </w:r>
            <w:r>
              <w:rPr>
                <w:rFonts w:hint="eastAsia" w:ascii="楷体" w:hAnsi="楷体" w:eastAsia="楷体" w:cs="楷体"/>
                <w:color w:val="000000"/>
                <w:sz w:val="21"/>
                <w:szCs w:val="21"/>
                <w:highlight w:val="none"/>
              </w:rPr>
              <w:t>工作。所有</w:t>
            </w:r>
            <w:r>
              <w:rPr>
                <w:rFonts w:hint="eastAsia" w:ascii="楷体" w:hAnsi="楷体" w:eastAsia="楷体" w:cs="楷体"/>
                <w:color w:val="000000"/>
                <w:sz w:val="21"/>
                <w:szCs w:val="21"/>
                <w:highlight w:val="none"/>
                <w:lang w:eastAsia="zh-CN"/>
              </w:rPr>
              <w:t>监督抽查工作</w:t>
            </w:r>
            <w:r>
              <w:rPr>
                <w:rFonts w:hint="eastAsia" w:ascii="楷体" w:hAnsi="楷体" w:eastAsia="楷体" w:cs="楷体"/>
                <w:color w:val="000000"/>
                <w:sz w:val="21"/>
                <w:szCs w:val="21"/>
                <w:highlight w:val="none"/>
              </w:rPr>
              <w:t>必须严格遵守国家</w:t>
            </w:r>
            <w:r>
              <w:rPr>
                <w:rFonts w:hint="eastAsia" w:ascii="楷体" w:hAnsi="楷体" w:eastAsia="楷体" w:cs="楷体"/>
                <w:color w:val="000000"/>
                <w:sz w:val="21"/>
                <w:szCs w:val="21"/>
                <w:highlight w:val="none"/>
                <w:lang w:eastAsia="zh-CN"/>
              </w:rPr>
              <w:t>及省级</w:t>
            </w:r>
            <w:r>
              <w:rPr>
                <w:rFonts w:hint="eastAsia" w:ascii="楷体" w:hAnsi="楷体" w:eastAsia="楷体" w:cs="楷体"/>
                <w:color w:val="000000"/>
                <w:sz w:val="21"/>
                <w:szCs w:val="21"/>
                <w:highlight w:val="none"/>
              </w:rPr>
              <w:t>法律法规及相关管理规定。</w:t>
            </w:r>
          </w:p>
          <w:p w14:paraId="6797ABDD">
            <w:pPr>
              <w:pStyle w:val="23"/>
              <w:spacing w:after="0" w:line="520" w:lineRule="exact"/>
              <w:ind w:firstLine="420" w:firstLineChars="200"/>
              <w:jc w:val="both"/>
              <w:rPr>
                <w:rFonts w:hint="eastAsia" w:ascii="楷体" w:hAnsi="楷体" w:eastAsia="楷体" w:cs="楷体"/>
                <w:color w:val="000000"/>
                <w:sz w:val="21"/>
                <w:szCs w:val="21"/>
                <w:highlight w:val="none"/>
              </w:rPr>
            </w:pPr>
            <w:r>
              <w:rPr>
                <w:rFonts w:hint="eastAsia" w:ascii="楷体" w:hAnsi="楷体" w:eastAsia="楷体" w:cs="楷体"/>
                <w:color w:val="000000"/>
                <w:sz w:val="21"/>
                <w:szCs w:val="21"/>
                <w:highlight w:val="none"/>
              </w:rPr>
              <w:t>（</w:t>
            </w:r>
            <w:r>
              <w:rPr>
                <w:rFonts w:hint="eastAsia" w:ascii="楷体" w:hAnsi="楷体" w:eastAsia="楷体" w:cs="楷体"/>
                <w:color w:val="000000"/>
                <w:sz w:val="21"/>
                <w:szCs w:val="21"/>
                <w:highlight w:val="none"/>
                <w:lang w:val="en-US" w:eastAsia="zh-CN"/>
              </w:rPr>
              <w:t>四</w:t>
            </w:r>
            <w:r>
              <w:rPr>
                <w:rFonts w:hint="eastAsia" w:ascii="楷体" w:hAnsi="楷体" w:eastAsia="楷体" w:cs="楷体"/>
                <w:color w:val="000000"/>
                <w:sz w:val="21"/>
                <w:szCs w:val="21"/>
                <w:highlight w:val="none"/>
              </w:rPr>
              <w:t>）服务商的权利及责任</w:t>
            </w:r>
          </w:p>
          <w:p w14:paraId="14FEEC59">
            <w:pPr>
              <w:pStyle w:val="23"/>
              <w:spacing w:after="0" w:line="520" w:lineRule="exact"/>
              <w:ind w:firstLine="420" w:firstLineChars="200"/>
              <w:jc w:val="both"/>
              <w:rPr>
                <w:rFonts w:hint="eastAsia" w:ascii="楷体" w:hAnsi="楷体" w:eastAsia="楷体" w:cs="楷体"/>
                <w:color w:val="000000"/>
                <w:sz w:val="21"/>
                <w:szCs w:val="21"/>
                <w:highlight w:val="none"/>
              </w:rPr>
            </w:pPr>
            <w:r>
              <w:rPr>
                <w:rFonts w:hint="eastAsia" w:ascii="楷体" w:hAnsi="楷体" w:eastAsia="楷体" w:cs="楷体"/>
                <w:color w:val="000000"/>
                <w:sz w:val="21"/>
                <w:szCs w:val="21"/>
                <w:highlight w:val="none"/>
              </w:rPr>
              <w:t>服务商按照采购方要求，负责</w:t>
            </w:r>
            <w:r>
              <w:rPr>
                <w:rFonts w:hint="eastAsia" w:ascii="楷体" w:hAnsi="楷体" w:eastAsia="楷体" w:cs="楷体"/>
                <w:color w:val="000000"/>
                <w:sz w:val="21"/>
                <w:szCs w:val="21"/>
                <w:highlight w:val="none"/>
                <w:lang w:eastAsia="zh-CN"/>
              </w:rPr>
              <w:t>监督抽查具体实施</w:t>
            </w:r>
            <w:r>
              <w:rPr>
                <w:rFonts w:hint="eastAsia" w:ascii="楷体" w:hAnsi="楷体" w:eastAsia="楷体" w:cs="楷体"/>
                <w:color w:val="000000"/>
                <w:sz w:val="21"/>
                <w:szCs w:val="21"/>
                <w:highlight w:val="none"/>
              </w:rPr>
              <w:t>工作。</w:t>
            </w:r>
          </w:p>
          <w:p w14:paraId="62F2E0C0">
            <w:pPr>
              <w:pStyle w:val="23"/>
              <w:spacing w:after="0" w:line="520" w:lineRule="exact"/>
              <w:ind w:firstLine="420" w:firstLineChars="200"/>
              <w:jc w:val="both"/>
              <w:rPr>
                <w:rFonts w:hint="eastAsia" w:ascii="楷体" w:hAnsi="楷体" w:eastAsia="楷体" w:cs="楷体"/>
                <w:color w:val="000000"/>
                <w:sz w:val="21"/>
                <w:szCs w:val="21"/>
                <w:highlight w:val="none"/>
              </w:rPr>
            </w:pPr>
            <w:r>
              <w:rPr>
                <w:rFonts w:hint="eastAsia" w:ascii="楷体" w:hAnsi="楷体" w:eastAsia="楷体" w:cs="楷体"/>
                <w:color w:val="000000"/>
                <w:sz w:val="21"/>
                <w:szCs w:val="21"/>
                <w:highlight w:val="none"/>
              </w:rPr>
              <w:t>（</w:t>
            </w:r>
            <w:r>
              <w:rPr>
                <w:rFonts w:hint="eastAsia" w:ascii="楷体" w:hAnsi="楷体" w:eastAsia="楷体" w:cs="楷体"/>
                <w:color w:val="000000"/>
                <w:sz w:val="21"/>
                <w:szCs w:val="21"/>
                <w:highlight w:val="none"/>
                <w:lang w:val="en-US" w:eastAsia="zh-CN"/>
              </w:rPr>
              <w:t>五</w:t>
            </w:r>
            <w:r>
              <w:rPr>
                <w:rFonts w:hint="eastAsia" w:ascii="楷体" w:hAnsi="楷体" w:eastAsia="楷体" w:cs="楷体"/>
                <w:color w:val="000000"/>
                <w:sz w:val="21"/>
                <w:szCs w:val="21"/>
                <w:highlight w:val="none"/>
              </w:rPr>
              <w:t>）保密约定</w:t>
            </w:r>
          </w:p>
          <w:p w14:paraId="05B94F72">
            <w:pPr>
              <w:pStyle w:val="23"/>
              <w:spacing w:line="520" w:lineRule="exact"/>
              <w:ind w:firstLine="420" w:firstLineChars="200"/>
              <w:rPr>
                <w:rFonts w:hint="eastAsia" w:ascii="楷体" w:hAnsi="楷体" w:eastAsia="楷体" w:cs="楷体"/>
                <w:color w:val="000000"/>
                <w:sz w:val="21"/>
                <w:szCs w:val="21"/>
                <w:highlight w:val="none"/>
              </w:rPr>
            </w:pPr>
            <w:r>
              <w:rPr>
                <w:rFonts w:hint="eastAsia" w:ascii="楷体" w:hAnsi="楷体" w:eastAsia="楷体" w:cs="楷体"/>
                <w:color w:val="000000"/>
                <w:sz w:val="21"/>
                <w:szCs w:val="21"/>
                <w:highlight w:val="none"/>
              </w:rPr>
              <w:t>1.服务商应对</w:t>
            </w:r>
            <w:r>
              <w:rPr>
                <w:rFonts w:hint="eastAsia" w:ascii="楷体" w:hAnsi="楷体" w:eastAsia="楷体" w:cs="楷体"/>
                <w:color w:val="000000"/>
                <w:sz w:val="21"/>
                <w:szCs w:val="21"/>
                <w:highlight w:val="none"/>
                <w:lang w:eastAsia="zh-CN"/>
              </w:rPr>
              <w:t>监督抽查对象</w:t>
            </w:r>
            <w:r>
              <w:rPr>
                <w:rFonts w:hint="eastAsia" w:ascii="楷体" w:hAnsi="楷体" w:eastAsia="楷体" w:cs="楷体"/>
                <w:color w:val="000000"/>
                <w:sz w:val="21"/>
                <w:szCs w:val="21"/>
                <w:highlight w:val="none"/>
              </w:rPr>
              <w:t>的信息资料或其他文件或信息的内容保守秘密，未经采购方书面事先同意，不得向任何第三方披露。</w:t>
            </w:r>
          </w:p>
          <w:p w14:paraId="76EEC2E9">
            <w:pPr>
              <w:pStyle w:val="23"/>
              <w:spacing w:line="520" w:lineRule="exact"/>
              <w:ind w:firstLine="420" w:firstLineChars="200"/>
              <w:rPr>
                <w:rFonts w:hint="eastAsia" w:ascii="楷体" w:hAnsi="楷体" w:eastAsia="楷体" w:cs="楷体"/>
                <w:color w:val="000000"/>
                <w:sz w:val="21"/>
                <w:szCs w:val="21"/>
                <w:highlight w:val="none"/>
              </w:rPr>
            </w:pPr>
            <w:r>
              <w:rPr>
                <w:rFonts w:hint="eastAsia" w:ascii="楷体" w:hAnsi="楷体" w:eastAsia="楷体" w:cs="楷体"/>
                <w:color w:val="000000"/>
                <w:sz w:val="21"/>
                <w:szCs w:val="21"/>
                <w:highlight w:val="none"/>
              </w:rPr>
              <w:t>2.除非得到采购方的书面许可，服务商不得将服务内容及服务过程中获得的</w:t>
            </w:r>
            <w:r>
              <w:rPr>
                <w:rFonts w:hint="eastAsia" w:ascii="楷体" w:hAnsi="楷体" w:eastAsia="楷体" w:cs="楷体"/>
                <w:color w:val="000000"/>
                <w:sz w:val="21"/>
                <w:szCs w:val="21"/>
                <w:highlight w:val="none"/>
                <w:lang w:eastAsia="zh-CN"/>
              </w:rPr>
              <w:t>监督抽查对象</w:t>
            </w:r>
            <w:r>
              <w:rPr>
                <w:rFonts w:hint="eastAsia" w:ascii="楷体" w:hAnsi="楷体" w:eastAsia="楷体" w:cs="楷体"/>
                <w:color w:val="000000"/>
                <w:sz w:val="21"/>
                <w:szCs w:val="21"/>
                <w:highlight w:val="none"/>
              </w:rPr>
              <w:t>相关资料向任何第三方泄露。</w:t>
            </w:r>
          </w:p>
          <w:p w14:paraId="4A4A5DB3">
            <w:pPr>
              <w:pStyle w:val="23"/>
              <w:spacing w:after="0" w:line="520" w:lineRule="exact"/>
              <w:ind w:firstLine="420" w:firstLineChars="200"/>
              <w:jc w:val="both"/>
              <w:rPr>
                <w:rFonts w:hint="eastAsia" w:ascii="楷体" w:hAnsi="楷体" w:eastAsia="楷体" w:cs="楷体"/>
                <w:color w:val="000000"/>
                <w:sz w:val="21"/>
                <w:szCs w:val="21"/>
                <w:highlight w:val="none"/>
              </w:rPr>
            </w:pPr>
            <w:r>
              <w:rPr>
                <w:rFonts w:hint="eastAsia" w:ascii="楷体" w:hAnsi="楷体" w:eastAsia="楷体" w:cs="楷体"/>
                <w:color w:val="000000"/>
                <w:sz w:val="21"/>
                <w:szCs w:val="21"/>
                <w:highlight w:val="none"/>
              </w:rPr>
              <w:t>3.本保密义务应在服务期满、解除或终止后仍然有效。</w:t>
            </w:r>
          </w:p>
          <w:p w14:paraId="671FB7AE">
            <w:pPr>
              <w:pStyle w:val="23"/>
              <w:spacing w:after="0" w:line="520" w:lineRule="exact"/>
              <w:ind w:firstLine="420" w:firstLineChars="200"/>
              <w:jc w:val="both"/>
              <w:rPr>
                <w:rFonts w:hint="eastAsia" w:ascii="楷体" w:hAnsi="楷体" w:eastAsia="楷体" w:cs="楷体"/>
                <w:color w:val="000000"/>
                <w:sz w:val="21"/>
                <w:szCs w:val="21"/>
                <w:highlight w:val="none"/>
              </w:rPr>
            </w:pPr>
            <w:r>
              <w:rPr>
                <w:rFonts w:hint="eastAsia" w:ascii="楷体" w:hAnsi="楷体" w:eastAsia="楷体" w:cs="楷体"/>
                <w:color w:val="000000"/>
                <w:sz w:val="21"/>
                <w:szCs w:val="21"/>
                <w:highlight w:val="none"/>
              </w:rPr>
              <w:t>（</w:t>
            </w:r>
            <w:r>
              <w:rPr>
                <w:rFonts w:hint="eastAsia" w:ascii="楷体" w:hAnsi="楷体" w:eastAsia="楷体" w:cs="楷体"/>
                <w:color w:val="000000"/>
                <w:sz w:val="21"/>
                <w:szCs w:val="21"/>
                <w:highlight w:val="none"/>
                <w:lang w:val="en-US" w:eastAsia="zh-CN"/>
              </w:rPr>
              <w:t>六</w:t>
            </w:r>
            <w:r>
              <w:rPr>
                <w:rFonts w:hint="eastAsia" w:ascii="楷体" w:hAnsi="楷体" w:eastAsia="楷体" w:cs="楷体"/>
                <w:color w:val="000000"/>
                <w:sz w:val="21"/>
                <w:szCs w:val="21"/>
                <w:highlight w:val="none"/>
              </w:rPr>
              <w:t>）合同的解除</w:t>
            </w:r>
          </w:p>
          <w:p w14:paraId="0B7E2BDB">
            <w:pPr>
              <w:pStyle w:val="23"/>
              <w:spacing w:after="0" w:line="520" w:lineRule="exact"/>
              <w:ind w:firstLine="420" w:firstLineChars="200"/>
              <w:jc w:val="both"/>
              <w:rPr>
                <w:rFonts w:hint="eastAsia" w:ascii="楷体" w:hAnsi="楷体" w:eastAsia="楷体" w:cs="楷体"/>
                <w:color w:val="000000"/>
                <w:sz w:val="21"/>
                <w:szCs w:val="21"/>
                <w:highlight w:val="none"/>
              </w:rPr>
            </w:pPr>
            <w:r>
              <w:rPr>
                <w:rFonts w:hint="eastAsia" w:ascii="楷体" w:hAnsi="楷体" w:eastAsia="楷体" w:cs="楷体"/>
                <w:color w:val="000000"/>
                <w:sz w:val="21"/>
                <w:szCs w:val="21"/>
                <w:highlight w:val="none"/>
              </w:rPr>
              <w:t>1.有下述情形之一，当事人可发出书面通知全部或部分地解除合同，合同自通知到达对方时全部或部分地解除：</w:t>
            </w:r>
          </w:p>
          <w:p w14:paraId="4B4A5564">
            <w:pPr>
              <w:pStyle w:val="23"/>
              <w:spacing w:after="0" w:line="520" w:lineRule="exact"/>
              <w:ind w:firstLine="420" w:firstLineChars="200"/>
              <w:jc w:val="both"/>
              <w:rPr>
                <w:rFonts w:hint="eastAsia" w:ascii="楷体" w:hAnsi="楷体" w:eastAsia="楷体" w:cs="楷体"/>
                <w:color w:val="000000"/>
                <w:sz w:val="21"/>
                <w:szCs w:val="21"/>
                <w:highlight w:val="none"/>
              </w:rPr>
            </w:pPr>
            <w:r>
              <w:rPr>
                <w:rFonts w:hint="eastAsia" w:ascii="楷体" w:hAnsi="楷体" w:eastAsia="楷体" w:cs="楷体"/>
                <w:color w:val="000000"/>
                <w:sz w:val="21"/>
                <w:szCs w:val="21"/>
                <w:highlight w:val="none"/>
              </w:rPr>
              <w:t>（1）服务商延迟完成项目超过 30 天；</w:t>
            </w:r>
          </w:p>
          <w:p w14:paraId="0BC82055">
            <w:pPr>
              <w:pStyle w:val="23"/>
              <w:spacing w:after="0" w:line="520" w:lineRule="exact"/>
              <w:ind w:firstLine="420" w:firstLineChars="200"/>
              <w:jc w:val="both"/>
              <w:rPr>
                <w:rFonts w:hint="eastAsia" w:ascii="楷体" w:hAnsi="楷体" w:eastAsia="楷体" w:cs="楷体"/>
                <w:color w:val="000000"/>
                <w:sz w:val="21"/>
                <w:szCs w:val="21"/>
                <w:highlight w:val="none"/>
              </w:rPr>
            </w:pPr>
            <w:r>
              <w:rPr>
                <w:rFonts w:hint="eastAsia" w:ascii="楷体" w:hAnsi="楷体" w:eastAsia="楷体" w:cs="楷体"/>
                <w:color w:val="000000"/>
                <w:sz w:val="21"/>
                <w:szCs w:val="21"/>
                <w:highlight w:val="none"/>
              </w:rPr>
              <w:t>（2）服务商提供的服务内容不符合招标文件规定或不合格的或本项目不能通过验收的；</w:t>
            </w:r>
          </w:p>
          <w:p w14:paraId="08A87E01">
            <w:pPr>
              <w:pStyle w:val="23"/>
              <w:spacing w:after="0" w:line="520" w:lineRule="exact"/>
              <w:ind w:firstLine="420" w:firstLineChars="200"/>
              <w:jc w:val="both"/>
              <w:rPr>
                <w:rFonts w:hint="eastAsia" w:ascii="楷体" w:hAnsi="楷体" w:eastAsia="楷体" w:cs="楷体"/>
                <w:color w:val="000000"/>
                <w:sz w:val="21"/>
                <w:szCs w:val="21"/>
                <w:highlight w:val="none"/>
              </w:rPr>
            </w:pPr>
            <w:r>
              <w:rPr>
                <w:rFonts w:hint="eastAsia" w:ascii="楷体" w:hAnsi="楷体" w:eastAsia="楷体" w:cs="楷体"/>
                <w:color w:val="000000"/>
                <w:sz w:val="21"/>
                <w:szCs w:val="21"/>
                <w:highlight w:val="none"/>
              </w:rPr>
              <w:t>（3）采购方延迟付款超过 60 天；</w:t>
            </w:r>
          </w:p>
          <w:p w14:paraId="69ABAC27">
            <w:pPr>
              <w:pStyle w:val="23"/>
              <w:spacing w:after="0" w:line="520" w:lineRule="exact"/>
              <w:ind w:firstLine="420" w:firstLineChars="200"/>
              <w:jc w:val="both"/>
              <w:rPr>
                <w:rFonts w:hint="eastAsia" w:ascii="楷体" w:hAnsi="楷体" w:eastAsia="楷体" w:cs="楷体"/>
                <w:color w:val="000000"/>
                <w:sz w:val="21"/>
                <w:szCs w:val="21"/>
                <w:highlight w:val="none"/>
              </w:rPr>
            </w:pPr>
            <w:r>
              <w:rPr>
                <w:rFonts w:hint="eastAsia" w:ascii="楷体" w:hAnsi="楷体" w:eastAsia="楷体" w:cs="楷体"/>
                <w:color w:val="000000"/>
                <w:sz w:val="21"/>
                <w:szCs w:val="21"/>
                <w:highlight w:val="none"/>
              </w:rPr>
              <w:t>（4）任何一方当事人未能履行合同项下任何其它义务（细微义务除外），或在未事先征得另一方当事人同意的情况下，从事任何可能在实质上不利影响其履行合同能力的活动，经另一方当事人书面通知后 15 日内未能对其行为作出补救；</w:t>
            </w:r>
          </w:p>
          <w:p w14:paraId="62AA34DE">
            <w:pPr>
              <w:pStyle w:val="23"/>
              <w:spacing w:after="0" w:line="520" w:lineRule="exact"/>
              <w:ind w:firstLine="420" w:firstLineChars="200"/>
              <w:jc w:val="both"/>
              <w:rPr>
                <w:rFonts w:hint="eastAsia" w:ascii="楷体" w:hAnsi="楷体" w:eastAsia="楷体" w:cs="楷体"/>
                <w:color w:val="000000"/>
                <w:sz w:val="21"/>
                <w:szCs w:val="21"/>
                <w:highlight w:val="none"/>
              </w:rPr>
            </w:pPr>
            <w:r>
              <w:rPr>
                <w:rFonts w:hint="eastAsia" w:ascii="楷体" w:hAnsi="楷体" w:eastAsia="楷体" w:cs="楷体"/>
                <w:color w:val="000000"/>
                <w:sz w:val="21"/>
                <w:szCs w:val="21"/>
                <w:highlight w:val="none"/>
              </w:rPr>
              <w:t>（5）任何一方当事人出现破产、清算、资不抵债、成为失信被执行人等可能丧失履约能力的情形。</w:t>
            </w:r>
          </w:p>
          <w:p w14:paraId="1A94930B">
            <w:pPr>
              <w:pStyle w:val="23"/>
              <w:spacing w:after="0" w:line="520" w:lineRule="exact"/>
              <w:ind w:firstLine="420" w:firstLineChars="200"/>
              <w:jc w:val="both"/>
              <w:rPr>
                <w:rFonts w:hint="eastAsia" w:ascii="楷体" w:hAnsi="楷体" w:eastAsia="楷体" w:cs="楷体"/>
                <w:color w:val="000000"/>
                <w:sz w:val="21"/>
                <w:szCs w:val="21"/>
                <w:highlight w:val="none"/>
              </w:rPr>
            </w:pPr>
            <w:r>
              <w:rPr>
                <w:rFonts w:hint="eastAsia" w:ascii="楷体" w:hAnsi="楷体" w:eastAsia="楷体" w:cs="楷体"/>
                <w:color w:val="000000"/>
                <w:sz w:val="21"/>
                <w:szCs w:val="21"/>
                <w:highlight w:val="none"/>
              </w:rPr>
              <w:t>2.在服务商违约的情况下，采购方报告政府采购管理部门后，有权终止合同，并依法向服务商进行索赔实际损失(包括但不限于维权所支出的律师费、诉讼费、交通费等)。</w:t>
            </w:r>
          </w:p>
          <w:p w14:paraId="498771FD">
            <w:pPr>
              <w:pStyle w:val="23"/>
              <w:spacing w:after="0" w:line="520" w:lineRule="exact"/>
              <w:ind w:firstLine="420" w:firstLineChars="200"/>
              <w:jc w:val="both"/>
              <w:rPr>
                <w:rFonts w:hint="eastAsia" w:ascii="楷体" w:hAnsi="楷体" w:eastAsia="楷体" w:cs="楷体"/>
                <w:color w:val="000000"/>
                <w:sz w:val="21"/>
                <w:szCs w:val="21"/>
                <w:highlight w:val="none"/>
              </w:rPr>
            </w:pPr>
            <w:r>
              <w:rPr>
                <w:rFonts w:hint="eastAsia" w:ascii="楷体" w:hAnsi="楷体" w:eastAsia="楷体" w:cs="楷体"/>
                <w:color w:val="000000"/>
                <w:sz w:val="21"/>
                <w:szCs w:val="21"/>
                <w:highlight w:val="none"/>
              </w:rPr>
              <w:t>（</w:t>
            </w:r>
            <w:r>
              <w:rPr>
                <w:rFonts w:hint="eastAsia" w:ascii="楷体" w:hAnsi="楷体" w:eastAsia="楷体" w:cs="楷体"/>
                <w:color w:val="000000"/>
                <w:sz w:val="21"/>
                <w:szCs w:val="21"/>
                <w:highlight w:val="none"/>
                <w:lang w:val="en-US" w:eastAsia="zh-CN"/>
              </w:rPr>
              <w:t>七</w:t>
            </w:r>
            <w:r>
              <w:rPr>
                <w:rFonts w:hint="eastAsia" w:ascii="楷体" w:hAnsi="楷体" w:eastAsia="楷体" w:cs="楷体"/>
                <w:color w:val="000000"/>
                <w:sz w:val="21"/>
                <w:szCs w:val="21"/>
                <w:highlight w:val="none"/>
              </w:rPr>
              <w:t>）不可抗力</w:t>
            </w:r>
          </w:p>
          <w:p w14:paraId="0B087416">
            <w:pPr>
              <w:pStyle w:val="23"/>
              <w:spacing w:after="0" w:line="520" w:lineRule="exact"/>
              <w:ind w:firstLine="420" w:firstLineChars="200"/>
              <w:jc w:val="both"/>
              <w:rPr>
                <w:rFonts w:hint="eastAsia" w:ascii="楷体" w:hAnsi="楷体" w:eastAsia="楷体" w:cs="楷体"/>
                <w:color w:val="000000"/>
                <w:sz w:val="21"/>
                <w:szCs w:val="21"/>
                <w:highlight w:val="none"/>
              </w:rPr>
            </w:pPr>
            <w:r>
              <w:rPr>
                <w:rFonts w:hint="eastAsia" w:ascii="楷体" w:hAnsi="楷体" w:eastAsia="楷体" w:cs="楷体"/>
                <w:color w:val="000000"/>
                <w:sz w:val="21"/>
                <w:szCs w:val="21"/>
                <w:highlight w:val="none"/>
              </w:rPr>
              <w:t>1.如果任何一方当事人受到不能预见、不能避免且不能克服的不可抗力事件的影响，例如战争、严重的火灾、台风、地震、洪水等情形，而无法履行合同项下的任何义务，则受影响的一方当事人应立即将此类事件的发生通知另一方当事人，并应在不可抗力事件发生后 20 日内将有关当局或机构出具的证明文件提交给另一方当事人。</w:t>
            </w:r>
          </w:p>
          <w:p w14:paraId="6FCEEDB7">
            <w:pPr>
              <w:pStyle w:val="23"/>
              <w:spacing w:after="0" w:line="520" w:lineRule="exact"/>
              <w:ind w:firstLine="420" w:firstLineChars="200"/>
              <w:jc w:val="both"/>
              <w:rPr>
                <w:rFonts w:hint="eastAsia" w:ascii="楷体" w:hAnsi="楷体" w:eastAsia="楷体" w:cs="楷体"/>
                <w:color w:val="000000"/>
                <w:sz w:val="21"/>
                <w:szCs w:val="21"/>
                <w:highlight w:val="none"/>
              </w:rPr>
            </w:pPr>
            <w:r>
              <w:rPr>
                <w:rFonts w:hint="eastAsia" w:ascii="楷体" w:hAnsi="楷体" w:eastAsia="楷体" w:cs="楷体"/>
                <w:color w:val="000000"/>
                <w:sz w:val="21"/>
                <w:szCs w:val="21"/>
                <w:highlight w:val="none"/>
              </w:rPr>
              <w:t>2.受不可抗力事件影响的一方当事人对于不可抗力事件导致的任何合同义务的延迟履行或不能履行不承担违约责任。但该方当事人应尽快将不可抗力事件结束或消除的情况通知另一方当事人。</w:t>
            </w:r>
          </w:p>
          <w:p w14:paraId="3C2AD5F4">
            <w:pPr>
              <w:pStyle w:val="24"/>
              <w:keepNext/>
              <w:keepLines/>
              <w:pBdr>
                <w:bottom w:val="single" w:color="auto" w:sz="4" w:space="0"/>
              </w:pBdr>
              <w:spacing w:after="156" w:afterLines="50" w:line="622" w:lineRule="exact"/>
              <w:ind w:left="0" w:leftChars="0" w:firstLine="0" w:firstLineChars="0"/>
              <w:jc w:val="both"/>
              <w:rPr>
                <w:rFonts w:hint="eastAsia" w:ascii="楷体" w:hAnsi="楷体" w:eastAsia="楷体" w:cs="楷体"/>
                <w:sz w:val="21"/>
                <w:szCs w:val="21"/>
                <w:highlight w:val="none"/>
                <w:lang w:val="en-US" w:eastAsia="zh-CN"/>
              </w:rPr>
            </w:pPr>
            <w:r>
              <w:rPr>
                <w:rFonts w:hint="eastAsia" w:ascii="楷体" w:hAnsi="楷体" w:eastAsia="楷体" w:cs="楷体"/>
                <w:color w:val="000000"/>
                <w:sz w:val="21"/>
                <w:szCs w:val="21"/>
                <w:highlight w:val="none"/>
              </w:rPr>
              <w:t>3.双方当事人应在不可抗力事件结束或其影响消除后立即继续履行其合同义务，合同期限也应相应顺延。如果不可抗力事件的影响持续超过 90 日，则任何一方当事人均有权以书面通知解除合同</w:t>
            </w:r>
            <w:r>
              <w:rPr>
                <w:rFonts w:hint="eastAsia" w:ascii="楷体" w:hAnsi="楷体" w:eastAsia="楷体" w:cs="楷体"/>
                <w:color w:val="000000"/>
                <w:sz w:val="21"/>
                <w:szCs w:val="21"/>
                <w:highlight w:val="none"/>
                <w:lang w:eastAsia="zh-CN"/>
              </w:rPr>
              <w:t>。</w:t>
            </w:r>
            <w:bookmarkEnd w:id="119"/>
          </w:p>
        </w:tc>
      </w:tr>
    </w:tbl>
    <w:p w14:paraId="4B2DA6B0">
      <w:pPr>
        <w:pStyle w:val="10"/>
        <w:numPr>
          <w:ilvl w:val="0"/>
          <w:numId w:val="0"/>
        </w:numPr>
        <w:spacing w:line="360" w:lineRule="auto"/>
        <w:jc w:val="both"/>
        <w:outlineLvl w:val="0"/>
        <w:rPr>
          <w:rFonts w:hint="eastAsia" w:ascii="楷体" w:hAnsi="楷体" w:eastAsia="楷体" w:cs="楷体"/>
          <w:b/>
          <w:color w:val="auto"/>
          <w:sz w:val="28"/>
          <w:szCs w:val="28"/>
          <w:highlight w:val="none"/>
          <w:lang w:val="en-US" w:eastAsia="zh-CN"/>
        </w:rPr>
      </w:pPr>
    </w:p>
    <w:p w14:paraId="454491BE">
      <w:pPr>
        <w:pStyle w:val="10"/>
        <w:numPr>
          <w:ilvl w:val="0"/>
          <w:numId w:val="0"/>
        </w:numPr>
        <w:spacing w:line="360" w:lineRule="auto"/>
        <w:jc w:val="both"/>
        <w:outlineLvl w:val="0"/>
        <w:rPr>
          <w:rFonts w:hint="eastAsia" w:ascii="楷体" w:hAnsi="楷体" w:eastAsia="楷体" w:cs="楷体"/>
          <w:b/>
          <w:color w:val="auto"/>
          <w:sz w:val="28"/>
          <w:szCs w:val="28"/>
          <w:highlight w:val="none"/>
          <w:lang w:val="en-US" w:eastAsia="zh-CN"/>
        </w:rPr>
      </w:pPr>
    </w:p>
    <w:p w14:paraId="66F1FA49">
      <w:pPr>
        <w:pStyle w:val="10"/>
        <w:numPr>
          <w:ilvl w:val="0"/>
          <w:numId w:val="0"/>
        </w:numPr>
        <w:spacing w:line="360" w:lineRule="auto"/>
        <w:jc w:val="both"/>
        <w:outlineLvl w:val="0"/>
        <w:rPr>
          <w:rFonts w:hint="eastAsia" w:ascii="楷体" w:hAnsi="楷体" w:eastAsia="楷体" w:cs="楷体"/>
          <w:b/>
          <w:color w:val="auto"/>
          <w:sz w:val="28"/>
          <w:szCs w:val="28"/>
          <w:highlight w:val="none"/>
          <w:lang w:val="en-US" w:eastAsia="zh-CN"/>
        </w:rPr>
      </w:pPr>
    </w:p>
    <w:p w14:paraId="0A6874E6">
      <w:pPr>
        <w:pStyle w:val="10"/>
        <w:numPr>
          <w:ilvl w:val="0"/>
          <w:numId w:val="0"/>
        </w:numPr>
        <w:spacing w:line="360" w:lineRule="auto"/>
        <w:jc w:val="both"/>
        <w:outlineLvl w:val="0"/>
        <w:rPr>
          <w:rFonts w:hint="eastAsia" w:ascii="楷体" w:hAnsi="楷体" w:eastAsia="楷体" w:cs="楷体"/>
          <w:b/>
          <w:color w:val="auto"/>
          <w:sz w:val="28"/>
          <w:szCs w:val="28"/>
          <w:highlight w:val="none"/>
          <w:lang w:val="en-US" w:eastAsia="zh-CN"/>
        </w:rPr>
      </w:pPr>
    </w:p>
    <w:p w14:paraId="51E50BE0">
      <w:pPr>
        <w:pStyle w:val="10"/>
        <w:numPr>
          <w:ilvl w:val="0"/>
          <w:numId w:val="0"/>
        </w:numPr>
        <w:spacing w:line="360" w:lineRule="auto"/>
        <w:jc w:val="both"/>
        <w:outlineLvl w:val="0"/>
        <w:rPr>
          <w:rFonts w:hint="eastAsia" w:ascii="楷体" w:hAnsi="楷体" w:eastAsia="楷体" w:cs="楷体"/>
          <w:b/>
          <w:color w:val="auto"/>
          <w:sz w:val="28"/>
          <w:szCs w:val="28"/>
          <w:highlight w:val="none"/>
          <w:lang w:val="en-US" w:eastAsia="zh-CN"/>
        </w:rPr>
      </w:pPr>
    </w:p>
    <w:p w14:paraId="5625E85D">
      <w:pPr>
        <w:pStyle w:val="10"/>
        <w:numPr>
          <w:ilvl w:val="0"/>
          <w:numId w:val="0"/>
        </w:numPr>
        <w:spacing w:line="360" w:lineRule="auto"/>
        <w:jc w:val="both"/>
        <w:outlineLvl w:val="0"/>
        <w:rPr>
          <w:rFonts w:hint="eastAsia" w:ascii="楷体" w:hAnsi="楷体" w:eastAsia="楷体" w:cs="楷体"/>
          <w:b/>
          <w:color w:val="auto"/>
          <w:sz w:val="28"/>
          <w:szCs w:val="28"/>
          <w:highlight w:val="none"/>
          <w:lang w:val="en-US" w:eastAsia="zh-CN"/>
        </w:rPr>
      </w:pPr>
    </w:p>
    <w:p w14:paraId="768516C9">
      <w:pPr>
        <w:pStyle w:val="10"/>
        <w:numPr>
          <w:ilvl w:val="0"/>
          <w:numId w:val="0"/>
        </w:numPr>
        <w:spacing w:line="360" w:lineRule="auto"/>
        <w:jc w:val="both"/>
        <w:outlineLvl w:val="0"/>
        <w:rPr>
          <w:rFonts w:hint="eastAsia" w:ascii="楷体" w:hAnsi="楷体" w:eastAsia="楷体" w:cs="楷体"/>
          <w:b/>
          <w:color w:val="auto"/>
          <w:sz w:val="28"/>
          <w:szCs w:val="28"/>
          <w:highlight w:val="none"/>
          <w:lang w:val="en-US" w:eastAsia="zh-CN"/>
        </w:rPr>
      </w:pPr>
    </w:p>
    <w:p w14:paraId="649465FC">
      <w:pPr>
        <w:pStyle w:val="10"/>
        <w:numPr>
          <w:ilvl w:val="0"/>
          <w:numId w:val="0"/>
        </w:numPr>
        <w:spacing w:line="360" w:lineRule="auto"/>
        <w:jc w:val="both"/>
        <w:outlineLvl w:val="0"/>
        <w:rPr>
          <w:rFonts w:hint="eastAsia" w:ascii="楷体" w:hAnsi="楷体" w:eastAsia="楷体" w:cs="楷体"/>
          <w:b/>
          <w:color w:val="auto"/>
          <w:sz w:val="28"/>
          <w:szCs w:val="28"/>
          <w:highlight w:val="none"/>
          <w:lang w:val="en-US" w:eastAsia="zh-CN"/>
        </w:rPr>
      </w:pPr>
    </w:p>
    <w:p w14:paraId="2C3BCD10">
      <w:pPr>
        <w:pStyle w:val="10"/>
        <w:numPr>
          <w:ilvl w:val="0"/>
          <w:numId w:val="0"/>
        </w:numPr>
        <w:spacing w:line="360" w:lineRule="auto"/>
        <w:jc w:val="both"/>
        <w:outlineLvl w:val="0"/>
        <w:rPr>
          <w:rFonts w:hint="eastAsia" w:ascii="楷体" w:hAnsi="楷体" w:eastAsia="楷体" w:cs="楷体"/>
          <w:b/>
          <w:color w:val="auto"/>
          <w:sz w:val="28"/>
          <w:szCs w:val="28"/>
          <w:highlight w:val="none"/>
          <w:lang w:val="en-US" w:eastAsia="zh-CN"/>
        </w:rPr>
      </w:pPr>
    </w:p>
    <w:p w14:paraId="79304B1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both"/>
        <w:textAlignment w:val="auto"/>
        <w:outlineLvl w:val="0"/>
        <w:rPr>
          <w:rFonts w:hint="eastAsia" w:ascii="楷体" w:hAnsi="楷体" w:eastAsia="楷体" w:cs="楷体"/>
          <w:b/>
          <w:color w:val="auto"/>
          <w:sz w:val="28"/>
          <w:szCs w:val="28"/>
          <w:highlight w:val="none"/>
          <w:lang w:val="en-US" w:eastAsia="zh-CN"/>
        </w:rPr>
      </w:pPr>
      <w:r>
        <w:rPr>
          <w:rFonts w:hint="eastAsia" w:ascii="楷体" w:hAnsi="楷体" w:eastAsia="楷体" w:cs="楷体"/>
          <w:b/>
          <w:color w:val="auto"/>
          <w:sz w:val="28"/>
          <w:szCs w:val="28"/>
          <w:highlight w:val="none"/>
          <w:lang w:val="en-US" w:eastAsia="zh-CN"/>
        </w:rPr>
        <w:t>采购包2</w:t>
      </w:r>
    </w:p>
    <w:tbl>
      <w:tblPr>
        <w:tblStyle w:val="17"/>
        <w:tblpPr w:leftFromText="180" w:rightFromText="180" w:vertAnchor="text" w:horzAnchor="page" w:tblpX="1789" w:tblpY="453"/>
        <w:tblOverlap w:val="never"/>
        <w:tblW w:w="851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631"/>
        <w:gridCol w:w="585"/>
        <w:gridCol w:w="7303"/>
      </w:tblGrid>
      <w:tr w14:paraId="3C74D48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631" w:type="dxa"/>
            <w:vAlign w:val="center"/>
          </w:tcPr>
          <w:p w14:paraId="243E24A2">
            <w:pPr>
              <w:pStyle w:val="22"/>
              <w:pageBreakBefore w:val="0"/>
              <w:kinsoku/>
              <w:wordWrap/>
              <w:overflowPunct/>
              <w:topLinePunct w:val="0"/>
              <w:autoSpaceDE/>
              <w:autoSpaceDN/>
              <w:bidi w:val="0"/>
              <w:adjustRightInd/>
              <w:snapToGrid/>
              <w:spacing w:line="360" w:lineRule="auto"/>
              <w:jc w:val="center"/>
              <w:textAlignment w:val="auto"/>
              <w:rPr>
                <w:rFonts w:hint="eastAsia" w:ascii="楷体" w:hAnsi="楷体" w:eastAsia="楷体" w:cs="楷体"/>
                <w:sz w:val="18"/>
                <w:szCs w:val="18"/>
                <w:highlight w:val="none"/>
              </w:rPr>
            </w:pPr>
            <w:r>
              <w:rPr>
                <w:rFonts w:hint="eastAsia" w:ascii="楷体" w:hAnsi="楷体" w:eastAsia="楷体" w:cs="楷体"/>
                <w:sz w:val="18"/>
                <w:szCs w:val="18"/>
                <w:highlight w:val="none"/>
              </w:rPr>
              <w:t>参数</w:t>
            </w:r>
          </w:p>
          <w:p w14:paraId="55A35B09">
            <w:pPr>
              <w:pStyle w:val="22"/>
              <w:pageBreakBefore w:val="0"/>
              <w:kinsoku/>
              <w:wordWrap/>
              <w:overflowPunct/>
              <w:topLinePunct w:val="0"/>
              <w:autoSpaceDE/>
              <w:autoSpaceDN/>
              <w:bidi w:val="0"/>
              <w:adjustRightInd/>
              <w:snapToGrid/>
              <w:spacing w:line="360" w:lineRule="auto"/>
              <w:jc w:val="center"/>
              <w:textAlignment w:val="auto"/>
              <w:rPr>
                <w:rFonts w:hint="eastAsia" w:ascii="楷体" w:hAnsi="楷体" w:eastAsia="楷体" w:cs="楷体"/>
                <w:sz w:val="18"/>
                <w:szCs w:val="18"/>
                <w:highlight w:val="none"/>
              </w:rPr>
            </w:pPr>
            <w:r>
              <w:rPr>
                <w:rFonts w:hint="eastAsia" w:ascii="楷体" w:hAnsi="楷体" w:eastAsia="楷体" w:cs="楷体"/>
                <w:sz w:val="18"/>
                <w:szCs w:val="18"/>
                <w:highlight w:val="none"/>
              </w:rPr>
              <w:t>性质</w:t>
            </w:r>
          </w:p>
        </w:tc>
        <w:tc>
          <w:tcPr>
            <w:tcW w:w="585" w:type="dxa"/>
            <w:vAlign w:val="center"/>
          </w:tcPr>
          <w:p w14:paraId="36FC4017">
            <w:pPr>
              <w:pStyle w:val="22"/>
              <w:pageBreakBefore w:val="0"/>
              <w:kinsoku/>
              <w:wordWrap/>
              <w:overflowPunct/>
              <w:topLinePunct w:val="0"/>
              <w:autoSpaceDE/>
              <w:autoSpaceDN/>
              <w:bidi w:val="0"/>
              <w:adjustRightInd/>
              <w:snapToGrid/>
              <w:spacing w:line="360" w:lineRule="auto"/>
              <w:jc w:val="center"/>
              <w:textAlignment w:val="auto"/>
              <w:rPr>
                <w:rFonts w:hint="eastAsia" w:ascii="楷体" w:hAnsi="楷体" w:eastAsia="楷体" w:cs="楷体"/>
                <w:sz w:val="18"/>
                <w:szCs w:val="18"/>
                <w:highlight w:val="none"/>
              </w:rPr>
            </w:pPr>
            <w:r>
              <w:rPr>
                <w:rFonts w:hint="eastAsia" w:ascii="楷体" w:hAnsi="楷体" w:eastAsia="楷体" w:cs="楷体"/>
                <w:sz w:val="18"/>
                <w:szCs w:val="18"/>
                <w:highlight w:val="none"/>
              </w:rPr>
              <w:t>序号</w:t>
            </w:r>
          </w:p>
        </w:tc>
        <w:tc>
          <w:tcPr>
            <w:tcW w:w="7303" w:type="dxa"/>
            <w:vAlign w:val="center"/>
          </w:tcPr>
          <w:p w14:paraId="1332FA36">
            <w:pPr>
              <w:pStyle w:val="22"/>
              <w:pageBreakBefore w:val="0"/>
              <w:kinsoku/>
              <w:wordWrap/>
              <w:overflowPunct/>
              <w:topLinePunct w:val="0"/>
              <w:autoSpaceDE/>
              <w:autoSpaceDN/>
              <w:bidi w:val="0"/>
              <w:adjustRightInd/>
              <w:snapToGrid/>
              <w:spacing w:line="360" w:lineRule="auto"/>
              <w:jc w:val="center"/>
              <w:textAlignment w:val="auto"/>
              <w:rPr>
                <w:rFonts w:hint="eastAsia" w:ascii="楷体" w:hAnsi="楷体" w:eastAsia="楷体" w:cs="楷体"/>
                <w:sz w:val="18"/>
                <w:szCs w:val="18"/>
                <w:highlight w:val="none"/>
              </w:rPr>
            </w:pPr>
            <w:r>
              <w:rPr>
                <w:rFonts w:hint="eastAsia" w:ascii="楷体" w:hAnsi="楷体" w:eastAsia="楷体" w:cs="楷体"/>
                <w:sz w:val="18"/>
                <w:szCs w:val="18"/>
                <w:highlight w:val="none"/>
              </w:rPr>
              <w:t>技术参数与性能指标</w:t>
            </w:r>
          </w:p>
        </w:tc>
      </w:tr>
      <w:tr w14:paraId="3A9F5B0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631" w:type="dxa"/>
          </w:tcPr>
          <w:p w14:paraId="12604650">
            <w:pPr>
              <w:pageBreakBefore w:val="0"/>
              <w:kinsoku/>
              <w:wordWrap/>
              <w:overflowPunct/>
              <w:topLinePunct w:val="0"/>
              <w:autoSpaceDE/>
              <w:autoSpaceDN/>
              <w:bidi w:val="0"/>
              <w:adjustRightInd/>
              <w:snapToGrid/>
              <w:spacing w:line="360" w:lineRule="auto"/>
              <w:textAlignment w:val="auto"/>
              <w:rPr>
                <w:rFonts w:hint="eastAsia" w:ascii="楷体" w:hAnsi="楷体" w:eastAsia="楷体" w:cs="楷体"/>
                <w:sz w:val="20"/>
                <w:szCs w:val="20"/>
                <w:highlight w:val="none"/>
              </w:rPr>
            </w:pPr>
          </w:p>
        </w:tc>
        <w:tc>
          <w:tcPr>
            <w:tcW w:w="585" w:type="dxa"/>
          </w:tcPr>
          <w:p w14:paraId="5BD84741">
            <w:pPr>
              <w:pStyle w:val="22"/>
              <w:pageBreakBefore w:val="0"/>
              <w:kinsoku/>
              <w:wordWrap/>
              <w:overflowPunct/>
              <w:topLinePunct w:val="0"/>
              <w:autoSpaceDE/>
              <w:autoSpaceDN/>
              <w:bidi w:val="0"/>
              <w:adjustRightInd/>
              <w:snapToGrid/>
              <w:spacing w:line="360" w:lineRule="auto"/>
              <w:textAlignment w:val="auto"/>
              <w:rPr>
                <w:rFonts w:hint="eastAsia" w:ascii="楷体" w:hAnsi="楷体" w:eastAsia="楷体" w:cs="楷体"/>
                <w:sz w:val="20"/>
                <w:szCs w:val="20"/>
                <w:highlight w:val="none"/>
              </w:rPr>
            </w:pPr>
            <w:r>
              <w:rPr>
                <w:rFonts w:hint="eastAsia" w:ascii="楷体" w:hAnsi="楷体" w:eastAsia="楷体" w:cs="楷体"/>
                <w:sz w:val="20"/>
                <w:szCs w:val="20"/>
                <w:highlight w:val="none"/>
              </w:rPr>
              <w:t>1</w:t>
            </w:r>
          </w:p>
        </w:tc>
        <w:tc>
          <w:tcPr>
            <w:tcW w:w="7303" w:type="dxa"/>
          </w:tcPr>
          <w:p w14:paraId="47F9B181">
            <w:pPr>
              <w:keepNext w:val="0"/>
              <w:keepLines w:val="0"/>
              <w:pageBreakBefore w:val="0"/>
              <w:widowControl w:val="0"/>
              <w:numPr>
                <w:ilvl w:val="0"/>
                <w:numId w:val="8"/>
              </w:numPr>
              <w:kinsoku/>
              <w:wordWrap/>
              <w:overflowPunct/>
              <w:topLinePunct w:val="0"/>
              <w:autoSpaceDE/>
              <w:autoSpaceDN/>
              <w:bidi w:val="0"/>
              <w:adjustRightInd/>
              <w:snapToGrid/>
              <w:spacing w:line="360" w:lineRule="auto"/>
              <w:jc w:val="both"/>
              <w:textAlignment w:val="auto"/>
              <w:rPr>
                <w:rFonts w:hint="eastAsia" w:ascii="楷体" w:hAnsi="楷体" w:eastAsia="楷体" w:cs="楷体"/>
                <w:b/>
                <w:bCs/>
                <w:color w:val="000000" w:themeColor="text1"/>
                <w:sz w:val="21"/>
                <w:szCs w:val="21"/>
                <w:highlight w:val="none"/>
                <w:lang w:val="en-US" w:eastAsia="zh-CN"/>
                <w14:textFill>
                  <w14:solidFill>
                    <w14:schemeClr w14:val="tx1"/>
                  </w14:solidFill>
                </w14:textFill>
              </w:rPr>
            </w:pPr>
            <w:r>
              <w:rPr>
                <w:rFonts w:hint="eastAsia" w:ascii="楷体" w:hAnsi="楷体" w:eastAsia="楷体" w:cs="楷体"/>
                <w:b/>
                <w:bCs/>
                <w:color w:val="000000" w:themeColor="text1"/>
                <w:sz w:val="21"/>
                <w:szCs w:val="21"/>
                <w:highlight w:val="none"/>
                <w:lang w:val="en-US" w:eastAsia="zh-CN"/>
                <w14:textFill>
                  <w14:solidFill>
                    <w14:schemeClr w14:val="tx1"/>
                  </w14:solidFill>
                </w14:textFill>
              </w:rPr>
              <w:t>项目概况</w:t>
            </w:r>
            <w:bookmarkStart w:id="120" w:name="OLE_LINK106"/>
          </w:p>
          <w:p w14:paraId="0F51E295">
            <w:pPr>
              <w:pStyle w:val="22"/>
              <w:pageBreakBefore w:val="0"/>
              <w:kinsoku/>
              <w:wordWrap/>
              <w:overflowPunct/>
              <w:topLinePunct w:val="0"/>
              <w:autoSpaceDE/>
              <w:autoSpaceDN/>
              <w:bidi w:val="0"/>
              <w:adjustRightInd/>
              <w:snapToGrid/>
              <w:spacing w:line="360" w:lineRule="auto"/>
              <w:ind w:firstLine="480"/>
              <w:textAlignment w:val="auto"/>
              <w:rPr>
                <w:rFonts w:hint="eastAsia" w:ascii="楷体" w:hAnsi="楷体" w:eastAsia="楷体" w:cs="楷体"/>
                <w:sz w:val="21"/>
                <w:szCs w:val="21"/>
                <w:highlight w:val="none"/>
                <w:lang w:eastAsia="zh-CN"/>
              </w:rPr>
            </w:pPr>
            <w:r>
              <w:rPr>
                <w:rFonts w:hint="eastAsia" w:ascii="楷体" w:hAnsi="楷体" w:eastAsia="楷体" w:cs="楷体"/>
                <w:sz w:val="21"/>
                <w:szCs w:val="21"/>
                <w:highlight w:val="none"/>
                <w:lang w:eastAsia="zh-CN"/>
              </w:rPr>
              <w:t>为规范市场秩序，加强生态环境和安全相关产品质量管控，</w:t>
            </w:r>
            <w:r>
              <w:rPr>
                <w:rFonts w:hint="eastAsia" w:ascii="楷体" w:hAnsi="楷体" w:eastAsia="楷体" w:cs="楷体"/>
                <w:sz w:val="21"/>
                <w:szCs w:val="21"/>
                <w:highlight w:val="none"/>
              </w:rPr>
              <w:t>计划在2025年</w:t>
            </w:r>
            <w:r>
              <w:rPr>
                <w:rFonts w:hint="eastAsia" w:ascii="楷体" w:hAnsi="楷体" w:eastAsia="楷体" w:cs="楷体"/>
                <w:sz w:val="21"/>
                <w:szCs w:val="21"/>
                <w:highlight w:val="none"/>
                <w:lang w:eastAsia="zh-CN"/>
              </w:rPr>
              <w:t>进行生态环境和安全相关产品质量监督抽查。</w:t>
            </w:r>
          </w:p>
          <w:p w14:paraId="2A3FCF74">
            <w:pPr>
              <w:pStyle w:val="24"/>
              <w:keepNext/>
              <w:keepLines/>
              <w:numPr>
                <w:ilvl w:val="0"/>
                <w:numId w:val="8"/>
              </w:numPr>
              <w:pBdr>
                <w:bottom w:val="single" w:color="auto" w:sz="4" w:space="0"/>
              </w:pBdr>
              <w:spacing w:after="156" w:afterLines="50" w:line="622" w:lineRule="exact"/>
              <w:ind w:left="0" w:leftChars="0" w:firstLine="0" w:firstLineChars="0"/>
              <w:jc w:val="both"/>
              <w:rPr>
                <w:rFonts w:hint="eastAsia" w:ascii="楷体" w:hAnsi="楷体" w:eastAsia="楷体" w:cs="楷体"/>
                <w:color w:val="000000" w:themeColor="text1"/>
                <w:kern w:val="2"/>
                <w:sz w:val="21"/>
                <w:szCs w:val="21"/>
                <w:highlight w:val="none"/>
                <w:lang w:val="en-US" w:eastAsia="zh-CN" w:bidi="ar-SA"/>
                <w14:textFill>
                  <w14:solidFill>
                    <w14:schemeClr w14:val="tx1"/>
                  </w14:solidFill>
                </w14:textFill>
              </w:rPr>
            </w:pPr>
            <w:r>
              <w:rPr>
                <w:rFonts w:hint="eastAsia" w:ascii="楷体" w:hAnsi="楷体" w:eastAsia="楷体" w:cs="楷体"/>
                <w:color w:val="000000" w:themeColor="text1"/>
                <w:kern w:val="2"/>
                <w:sz w:val="21"/>
                <w:szCs w:val="21"/>
                <w:highlight w:val="none"/>
                <w:lang w:val="en-US" w:eastAsia="zh-CN" w:bidi="ar-SA"/>
                <w14:textFill>
                  <w14:solidFill>
                    <w14:schemeClr w14:val="tx1"/>
                  </w14:solidFill>
                </w14:textFill>
              </w:rPr>
              <w:t>服务内容及执行标准</w:t>
            </w:r>
          </w:p>
          <w:tbl>
            <w:tblPr>
              <w:tblStyle w:val="18"/>
              <w:tblpPr w:leftFromText="180" w:rightFromText="180" w:vertAnchor="text" w:horzAnchor="page" w:tblpX="113" w:tblpY="418"/>
              <w:tblOverlap w:val="never"/>
              <w:tblW w:w="70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8"/>
              <w:gridCol w:w="2145"/>
              <w:gridCol w:w="1933"/>
              <w:gridCol w:w="2029"/>
            </w:tblGrid>
            <w:tr w14:paraId="4E23A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8" w:type="dxa"/>
                  <w:vAlign w:val="center"/>
                </w:tcPr>
                <w:p w14:paraId="18CDE359">
                  <w:pPr>
                    <w:pageBreakBefore w:val="0"/>
                    <w:overflowPunct/>
                    <w:topLinePunct w:val="0"/>
                    <w:bidi w:val="0"/>
                    <w:snapToGrid/>
                    <w:spacing w:line="360" w:lineRule="auto"/>
                    <w:ind w:left="0" w:leftChars="0" w:right="0" w:rightChars="0"/>
                    <w:jc w:val="center"/>
                    <w:rPr>
                      <w:rFonts w:hint="eastAsia" w:ascii="楷体" w:hAnsi="楷体" w:eastAsia="楷体" w:cs="楷体"/>
                      <w:b/>
                      <w:bCs/>
                      <w:color w:val="auto"/>
                      <w:kern w:val="2"/>
                      <w:sz w:val="21"/>
                      <w:szCs w:val="21"/>
                      <w:highlight w:val="none"/>
                      <w:lang w:val="en-US" w:eastAsia="zh-CN" w:bidi="ar-SA"/>
                    </w:rPr>
                  </w:pPr>
                  <w:r>
                    <w:rPr>
                      <w:rFonts w:hint="eastAsia" w:ascii="楷体" w:hAnsi="楷体" w:eastAsia="楷体" w:cs="楷体"/>
                      <w:b/>
                      <w:bCs/>
                      <w:color w:val="auto"/>
                      <w:sz w:val="21"/>
                      <w:szCs w:val="21"/>
                      <w:highlight w:val="none"/>
                      <w:lang w:val="en-US" w:eastAsia="zh-CN"/>
                    </w:rPr>
                    <w:t>包号</w:t>
                  </w:r>
                </w:p>
              </w:tc>
              <w:tc>
                <w:tcPr>
                  <w:tcW w:w="2145" w:type="dxa"/>
                  <w:vAlign w:val="center"/>
                </w:tcPr>
                <w:p w14:paraId="0EB3E5E2">
                  <w:pPr>
                    <w:pageBreakBefore w:val="0"/>
                    <w:overflowPunct/>
                    <w:topLinePunct w:val="0"/>
                    <w:bidi w:val="0"/>
                    <w:snapToGrid/>
                    <w:spacing w:line="360" w:lineRule="auto"/>
                    <w:ind w:left="0" w:leftChars="0" w:right="0" w:rightChars="0"/>
                    <w:jc w:val="center"/>
                    <w:rPr>
                      <w:rFonts w:hint="eastAsia" w:ascii="楷体" w:hAnsi="楷体" w:eastAsia="楷体" w:cs="楷体"/>
                      <w:b/>
                      <w:bCs/>
                      <w:color w:val="auto"/>
                      <w:kern w:val="2"/>
                      <w:sz w:val="21"/>
                      <w:szCs w:val="21"/>
                      <w:highlight w:val="none"/>
                      <w:lang w:val="en-US" w:eastAsia="zh-CN" w:bidi="ar-SA"/>
                    </w:rPr>
                  </w:pPr>
                  <w:r>
                    <w:rPr>
                      <w:rFonts w:hint="eastAsia" w:ascii="楷体" w:hAnsi="楷体" w:eastAsia="楷体" w:cs="楷体"/>
                      <w:b/>
                      <w:bCs/>
                      <w:color w:val="auto"/>
                      <w:sz w:val="21"/>
                      <w:szCs w:val="21"/>
                      <w:highlight w:val="none"/>
                      <w:lang w:val="en-US" w:eastAsia="zh-CN"/>
                    </w:rPr>
                    <w:t>包名称</w:t>
                  </w:r>
                </w:p>
              </w:tc>
              <w:tc>
                <w:tcPr>
                  <w:tcW w:w="1933" w:type="dxa"/>
                  <w:vAlign w:val="center"/>
                </w:tcPr>
                <w:p w14:paraId="06EFB06E">
                  <w:pPr>
                    <w:pageBreakBefore w:val="0"/>
                    <w:overflowPunct/>
                    <w:topLinePunct w:val="0"/>
                    <w:bidi w:val="0"/>
                    <w:snapToGrid/>
                    <w:spacing w:line="360" w:lineRule="auto"/>
                    <w:ind w:left="0" w:right="0" w:rightChars="0"/>
                    <w:jc w:val="center"/>
                    <w:rPr>
                      <w:rFonts w:hint="eastAsia" w:ascii="楷体" w:hAnsi="楷体" w:eastAsia="楷体" w:cs="楷体"/>
                      <w:b/>
                      <w:bCs/>
                      <w:color w:val="auto"/>
                      <w:sz w:val="21"/>
                      <w:szCs w:val="21"/>
                      <w:highlight w:val="none"/>
                      <w:lang w:val="en-US" w:eastAsia="zh-CN"/>
                    </w:rPr>
                  </w:pPr>
                  <w:r>
                    <w:rPr>
                      <w:rFonts w:hint="eastAsia" w:ascii="楷体" w:hAnsi="楷体" w:eastAsia="楷体" w:cs="楷体"/>
                      <w:b/>
                      <w:bCs/>
                      <w:color w:val="auto"/>
                      <w:sz w:val="21"/>
                      <w:szCs w:val="21"/>
                      <w:highlight w:val="none"/>
                      <w:lang w:val="en-US" w:eastAsia="zh-CN"/>
                    </w:rPr>
                    <w:t>包预算</w:t>
                  </w:r>
                </w:p>
                <w:p w14:paraId="021A4320">
                  <w:pPr>
                    <w:pageBreakBefore w:val="0"/>
                    <w:overflowPunct/>
                    <w:topLinePunct w:val="0"/>
                    <w:bidi w:val="0"/>
                    <w:snapToGrid/>
                    <w:spacing w:line="360" w:lineRule="auto"/>
                    <w:ind w:left="0" w:leftChars="0" w:right="0" w:rightChars="0"/>
                    <w:jc w:val="center"/>
                    <w:rPr>
                      <w:rFonts w:hint="eastAsia" w:ascii="楷体" w:hAnsi="楷体" w:eastAsia="楷体" w:cs="楷体"/>
                      <w:b/>
                      <w:bCs/>
                      <w:color w:val="auto"/>
                      <w:kern w:val="2"/>
                      <w:sz w:val="21"/>
                      <w:szCs w:val="21"/>
                      <w:highlight w:val="none"/>
                      <w:lang w:val="en-US" w:eastAsia="zh-CN" w:bidi="ar-SA"/>
                    </w:rPr>
                  </w:pPr>
                  <w:r>
                    <w:rPr>
                      <w:rFonts w:hint="eastAsia" w:ascii="楷体" w:hAnsi="楷体" w:eastAsia="楷体" w:cs="楷体"/>
                      <w:b/>
                      <w:bCs/>
                      <w:color w:val="auto"/>
                      <w:sz w:val="21"/>
                      <w:szCs w:val="21"/>
                      <w:highlight w:val="none"/>
                      <w:lang w:val="en-US" w:eastAsia="zh-CN"/>
                    </w:rPr>
                    <w:t>（万元）</w:t>
                  </w:r>
                </w:p>
              </w:tc>
              <w:tc>
                <w:tcPr>
                  <w:tcW w:w="2029" w:type="dxa"/>
                  <w:vAlign w:val="center"/>
                </w:tcPr>
                <w:p w14:paraId="347867B3">
                  <w:pPr>
                    <w:pageBreakBefore w:val="0"/>
                    <w:overflowPunct/>
                    <w:topLinePunct w:val="0"/>
                    <w:bidi w:val="0"/>
                    <w:snapToGrid/>
                    <w:spacing w:line="360" w:lineRule="auto"/>
                    <w:ind w:left="0" w:leftChars="0" w:right="0" w:rightChars="0"/>
                    <w:jc w:val="center"/>
                    <w:rPr>
                      <w:rFonts w:hint="eastAsia" w:ascii="楷体" w:hAnsi="楷体" w:eastAsia="楷体" w:cs="楷体"/>
                      <w:b/>
                      <w:bCs/>
                      <w:color w:val="auto"/>
                      <w:kern w:val="2"/>
                      <w:sz w:val="21"/>
                      <w:szCs w:val="21"/>
                      <w:highlight w:val="none"/>
                      <w:lang w:val="en-US" w:eastAsia="zh-CN" w:bidi="ar-SA"/>
                    </w:rPr>
                  </w:pPr>
                  <w:r>
                    <w:rPr>
                      <w:rFonts w:hint="eastAsia" w:ascii="楷体" w:hAnsi="楷体" w:eastAsia="楷体" w:cs="楷体"/>
                      <w:b/>
                      <w:bCs/>
                      <w:color w:val="auto"/>
                      <w:sz w:val="21"/>
                      <w:szCs w:val="21"/>
                      <w:highlight w:val="none"/>
                      <w:lang w:val="en-US" w:eastAsia="zh-CN"/>
                    </w:rPr>
                    <w:t>备注</w:t>
                  </w:r>
                </w:p>
              </w:tc>
            </w:tr>
            <w:tr w14:paraId="3A193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8" w:type="dxa"/>
                  <w:vAlign w:val="top"/>
                </w:tcPr>
                <w:p w14:paraId="40B800A0">
                  <w:pPr>
                    <w:pStyle w:val="28"/>
                    <w:spacing w:before="208" w:line="193" w:lineRule="auto"/>
                    <w:ind w:firstLine="210" w:firstLineChars="100"/>
                    <w:rPr>
                      <w:rFonts w:hint="eastAsia" w:ascii="楷体" w:hAnsi="楷体" w:eastAsia="楷体" w:cs="楷体"/>
                      <w:b/>
                      <w:bCs/>
                      <w:color w:val="auto"/>
                      <w:kern w:val="2"/>
                      <w:sz w:val="21"/>
                      <w:szCs w:val="21"/>
                      <w:highlight w:val="none"/>
                      <w:lang w:val="en-US" w:eastAsia="zh-CN" w:bidi="ar-SA"/>
                    </w:rPr>
                  </w:pPr>
                  <w:r>
                    <w:rPr>
                      <w:rFonts w:hint="eastAsia" w:ascii="楷体" w:hAnsi="楷体" w:eastAsia="楷体" w:cs="楷体"/>
                      <w:sz w:val="21"/>
                      <w:szCs w:val="21"/>
                      <w:highlight w:val="none"/>
                      <w:lang w:val="en-US" w:eastAsia="zh-CN"/>
                    </w:rPr>
                    <w:t>二</w:t>
                  </w:r>
                </w:p>
              </w:tc>
              <w:tc>
                <w:tcPr>
                  <w:tcW w:w="2145" w:type="dxa"/>
                  <w:vAlign w:val="top"/>
                </w:tcPr>
                <w:p w14:paraId="7302F136">
                  <w:pPr>
                    <w:pStyle w:val="28"/>
                    <w:spacing w:before="183" w:line="220" w:lineRule="auto"/>
                    <w:ind w:left="324" w:leftChars="0"/>
                    <w:rPr>
                      <w:rFonts w:hint="eastAsia" w:ascii="楷体" w:hAnsi="楷体" w:eastAsia="楷体" w:cs="楷体"/>
                      <w:b/>
                      <w:bCs/>
                      <w:color w:val="auto"/>
                      <w:kern w:val="2"/>
                      <w:sz w:val="21"/>
                      <w:szCs w:val="21"/>
                      <w:highlight w:val="none"/>
                      <w:lang w:val="en-US" w:eastAsia="zh-CN" w:bidi="ar-SA"/>
                    </w:rPr>
                  </w:pPr>
                  <w:r>
                    <w:rPr>
                      <w:rFonts w:hint="eastAsia" w:ascii="楷体" w:hAnsi="楷体" w:eastAsia="楷体" w:cs="楷体"/>
                      <w:b/>
                      <w:bCs/>
                      <w:spacing w:val="-4"/>
                      <w:sz w:val="21"/>
                      <w:szCs w:val="21"/>
                      <w:highlight w:val="none"/>
                    </w:rPr>
                    <w:t>挥发性有机物</w:t>
                  </w:r>
                </w:p>
              </w:tc>
              <w:tc>
                <w:tcPr>
                  <w:tcW w:w="1933" w:type="dxa"/>
                  <w:vAlign w:val="top"/>
                </w:tcPr>
                <w:p w14:paraId="4FB262DB">
                  <w:pPr>
                    <w:pStyle w:val="28"/>
                    <w:spacing w:before="183" w:line="226" w:lineRule="auto"/>
                    <w:jc w:val="center"/>
                    <w:rPr>
                      <w:rFonts w:hint="eastAsia" w:ascii="楷体" w:hAnsi="楷体" w:eastAsia="楷体" w:cs="楷体"/>
                      <w:b/>
                      <w:bCs/>
                      <w:color w:val="000000" w:themeColor="text1"/>
                      <w:kern w:val="2"/>
                      <w:sz w:val="21"/>
                      <w:szCs w:val="21"/>
                      <w:highlight w:val="none"/>
                      <w:vertAlign w:val="baseline"/>
                      <w:lang w:val="en-US" w:eastAsia="zh-CN" w:bidi="ar-SA"/>
                      <w14:textFill>
                        <w14:solidFill>
                          <w14:schemeClr w14:val="tx1"/>
                        </w14:solidFill>
                      </w14:textFill>
                    </w:rPr>
                  </w:pPr>
                  <w:r>
                    <w:rPr>
                      <w:rFonts w:hint="eastAsia" w:ascii="楷体" w:hAnsi="楷体" w:eastAsia="楷体" w:cs="楷体"/>
                      <w:b/>
                      <w:bCs/>
                      <w:spacing w:val="-9"/>
                      <w:sz w:val="21"/>
                      <w:szCs w:val="21"/>
                      <w:highlight w:val="none"/>
                      <w:lang w:eastAsia="zh-CN"/>
                    </w:rPr>
                    <w:t>20</w:t>
                  </w:r>
                </w:p>
              </w:tc>
              <w:tc>
                <w:tcPr>
                  <w:tcW w:w="2029" w:type="dxa"/>
                  <w:vAlign w:val="top"/>
                </w:tcPr>
                <w:p w14:paraId="32B70681">
                  <w:pPr>
                    <w:pStyle w:val="28"/>
                    <w:spacing w:before="183" w:line="223" w:lineRule="auto"/>
                    <w:ind w:left="127" w:leftChars="0"/>
                    <w:rPr>
                      <w:rFonts w:hint="eastAsia" w:ascii="楷体" w:hAnsi="楷体" w:eastAsia="楷体" w:cs="楷体"/>
                      <w:b/>
                      <w:bCs/>
                      <w:color w:val="000000" w:themeColor="text1"/>
                      <w:kern w:val="2"/>
                      <w:sz w:val="21"/>
                      <w:szCs w:val="21"/>
                      <w:highlight w:val="none"/>
                      <w:vertAlign w:val="baseline"/>
                      <w:lang w:val="en-US" w:eastAsia="zh-CN" w:bidi="ar-SA"/>
                      <w14:textFill>
                        <w14:solidFill>
                          <w14:schemeClr w14:val="tx1"/>
                        </w14:solidFill>
                      </w14:textFill>
                    </w:rPr>
                  </w:pPr>
                  <w:r>
                    <w:rPr>
                      <w:rFonts w:hint="eastAsia" w:ascii="楷体" w:hAnsi="楷体" w:eastAsia="楷体" w:cs="楷体"/>
                      <w:b/>
                      <w:bCs/>
                      <w:spacing w:val="-9"/>
                      <w:sz w:val="21"/>
                      <w:szCs w:val="21"/>
                      <w:highlight w:val="none"/>
                      <w:lang w:val="en-US" w:eastAsia="zh-CN"/>
                    </w:rPr>
                    <w:t>不少于200批次</w:t>
                  </w:r>
                </w:p>
              </w:tc>
            </w:tr>
            <w:tr w14:paraId="08F3A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8" w:type="dxa"/>
                  <w:vAlign w:val="top"/>
                </w:tcPr>
                <w:p w14:paraId="0E301CD3">
                  <w:pPr>
                    <w:pStyle w:val="28"/>
                    <w:spacing w:before="116" w:line="313" w:lineRule="auto"/>
                    <w:ind w:right="165" w:rightChars="0"/>
                    <w:rPr>
                      <w:rFonts w:hint="eastAsia" w:ascii="楷体" w:hAnsi="楷体" w:eastAsia="楷体" w:cs="楷体"/>
                      <w:kern w:val="2"/>
                      <w:sz w:val="21"/>
                      <w:szCs w:val="21"/>
                      <w:highlight w:val="none"/>
                      <w:lang w:val="en-US" w:eastAsia="zh-CN" w:bidi="ar-SA"/>
                    </w:rPr>
                  </w:pPr>
                  <w:r>
                    <w:rPr>
                      <w:rFonts w:hint="eastAsia" w:ascii="楷体" w:hAnsi="楷体" w:eastAsia="楷体" w:cs="楷体"/>
                      <w:spacing w:val="-6"/>
                      <w:sz w:val="21"/>
                      <w:szCs w:val="21"/>
                      <w:highlight w:val="none"/>
                    </w:rPr>
                    <w:t>产品名</w:t>
                  </w:r>
                  <w:r>
                    <w:rPr>
                      <w:rFonts w:hint="eastAsia" w:ascii="楷体" w:hAnsi="楷体" w:eastAsia="楷体" w:cs="楷体"/>
                      <w:sz w:val="21"/>
                      <w:szCs w:val="21"/>
                      <w:highlight w:val="none"/>
                    </w:rPr>
                    <w:t>称</w:t>
                  </w:r>
                </w:p>
              </w:tc>
              <w:tc>
                <w:tcPr>
                  <w:tcW w:w="2145" w:type="dxa"/>
                  <w:vAlign w:val="top"/>
                </w:tcPr>
                <w:p w14:paraId="2EB24402">
                  <w:pPr>
                    <w:spacing w:line="268" w:lineRule="auto"/>
                    <w:rPr>
                      <w:rFonts w:hint="eastAsia" w:ascii="楷体" w:hAnsi="楷体" w:eastAsia="楷体" w:cs="楷体"/>
                      <w:sz w:val="21"/>
                      <w:szCs w:val="21"/>
                      <w:highlight w:val="none"/>
                    </w:rPr>
                  </w:pPr>
                </w:p>
                <w:p w14:paraId="25417A3C">
                  <w:pPr>
                    <w:pStyle w:val="28"/>
                    <w:spacing w:before="78" w:line="221" w:lineRule="auto"/>
                    <w:ind w:firstLine="404" w:firstLineChars="200"/>
                    <w:rPr>
                      <w:rFonts w:hint="eastAsia" w:ascii="楷体" w:hAnsi="楷体" w:eastAsia="楷体" w:cs="楷体"/>
                      <w:kern w:val="2"/>
                      <w:sz w:val="21"/>
                      <w:szCs w:val="21"/>
                      <w:highlight w:val="none"/>
                      <w:lang w:val="en-US" w:eastAsia="zh-CN" w:bidi="ar-SA"/>
                    </w:rPr>
                  </w:pPr>
                  <w:r>
                    <w:rPr>
                      <w:rFonts w:hint="eastAsia" w:ascii="楷体" w:hAnsi="楷体" w:eastAsia="楷体" w:cs="楷体"/>
                      <w:spacing w:val="-4"/>
                      <w:sz w:val="21"/>
                      <w:szCs w:val="21"/>
                      <w:highlight w:val="none"/>
                    </w:rPr>
                    <w:t>执行标准</w:t>
                  </w:r>
                </w:p>
              </w:tc>
              <w:tc>
                <w:tcPr>
                  <w:tcW w:w="3962" w:type="dxa"/>
                  <w:gridSpan w:val="2"/>
                  <w:vAlign w:val="top"/>
                </w:tcPr>
                <w:p w14:paraId="42D01BA9">
                  <w:pPr>
                    <w:spacing w:line="269" w:lineRule="auto"/>
                    <w:rPr>
                      <w:rFonts w:hint="eastAsia" w:ascii="楷体" w:hAnsi="楷体" w:eastAsia="楷体" w:cs="楷体"/>
                      <w:sz w:val="21"/>
                      <w:szCs w:val="21"/>
                      <w:highlight w:val="none"/>
                    </w:rPr>
                  </w:pPr>
                </w:p>
                <w:p w14:paraId="78B5D186">
                  <w:pPr>
                    <w:pStyle w:val="28"/>
                    <w:spacing w:before="78" w:line="220" w:lineRule="auto"/>
                    <w:ind w:firstLine="1200" w:firstLineChars="600"/>
                    <w:rPr>
                      <w:rFonts w:hint="eastAsia" w:ascii="楷体" w:hAnsi="楷体" w:eastAsia="楷体" w:cs="楷体"/>
                      <w:kern w:val="2"/>
                      <w:sz w:val="21"/>
                      <w:szCs w:val="21"/>
                      <w:highlight w:val="none"/>
                      <w:lang w:val="en-US" w:eastAsia="zh-CN" w:bidi="ar-SA"/>
                    </w:rPr>
                  </w:pPr>
                  <w:r>
                    <w:rPr>
                      <w:rFonts w:hint="eastAsia" w:ascii="楷体" w:hAnsi="楷体" w:eastAsia="楷体" w:cs="楷体"/>
                      <w:spacing w:val="-5"/>
                      <w:sz w:val="21"/>
                      <w:szCs w:val="21"/>
                      <w:highlight w:val="none"/>
                    </w:rPr>
                    <w:t>检验项目</w:t>
                  </w:r>
                </w:p>
              </w:tc>
            </w:tr>
            <w:tr w14:paraId="4617B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8" w:type="dxa"/>
                  <w:vAlign w:val="top"/>
                </w:tcPr>
                <w:p w14:paraId="0885F340">
                  <w:pPr>
                    <w:pageBreakBefore w:val="0"/>
                    <w:overflowPunct/>
                    <w:topLinePunct w:val="0"/>
                    <w:bidi w:val="0"/>
                    <w:snapToGrid/>
                    <w:spacing w:line="360" w:lineRule="auto"/>
                    <w:ind w:left="0" w:right="0" w:rightChars="0"/>
                    <w:jc w:val="left"/>
                    <w:rPr>
                      <w:rFonts w:hint="eastAsia" w:ascii="楷体" w:hAnsi="楷体" w:eastAsia="楷体" w:cs="楷体"/>
                      <w:bCs/>
                      <w:color w:val="auto"/>
                      <w:sz w:val="21"/>
                      <w:szCs w:val="21"/>
                      <w:highlight w:val="none"/>
                    </w:rPr>
                  </w:pPr>
                </w:p>
                <w:p w14:paraId="08D82852">
                  <w:pPr>
                    <w:pageBreakBefore w:val="0"/>
                    <w:overflowPunct/>
                    <w:topLinePunct w:val="0"/>
                    <w:bidi w:val="0"/>
                    <w:snapToGrid/>
                    <w:spacing w:line="360" w:lineRule="auto"/>
                    <w:ind w:left="0" w:leftChars="0" w:right="0" w:rightChars="0"/>
                    <w:jc w:val="left"/>
                    <w:rPr>
                      <w:rFonts w:hint="eastAsia" w:ascii="楷体" w:hAnsi="楷体" w:eastAsia="楷体" w:cs="楷体"/>
                      <w:bCs/>
                      <w:color w:val="auto"/>
                      <w:kern w:val="2"/>
                      <w:sz w:val="21"/>
                      <w:szCs w:val="21"/>
                      <w:highlight w:val="none"/>
                      <w:lang w:val="en-US" w:eastAsia="zh-CN" w:bidi="ar-SA"/>
                    </w:rPr>
                  </w:pPr>
                  <w:r>
                    <w:rPr>
                      <w:rFonts w:hint="eastAsia" w:ascii="楷体" w:hAnsi="楷体" w:eastAsia="楷体" w:cs="楷体"/>
                      <w:bCs/>
                      <w:color w:val="auto"/>
                      <w:sz w:val="21"/>
                      <w:szCs w:val="21"/>
                      <w:highlight w:val="none"/>
                    </w:rPr>
                    <w:t>木器涂料</w:t>
                  </w:r>
                </w:p>
              </w:tc>
              <w:tc>
                <w:tcPr>
                  <w:tcW w:w="2145" w:type="dxa"/>
                  <w:vAlign w:val="top"/>
                </w:tcPr>
                <w:p w14:paraId="46C9A562">
                  <w:pPr>
                    <w:pageBreakBefore w:val="0"/>
                    <w:overflowPunct/>
                    <w:topLinePunct w:val="0"/>
                    <w:bidi w:val="0"/>
                    <w:snapToGrid/>
                    <w:spacing w:line="360" w:lineRule="auto"/>
                    <w:ind w:left="0" w:right="0" w:rightChars="0"/>
                    <w:jc w:val="left"/>
                    <w:rPr>
                      <w:rFonts w:hint="eastAsia" w:ascii="楷体" w:hAnsi="楷体" w:eastAsia="楷体" w:cs="楷体"/>
                      <w:bCs/>
                      <w:color w:val="auto"/>
                      <w:sz w:val="21"/>
                      <w:szCs w:val="21"/>
                      <w:highlight w:val="none"/>
                      <w:lang w:eastAsia="zh-CN"/>
                    </w:rPr>
                  </w:pPr>
                  <w:r>
                    <w:rPr>
                      <w:rFonts w:hint="eastAsia" w:ascii="楷体" w:hAnsi="楷体" w:eastAsia="楷体" w:cs="楷体"/>
                      <w:bCs/>
                      <w:color w:val="auto"/>
                      <w:sz w:val="21"/>
                      <w:szCs w:val="21"/>
                      <w:highlight w:val="none"/>
                      <w:lang w:eastAsia="zh-CN"/>
                    </w:rPr>
                    <w:t>GB 18581-2020</w:t>
                  </w:r>
                </w:p>
                <w:p w14:paraId="42B81B80">
                  <w:pPr>
                    <w:pageBreakBefore w:val="0"/>
                    <w:overflowPunct/>
                    <w:topLinePunct w:val="0"/>
                    <w:bidi w:val="0"/>
                    <w:snapToGrid/>
                    <w:spacing w:line="360" w:lineRule="auto"/>
                    <w:ind w:left="0" w:leftChars="0" w:right="0" w:rightChars="0"/>
                    <w:jc w:val="left"/>
                    <w:rPr>
                      <w:rFonts w:hint="eastAsia" w:ascii="楷体" w:hAnsi="楷体" w:eastAsia="楷体" w:cs="楷体"/>
                      <w:bCs/>
                      <w:color w:val="auto"/>
                      <w:kern w:val="2"/>
                      <w:sz w:val="21"/>
                      <w:szCs w:val="21"/>
                      <w:highlight w:val="none"/>
                      <w:lang w:val="en-US" w:eastAsia="zh-CN" w:bidi="ar-SA"/>
                    </w:rPr>
                  </w:pPr>
                  <w:bookmarkStart w:id="121" w:name="OLE_LINK11"/>
                  <w:r>
                    <w:rPr>
                      <w:rFonts w:hint="eastAsia" w:ascii="楷体" w:hAnsi="楷体" w:eastAsia="楷体" w:cs="楷体"/>
                      <w:bCs/>
                      <w:color w:val="auto"/>
                      <w:sz w:val="21"/>
                      <w:szCs w:val="21"/>
                      <w:highlight w:val="none"/>
                      <w:lang w:eastAsia="zh-CN"/>
                    </w:rPr>
                    <w:t>GB/T 38597</w:t>
                  </w:r>
                  <w:bookmarkEnd w:id="121"/>
                  <w:r>
                    <w:rPr>
                      <w:rFonts w:hint="eastAsia" w:ascii="楷体" w:hAnsi="楷体" w:eastAsia="楷体" w:cs="楷体"/>
                      <w:bCs/>
                      <w:color w:val="auto"/>
                      <w:sz w:val="21"/>
                      <w:szCs w:val="21"/>
                      <w:highlight w:val="none"/>
                      <w:lang w:eastAsia="zh-CN"/>
                    </w:rPr>
                    <w:t>-2020 及现行有效的企业标准、团体标准、 地方标准及产品明示质量</w:t>
                  </w:r>
                  <w:r>
                    <w:rPr>
                      <w:rFonts w:hint="eastAsia" w:ascii="楷体" w:hAnsi="楷体" w:eastAsia="楷体" w:cs="楷体"/>
                      <w:bCs/>
                      <w:color w:val="auto"/>
                      <w:sz w:val="21"/>
                      <w:szCs w:val="21"/>
                      <w:highlight w:val="none"/>
                    </w:rPr>
                    <w:t>要求</w:t>
                  </w:r>
                </w:p>
              </w:tc>
              <w:tc>
                <w:tcPr>
                  <w:tcW w:w="3962" w:type="dxa"/>
                  <w:gridSpan w:val="2"/>
                  <w:vAlign w:val="top"/>
                </w:tcPr>
                <w:p w14:paraId="3F1BF814">
                  <w:pPr>
                    <w:pageBreakBefore w:val="0"/>
                    <w:overflowPunct/>
                    <w:topLinePunct w:val="0"/>
                    <w:bidi w:val="0"/>
                    <w:snapToGrid/>
                    <w:spacing w:line="360" w:lineRule="auto"/>
                    <w:ind w:left="0" w:leftChars="0" w:right="0" w:rightChars="0"/>
                    <w:jc w:val="left"/>
                    <w:rPr>
                      <w:rFonts w:hint="eastAsia" w:ascii="楷体" w:hAnsi="楷体" w:eastAsia="楷体" w:cs="楷体"/>
                      <w:bCs/>
                      <w:color w:val="auto"/>
                      <w:kern w:val="2"/>
                      <w:sz w:val="21"/>
                      <w:szCs w:val="21"/>
                      <w:highlight w:val="none"/>
                      <w:lang w:val="en-US" w:eastAsia="zh-CN" w:bidi="ar-SA"/>
                    </w:rPr>
                  </w:pPr>
                  <w:r>
                    <w:rPr>
                      <w:rFonts w:hint="eastAsia" w:ascii="楷体" w:hAnsi="楷体" w:eastAsia="楷体" w:cs="楷体"/>
                      <w:bCs/>
                      <w:color w:val="auto"/>
                      <w:sz w:val="21"/>
                      <w:szCs w:val="21"/>
                      <w:highlight w:val="none"/>
                      <w:lang w:eastAsia="zh-CN"/>
                    </w:rPr>
                    <w:t>VOC 含量、甲醛含量、总铅含量、可溶性重金属含量（镉、铬、汞）、苯系物总和含量（水性）、苯含量（溶剂型）、甲苯与二甲苯（含乙苯）总和含量（溶剂型）、乙二醇醚及醚酯总和含量</w:t>
                  </w:r>
                </w:p>
              </w:tc>
            </w:tr>
            <w:tr w14:paraId="05B0F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8" w:type="dxa"/>
                  <w:vAlign w:val="top"/>
                </w:tcPr>
                <w:p w14:paraId="29E083F2">
                  <w:pPr>
                    <w:pageBreakBefore w:val="0"/>
                    <w:overflowPunct/>
                    <w:topLinePunct w:val="0"/>
                    <w:bidi w:val="0"/>
                    <w:snapToGrid/>
                    <w:spacing w:line="360" w:lineRule="auto"/>
                    <w:ind w:left="0" w:right="0" w:rightChars="0"/>
                    <w:jc w:val="left"/>
                    <w:rPr>
                      <w:rFonts w:hint="eastAsia" w:ascii="楷体" w:hAnsi="楷体" w:eastAsia="楷体" w:cs="楷体"/>
                      <w:bCs/>
                      <w:color w:val="auto"/>
                      <w:sz w:val="21"/>
                      <w:szCs w:val="21"/>
                      <w:highlight w:val="none"/>
                      <w:lang w:eastAsia="zh-CN"/>
                    </w:rPr>
                  </w:pPr>
                  <w:bookmarkStart w:id="122" w:name="OLE_LINK9" w:colFirst="1" w:colLast="1"/>
                </w:p>
                <w:p w14:paraId="42AC61FA">
                  <w:pPr>
                    <w:pageBreakBefore w:val="0"/>
                    <w:overflowPunct/>
                    <w:topLinePunct w:val="0"/>
                    <w:bidi w:val="0"/>
                    <w:snapToGrid/>
                    <w:spacing w:line="360" w:lineRule="auto"/>
                    <w:ind w:left="0" w:leftChars="0" w:right="0" w:rightChars="0"/>
                    <w:jc w:val="left"/>
                    <w:rPr>
                      <w:rFonts w:hint="eastAsia" w:ascii="楷体" w:hAnsi="楷体" w:eastAsia="楷体" w:cs="楷体"/>
                      <w:bCs/>
                      <w:color w:val="auto"/>
                      <w:kern w:val="2"/>
                      <w:sz w:val="21"/>
                      <w:szCs w:val="21"/>
                      <w:highlight w:val="none"/>
                      <w:lang w:val="en-US" w:eastAsia="zh-CN" w:bidi="ar-SA"/>
                    </w:rPr>
                  </w:pPr>
                  <w:r>
                    <w:rPr>
                      <w:rFonts w:hint="eastAsia" w:ascii="楷体" w:hAnsi="楷体" w:eastAsia="楷体" w:cs="楷体"/>
                      <w:bCs/>
                      <w:color w:val="auto"/>
                      <w:sz w:val="21"/>
                      <w:szCs w:val="21"/>
                      <w:highlight w:val="none"/>
                    </w:rPr>
                    <w:t>内墙涂料</w:t>
                  </w:r>
                </w:p>
              </w:tc>
              <w:tc>
                <w:tcPr>
                  <w:tcW w:w="2145" w:type="dxa"/>
                  <w:vAlign w:val="top"/>
                </w:tcPr>
                <w:p w14:paraId="29864EAD">
                  <w:pPr>
                    <w:pageBreakBefore w:val="0"/>
                    <w:overflowPunct/>
                    <w:topLinePunct w:val="0"/>
                    <w:bidi w:val="0"/>
                    <w:snapToGrid/>
                    <w:spacing w:line="360" w:lineRule="auto"/>
                    <w:ind w:left="0" w:right="0" w:rightChars="0"/>
                    <w:jc w:val="left"/>
                    <w:rPr>
                      <w:rFonts w:hint="eastAsia" w:ascii="楷体" w:hAnsi="楷体" w:eastAsia="楷体" w:cs="楷体"/>
                      <w:bCs/>
                      <w:color w:val="auto"/>
                      <w:sz w:val="21"/>
                      <w:szCs w:val="21"/>
                      <w:highlight w:val="none"/>
                      <w:lang w:eastAsia="zh-CN"/>
                    </w:rPr>
                  </w:pPr>
                  <w:bookmarkStart w:id="123" w:name="OLE_LINK10"/>
                  <w:r>
                    <w:rPr>
                      <w:rFonts w:hint="eastAsia" w:ascii="楷体" w:hAnsi="楷体" w:eastAsia="楷体" w:cs="楷体"/>
                      <w:bCs/>
                      <w:color w:val="auto"/>
                      <w:sz w:val="21"/>
                      <w:szCs w:val="21"/>
                      <w:highlight w:val="none"/>
                      <w:lang w:eastAsia="zh-CN"/>
                    </w:rPr>
                    <w:t>GB 18582</w:t>
                  </w:r>
                  <w:bookmarkEnd w:id="123"/>
                  <w:r>
                    <w:rPr>
                      <w:rFonts w:hint="eastAsia" w:ascii="楷体" w:hAnsi="楷体" w:eastAsia="楷体" w:cs="楷体"/>
                      <w:bCs/>
                      <w:color w:val="auto"/>
                      <w:sz w:val="21"/>
                      <w:szCs w:val="21"/>
                      <w:highlight w:val="none"/>
                      <w:lang w:eastAsia="zh-CN"/>
                    </w:rPr>
                    <w:t xml:space="preserve">-2020  </w:t>
                  </w:r>
                </w:p>
                <w:p w14:paraId="530C92FE">
                  <w:pPr>
                    <w:pageBreakBefore w:val="0"/>
                    <w:overflowPunct/>
                    <w:topLinePunct w:val="0"/>
                    <w:bidi w:val="0"/>
                    <w:snapToGrid/>
                    <w:spacing w:line="360" w:lineRule="auto"/>
                    <w:ind w:left="0" w:right="0" w:rightChars="0"/>
                    <w:jc w:val="left"/>
                    <w:rPr>
                      <w:rFonts w:hint="eastAsia" w:ascii="楷体" w:hAnsi="楷体" w:eastAsia="楷体" w:cs="楷体"/>
                      <w:bCs/>
                      <w:color w:val="auto"/>
                      <w:sz w:val="21"/>
                      <w:szCs w:val="21"/>
                      <w:highlight w:val="none"/>
                      <w:lang w:val="en-US" w:eastAsia="zh-CN"/>
                    </w:rPr>
                  </w:pPr>
                  <w:bookmarkStart w:id="124" w:name="OLE_LINK8"/>
                  <w:r>
                    <w:rPr>
                      <w:rFonts w:hint="eastAsia" w:ascii="楷体" w:hAnsi="楷体" w:eastAsia="楷体" w:cs="楷体"/>
                      <w:bCs/>
                      <w:color w:val="auto"/>
                      <w:sz w:val="21"/>
                      <w:szCs w:val="21"/>
                      <w:highlight w:val="none"/>
                      <w:lang w:eastAsia="zh-CN"/>
                    </w:rPr>
                    <w:t>GB/T</w:t>
                  </w:r>
                  <w:r>
                    <w:rPr>
                      <w:rFonts w:hint="eastAsia" w:ascii="楷体" w:hAnsi="楷体" w:eastAsia="楷体" w:cs="楷体"/>
                      <w:bCs/>
                      <w:color w:val="auto"/>
                      <w:sz w:val="21"/>
                      <w:szCs w:val="21"/>
                      <w:highlight w:val="none"/>
                      <w:lang w:val="en-US" w:eastAsia="zh-CN"/>
                    </w:rPr>
                    <w:t xml:space="preserve"> 9755-2024</w:t>
                  </w:r>
                </w:p>
                <w:bookmarkEnd w:id="124"/>
                <w:p w14:paraId="3AFCC6F7">
                  <w:pPr>
                    <w:pageBreakBefore w:val="0"/>
                    <w:overflowPunct/>
                    <w:topLinePunct w:val="0"/>
                    <w:bidi w:val="0"/>
                    <w:snapToGrid/>
                    <w:spacing w:line="360" w:lineRule="auto"/>
                    <w:ind w:left="0" w:leftChars="0" w:right="0" w:rightChars="0"/>
                    <w:jc w:val="left"/>
                    <w:rPr>
                      <w:rFonts w:hint="eastAsia" w:ascii="楷体" w:hAnsi="楷体" w:eastAsia="楷体" w:cs="楷体"/>
                      <w:bCs/>
                      <w:color w:val="auto"/>
                      <w:kern w:val="2"/>
                      <w:sz w:val="21"/>
                      <w:szCs w:val="21"/>
                      <w:highlight w:val="none"/>
                      <w:lang w:val="en-US" w:eastAsia="zh-CN" w:bidi="ar-SA"/>
                    </w:rPr>
                  </w:pPr>
                  <w:r>
                    <w:rPr>
                      <w:rFonts w:hint="eastAsia" w:ascii="楷体" w:hAnsi="楷体" w:eastAsia="楷体" w:cs="楷体"/>
                      <w:bCs/>
                      <w:color w:val="auto"/>
                      <w:sz w:val="21"/>
                      <w:szCs w:val="21"/>
                      <w:highlight w:val="none"/>
                      <w:lang w:eastAsia="zh-CN"/>
                    </w:rPr>
                    <w:t>GB/T 38597-2020等现行有效的企业标准、团体标准、 地方标准及产品明示质量  要求</w:t>
                  </w:r>
                </w:p>
              </w:tc>
              <w:tc>
                <w:tcPr>
                  <w:tcW w:w="3962" w:type="dxa"/>
                  <w:gridSpan w:val="2"/>
                  <w:vAlign w:val="top"/>
                </w:tcPr>
                <w:p w14:paraId="7AEE34D1">
                  <w:pPr>
                    <w:pageBreakBefore w:val="0"/>
                    <w:overflowPunct/>
                    <w:topLinePunct w:val="0"/>
                    <w:bidi w:val="0"/>
                    <w:snapToGrid/>
                    <w:spacing w:line="360" w:lineRule="auto"/>
                    <w:ind w:left="0" w:leftChars="0" w:right="0" w:rightChars="0"/>
                    <w:jc w:val="left"/>
                    <w:rPr>
                      <w:rFonts w:hint="eastAsia" w:ascii="楷体" w:hAnsi="楷体" w:eastAsia="楷体" w:cs="楷体"/>
                      <w:bCs/>
                      <w:color w:val="auto"/>
                      <w:kern w:val="2"/>
                      <w:sz w:val="21"/>
                      <w:szCs w:val="21"/>
                      <w:highlight w:val="none"/>
                      <w:lang w:val="en-US" w:eastAsia="zh-CN" w:bidi="ar-SA"/>
                    </w:rPr>
                  </w:pPr>
                  <w:r>
                    <w:rPr>
                      <w:rFonts w:hint="eastAsia" w:ascii="楷体" w:hAnsi="楷体" w:eastAsia="楷体" w:cs="楷体"/>
                      <w:bCs/>
                      <w:color w:val="auto"/>
                      <w:sz w:val="21"/>
                      <w:szCs w:val="21"/>
                      <w:highlight w:val="none"/>
                      <w:lang w:eastAsia="zh-CN"/>
                    </w:rPr>
                    <w:t>VOC 含量、甲醛含量、苯系物总和含量、总铅含量、可溶性重金属含量（镉、铬、汞）、低温稳定性、干燥时间、对比率、耐碱性、耐洗刷性</w:t>
                  </w:r>
                </w:p>
              </w:tc>
            </w:tr>
            <w:bookmarkEnd w:id="122"/>
            <w:tr w14:paraId="500EA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8" w:type="dxa"/>
                  <w:vAlign w:val="top"/>
                </w:tcPr>
                <w:p w14:paraId="2E219833">
                  <w:pPr>
                    <w:pageBreakBefore w:val="0"/>
                    <w:overflowPunct/>
                    <w:topLinePunct w:val="0"/>
                    <w:bidi w:val="0"/>
                    <w:snapToGrid/>
                    <w:spacing w:line="360" w:lineRule="auto"/>
                    <w:ind w:left="0" w:right="0" w:rightChars="0"/>
                    <w:jc w:val="left"/>
                    <w:rPr>
                      <w:rFonts w:hint="eastAsia" w:ascii="楷体" w:hAnsi="楷体" w:eastAsia="楷体" w:cs="楷体"/>
                      <w:bCs/>
                      <w:color w:val="auto"/>
                      <w:sz w:val="21"/>
                      <w:szCs w:val="21"/>
                      <w:highlight w:val="none"/>
                      <w:lang w:eastAsia="zh-CN"/>
                    </w:rPr>
                  </w:pPr>
                </w:p>
                <w:p w14:paraId="0D11053A">
                  <w:pPr>
                    <w:pageBreakBefore w:val="0"/>
                    <w:overflowPunct/>
                    <w:topLinePunct w:val="0"/>
                    <w:bidi w:val="0"/>
                    <w:snapToGrid/>
                    <w:spacing w:line="360" w:lineRule="auto"/>
                    <w:ind w:left="0" w:right="0" w:rightChars="0"/>
                    <w:jc w:val="left"/>
                    <w:rPr>
                      <w:rFonts w:hint="eastAsia" w:ascii="楷体" w:hAnsi="楷体" w:eastAsia="楷体" w:cs="楷体"/>
                      <w:bCs/>
                      <w:color w:val="auto"/>
                      <w:sz w:val="21"/>
                      <w:szCs w:val="21"/>
                      <w:highlight w:val="none"/>
                      <w:lang w:eastAsia="zh-CN"/>
                    </w:rPr>
                  </w:pPr>
                </w:p>
                <w:p w14:paraId="6A95DDFE">
                  <w:pPr>
                    <w:pageBreakBefore w:val="0"/>
                    <w:overflowPunct/>
                    <w:topLinePunct w:val="0"/>
                    <w:bidi w:val="0"/>
                    <w:snapToGrid/>
                    <w:spacing w:line="360" w:lineRule="auto"/>
                    <w:ind w:left="0" w:leftChars="0" w:right="0" w:rightChars="0"/>
                    <w:jc w:val="left"/>
                    <w:rPr>
                      <w:rFonts w:hint="eastAsia" w:ascii="楷体" w:hAnsi="楷体" w:eastAsia="楷体" w:cs="楷体"/>
                      <w:bCs/>
                      <w:color w:val="auto"/>
                      <w:kern w:val="2"/>
                      <w:sz w:val="21"/>
                      <w:szCs w:val="21"/>
                      <w:highlight w:val="none"/>
                      <w:lang w:val="en-US" w:eastAsia="zh-CN" w:bidi="ar-SA"/>
                    </w:rPr>
                  </w:pPr>
                  <w:r>
                    <w:rPr>
                      <w:rFonts w:hint="eastAsia" w:ascii="楷体" w:hAnsi="楷体" w:eastAsia="楷体" w:cs="楷体"/>
                      <w:bCs/>
                      <w:color w:val="auto"/>
                      <w:sz w:val="21"/>
                      <w:szCs w:val="21"/>
                      <w:highlight w:val="none"/>
                    </w:rPr>
                    <w:t>外墙涂料</w:t>
                  </w:r>
                </w:p>
              </w:tc>
              <w:tc>
                <w:tcPr>
                  <w:tcW w:w="2145" w:type="dxa"/>
                  <w:vAlign w:val="top"/>
                </w:tcPr>
                <w:p w14:paraId="60180F9A">
                  <w:pPr>
                    <w:pageBreakBefore w:val="0"/>
                    <w:overflowPunct/>
                    <w:topLinePunct w:val="0"/>
                    <w:bidi w:val="0"/>
                    <w:snapToGrid/>
                    <w:spacing w:line="360" w:lineRule="auto"/>
                    <w:ind w:left="0" w:right="0" w:rightChars="0"/>
                    <w:jc w:val="left"/>
                    <w:rPr>
                      <w:rFonts w:hint="eastAsia" w:ascii="楷体" w:hAnsi="楷体" w:eastAsia="楷体" w:cs="楷体"/>
                      <w:bCs/>
                      <w:color w:val="auto"/>
                      <w:sz w:val="21"/>
                      <w:szCs w:val="21"/>
                      <w:highlight w:val="none"/>
                      <w:lang w:eastAsia="zh-CN"/>
                    </w:rPr>
                  </w:pPr>
                  <w:bookmarkStart w:id="125" w:name="OLE_LINK12"/>
                  <w:r>
                    <w:rPr>
                      <w:rFonts w:hint="eastAsia" w:ascii="楷体" w:hAnsi="楷体" w:eastAsia="楷体" w:cs="楷体"/>
                      <w:bCs/>
                      <w:color w:val="auto"/>
                      <w:sz w:val="21"/>
                      <w:szCs w:val="21"/>
                      <w:highlight w:val="none"/>
                      <w:lang w:eastAsia="zh-CN"/>
                    </w:rPr>
                    <w:t>GB 18582</w:t>
                  </w:r>
                  <w:bookmarkEnd w:id="125"/>
                  <w:r>
                    <w:rPr>
                      <w:rFonts w:hint="eastAsia" w:ascii="楷体" w:hAnsi="楷体" w:eastAsia="楷体" w:cs="楷体"/>
                      <w:bCs/>
                      <w:color w:val="auto"/>
                      <w:sz w:val="21"/>
                      <w:szCs w:val="21"/>
                      <w:highlight w:val="none"/>
                      <w:lang w:eastAsia="zh-CN"/>
                    </w:rPr>
                    <w:t xml:space="preserve">-2020 </w:t>
                  </w:r>
                </w:p>
                <w:p w14:paraId="5BB0AF7D">
                  <w:pPr>
                    <w:pageBreakBefore w:val="0"/>
                    <w:overflowPunct/>
                    <w:topLinePunct w:val="0"/>
                    <w:bidi w:val="0"/>
                    <w:snapToGrid/>
                    <w:spacing w:line="360" w:lineRule="auto"/>
                    <w:ind w:left="0" w:right="0" w:rightChars="0"/>
                    <w:jc w:val="left"/>
                    <w:rPr>
                      <w:rFonts w:hint="eastAsia" w:ascii="楷体" w:hAnsi="楷体" w:eastAsia="楷体" w:cs="楷体"/>
                      <w:bCs/>
                      <w:color w:val="auto"/>
                      <w:sz w:val="21"/>
                      <w:szCs w:val="21"/>
                      <w:highlight w:val="none"/>
                      <w:lang w:val="en-US" w:eastAsia="zh-CN"/>
                    </w:rPr>
                  </w:pPr>
                  <w:bookmarkStart w:id="126" w:name="OLE_LINK13"/>
                  <w:r>
                    <w:rPr>
                      <w:rFonts w:hint="eastAsia" w:ascii="楷体" w:hAnsi="楷体" w:eastAsia="楷体" w:cs="楷体"/>
                      <w:bCs/>
                      <w:color w:val="auto"/>
                      <w:sz w:val="21"/>
                      <w:szCs w:val="21"/>
                      <w:highlight w:val="none"/>
                      <w:lang w:eastAsia="zh-CN"/>
                    </w:rPr>
                    <w:t>GB/T 9755</w:t>
                  </w:r>
                  <w:bookmarkEnd w:id="126"/>
                  <w:r>
                    <w:rPr>
                      <w:rFonts w:hint="eastAsia" w:ascii="楷体" w:hAnsi="楷体" w:eastAsia="楷体" w:cs="楷体"/>
                      <w:bCs/>
                      <w:color w:val="auto"/>
                      <w:sz w:val="21"/>
                      <w:szCs w:val="21"/>
                      <w:highlight w:val="none"/>
                      <w:lang w:eastAsia="zh-CN"/>
                    </w:rPr>
                    <w:t>-20</w:t>
                  </w:r>
                  <w:r>
                    <w:rPr>
                      <w:rFonts w:hint="eastAsia" w:ascii="楷体" w:hAnsi="楷体" w:eastAsia="楷体" w:cs="楷体"/>
                      <w:bCs/>
                      <w:color w:val="auto"/>
                      <w:sz w:val="21"/>
                      <w:szCs w:val="21"/>
                      <w:highlight w:val="none"/>
                      <w:lang w:val="en-US" w:eastAsia="zh-CN"/>
                    </w:rPr>
                    <w:t>24</w:t>
                  </w:r>
                </w:p>
                <w:p w14:paraId="1F1C9721">
                  <w:pPr>
                    <w:pageBreakBefore w:val="0"/>
                    <w:overflowPunct/>
                    <w:topLinePunct w:val="0"/>
                    <w:bidi w:val="0"/>
                    <w:snapToGrid/>
                    <w:spacing w:line="360" w:lineRule="auto"/>
                    <w:ind w:left="0" w:leftChars="0" w:right="0" w:rightChars="0"/>
                    <w:jc w:val="left"/>
                    <w:rPr>
                      <w:rFonts w:hint="eastAsia" w:ascii="楷体" w:hAnsi="楷体" w:eastAsia="楷体" w:cs="楷体"/>
                      <w:bCs/>
                      <w:color w:val="auto"/>
                      <w:kern w:val="2"/>
                      <w:sz w:val="21"/>
                      <w:szCs w:val="21"/>
                      <w:highlight w:val="none"/>
                      <w:lang w:val="en-US" w:eastAsia="zh-CN" w:bidi="ar-SA"/>
                    </w:rPr>
                  </w:pPr>
                  <w:r>
                    <w:rPr>
                      <w:rFonts w:hint="eastAsia" w:ascii="楷体" w:hAnsi="楷体" w:eastAsia="楷体" w:cs="楷体"/>
                      <w:bCs/>
                      <w:color w:val="auto"/>
                      <w:sz w:val="21"/>
                      <w:szCs w:val="21"/>
                      <w:highlight w:val="none"/>
                      <w:lang w:eastAsia="zh-CN"/>
                    </w:rPr>
                    <w:t>GB/T 38597-2020 等现行有效的企业标准、团体标准、地方标准及产品明示质量要求</w:t>
                  </w:r>
                </w:p>
              </w:tc>
              <w:tc>
                <w:tcPr>
                  <w:tcW w:w="3962" w:type="dxa"/>
                  <w:gridSpan w:val="2"/>
                  <w:vAlign w:val="top"/>
                </w:tcPr>
                <w:p w14:paraId="33095DBE">
                  <w:pPr>
                    <w:pageBreakBefore w:val="0"/>
                    <w:overflowPunct/>
                    <w:topLinePunct w:val="0"/>
                    <w:bidi w:val="0"/>
                    <w:snapToGrid/>
                    <w:spacing w:line="360" w:lineRule="auto"/>
                    <w:ind w:left="0" w:leftChars="0" w:right="0" w:rightChars="0"/>
                    <w:jc w:val="left"/>
                    <w:rPr>
                      <w:rFonts w:hint="eastAsia" w:ascii="楷体" w:hAnsi="楷体" w:eastAsia="楷体" w:cs="楷体"/>
                      <w:bCs/>
                      <w:color w:val="auto"/>
                      <w:kern w:val="2"/>
                      <w:sz w:val="21"/>
                      <w:szCs w:val="21"/>
                      <w:highlight w:val="none"/>
                      <w:lang w:val="en-US" w:eastAsia="zh-CN" w:bidi="ar-SA"/>
                    </w:rPr>
                  </w:pPr>
                  <w:r>
                    <w:rPr>
                      <w:rFonts w:hint="eastAsia" w:ascii="楷体" w:hAnsi="楷体" w:eastAsia="楷体" w:cs="楷体"/>
                      <w:bCs/>
                      <w:color w:val="auto"/>
                      <w:sz w:val="21"/>
                      <w:szCs w:val="21"/>
                      <w:highlight w:val="none"/>
                      <w:lang w:eastAsia="zh-CN"/>
                    </w:rPr>
                    <w:t>VOC 含量、甲醛含量、苯系物总和含量、总铅含量、可溶性重金属含量（镉、铬、汞）、低温稳定性、耐水性、耐碱性、耐洗刷性、对比率、涂层耐温变性</w:t>
                  </w:r>
                </w:p>
              </w:tc>
            </w:tr>
            <w:tr w14:paraId="1A810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8" w:type="dxa"/>
                  <w:vAlign w:val="top"/>
                </w:tcPr>
                <w:p w14:paraId="2429A349">
                  <w:pPr>
                    <w:pageBreakBefore w:val="0"/>
                    <w:overflowPunct/>
                    <w:topLinePunct w:val="0"/>
                    <w:bidi w:val="0"/>
                    <w:snapToGrid/>
                    <w:spacing w:line="360" w:lineRule="auto"/>
                    <w:ind w:left="0" w:right="0" w:rightChars="0"/>
                    <w:jc w:val="left"/>
                    <w:rPr>
                      <w:rFonts w:hint="eastAsia" w:ascii="楷体" w:hAnsi="楷体" w:eastAsia="楷体" w:cs="楷体"/>
                      <w:bCs/>
                      <w:color w:val="auto"/>
                      <w:sz w:val="21"/>
                      <w:szCs w:val="21"/>
                      <w:highlight w:val="none"/>
                      <w:lang w:eastAsia="zh-CN"/>
                    </w:rPr>
                  </w:pPr>
                </w:p>
                <w:p w14:paraId="41E897C0">
                  <w:pPr>
                    <w:pageBreakBefore w:val="0"/>
                    <w:overflowPunct/>
                    <w:topLinePunct w:val="0"/>
                    <w:bidi w:val="0"/>
                    <w:snapToGrid/>
                    <w:spacing w:line="360" w:lineRule="auto"/>
                    <w:ind w:left="0" w:leftChars="0" w:right="0" w:rightChars="0"/>
                    <w:jc w:val="left"/>
                    <w:rPr>
                      <w:rFonts w:hint="eastAsia" w:ascii="楷体" w:hAnsi="楷体" w:eastAsia="楷体" w:cs="楷体"/>
                      <w:bCs/>
                      <w:color w:val="auto"/>
                      <w:kern w:val="2"/>
                      <w:sz w:val="21"/>
                      <w:szCs w:val="21"/>
                      <w:highlight w:val="none"/>
                      <w:lang w:val="en-US" w:eastAsia="zh-CN" w:bidi="ar-SA"/>
                    </w:rPr>
                  </w:pPr>
                  <w:r>
                    <w:rPr>
                      <w:rFonts w:hint="eastAsia" w:ascii="楷体" w:hAnsi="楷体" w:eastAsia="楷体" w:cs="楷体"/>
                      <w:bCs/>
                      <w:color w:val="auto"/>
                      <w:sz w:val="21"/>
                      <w:szCs w:val="21"/>
                      <w:highlight w:val="none"/>
                    </w:rPr>
                    <w:t>建筑质感涂料</w:t>
                  </w:r>
                </w:p>
              </w:tc>
              <w:tc>
                <w:tcPr>
                  <w:tcW w:w="2145" w:type="dxa"/>
                  <w:vAlign w:val="top"/>
                </w:tcPr>
                <w:p w14:paraId="4E2929C7">
                  <w:pPr>
                    <w:pageBreakBefore w:val="0"/>
                    <w:overflowPunct/>
                    <w:topLinePunct w:val="0"/>
                    <w:bidi w:val="0"/>
                    <w:snapToGrid/>
                    <w:spacing w:line="360" w:lineRule="auto"/>
                    <w:ind w:left="0" w:right="0" w:rightChars="0"/>
                    <w:jc w:val="left"/>
                    <w:rPr>
                      <w:rFonts w:hint="eastAsia" w:ascii="楷体" w:hAnsi="楷体" w:eastAsia="楷体" w:cs="楷体"/>
                      <w:bCs/>
                      <w:color w:val="auto"/>
                      <w:sz w:val="21"/>
                      <w:szCs w:val="21"/>
                      <w:highlight w:val="none"/>
                      <w:lang w:eastAsia="zh-CN"/>
                    </w:rPr>
                  </w:pPr>
                  <w:r>
                    <w:rPr>
                      <w:rFonts w:hint="eastAsia" w:ascii="楷体" w:hAnsi="楷体" w:eastAsia="楷体" w:cs="楷体"/>
                      <w:bCs/>
                      <w:color w:val="auto"/>
                      <w:sz w:val="21"/>
                      <w:szCs w:val="21"/>
                      <w:highlight w:val="none"/>
                      <w:lang w:eastAsia="zh-CN"/>
                    </w:rPr>
                    <w:t>GB 18582-2020</w:t>
                  </w:r>
                </w:p>
                <w:p w14:paraId="5B896C76">
                  <w:pPr>
                    <w:pageBreakBefore w:val="0"/>
                    <w:overflowPunct/>
                    <w:topLinePunct w:val="0"/>
                    <w:bidi w:val="0"/>
                    <w:snapToGrid/>
                    <w:spacing w:line="360" w:lineRule="auto"/>
                    <w:ind w:left="0" w:leftChars="0" w:right="0" w:rightChars="0"/>
                    <w:jc w:val="left"/>
                    <w:rPr>
                      <w:rFonts w:hint="eastAsia" w:ascii="楷体" w:hAnsi="楷体" w:eastAsia="楷体" w:cs="楷体"/>
                      <w:bCs/>
                      <w:color w:val="auto"/>
                      <w:kern w:val="2"/>
                      <w:sz w:val="21"/>
                      <w:szCs w:val="21"/>
                      <w:highlight w:val="none"/>
                      <w:lang w:val="en-US" w:eastAsia="zh-CN" w:bidi="ar-SA"/>
                    </w:rPr>
                  </w:pPr>
                  <w:r>
                    <w:rPr>
                      <w:rFonts w:hint="eastAsia" w:ascii="楷体" w:hAnsi="楷体" w:eastAsia="楷体" w:cs="楷体"/>
                      <w:bCs/>
                      <w:color w:val="auto"/>
                      <w:sz w:val="21"/>
                      <w:szCs w:val="21"/>
                      <w:highlight w:val="none"/>
                      <w:lang w:eastAsia="zh-CN"/>
                    </w:rPr>
                    <w:t>GB/T 38597-2020 等现行有 效的企业标准、团体标准、 地方标准及产品明示质量要求</w:t>
                  </w:r>
                </w:p>
              </w:tc>
              <w:tc>
                <w:tcPr>
                  <w:tcW w:w="3962" w:type="dxa"/>
                  <w:gridSpan w:val="2"/>
                  <w:vAlign w:val="top"/>
                </w:tcPr>
                <w:p w14:paraId="4881FE3F">
                  <w:pPr>
                    <w:pageBreakBefore w:val="0"/>
                    <w:overflowPunct/>
                    <w:topLinePunct w:val="0"/>
                    <w:bidi w:val="0"/>
                    <w:snapToGrid/>
                    <w:spacing w:line="360" w:lineRule="auto"/>
                    <w:ind w:left="0" w:leftChars="0" w:right="0" w:rightChars="0"/>
                    <w:jc w:val="left"/>
                    <w:rPr>
                      <w:rFonts w:hint="eastAsia" w:ascii="楷体" w:hAnsi="楷体" w:eastAsia="楷体" w:cs="楷体"/>
                      <w:bCs/>
                      <w:color w:val="auto"/>
                      <w:kern w:val="2"/>
                      <w:sz w:val="21"/>
                      <w:szCs w:val="21"/>
                      <w:highlight w:val="none"/>
                      <w:lang w:val="en-US" w:eastAsia="zh-CN" w:bidi="ar-SA"/>
                    </w:rPr>
                  </w:pPr>
                  <w:r>
                    <w:rPr>
                      <w:rFonts w:hint="eastAsia" w:ascii="楷体" w:hAnsi="楷体" w:eastAsia="楷体" w:cs="楷体"/>
                      <w:bCs/>
                      <w:color w:val="auto"/>
                      <w:sz w:val="21"/>
                      <w:szCs w:val="21"/>
                      <w:highlight w:val="none"/>
                      <w:lang w:eastAsia="zh-CN"/>
                    </w:rPr>
                    <w:t>VOC 含量、甲醛含量、苯系物总和含量、总铅含量、可溶性重金属含量（镉、铬、汞）</w:t>
                  </w:r>
                </w:p>
              </w:tc>
            </w:tr>
            <w:tr w14:paraId="685B8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8" w:type="dxa"/>
                  <w:vAlign w:val="center"/>
                </w:tcPr>
                <w:p w14:paraId="6661001E">
                  <w:pPr>
                    <w:pageBreakBefore w:val="0"/>
                    <w:overflowPunct/>
                    <w:topLinePunct w:val="0"/>
                    <w:bidi w:val="0"/>
                    <w:snapToGrid/>
                    <w:spacing w:line="360" w:lineRule="auto"/>
                    <w:ind w:left="0" w:leftChars="0" w:right="0" w:rightChars="0"/>
                    <w:jc w:val="left"/>
                    <w:rPr>
                      <w:rFonts w:hint="eastAsia" w:ascii="楷体" w:hAnsi="楷体" w:eastAsia="楷体" w:cs="楷体"/>
                      <w:bCs/>
                      <w:color w:val="auto"/>
                      <w:kern w:val="2"/>
                      <w:sz w:val="21"/>
                      <w:szCs w:val="21"/>
                      <w:highlight w:val="none"/>
                      <w:lang w:val="en-US" w:eastAsia="zh-CN" w:bidi="ar-SA"/>
                    </w:rPr>
                  </w:pPr>
                  <w:r>
                    <w:rPr>
                      <w:rFonts w:hint="eastAsia" w:ascii="楷体" w:hAnsi="楷体" w:eastAsia="楷体" w:cs="楷体"/>
                      <w:bCs/>
                      <w:color w:val="auto"/>
                      <w:sz w:val="21"/>
                      <w:szCs w:val="21"/>
                      <w:highlight w:val="none"/>
                    </w:rPr>
                    <w:t>地坪涂料</w:t>
                  </w:r>
                </w:p>
              </w:tc>
              <w:tc>
                <w:tcPr>
                  <w:tcW w:w="2145" w:type="dxa"/>
                  <w:vAlign w:val="center"/>
                </w:tcPr>
                <w:p w14:paraId="5789663B">
                  <w:pPr>
                    <w:pageBreakBefore w:val="0"/>
                    <w:overflowPunct/>
                    <w:topLinePunct w:val="0"/>
                    <w:bidi w:val="0"/>
                    <w:snapToGrid/>
                    <w:spacing w:line="360" w:lineRule="auto"/>
                    <w:ind w:left="0" w:right="0" w:rightChars="0"/>
                    <w:jc w:val="left"/>
                    <w:rPr>
                      <w:rFonts w:hint="eastAsia" w:ascii="楷体" w:hAnsi="楷体" w:eastAsia="楷体" w:cs="楷体"/>
                      <w:bCs/>
                      <w:color w:val="auto"/>
                      <w:sz w:val="21"/>
                      <w:szCs w:val="21"/>
                      <w:highlight w:val="none"/>
                      <w:lang w:eastAsia="zh-CN"/>
                    </w:rPr>
                  </w:pPr>
                  <w:bookmarkStart w:id="127" w:name="OLE_LINK14"/>
                  <w:r>
                    <w:rPr>
                      <w:rFonts w:hint="eastAsia" w:ascii="楷体" w:hAnsi="楷体" w:eastAsia="楷体" w:cs="楷体"/>
                      <w:bCs/>
                      <w:color w:val="auto"/>
                      <w:sz w:val="21"/>
                      <w:szCs w:val="21"/>
                      <w:highlight w:val="none"/>
                      <w:lang w:eastAsia="zh-CN"/>
                    </w:rPr>
                    <w:t>GB 38468</w:t>
                  </w:r>
                  <w:bookmarkEnd w:id="127"/>
                  <w:r>
                    <w:rPr>
                      <w:rFonts w:hint="eastAsia" w:ascii="楷体" w:hAnsi="楷体" w:eastAsia="楷体" w:cs="楷体"/>
                      <w:bCs/>
                      <w:color w:val="auto"/>
                      <w:sz w:val="21"/>
                      <w:szCs w:val="21"/>
                      <w:highlight w:val="none"/>
                      <w:lang w:eastAsia="zh-CN"/>
                    </w:rPr>
                    <w:t>-2019</w:t>
                  </w:r>
                </w:p>
                <w:p w14:paraId="67AB94B3">
                  <w:pPr>
                    <w:pageBreakBefore w:val="0"/>
                    <w:overflowPunct/>
                    <w:topLinePunct w:val="0"/>
                    <w:bidi w:val="0"/>
                    <w:snapToGrid/>
                    <w:spacing w:line="360" w:lineRule="auto"/>
                    <w:ind w:left="0" w:right="0" w:rightChars="0"/>
                    <w:jc w:val="left"/>
                    <w:rPr>
                      <w:rFonts w:hint="eastAsia" w:ascii="楷体" w:hAnsi="楷体" w:eastAsia="楷体" w:cs="楷体"/>
                      <w:bCs/>
                      <w:color w:val="auto"/>
                      <w:sz w:val="21"/>
                      <w:szCs w:val="21"/>
                      <w:highlight w:val="none"/>
                      <w:lang w:eastAsia="zh-CN"/>
                    </w:rPr>
                  </w:pPr>
                  <w:r>
                    <w:rPr>
                      <w:rFonts w:hint="eastAsia" w:ascii="楷体" w:hAnsi="楷体" w:eastAsia="楷体" w:cs="楷体"/>
                      <w:bCs/>
                      <w:color w:val="auto"/>
                      <w:sz w:val="21"/>
                      <w:szCs w:val="21"/>
                      <w:highlight w:val="none"/>
                      <w:lang w:eastAsia="zh-CN"/>
                    </w:rPr>
                    <w:t>GB/T 38597-2020</w:t>
                  </w:r>
                </w:p>
                <w:p w14:paraId="1C67A8D3">
                  <w:pPr>
                    <w:pageBreakBefore w:val="0"/>
                    <w:overflowPunct/>
                    <w:topLinePunct w:val="0"/>
                    <w:bidi w:val="0"/>
                    <w:snapToGrid/>
                    <w:spacing w:line="360" w:lineRule="auto"/>
                    <w:ind w:left="0" w:leftChars="0" w:right="0" w:rightChars="0"/>
                    <w:jc w:val="left"/>
                    <w:rPr>
                      <w:rFonts w:hint="eastAsia" w:ascii="楷体" w:hAnsi="楷体" w:eastAsia="楷体" w:cs="楷体"/>
                      <w:bCs/>
                      <w:color w:val="auto"/>
                      <w:kern w:val="2"/>
                      <w:sz w:val="21"/>
                      <w:szCs w:val="21"/>
                      <w:highlight w:val="none"/>
                      <w:lang w:val="en-US" w:eastAsia="zh-CN" w:bidi="ar-SA"/>
                    </w:rPr>
                  </w:pPr>
                  <w:r>
                    <w:rPr>
                      <w:rFonts w:hint="eastAsia" w:ascii="楷体" w:hAnsi="楷体" w:eastAsia="楷体" w:cs="楷体"/>
                      <w:bCs/>
                      <w:color w:val="auto"/>
                      <w:sz w:val="21"/>
                      <w:szCs w:val="21"/>
                      <w:highlight w:val="none"/>
                      <w:lang w:eastAsia="zh-CN"/>
                    </w:rPr>
                    <w:t>等现行有效的企业标准、团体标准、地方标准及产品明示质量要求</w:t>
                  </w:r>
                </w:p>
              </w:tc>
              <w:tc>
                <w:tcPr>
                  <w:tcW w:w="3962" w:type="dxa"/>
                  <w:gridSpan w:val="2"/>
                  <w:vAlign w:val="center"/>
                </w:tcPr>
                <w:p w14:paraId="3C198B86">
                  <w:pPr>
                    <w:pageBreakBefore w:val="0"/>
                    <w:overflowPunct/>
                    <w:topLinePunct w:val="0"/>
                    <w:bidi w:val="0"/>
                    <w:snapToGrid/>
                    <w:spacing w:line="360" w:lineRule="auto"/>
                    <w:ind w:left="0" w:leftChars="0" w:right="0" w:rightChars="0"/>
                    <w:jc w:val="left"/>
                    <w:rPr>
                      <w:rFonts w:hint="eastAsia" w:ascii="楷体" w:hAnsi="楷体" w:eastAsia="楷体" w:cs="楷体"/>
                      <w:bCs/>
                      <w:color w:val="auto"/>
                      <w:kern w:val="2"/>
                      <w:sz w:val="21"/>
                      <w:szCs w:val="21"/>
                      <w:highlight w:val="none"/>
                      <w:lang w:val="en-US" w:eastAsia="zh-CN" w:bidi="ar-SA"/>
                    </w:rPr>
                  </w:pPr>
                  <w:r>
                    <w:rPr>
                      <w:rFonts w:hint="eastAsia" w:ascii="楷体" w:hAnsi="楷体" w:eastAsia="楷体" w:cs="楷体"/>
                      <w:bCs/>
                      <w:color w:val="auto"/>
                      <w:sz w:val="21"/>
                      <w:szCs w:val="21"/>
                      <w:highlight w:val="none"/>
                      <w:lang w:eastAsia="zh-CN"/>
                    </w:rPr>
                    <w:t>挥发性有机化合物（VOC）含量、苯、甲苯、乙苯和二甲苯总和（水性）、苯（溶剂型、无溶剂型）、甲苯、乙苯和二甲苯总和（溶剂型、无溶剂型）、可溶性重金属含量（铅、镉、铬、汞）、乙二醇醚及醚酯总和、甲醛（水性）/游离甲醛</w:t>
                  </w:r>
                </w:p>
              </w:tc>
            </w:tr>
            <w:tr w14:paraId="5226C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8" w:type="dxa"/>
                  <w:vAlign w:val="center"/>
                </w:tcPr>
                <w:p w14:paraId="3E40AFD0">
                  <w:pPr>
                    <w:pageBreakBefore w:val="0"/>
                    <w:overflowPunct/>
                    <w:topLinePunct w:val="0"/>
                    <w:bidi w:val="0"/>
                    <w:snapToGrid/>
                    <w:spacing w:line="360" w:lineRule="auto"/>
                    <w:ind w:left="0" w:leftChars="0" w:right="0" w:rightChars="0"/>
                    <w:jc w:val="left"/>
                    <w:rPr>
                      <w:rFonts w:hint="eastAsia" w:ascii="楷体" w:hAnsi="楷体" w:eastAsia="楷体" w:cs="楷体"/>
                      <w:bCs/>
                      <w:color w:val="auto"/>
                      <w:kern w:val="2"/>
                      <w:sz w:val="21"/>
                      <w:szCs w:val="21"/>
                      <w:highlight w:val="none"/>
                      <w:lang w:val="en-US" w:eastAsia="zh-CN" w:bidi="ar-SA"/>
                    </w:rPr>
                  </w:pPr>
                  <w:r>
                    <w:rPr>
                      <w:rFonts w:hint="eastAsia" w:ascii="楷体" w:hAnsi="楷体" w:eastAsia="楷体" w:cs="楷体"/>
                      <w:bCs/>
                      <w:color w:val="auto"/>
                      <w:sz w:val="21"/>
                      <w:szCs w:val="21"/>
                      <w:highlight w:val="none"/>
                    </w:rPr>
                    <w:t>防水涂料</w:t>
                  </w:r>
                </w:p>
              </w:tc>
              <w:tc>
                <w:tcPr>
                  <w:tcW w:w="2145" w:type="dxa"/>
                  <w:vAlign w:val="center"/>
                </w:tcPr>
                <w:p w14:paraId="3AA30B9D">
                  <w:pPr>
                    <w:pageBreakBefore w:val="0"/>
                    <w:overflowPunct/>
                    <w:topLinePunct w:val="0"/>
                    <w:bidi w:val="0"/>
                    <w:snapToGrid/>
                    <w:spacing w:line="360" w:lineRule="auto"/>
                    <w:ind w:left="0" w:right="0" w:rightChars="0"/>
                    <w:jc w:val="left"/>
                    <w:rPr>
                      <w:rFonts w:hint="eastAsia" w:ascii="楷体" w:hAnsi="楷体" w:eastAsia="楷体" w:cs="楷体"/>
                      <w:bCs/>
                      <w:color w:val="auto"/>
                      <w:sz w:val="21"/>
                      <w:szCs w:val="21"/>
                      <w:highlight w:val="none"/>
                      <w:lang w:eastAsia="zh-CN"/>
                    </w:rPr>
                  </w:pPr>
                  <w:bookmarkStart w:id="128" w:name="OLE_LINK15"/>
                  <w:r>
                    <w:rPr>
                      <w:rFonts w:hint="eastAsia" w:ascii="楷体" w:hAnsi="楷体" w:eastAsia="楷体" w:cs="楷体"/>
                      <w:bCs/>
                      <w:color w:val="auto"/>
                      <w:sz w:val="21"/>
                      <w:szCs w:val="21"/>
                      <w:highlight w:val="none"/>
                      <w:lang w:eastAsia="zh-CN"/>
                    </w:rPr>
                    <w:t>JC 1066-2008</w:t>
                  </w:r>
                  <w:bookmarkEnd w:id="128"/>
                </w:p>
                <w:p w14:paraId="31F10DB3">
                  <w:pPr>
                    <w:pageBreakBefore w:val="0"/>
                    <w:overflowPunct/>
                    <w:topLinePunct w:val="0"/>
                    <w:bidi w:val="0"/>
                    <w:snapToGrid/>
                    <w:spacing w:line="360" w:lineRule="auto"/>
                    <w:ind w:left="0" w:right="0" w:rightChars="0"/>
                    <w:jc w:val="left"/>
                    <w:rPr>
                      <w:rFonts w:hint="eastAsia" w:ascii="楷体" w:hAnsi="楷体" w:eastAsia="楷体" w:cs="楷体"/>
                      <w:bCs/>
                      <w:color w:val="auto"/>
                      <w:sz w:val="21"/>
                      <w:szCs w:val="21"/>
                      <w:highlight w:val="none"/>
                      <w:lang w:eastAsia="zh-CN"/>
                    </w:rPr>
                  </w:pPr>
                  <w:r>
                    <w:rPr>
                      <w:rFonts w:hint="eastAsia" w:ascii="楷体" w:hAnsi="楷体" w:eastAsia="楷体" w:cs="楷体"/>
                      <w:bCs/>
                      <w:color w:val="auto"/>
                      <w:sz w:val="21"/>
                      <w:szCs w:val="21"/>
                      <w:highlight w:val="none"/>
                      <w:lang w:eastAsia="zh-CN"/>
                    </w:rPr>
                    <w:t>GB/T 38597-2020</w:t>
                  </w:r>
                </w:p>
                <w:p w14:paraId="6D67041B">
                  <w:pPr>
                    <w:pageBreakBefore w:val="0"/>
                    <w:overflowPunct/>
                    <w:topLinePunct w:val="0"/>
                    <w:bidi w:val="0"/>
                    <w:snapToGrid/>
                    <w:spacing w:line="360" w:lineRule="auto"/>
                    <w:ind w:left="0" w:leftChars="0" w:right="0" w:rightChars="0"/>
                    <w:jc w:val="left"/>
                    <w:rPr>
                      <w:rFonts w:hint="eastAsia" w:ascii="楷体" w:hAnsi="楷体" w:eastAsia="楷体" w:cs="楷体"/>
                      <w:bCs/>
                      <w:color w:val="auto"/>
                      <w:kern w:val="2"/>
                      <w:sz w:val="21"/>
                      <w:szCs w:val="21"/>
                      <w:highlight w:val="none"/>
                      <w:lang w:val="en-US" w:eastAsia="zh-CN" w:bidi="ar-SA"/>
                    </w:rPr>
                  </w:pPr>
                  <w:r>
                    <w:rPr>
                      <w:rFonts w:hint="eastAsia" w:ascii="楷体" w:hAnsi="楷体" w:eastAsia="楷体" w:cs="楷体"/>
                      <w:bCs/>
                      <w:color w:val="auto"/>
                      <w:sz w:val="21"/>
                      <w:szCs w:val="21"/>
                      <w:highlight w:val="none"/>
                      <w:lang w:eastAsia="zh-CN"/>
                    </w:rPr>
                    <w:t>等现行有效的企业标准、团体标准、地方标准及产品明示质量要求</w:t>
                  </w:r>
                </w:p>
              </w:tc>
              <w:tc>
                <w:tcPr>
                  <w:tcW w:w="3962" w:type="dxa"/>
                  <w:gridSpan w:val="2"/>
                  <w:vAlign w:val="center"/>
                </w:tcPr>
                <w:p w14:paraId="013AEC51">
                  <w:pPr>
                    <w:pageBreakBefore w:val="0"/>
                    <w:overflowPunct/>
                    <w:topLinePunct w:val="0"/>
                    <w:bidi w:val="0"/>
                    <w:snapToGrid/>
                    <w:spacing w:line="360" w:lineRule="auto"/>
                    <w:ind w:left="0" w:leftChars="0" w:right="0" w:rightChars="0"/>
                    <w:jc w:val="left"/>
                    <w:rPr>
                      <w:rFonts w:hint="eastAsia" w:ascii="楷体" w:hAnsi="楷体" w:eastAsia="楷体" w:cs="楷体"/>
                      <w:bCs/>
                      <w:color w:val="auto"/>
                      <w:kern w:val="2"/>
                      <w:sz w:val="21"/>
                      <w:szCs w:val="21"/>
                      <w:highlight w:val="none"/>
                      <w:lang w:val="en-US" w:eastAsia="zh-CN" w:bidi="ar-SA"/>
                    </w:rPr>
                  </w:pPr>
                  <w:r>
                    <w:rPr>
                      <w:rFonts w:hint="eastAsia" w:ascii="楷体" w:hAnsi="楷体" w:eastAsia="楷体" w:cs="楷体"/>
                      <w:bCs/>
                      <w:color w:val="auto"/>
                      <w:sz w:val="21"/>
                      <w:szCs w:val="21"/>
                      <w:highlight w:val="none"/>
                      <w:lang w:eastAsia="zh-CN"/>
                    </w:rPr>
                    <w:t>挥发性有机化合物（VOC）、游离甲醛（水性）、苯、甲苯、乙苯和二甲苯总和、可溶性重金属（铅、铬、镉、汞）、苯（反应型、溶剂型）、甲苯+乙苯+二甲苯（反应型、溶剂型）</w:t>
                  </w:r>
                </w:p>
              </w:tc>
            </w:tr>
            <w:tr w14:paraId="0BFF7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8" w:type="dxa"/>
                  <w:vAlign w:val="center"/>
                </w:tcPr>
                <w:p w14:paraId="051912D3">
                  <w:pPr>
                    <w:pageBreakBefore w:val="0"/>
                    <w:overflowPunct/>
                    <w:topLinePunct w:val="0"/>
                    <w:bidi w:val="0"/>
                    <w:snapToGrid/>
                    <w:spacing w:line="360" w:lineRule="auto"/>
                    <w:ind w:left="0" w:leftChars="0" w:right="0" w:rightChars="0"/>
                    <w:jc w:val="left"/>
                    <w:rPr>
                      <w:rFonts w:hint="eastAsia" w:ascii="楷体" w:hAnsi="楷体" w:eastAsia="楷体" w:cs="楷体"/>
                      <w:bCs/>
                      <w:color w:val="auto"/>
                      <w:kern w:val="2"/>
                      <w:sz w:val="21"/>
                      <w:szCs w:val="21"/>
                      <w:highlight w:val="none"/>
                      <w:lang w:val="en-US" w:eastAsia="zh-CN" w:bidi="ar-SA"/>
                    </w:rPr>
                  </w:pPr>
                  <w:r>
                    <w:rPr>
                      <w:rFonts w:hint="eastAsia" w:ascii="楷体" w:hAnsi="楷体" w:eastAsia="楷体" w:cs="楷体"/>
                      <w:bCs/>
                      <w:color w:val="auto"/>
                      <w:sz w:val="21"/>
                      <w:szCs w:val="21"/>
                      <w:highlight w:val="none"/>
                    </w:rPr>
                    <w:t>溶剂型工业涂料</w:t>
                  </w:r>
                </w:p>
              </w:tc>
              <w:tc>
                <w:tcPr>
                  <w:tcW w:w="2145" w:type="dxa"/>
                  <w:vAlign w:val="center"/>
                </w:tcPr>
                <w:p w14:paraId="5F1A5794">
                  <w:pPr>
                    <w:pageBreakBefore w:val="0"/>
                    <w:overflowPunct/>
                    <w:topLinePunct w:val="0"/>
                    <w:bidi w:val="0"/>
                    <w:snapToGrid/>
                    <w:spacing w:line="360" w:lineRule="auto"/>
                    <w:ind w:left="0" w:right="0" w:rightChars="0"/>
                    <w:jc w:val="left"/>
                    <w:rPr>
                      <w:rFonts w:hint="eastAsia" w:ascii="楷体" w:hAnsi="楷体" w:eastAsia="楷体" w:cs="楷体"/>
                      <w:bCs/>
                      <w:color w:val="auto"/>
                      <w:sz w:val="21"/>
                      <w:szCs w:val="21"/>
                      <w:highlight w:val="none"/>
                      <w:lang w:eastAsia="zh-CN"/>
                    </w:rPr>
                  </w:pPr>
                  <w:bookmarkStart w:id="129" w:name="OLE_LINK16"/>
                  <w:r>
                    <w:rPr>
                      <w:rFonts w:hint="eastAsia" w:ascii="楷体" w:hAnsi="楷体" w:eastAsia="楷体" w:cs="楷体"/>
                      <w:bCs/>
                      <w:color w:val="auto"/>
                      <w:sz w:val="21"/>
                      <w:szCs w:val="21"/>
                      <w:highlight w:val="none"/>
                      <w:lang w:eastAsia="zh-CN"/>
                    </w:rPr>
                    <w:t>GB 30981</w:t>
                  </w:r>
                  <w:bookmarkEnd w:id="129"/>
                  <w:r>
                    <w:rPr>
                      <w:rFonts w:hint="eastAsia" w:ascii="楷体" w:hAnsi="楷体" w:eastAsia="楷体" w:cs="楷体"/>
                      <w:bCs/>
                      <w:color w:val="auto"/>
                      <w:sz w:val="21"/>
                      <w:szCs w:val="21"/>
                      <w:highlight w:val="none"/>
                      <w:lang w:eastAsia="zh-CN"/>
                    </w:rPr>
                    <w:t>-2020</w:t>
                  </w:r>
                </w:p>
                <w:p w14:paraId="0451AB5D">
                  <w:pPr>
                    <w:pageBreakBefore w:val="0"/>
                    <w:overflowPunct/>
                    <w:topLinePunct w:val="0"/>
                    <w:bidi w:val="0"/>
                    <w:snapToGrid/>
                    <w:spacing w:line="360" w:lineRule="auto"/>
                    <w:ind w:left="0" w:leftChars="0" w:right="0" w:rightChars="0"/>
                    <w:jc w:val="left"/>
                    <w:rPr>
                      <w:rFonts w:hint="eastAsia" w:ascii="楷体" w:hAnsi="楷体" w:eastAsia="楷体" w:cs="楷体"/>
                      <w:bCs/>
                      <w:color w:val="auto"/>
                      <w:kern w:val="2"/>
                      <w:sz w:val="21"/>
                      <w:szCs w:val="21"/>
                      <w:highlight w:val="none"/>
                      <w:lang w:val="en-US" w:eastAsia="zh-CN" w:bidi="ar-SA"/>
                    </w:rPr>
                  </w:pPr>
                  <w:r>
                    <w:rPr>
                      <w:rFonts w:hint="eastAsia" w:ascii="楷体" w:hAnsi="楷体" w:eastAsia="楷体" w:cs="楷体"/>
                      <w:bCs/>
                      <w:color w:val="auto"/>
                      <w:sz w:val="21"/>
                      <w:szCs w:val="21"/>
                      <w:highlight w:val="none"/>
                      <w:lang w:eastAsia="zh-CN"/>
                    </w:rPr>
                    <w:t>GB/T 38597-2020 等现行有效的企业标准、团体标准、地方标准及产品明示质量要求</w:t>
                  </w:r>
                </w:p>
              </w:tc>
              <w:tc>
                <w:tcPr>
                  <w:tcW w:w="3962" w:type="dxa"/>
                  <w:gridSpan w:val="2"/>
                  <w:vAlign w:val="center"/>
                </w:tcPr>
                <w:p w14:paraId="0F50D427">
                  <w:pPr>
                    <w:pageBreakBefore w:val="0"/>
                    <w:overflowPunct/>
                    <w:topLinePunct w:val="0"/>
                    <w:bidi w:val="0"/>
                    <w:snapToGrid/>
                    <w:spacing w:line="360" w:lineRule="auto"/>
                    <w:ind w:left="0" w:leftChars="0" w:right="0" w:rightChars="0"/>
                    <w:jc w:val="left"/>
                    <w:rPr>
                      <w:rFonts w:hint="eastAsia" w:ascii="楷体" w:hAnsi="楷体" w:eastAsia="楷体" w:cs="楷体"/>
                      <w:bCs/>
                      <w:color w:val="auto"/>
                      <w:kern w:val="2"/>
                      <w:sz w:val="21"/>
                      <w:szCs w:val="21"/>
                      <w:highlight w:val="none"/>
                      <w:lang w:val="en-US" w:eastAsia="zh-CN" w:bidi="ar-SA"/>
                    </w:rPr>
                  </w:pPr>
                  <w:r>
                    <w:rPr>
                      <w:rFonts w:hint="eastAsia" w:ascii="楷体" w:hAnsi="楷体" w:eastAsia="楷体" w:cs="楷体"/>
                      <w:bCs/>
                      <w:color w:val="auto"/>
                      <w:sz w:val="21"/>
                      <w:szCs w:val="21"/>
                      <w:highlight w:val="none"/>
                      <w:lang w:eastAsia="zh-CN"/>
                    </w:rPr>
                    <w:t>VOC含量、苯含量（溶剂型涂料）、甲苯与二甲苯（含乙苯）总和含量（溶剂型涂料）、乙二醇醚及醚酯总和含量、重金属含量（铅、镉、六价铬、汞）</w:t>
                  </w:r>
                </w:p>
              </w:tc>
            </w:tr>
            <w:tr w14:paraId="587C0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8" w:type="dxa"/>
                  <w:vAlign w:val="center"/>
                </w:tcPr>
                <w:p w14:paraId="75DF880C">
                  <w:pPr>
                    <w:pageBreakBefore w:val="0"/>
                    <w:overflowPunct/>
                    <w:topLinePunct w:val="0"/>
                    <w:bidi w:val="0"/>
                    <w:snapToGrid/>
                    <w:spacing w:line="360" w:lineRule="auto"/>
                    <w:ind w:left="0" w:leftChars="0" w:right="0" w:rightChars="0"/>
                    <w:jc w:val="left"/>
                    <w:rPr>
                      <w:rFonts w:hint="eastAsia" w:ascii="楷体" w:hAnsi="楷体" w:eastAsia="楷体" w:cs="楷体"/>
                      <w:bCs/>
                      <w:color w:val="auto"/>
                      <w:kern w:val="2"/>
                      <w:sz w:val="21"/>
                      <w:szCs w:val="21"/>
                      <w:highlight w:val="none"/>
                      <w:lang w:val="en-US" w:eastAsia="zh-CN" w:bidi="ar-SA"/>
                    </w:rPr>
                  </w:pPr>
                  <w:r>
                    <w:rPr>
                      <w:rFonts w:hint="eastAsia" w:ascii="楷体" w:hAnsi="楷体" w:eastAsia="楷体" w:cs="楷体"/>
                      <w:bCs/>
                      <w:color w:val="auto"/>
                      <w:sz w:val="21"/>
                      <w:szCs w:val="21"/>
                      <w:highlight w:val="none"/>
                    </w:rPr>
                    <w:t>水性工业涂料</w:t>
                  </w:r>
                </w:p>
              </w:tc>
              <w:tc>
                <w:tcPr>
                  <w:tcW w:w="2145" w:type="dxa"/>
                  <w:vAlign w:val="center"/>
                </w:tcPr>
                <w:p w14:paraId="12DC9100">
                  <w:pPr>
                    <w:pageBreakBefore w:val="0"/>
                    <w:overflowPunct/>
                    <w:topLinePunct w:val="0"/>
                    <w:bidi w:val="0"/>
                    <w:snapToGrid/>
                    <w:spacing w:line="360" w:lineRule="auto"/>
                    <w:ind w:left="0" w:right="0" w:rightChars="0"/>
                    <w:jc w:val="left"/>
                    <w:rPr>
                      <w:rFonts w:hint="eastAsia" w:ascii="楷体" w:hAnsi="楷体" w:eastAsia="楷体" w:cs="楷体"/>
                      <w:bCs/>
                      <w:color w:val="auto"/>
                      <w:sz w:val="21"/>
                      <w:szCs w:val="21"/>
                      <w:highlight w:val="none"/>
                      <w:lang w:eastAsia="zh-CN"/>
                    </w:rPr>
                  </w:pPr>
                  <w:r>
                    <w:rPr>
                      <w:rFonts w:hint="eastAsia" w:ascii="楷体" w:hAnsi="楷体" w:eastAsia="楷体" w:cs="楷体"/>
                      <w:bCs/>
                      <w:color w:val="auto"/>
                      <w:sz w:val="21"/>
                      <w:szCs w:val="21"/>
                      <w:highlight w:val="none"/>
                      <w:lang w:eastAsia="zh-CN"/>
                    </w:rPr>
                    <w:t>GB 30981-2020</w:t>
                  </w:r>
                </w:p>
                <w:p w14:paraId="1F9997B7">
                  <w:pPr>
                    <w:pageBreakBefore w:val="0"/>
                    <w:overflowPunct/>
                    <w:topLinePunct w:val="0"/>
                    <w:bidi w:val="0"/>
                    <w:snapToGrid/>
                    <w:spacing w:line="360" w:lineRule="auto"/>
                    <w:ind w:left="0" w:leftChars="0" w:right="0" w:rightChars="0"/>
                    <w:jc w:val="left"/>
                    <w:rPr>
                      <w:rFonts w:hint="eastAsia" w:ascii="楷体" w:hAnsi="楷体" w:eastAsia="楷体" w:cs="楷体"/>
                      <w:bCs/>
                      <w:color w:val="auto"/>
                      <w:kern w:val="2"/>
                      <w:sz w:val="21"/>
                      <w:szCs w:val="21"/>
                      <w:highlight w:val="none"/>
                      <w:lang w:val="en-US" w:eastAsia="zh-CN" w:bidi="ar-SA"/>
                    </w:rPr>
                  </w:pPr>
                  <w:r>
                    <w:rPr>
                      <w:rFonts w:hint="eastAsia" w:ascii="楷体" w:hAnsi="楷体" w:eastAsia="楷体" w:cs="楷体"/>
                      <w:bCs/>
                      <w:color w:val="auto"/>
                      <w:sz w:val="21"/>
                      <w:szCs w:val="21"/>
                      <w:highlight w:val="none"/>
                      <w:lang w:eastAsia="zh-CN"/>
                    </w:rPr>
                    <w:t>GB/T 38597-2020 等现行有效的企业标准、团体标准、地方标准及产品明示质量要求</w:t>
                  </w:r>
                </w:p>
              </w:tc>
              <w:tc>
                <w:tcPr>
                  <w:tcW w:w="3962" w:type="dxa"/>
                  <w:gridSpan w:val="2"/>
                  <w:vAlign w:val="center"/>
                </w:tcPr>
                <w:p w14:paraId="755E57A0">
                  <w:pPr>
                    <w:pageBreakBefore w:val="0"/>
                    <w:overflowPunct/>
                    <w:topLinePunct w:val="0"/>
                    <w:bidi w:val="0"/>
                    <w:snapToGrid/>
                    <w:spacing w:line="360" w:lineRule="auto"/>
                    <w:ind w:left="0" w:leftChars="0" w:right="0" w:rightChars="0"/>
                    <w:jc w:val="left"/>
                    <w:rPr>
                      <w:rFonts w:hint="eastAsia" w:ascii="楷体" w:hAnsi="楷体" w:eastAsia="楷体" w:cs="楷体"/>
                      <w:bCs/>
                      <w:color w:val="auto"/>
                      <w:kern w:val="2"/>
                      <w:sz w:val="21"/>
                      <w:szCs w:val="21"/>
                      <w:highlight w:val="none"/>
                      <w:lang w:val="en-US" w:eastAsia="zh-CN" w:bidi="ar-SA"/>
                    </w:rPr>
                  </w:pPr>
                  <w:r>
                    <w:rPr>
                      <w:rFonts w:hint="eastAsia" w:ascii="楷体" w:hAnsi="楷体" w:eastAsia="楷体" w:cs="楷体"/>
                      <w:bCs/>
                      <w:color w:val="auto"/>
                      <w:sz w:val="21"/>
                      <w:szCs w:val="21"/>
                      <w:highlight w:val="none"/>
                      <w:lang w:eastAsia="zh-CN"/>
                    </w:rPr>
                    <w:t>VOC含量、乙二醇醚及醚酯总和含量、重金属含量（铅、镉、六价铬、汞）</w:t>
                  </w:r>
                </w:p>
              </w:tc>
            </w:tr>
            <w:tr w14:paraId="6C4B4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8" w:type="dxa"/>
                  <w:vAlign w:val="center"/>
                </w:tcPr>
                <w:p w14:paraId="01061B90">
                  <w:pPr>
                    <w:pageBreakBefore w:val="0"/>
                    <w:overflowPunct/>
                    <w:topLinePunct w:val="0"/>
                    <w:bidi w:val="0"/>
                    <w:snapToGrid/>
                    <w:spacing w:line="360" w:lineRule="auto"/>
                    <w:ind w:left="0" w:leftChars="0" w:right="0" w:rightChars="0"/>
                    <w:jc w:val="left"/>
                    <w:rPr>
                      <w:rFonts w:hint="eastAsia" w:ascii="楷体" w:hAnsi="楷体" w:eastAsia="楷体" w:cs="楷体"/>
                      <w:bCs/>
                      <w:color w:val="auto"/>
                      <w:kern w:val="2"/>
                      <w:sz w:val="21"/>
                      <w:szCs w:val="21"/>
                      <w:highlight w:val="none"/>
                      <w:lang w:val="en-US" w:eastAsia="zh-CN" w:bidi="ar-SA"/>
                    </w:rPr>
                  </w:pPr>
                  <w:r>
                    <w:rPr>
                      <w:rFonts w:hint="eastAsia" w:ascii="楷体" w:hAnsi="楷体" w:eastAsia="楷体" w:cs="楷体"/>
                      <w:bCs/>
                      <w:color w:val="auto"/>
                      <w:sz w:val="21"/>
                      <w:szCs w:val="21"/>
                      <w:highlight w:val="none"/>
                    </w:rPr>
                    <w:t>胶粘剂</w:t>
                  </w:r>
                </w:p>
              </w:tc>
              <w:tc>
                <w:tcPr>
                  <w:tcW w:w="2145" w:type="dxa"/>
                  <w:vAlign w:val="center"/>
                </w:tcPr>
                <w:p w14:paraId="54AF97DF">
                  <w:pPr>
                    <w:pageBreakBefore w:val="0"/>
                    <w:overflowPunct/>
                    <w:topLinePunct w:val="0"/>
                    <w:bidi w:val="0"/>
                    <w:snapToGrid/>
                    <w:spacing w:line="360" w:lineRule="auto"/>
                    <w:ind w:left="0" w:right="0" w:rightChars="0"/>
                    <w:jc w:val="left"/>
                    <w:rPr>
                      <w:rFonts w:hint="eastAsia" w:ascii="楷体" w:hAnsi="楷体" w:eastAsia="楷体" w:cs="楷体"/>
                      <w:bCs/>
                      <w:color w:val="auto"/>
                      <w:sz w:val="21"/>
                      <w:szCs w:val="21"/>
                      <w:highlight w:val="none"/>
                      <w:lang w:eastAsia="zh-CN"/>
                    </w:rPr>
                  </w:pPr>
                  <w:r>
                    <w:rPr>
                      <w:rFonts w:hint="eastAsia" w:ascii="楷体" w:hAnsi="楷体" w:eastAsia="楷体" w:cs="楷体"/>
                      <w:bCs/>
                      <w:color w:val="auto"/>
                      <w:sz w:val="21"/>
                      <w:szCs w:val="21"/>
                      <w:highlight w:val="none"/>
                      <w:lang w:eastAsia="zh-CN"/>
                    </w:rPr>
                    <w:t xml:space="preserve">GB 33372-2020 </w:t>
                  </w:r>
                </w:p>
                <w:p w14:paraId="7A4127F7">
                  <w:pPr>
                    <w:pageBreakBefore w:val="0"/>
                    <w:overflowPunct/>
                    <w:topLinePunct w:val="0"/>
                    <w:bidi w:val="0"/>
                    <w:snapToGrid/>
                    <w:spacing w:line="360" w:lineRule="auto"/>
                    <w:ind w:left="0" w:right="0" w:rightChars="0"/>
                    <w:jc w:val="left"/>
                    <w:rPr>
                      <w:rFonts w:hint="eastAsia" w:ascii="楷体" w:hAnsi="楷体" w:eastAsia="楷体" w:cs="楷体"/>
                      <w:bCs/>
                      <w:color w:val="auto"/>
                      <w:sz w:val="21"/>
                      <w:szCs w:val="21"/>
                      <w:highlight w:val="none"/>
                      <w:lang w:eastAsia="zh-CN"/>
                    </w:rPr>
                  </w:pPr>
                  <w:bookmarkStart w:id="130" w:name="OLE_LINK19"/>
                  <w:r>
                    <w:rPr>
                      <w:rFonts w:hint="eastAsia" w:ascii="楷体" w:hAnsi="楷体" w:eastAsia="楷体" w:cs="楷体"/>
                      <w:bCs/>
                      <w:color w:val="auto"/>
                      <w:sz w:val="21"/>
                      <w:szCs w:val="21"/>
                      <w:highlight w:val="none"/>
                      <w:lang w:eastAsia="zh-CN"/>
                    </w:rPr>
                    <w:t>GB 18583</w:t>
                  </w:r>
                  <w:bookmarkEnd w:id="130"/>
                  <w:r>
                    <w:rPr>
                      <w:rFonts w:hint="eastAsia" w:ascii="楷体" w:hAnsi="楷体" w:eastAsia="楷体" w:cs="楷体"/>
                      <w:bCs/>
                      <w:color w:val="auto"/>
                      <w:sz w:val="21"/>
                      <w:szCs w:val="21"/>
                      <w:highlight w:val="none"/>
                      <w:lang w:eastAsia="zh-CN"/>
                    </w:rPr>
                    <w:t xml:space="preserve">-2008 </w:t>
                  </w:r>
                </w:p>
                <w:p w14:paraId="27EEE741">
                  <w:pPr>
                    <w:pageBreakBefore w:val="0"/>
                    <w:overflowPunct/>
                    <w:topLinePunct w:val="0"/>
                    <w:bidi w:val="0"/>
                    <w:snapToGrid/>
                    <w:spacing w:line="360" w:lineRule="auto"/>
                    <w:ind w:left="0" w:right="0" w:rightChars="0"/>
                    <w:jc w:val="left"/>
                    <w:rPr>
                      <w:rFonts w:hint="eastAsia" w:ascii="楷体" w:hAnsi="楷体" w:eastAsia="楷体" w:cs="楷体"/>
                      <w:bCs/>
                      <w:color w:val="auto"/>
                      <w:sz w:val="21"/>
                      <w:szCs w:val="21"/>
                      <w:highlight w:val="none"/>
                      <w:lang w:eastAsia="zh-CN"/>
                    </w:rPr>
                  </w:pPr>
                  <w:bookmarkStart w:id="131" w:name="OLE_LINK20"/>
                  <w:r>
                    <w:rPr>
                      <w:rFonts w:hint="eastAsia" w:ascii="楷体" w:hAnsi="楷体" w:eastAsia="楷体" w:cs="楷体"/>
                      <w:bCs/>
                      <w:color w:val="auto"/>
                      <w:sz w:val="21"/>
                      <w:szCs w:val="21"/>
                      <w:highlight w:val="none"/>
                      <w:lang w:eastAsia="zh-CN"/>
                    </w:rPr>
                    <w:t>GB 30982</w:t>
                  </w:r>
                  <w:bookmarkEnd w:id="131"/>
                  <w:r>
                    <w:rPr>
                      <w:rFonts w:hint="eastAsia" w:ascii="楷体" w:hAnsi="楷体" w:eastAsia="楷体" w:cs="楷体"/>
                      <w:bCs/>
                      <w:color w:val="auto"/>
                      <w:sz w:val="21"/>
                      <w:szCs w:val="21"/>
                      <w:highlight w:val="none"/>
                      <w:lang w:eastAsia="zh-CN"/>
                    </w:rPr>
                    <w:t>-2014</w:t>
                  </w:r>
                </w:p>
                <w:p w14:paraId="626D055C">
                  <w:pPr>
                    <w:pageBreakBefore w:val="0"/>
                    <w:overflowPunct/>
                    <w:topLinePunct w:val="0"/>
                    <w:bidi w:val="0"/>
                    <w:snapToGrid/>
                    <w:spacing w:line="360" w:lineRule="auto"/>
                    <w:ind w:left="0" w:leftChars="0" w:right="0" w:rightChars="0"/>
                    <w:jc w:val="left"/>
                    <w:rPr>
                      <w:rFonts w:hint="eastAsia" w:ascii="楷体" w:hAnsi="楷体" w:eastAsia="楷体" w:cs="楷体"/>
                      <w:bCs/>
                      <w:color w:val="auto"/>
                      <w:kern w:val="2"/>
                      <w:sz w:val="21"/>
                      <w:szCs w:val="21"/>
                      <w:highlight w:val="none"/>
                      <w:lang w:val="en-US" w:eastAsia="zh-CN" w:bidi="ar-SA"/>
                    </w:rPr>
                  </w:pPr>
                  <w:r>
                    <w:rPr>
                      <w:rFonts w:hint="eastAsia" w:ascii="楷体" w:hAnsi="楷体" w:eastAsia="楷体" w:cs="楷体"/>
                      <w:bCs/>
                      <w:color w:val="auto"/>
                      <w:sz w:val="21"/>
                      <w:szCs w:val="21"/>
                      <w:highlight w:val="none"/>
                      <w:lang w:eastAsia="zh-CN"/>
                    </w:rPr>
                    <w:t>等现行有效的企业标准、团体标准、地方标准及产品明示质量要求</w:t>
                  </w:r>
                </w:p>
              </w:tc>
              <w:tc>
                <w:tcPr>
                  <w:tcW w:w="3962" w:type="dxa"/>
                  <w:gridSpan w:val="2"/>
                  <w:vAlign w:val="center"/>
                </w:tcPr>
                <w:p w14:paraId="1DFF3260">
                  <w:pPr>
                    <w:pageBreakBefore w:val="0"/>
                    <w:overflowPunct/>
                    <w:topLinePunct w:val="0"/>
                    <w:bidi w:val="0"/>
                    <w:snapToGrid/>
                    <w:spacing w:line="360" w:lineRule="auto"/>
                    <w:ind w:left="0" w:leftChars="0" w:right="0" w:rightChars="0"/>
                    <w:jc w:val="left"/>
                    <w:rPr>
                      <w:rFonts w:hint="eastAsia" w:ascii="楷体" w:hAnsi="楷体" w:eastAsia="楷体" w:cs="楷体"/>
                      <w:bCs/>
                      <w:color w:val="auto"/>
                      <w:kern w:val="2"/>
                      <w:sz w:val="21"/>
                      <w:szCs w:val="21"/>
                      <w:highlight w:val="none"/>
                      <w:lang w:val="en-US" w:eastAsia="zh-CN" w:bidi="ar-SA"/>
                    </w:rPr>
                  </w:pPr>
                  <w:r>
                    <w:rPr>
                      <w:rFonts w:hint="eastAsia" w:ascii="楷体" w:hAnsi="楷体" w:eastAsia="楷体" w:cs="楷体"/>
                      <w:bCs/>
                      <w:color w:val="auto"/>
                      <w:sz w:val="21"/>
                      <w:szCs w:val="21"/>
                      <w:highlight w:val="none"/>
                      <w:lang w:eastAsia="zh-CN"/>
                    </w:rPr>
                    <w:t>游离甲醛、苯、甲苯+二甲苯、甲苯二异氰酸酯、总挥发性有机物</w:t>
                  </w:r>
                </w:p>
              </w:tc>
            </w:tr>
            <w:tr w14:paraId="5E78F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8" w:type="dxa"/>
                  <w:vAlign w:val="center"/>
                </w:tcPr>
                <w:p w14:paraId="312D479F">
                  <w:pPr>
                    <w:pageBreakBefore w:val="0"/>
                    <w:overflowPunct/>
                    <w:topLinePunct w:val="0"/>
                    <w:bidi w:val="0"/>
                    <w:snapToGrid/>
                    <w:spacing w:line="360" w:lineRule="auto"/>
                    <w:ind w:left="0" w:leftChars="0" w:right="0" w:rightChars="0"/>
                    <w:jc w:val="left"/>
                    <w:rPr>
                      <w:rFonts w:hint="eastAsia" w:ascii="楷体" w:hAnsi="楷体" w:eastAsia="楷体" w:cs="楷体"/>
                      <w:bCs/>
                      <w:color w:val="auto"/>
                      <w:kern w:val="2"/>
                      <w:sz w:val="21"/>
                      <w:szCs w:val="21"/>
                      <w:highlight w:val="none"/>
                      <w:lang w:val="en-US" w:eastAsia="zh-CN" w:bidi="ar-SA"/>
                    </w:rPr>
                  </w:pPr>
                  <w:r>
                    <w:rPr>
                      <w:rFonts w:hint="eastAsia" w:ascii="楷体" w:hAnsi="楷体" w:eastAsia="楷体" w:cs="楷体"/>
                      <w:bCs/>
                      <w:color w:val="auto"/>
                      <w:sz w:val="21"/>
                      <w:szCs w:val="21"/>
                      <w:highlight w:val="none"/>
                    </w:rPr>
                    <w:t>油墨</w:t>
                  </w:r>
                </w:p>
              </w:tc>
              <w:tc>
                <w:tcPr>
                  <w:tcW w:w="2145" w:type="dxa"/>
                  <w:vAlign w:val="center"/>
                </w:tcPr>
                <w:p w14:paraId="36FA6ACB">
                  <w:pPr>
                    <w:pageBreakBefore w:val="0"/>
                    <w:overflowPunct/>
                    <w:topLinePunct w:val="0"/>
                    <w:bidi w:val="0"/>
                    <w:snapToGrid/>
                    <w:spacing w:line="360" w:lineRule="auto"/>
                    <w:ind w:left="0" w:right="0" w:rightChars="0"/>
                    <w:jc w:val="left"/>
                    <w:rPr>
                      <w:rFonts w:hint="eastAsia" w:ascii="楷体" w:hAnsi="楷体" w:eastAsia="楷体" w:cs="楷体"/>
                      <w:bCs/>
                      <w:color w:val="auto"/>
                      <w:sz w:val="21"/>
                      <w:szCs w:val="21"/>
                      <w:highlight w:val="none"/>
                      <w:lang w:eastAsia="zh-CN"/>
                    </w:rPr>
                  </w:pPr>
                  <w:r>
                    <w:rPr>
                      <w:rFonts w:hint="eastAsia" w:ascii="楷体" w:hAnsi="楷体" w:eastAsia="楷体" w:cs="楷体"/>
                      <w:bCs/>
                      <w:color w:val="auto"/>
                      <w:sz w:val="21"/>
                      <w:szCs w:val="21"/>
                      <w:highlight w:val="none"/>
                      <w:lang w:eastAsia="zh-CN"/>
                    </w:rPr>
                    <w:t>GB 38507-2020</w:t>
                  </w:r>
                </w:p>
                <w:p w14:paraId="1254F75A">
                  <w:pPr>
                    <w:pageBreakBefore w:val="0"/>
                    <w:overflowPunct/>
                    <w:topLinePunct w:val="0"/>
                    <w:bidi w:val="0"/>
                    <w:snapToGrid/>
                    <w:spacing w:line="360" w:lineRule="auto"/>
                    <w:ind w:left="0" w:right="0" w:rightChars="0"/>
                    <w:jc w:val="left"/>
                    <w:rPr>
                      <w:rFonts w:hint="eastAsia" w:ascii="楷体" w:hAnsi="楷体" w:eastAsia="楷体" w:cs="楷体"/>
                      <w:bCs/>
                      <w:color w:val="auto"/>
                      <w:sz w:val="21"/>
                      <w:szCs w:val="21"/>
                      <w:highlight w:val="none"/>
                      <w:lang w:eastAsia="zh-CN"/>
                    </w:rPr>
                  </w:pPr>
                  <w:bookmarkStart w:id="132" w:name="OLE_LINK21"/>
                  <w:r>
                    <w:rPr>
                      <w:rFonts w:hint="eastAsia" w:ascii="楷体" w:hAnsi="楷体" w:eastAsia="楷体" w:cs="楷体"/>
                      <w:bCs/>
                      <w:color w:val="auto"/>
                      <w:sz w:val="21"/>
                      <w:szCs w:val="21"/>
                      <w:highlight w:val="none"/>
                      <w:lang w:eastAsia="zh-CN"/>
                    </w:rPr>
                    <w:t>GB/T 26461</w:t>
                  </w:r>
                  <w:bookmarkEnd w:id="132"/>
                  <w:r>
                    <w:rPr>
                      <w:rFonts w:hint="eastAsia" w:ascii="楷体" w:hAnsi="楷体" w:eastAsia="楷体" w:cs="楷体"/>
                      <w:bCs/>
                      <w:color w:val="auto"/>
                      <w:sz w:val="21"/>
                      <w:szCs w:val="21"/>
                      <w:highlight w:val="none"/>
                      <w:lang w:eastAsia="zh-CN"/>
                    </w:rPr>
                    <w:t>-2011</w:t>
                  </w:r>
                </w:p>
                <w:p w14:paraId="68F6A823">
                  <w:pPr>
                    <w:pageBreakBefore w:val="0"/>
                    <w:overflowPunct/>
                    <w:topLinePunct w:val="0"/>
                    <w:bidi w:val="0"/>
                    <w:snapToGrid/>
                    <w:spacing w:line="360" w:lineRule="auto"/>
                    <w:ind w:left="0" w:leftChars="0" w:right="0" w:rightChars="0"/>
                    <w:jc w:val="left"/>
                    <w:rPr>
                      <w:rFonts w:hint="eastAsia" w:ascii="楷体" w:hAnsi="楷体" w:eastAsia="楷体" w:cs="楷体"/>
                      <w:bCs/>
                      <w:color w:val="auto"/>
                      <w:kern w:val="2"/>
                      <w:sz w:val="21"/>
                      <w:szCs w:val="21"/>
                      <w:highlight w:val="none"/>
                      <w:lang w:val="en-US" w:eastAsia="zh-CN" w:bidi="ar-SA"/>
                    </w:rPr>
                  </w:pPr>
                  <w:r>
                    <w:rPr>
                      <w:rFonts w:hint="eastAsia" w:ascii="楷体" w:hAnsi="楷体" w:eastAsia="楷体" w:cs="楷体"/>
                      <w:bCs/>
                      <w:color w:val="auto"/>
                      <w:sz w:val="21"/>
                      <w:szCs w:val="21"/>
                      <w:highlight w:val="none"/>
                      <w:lang w:eastAsia="zh-CN"/>
                    </w:rPr>
                    <w:t>等现行有效的企业标准、团体标准、地方标准及产品明示质量要求</w:t>
                  </w:r>
                </w:p>
              </w:tc>
              <w:tc>
                <w:tcPr>
                  <w:tcW w:w="3962" w:type="dxa"/>
                  <w:gridSpan w:val="2"/>
                  <w:vAlign w:val="center"/>
                </w:tcPr>
                <w:p w14:paraId="526046AF">
                  <w:pPr>
                    <w:pageBreakBefore w:val="0"/>
                    <w:overflowPunct/>
                    <w:topLinePunct w:val="0"/>
                    <w:bidi w:val="0"/>
                    <w:snapToGrid/>
                    <w:spacing w:line="360" w:lineRule="auto"/>
                    <w:ind w:left="0" w:leftChars="0" w:right="0" w:rightChars="0"/>
                    <w:jc w:val="left"/>
                    <w:rPr>
                      <w:rFonts w:hint="eastAsia" w:ascii="楷体" w:hAnsi="楷体" w:eastAsia="楷体" w:cs="楷体"/>
                      <w:bCs/>
                      <w:color w:val="auto"/>
                      <w:kern w:val="2"/>
                      <w:sz w:val="21"/>
                      <w:szCs w:val="21"/>
                      <w:highlight w:val="none"/>
                      <w:lang w:val="en-US" w:eastAsia="zh-CN" w:bidi="ar-SA"/>
                    </w:rPr>
                  </w:pPr>
                  <w:r>
                    <w:rPr>
                      <w:rFonts w:hint="eastAsia" w:ascii="楷体" w:hAnsi="楷体" w:eastAsia="楷体" w:cs="楷体"/>
                      <w:bCs/>
                      <w:color w:val="auto"/>
                      <w:sz w:val="21"/>
                      <w:szCs w:val="21"/>
                      <w:highlight w:val="none"/>
                      <w:lang w:eastAsia="zh-CN"/>
                    </w:rPr>
                    <w:t>可挥发性有机化合物(VOCs)含量、苯、甲苯、乙苯、二甲苯、颜色、细度、粘度、着色力、附着牢度、耐光、耐热性</w:t>
                  </w:r>
                </w:p>
              </w:tc>
            </w:tr>
            <w:tr w14:paraId="0C279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8" w:type="dxa"/>
                  <w:vAlign w:val="center"/>
                </w:tcPr>
                <w:p w14:paraId="53BB8ED5">
                  <w:pPr>
                    <w:pageBreakBefore w:val="0"/>
                    <w:overflowPunct/>
                    <w:topLinePunct w:val="0"/>
                    <w:bidi w:val="0"/>
                    <w:snapToGrid/>
                    <w:spacing w:line="360" w:lineRule="auto"/>
                    <w:ind w:left="0" w:leftChars="0" w:right="0" w:rightChars="0"/>
                    <w:jc w:val="left"/>
                    <w:rPr>
                      <w:rFonts w:hint="eastAsia" w:ascii="楷体" w:hAnsi="楷体" w:eastAsia="楷体" w:cs="楷体"/>
                      <w:bCs/>
                      <w:color w:val="auto"/>
                      <w:kern w:val="2"/>
                      <w:sz w:val="21"/>
                      <w:szCs w:val="21"/>
                      <w:highlight w:val="none"/>
                      <w:lang w:val="en-US" w:eastAsia="zh-CN" w:bidi="ar-SA"/>
                    </w:rPr>
                  </w:pPr>
                  <w:r>
                    <w:rPr>
                      <w:rFonts w:hint="eastAsia" w:ascii="楷体" w:hAnsi="楷体" w:eastAsia="楷体" w:cs="楷体"/>
                      <w:bCs/>
                      <w:color w:val="auto"/>
                      <w:sz w:val="21"/>
                      <w:szCs w:val="21"/>
                      <w:highlight w:val="none"/>
                      <w:lang w:eastAsia="zh-CN"/>
                    </w:rPr>
                    <w:t>清洗剂</w:t>
                  </w:r>
                </w:p>
              </w:tc>
              <w:tc>
                <w:tcPr>
                  <w:tcW w:w="2145" w:type="dxa"/>
                  <w:vAlign w:val="center"/>
                </w:tcPr>
                <w:p w14:paraId="03A67E74">
                  <w:pPr>
                    <w:pageBreakBefore w:val="0"/>
                    <w:overflowPunct/>
                    <w:topLinePunct w:val="0"/>
                    <w:bidi w:val="0"/>
                    <w:snapToGrid/>
                    <w:spacing w:line="360" w:lineRule="auto"/>
                    <w:ind w:left="0" w:right="0" w:rightChars="0"/>
                    <w:jc w:val="left"/>
                    <w:rPr>
                      <w:rFonts w:hint="eastAsia" w:ascii="楷体" w:hAnsi="楷体" w:eastAsia="楷体" w:cs="楷体"/>
                      <w:bCs/>
                      <w:color w:val="auto"/>
                      <w:sz w:val="21"/>
                      <w:szCs w:val="21"/>
                      <w:highlight w:val="none"/>
                      <w:lang w:eastAsia="zh-CN"/>
                    </w:rPr>
                  </w:pPr>
                  <w:r>
                    <w:rPr>
                      <w:rFonts w:hint="eastAsia" w:ascii="楷体" w:hAnsi="楷体" w:eastAsia="楷体" w:cs="楷体"/>
                      <w:bCs/>
                      <w:color w:val="auto"/>
                      <w:sz w:val="21"/>
                      <w:szCs w:val="21"/>
                      <w:highlight w:val="none"/>
                      <w:lang w:eastAsia="zh-CN"/>
                    </w:rPr>
                    <w:t>GB 38508-2020</w:t>
                  </w:r>
                </w:p>
                <w:p w14:paraId="1789F7B0">
                  <w:pPr>
                    <w:pageBreakBefore w:val="0"/>
                    <w:overflowPunct/>
                    <w:topLinePunct w:val="0"/>
                    <w:bidi w:val="0"/>
                    <w:snapToGrid/>
                    <w:spacing w:line="360" w:lineRule="auto"/>
                    <w:ind w:left="0" w:leftChars="0" w:right="0" w:rightChars="0"/>
                    <w:jc w:val="left"/>
                    <w:rPr>
                      <w:rFonts w:hint="eastAsia" w:ascii="楷体" w:hAnsi="楷体" w:eastAsia="楷体" w:cs="楷体"/>
                      <w:bCs/>
                      <w:color w:val="auto"/>
                      <w:kern w:val="2"/>
                      <w:sz w:val="21"/>
                      <w:szCs w:val="21"/>
                      <w:highlight w:val="none"/>
                      <w:lang w:val="en-US" w:eastAsia="zh-CN" w:bidi="ar-SA"/>
                    </w:rPr>
                  </w:pPr>
                  <w:r>
                    <w:rPr>
                      <w:rFonts w:hint="eastAsia" w:ascii="楷体" w:hAnsi="楷体" w:eastAsia="楷体" w:cs="楷体"/>
                      <w:bCs/>
                      <w:color w:val="auto"/>
                      <w:sz w:val="21"/>
                      <w:szCs w:val="21"/>
                      <w:highlight w:val="none"/>
                      <w:lang w:eastAsia="zh-CN"/>
                    </w:rPr>
                    <w:t>等现行有效的企业标准、团体标准、地方标准及产品明示质量要求</w:t>
                  </w:r>
                </w:p>
              </w:tc>
              <w:tc>
                <w:tcPr>
                  <w:tcW w:w="3962" w:type="dxa"/>
                  <w:gridSpan w:val="2"/>
                  <w:vAlign w:val="center"/>
                </w:tcPr>
                <w:p w14:paraId="5016A60E">
                  <w:pPr>
                    <w:pageBreakBefore w:val="0"/>
                    <w:overflowPunct/>
                    <w:topLinePunct w:val="0"/>
                    <w:bidi w:val="0"/>
                    <w:snapToGrid/>
                    <w:spacing w:line="360" w:lineRule="auto"/>
                    <w:ind w:left="0" w:leftChars="0" w:right="0" w:rightChars="0"/>
                    <w:jc w:val="left"/>
                    <w:rPr>
                      <w:rFonts w:hint="eastAsia" w:ascii="楷体" w:hAnsi="楷体" w:eastAsia="楷体" w:cs="楷体"/>
                      <w:bCs/>
                      <w:color w:val="auto"/>
                      <w:kern w:val="2"/>
                      <w:sz w:val="21"/>
                      <w:szCs w:val="21"/>
                      <w:highlight w:val="none"/>
                      <w:lang w:val="en-US" w:eastAsia="zh-CN" w:bidi="ar-SA"/>
                    </w:rPr>
                  </w:pPr>
                  <w:r>
                    <w:rPr>
                      <w:rFonts w:hint="eastAsia" w:ascii="楷体" w:hAnsi="楷体" w:eastAsia="楷体" w:cs="楷体"/>
                      <w:bCs/>
                      <w:color w:val="auto"/>
                      <w:sz w:val="21"/>
                      <w:szCs w:val="21"/>
                      <w:highlight w:val="none"/>
                    </w:rPr>
                    <w:t>VOC含量、甲醛、苯、甲苯、乙苯和二甲苯总和</w:t>
                  </w:r>
                </w:p>
              </w:tc>
            </w:tr>
          </w:tbl>
          <w:p w14:paraId="673885E3">
            <w:pPr>
              <w:pStyle w:val="24"/>
              <w:keepNext/>
              <w:keepLines/>
              <w:pBdr>
                <w:bottom w:val="single" w:color="auto" w:sz="4" w:space="0"/>
              </w:pBdr>
              <w:spacing w:after="156" w:afterLines="50" w:line="622" w:lineRule="exact"/>
              <w:ind w:left="0" w:leftChars="0" w:firstLine="0" w:firstLineChars="0"/>
              <w:jc w:val="both"/>
              <w:rPr>
                <w:rFonts w:hint="eastAsia" w:ascii="楷体" w:hAnsi="楷体" w:eastAsia="楷体" w:cs="楷体"/>
                <w:b/>
                <w:bCs/>
                <w:color w:val="000000"/>
                <w:sz w:val="21"/>
                <w:szCs w:val="21"/>
                <w:highlight w:val="none"/>
              </w:rPr>
            </w:pPr>
            <w:r>
              <w:rPr>
                <w:rFonts w:hint="eastAsia" w:ascii="楷体" w:hAnsi="楷体" w:eastAsia="楷体" w:cs="楷体"/>
                <w:b/>
                <w:bCs/>
                <w:color w:val="000000"/>
                <w:sz w:val="21"/>
                <w:szCs w:val="21"/>
                <w:highlight w:val="none"/>
                <w:lang w:val="en-US" w:eastAsia="zh-CN"/>
              </w:rPr>
              <w:t>三</w:t>
            </w:r>
            <w:r>
              <w:rPr>
                <w:rFonts w:hint="eastAsia" w:ascii="楷体" w:hAnsi="楷体" w:eastAsia="楷体" w:cs="楷体"/>
                <w:b/>
                <w:bCs/>
                <w:color w:val="000000"/>
                <w:sz w:val="21"/>
                <w:szCs w:val="21"/>
                <w:highlight w:val="none"/>
              </w:rPr>
              <w:t>、商务要求</w:t>
            </w:r>
          </w:p>
          <w:p w14:paraId="52D9EB3C">
            <w:pPr>
              <w:pStyle w:val="23"/>
              <w:spacing w:after="0" w:line="520" w:lineRule="exact"/>
              <w:ind w:firstLine="420" w:firstLineChars="200"/>
              <w:jc w:val="both"/>
              <w:rPr>
                <w:rFonts w:hint="eastAsia" w:ascii="楷体" w:hAnsi="楷体" w:eastAsia="楷体" w:cs="楷体"/>
                <w:color w:val="000000"/>
                <w:sz w:val="21"/>
                <w:szCs w:val="21"/>
                <w:highlight w:val="none"/>
              </w:rPr>
            </w:pPr>
            <w:r>
              <w:rPr>
                <w:rFonts w:hint="eastAsia" w:ascii="楷体" w:hAnsi="楷体" w:eastAsia="楷体" w:cs="楷体"/>
                <w:color w:val="000000"/>
                <w:sz w:val="21"/>
                <w:szCs w:val="21"/>
                <w:highlight w:val="none"/>
              </w:rPr>
              <w:t>（一）服务期限及地点</w:t>
            </w:r>
          </w:p>
          <w:p w14:paraId="37E56B0D">
            <w:pPr>
              <w:pStyle w:val="23"/>
              <w:spacing w:after="0" w:line="520" w:lineRule="exact"/>
              <w:ind w:firstLine="420" w:firstLineChars="200"/>
              <w:jc w:val="both"/>
              <w:rPr>
                <w:rFonts w:hint="eastAsia" w:ascii="楷体" w:hAnsi="楷体" w:eastAsia="楷体" w:cs="楷体"/>
                <w:color w:val="000000"/>
                <w:sz w:val="21"/>
                <w:szCs w:val="21"/>
                <w:highlight w:val="none"/>
              </w:rPr>
            </w:pPr>
            <w:r>
              <w:rPr>
                <w:rFonts w:hint="eastAsia" w:ascii="楷体" w:hAnsi="楷体" w:eastAsia="楷体" w:cs="楷体"/>
                <w:color w:val="000000"/>
                <w:sz w:val="21"/>
                <w:szCs w:val="21"/>
                <w:highlight w:val="none"/>
              </w:rPr>
              <w:t>1.服务期限：自合同签订之日起至</w:t>
            </w:r>
            <w:r>
              <w:rPr>
                <w:rFonts w:hint="eastAsia" w:ascii="楷体" w:hAnsi="楷体" w:eastAsia="楷体" w:cs="楷体"/>
                <w:color w:val="000000"/>
                <w:sz w:val="21"/>
                <w:szCs w:val="21"/>
                <w:highlight w:val="none"/>
                <w:lang w:val="en-US" w:eastAsia="zh-CN"/>
              </w:rPr>
              <w:t>12</w:t>
            </w:r>
            <w:r>
              <w:rPr>
                <w:rFonts w:hint="eastAsia" w:ascii="楷体" w:hAnsi="楷体" w:eastAsia="楷体" w:cs="楷体"/>
                <w:color w:val="000000"/>
                <w:sz w:val="21"/>
                <w:szCs w:val="21"/>
                <w:highlight w:val="none"/>
              </w:rPr>
              <w:t>月底，</w:t>
            </w:r>
            <w:r>
              <w:rPr>
                <w:rFonts w:hint="eastAsia" w:ascii="楷体" w:hAnsi="楷体" w:eastAsia="楷体" w:cs="楷体"/>
                <w:color w:val="000000"/>
                <w:sz w:val="21"/>
                <w:szCs w:val="21"/>
                <w:highlight w:val="none"/>
                <w:lang w:eastAsia="zh-CN"/>
              </w:rPr>
              <w:t>分批次完成质量监督抽查</w:t>
            </w:r>
            <w:r>
              <w:rPr>
                <w:rFonts w:hint="eastAsia" w:ascii="楷体" w:hAnsi="楷体" w:eastAsia="楷体" w:cs="楷体"/>
                <w:color w:val="000000"/>
                <w:sz w:val="21"/>
                <w:szCs w:val="21"/>
                <w:highlight w:val="none"/>
              </w:rPr>
              <w:t>。</w:t>
            </w:r>
          </w:p>
          <w:p w14:paraId="6DF3DA10">
            <w:pPr>
              <w:pStyle w:val="23"/>
              <w:spacing w:after="0" w:line="520" w:lineRule="exact"/>
              <w:ind w:firstLine="420" w:firstLineChars="200"/>
              <w:jc w:val="both"/>
              <w:rPr>
                <w:rFonts w:hint="eastAsia" w:ascii="楷体" w:hAnsi="楷体" w:eastAsia="楷体" w:cs="楷体"/>
                <w:color w:val="000000"/>
                <w:sz w:val="21"/>
                <w:szCs w:val="21"/>
                <w:highlight w:val="none"/>
              </w:rPr>
            </w:pPr>
            <w:r>
              <w:rPr>
                <w:rFonts w:hint="eastAsia" w:ascii="楷体" w:hAnsi="楷体" w:eastAsia="楷体" w:cs="楷体"/>
                <w:color w:val="000000"/>
                <w:sz w:val="21"/>
                <w:szCs w:val="21"/>
                <w:highlight w:val="none"/>
              </w:rPr>
              <w:t>2.服务地点：</w:t>
            </w:r>
            <w:bookmarkStart w:id="133" w:name="OLE_LINK113"/>
            <w:r>
              <w:rPr>
                <w:rFonts w:hint="eastAsia" w:ascii="楷体" w:hAnsi="楷体" w:eastAsia="楷体" w:cs="楷体"/>
                <w:color w:val="000000"/>
                <w:sz w:val="21"/>
                <w:szCs w:val="21"/>
                <w:highlight w:val="none"/>
              </w:rPr>
              <w:t>采购方指定地点。</w:t>
            </w:r>
            <w:bookmarkEnd w:id="133"/>
          </w:p>
          <w:p w14:paraId="166A4143">
            <w:pPr>
              <w:pStyle w:val="23"/>
              <w:spacing w:after="0" w:line="520" w:lineRule="exact"/>
              <w:ind w:firstLine="420" w:firstLineChars="200"/>
              <w:jc w:val="both"/>
              <w:rPr>
                <w:rFonts w:hint="eastAsia" w:ascii="楷体" w:hAnsi="楷体" w:eastAsia="楷体" w:cs="楷体"/>
                <w:color w:val="000000"/>
                <w:sz w:val="21"/>
                <w:szCs w:val="21"/>
                <w:highlight w:val="none"/>
              </w:rPr>
            </w:pPr>
            <w:r>
              <w:rPr>
                <w:rFonts w:hint="eastAsia" w:ascii="楷体" w:hAnsi="楷体" w:eastAsia="楷体" w:cs="楷体"/>
                <w:color w:val="000000"/>
                <w:sz w:val="21"/>
                <w:szCs w:val="21"/>
                <w:highlight w:val="none"/>
              </w:rPr>
              <w:t>（二）款项结算</w:t>
            </w:r>
          </w:p>
          <w:p w14:paraId="6309523E">
            <w:pPr>
              <w:pStyle w:val="23"/>
              <w:spacing w:after="0" w:line="520" w:lineRule="exact"/>
              <w:ind w:firstLine="420" w:firstLineChars="200"/>
              <w:jc w:val="both"/>
              <w:rPr>
                <w:rFonts w:hint="eastAsia" w:ascii="楷体" w:hAnsi="楷体" w:eastAsia="楷体" w:cs="楷体"/>
                <w:color w:val="000000"/>
                <w:sz w:val="21"/>
                <w:szCs w:val="21"/>
                <w:highlight w:val="none"/>
              </w:rPr>
            </w:pPr>
            <w:r>
              <w:rPr>
                <w:rFonts w:hint="eastAsia" w:ascii="楷体" w:hAnsi="楷体" w:eastAsia="楷体" w:cs="楷体"/>
                <w:color w:val="000000"/>
                <w:sz w:val="21"/>
                <w:szCs w:val="21"/>
                <w:highlight w:val="none"/>
              </w:rPr>
              <w:t>根据采购方工作实际需求进行分批</w:t>
            </w:r>
            <w:r>
              <w:rPr>
                <w:rFonts w:hint="eastAsia" w:ascii="楷体" w:hAnsi="楷体" w:eastAsia="楷体" w:cs="楷体"/>
                <w:color w:val="000000"/>
                <w:sz w:val="21"/>
                <w:szCs w:val="21"/>
                <w:highlight w:val="none"/>
                <w:lang w:eastAsia="zh-CN"/>
              </w:rPr>
              <w:t>监督抽查</w:t>
            </w:r>
            <w:r>
              <w:rPr>
                <w:rFonts w:hint="eastAsia" w:ascii="楷体" w:hAnsi="楷体" w:eastAsia="楷体" w:cs="楷体"/>
                <w:color w:val="000000"/>
                <w:sz w:val="21"/>
                <w:szCs w:val="21"/>
                <w:highlight w:val="none"/>
              </w:rPr>
              <w:t>。</w:t>
            </w:r>
          </w:p>
          <w:p w14:paraId="70E1B87B">
            <w:pPr>
              <w:pStyle w:val="23"/>
              <w:spacing w:after="0" w:line="520" w:lineRule="exact"/>
              <w:ind w:firstLine="420" w:firstLineChars="200"/>
              <w:jc w:val="both"/>
              <w:rPr>
                <w:rFonts w:hint="eastAsia" w:ascii="楷体" w:hAnsi="楷体" w:eastAsia="楷体" w:cs="楷体"/>
                <w:color w:val="000000"/>
                <w:sz w:val="21"/>
                <w:szCs w:val="21"/>
                <w:highlight w:val="none"/>
                <w:lang w:val="en-US" w:eastAsia="zh-CN"/>
              </w:rPr>
            </w:pPr>
            <w:r>
              <w:rPr>
                <w:rFonts w:hint="eastAsia" w:ascii="楷体" w:hAnsi="楷体" w:eastAsia="楷体" w:cs="楷体"/>
                <w:color w:val="000000"/>
                <w:sz w:val="21"/>
                <w:szCs w:val="21"/>
                <w:highlight w:val="none"/>
                <w:lang w:val="en-US" w:eastAsia="zh-CN"/>
              </w:rPr>
              <w:t>1.合同签订后10个工作日内支付合同总价款的60%作为预付款。</w:t>
            </w:r>
          </w:p>
          <w:p w14:paraId="40D26438">
            <w:pPr>
              <w:pStyle w:val="23"/>
              <w:spacing w:after="0" w:line="520" w:lineRule="exact"/>
              <w:ind w:firstLine="420" w:firstLineChars="200"/>
              <w:jc w:val="both"/>
              <w:rPr>
                <w:rFonts w:hint="eastAsia" w:ascii="楷体" w:hAnsi="楷体" w:eastAsia="楷体" w:cs="楷体"/>
                <w:color w:val="000000"/>
                <w:sz w:val="21"/>
                <w:szCs w:val="21"/>
                <w:highlight w:val="none"/>
                <w:lang w:val="en-US" w:eastAsia="zh-CN"/>
              </w:rPr>
            </w:pPr>
            <w:r>
              <w:rPr>
                <w:rFonts w:hint="eastAsia" w:ascii="楷体" w:hAnsi="楷体" w:eastAsia="楷体" w:cs="楷体"/>
                <w:color w:val="000000"/>
                <w:sz w:val="21"/>
                <w:szCs w:val="21"/>
                <w:highlight w:val="none"/>
                <w:lang w:val="en-US" w:eastAsia="zh-CN"/>
              </w:rPr>
              <w:t>2.质量监督抽查工作完成后，由委托方按照工作程序进行验收并以单项最终成交价格为准据实结算，预算金额结算完毕为止。</w:t>
            </w:r>
          </w:p>
          <w:p w14:paraId="2A244614">
            <w:pPr>
              <w:pStyle w:val="23"/>
              <w:spacing w:after="0" w:line="520" w:lineRule="exact"/>
              <w:ind w:firstLine="420" w:firstLineChars="200"/>
              <w:jc w:val="both"/>
              <w:rPr>
                <w:rFonts w:hint="eastAsia" w:ascii="楷体" w:hAnsi="楷体" w:eastAsia="楷体" w:cs="楷体"/>
                <w:color w:val="000000"/>
                <w:sz w:val="21"/>
                <w:szCs w:val="21"/>
                <w:highlight w:val="none"/>
              </w:rPr>
            </w:pPr>
            <w:r>
              <w:rPr>
                <w:rFonts w:hint="eastAsia" w:ascii="楷体" w:hAnsi="楷体" w:eastAsia="楷体" w:cs="楷体"/>
                <w:color w:val="000000"/>
                <w:sz w:val="21"/>
                <w:szCs w:val="21"/>
                <w:highlight w:val="none"/>
              </w:rPr>
              <w:t>（三）合同实施</w:t>
            </w:r>
          </w:p>
          <w:p w14:paraId="7114041D">
            <w:pPr>
              <w:pStyle w:val="23"/>
              <w:spacing w:after="0" w:line="520" w:lineRule="exact"/>
              <w:ind w:firstLine="420" w:firstLineChars="200"/>
              <w:jc w:val="both"/>
              <w:rPr>
                <w:rFonts w:hint="eastAsia" w:ascii="楷体" w:hAnsi="楷体" w:eastAsia="楷体" w:cs="楷体"/>
                <w:color w:val="000000"/>
                <w:sz w:val="21"/>
                <w:szCs w:val="21"/>
                <w:highlight w:val="none"/>
              </w:rPr>
            </w:pPr>
            <w:r>
              <w:rPr>
                <w:rFonts w:hint="eastAsia" w:ascii="楷体" w:hAnsi="楷体" w:eastAsia="楷体" w:cs="楷体"/>
                <w:color w:val="000000"/>
                <w:sz w:val="21"/>
                <w:szCs w:val="21"/>
                <w:highlight w:val="none"/>
              </w:rPr>
              <w:t>1.成交单位应在合同签订后接招标人通知之日起7个日历日内对</w:t>
            </w:r>
            <w:r>
              <w:rPr>
                <w:rFonts w:hint="eastAsia" w:ascii="楷体" w:hAnsi="楷体" w:eastAsia="楷体" w:cs="楷体"/>
                <w:color w:val="000000"/>
                <w:sz w:val="21"/>
                <w:szCs w:val="21"/>
                <w:highlight w:val="none"/>
                <w:lang w:eastAsia="zh-CN"/>
              </w:rPr>
              <w:t>质量监督抽查工作</w:t>
            </w:r>
            <w:r>
              <w:rPr>
                <w:rFonts w:hint="eastAsia" w:ascii="楷体" w:hAnsi="楷体" w:eastAsia="楷体" w:cs="楷体"/>
                <w:color w:val="000000"/>
                <w:sz w:val="21"/>
                <w:szCs w:val="21"/>
                <w:highlight w:val="none"/>
              </w:rPr>
              <w:t>进行安排、部署、计划。</w:t>
            </w:r>
          </w:p>
          <w:p w14:paraId="59E8EFC2">
            <w:pPr>
              <w:pStyle w:val="23"/>
              <w:spacing w:after="0" w:line="520" w:lineRule="exact"/>
              <w:ind w:firstLine="420" w:firstLineChars="200"/>
              <w:jc w:val="both"/>
              <w:rPr>
                <w:rFonts w:hint="eastAsia" w:ascii="楷体" w:hAnsi="楷体" w:eastAsia="楷体" w:cs="楷体"/>
                <w:color w:val="000000"/>
                <w:sz w:val="21"/>
                <w:szCs w:val="21"/>
                <w:highlight w:val="none"/>
              </w:rPr>
            </w:pPr>
            <w:r>
              <w:rPr>
                <w:rFonts w:hint="eastAsia" w:ascii="楷体" w:hAnsi="楷体" w:eastAsia="楷体" w:cs="楷体"/>
                <w:color w:val="000000"/>
                <w:sz w:val="21"/>
                <w:szCs w:val="21"/>
                <w:highlight w:val="none"/>
              </w:rPr>
              <w:t>2.若未能在按照项目实际工作时间完成规定的义务，由此对采购单位造成的延误和一切损失，由成交单位承担和赔偿。</w:t>
            </w:r>
          </w:p>
          <w:p w14:paraId="7DB4432E">
            <w:pPr>
              <w:pStyle w:val="24"/>
              <w:keepNext/>
              <w:keepLines/>
              <w:pBdr>
                <w:bottom w:val="single" w:color="auto" w:sz="4" w:space="0"/>
              </w:pBdr>
              <w:spacing w:after="156" w:afterLines="50" w:line="622" w:lineRule="exact"/>
              <w:ind w:left="0" w:leftChars="0" w:firstLine="0" w:firstLineChars="0"/>
              <w:jc w:val="both"/>
              <w:rPr>
                <w:rFonts w:hint="eastAsia" w:ascii="楷体" w:hAnsi="楷体" w:eastAsia="楷体" w:cs="楷体"/>
                <w:b/>
                <w:bCs/>
                <w:color w:val="000000"/>
                <w:sz w:val="21"/>
                <w:szCs w:val="21"/>
                <w:highlight w:val="none"/>
              </w:rPr>
            </w:pPr>
            <w:r>
              <w:rPr>
                <w:rFonts w:hint="eastAsia" w:ascii="楷体" w:hAnsi="楷体" w:eastAsia="楷体" w:cs="楷体"/>
                <w:b/>
                <w:bCs/>
                <w:color w:val="000000"/>
                <w:sz w:val="21"/>
                <w:szCs w:val="21"/>
                <w:highlight w:val="none"/>
                <w:lang w:val="en-US" w:eastAsia="zh-CN"/>
              </w:rPr>
              <w:t>四</w:t>
            </w:r>
            <w:r>
              <w:rPr>
                <w:rFonts w:hint="eastAsia" w:ascii="楷体" w:hAnsi="楷体" w:eastAsia="楷体" w:cs="楷体"/>
                <w:b/>
                <w:bCs/>
                <w:color w:val="000000"/>
                <w:sz w:val="21"/>
                <w:szCs w:val="21"/>
                <w:highlight w:val="none"/>
              </w:rPr>
              <w:t>、其他</w:t>
            </w:r>
          </w:p>
          <w:p w14:paraId="74AB5F07">
            <w:pPr>
              <w:pStyle w:val="23"/>
              <w:spacing w:after="0" w:line="520" w:lineRule="exact"/>
              <w:ind w:firstLine="420" w:firstLineChars="200"/>
              <w:jc w:val="both"/>
              <w:rPr>
                <w:rFonts w:hint="eastAsia" w:ascii="楷体" w:hAnsi="楷体" w:eastAsia="楷体" w:cs="楷体"/>
                <w:color w:val="000000"/>
                <w:sz w:val="21"/>
                <w:szCs w:val="21"/>
                <w:highlight w:val="none"/>
              </w:rPr>
            </w:pPr>
            <w:r>
              <w:rPr>
                <w:rFonts w:hint="eastAsia" w:ascii="楷体" w:hAnsi="楷体" w:eastAsia="楷体" w:cs="楷体"/>
                <w:color w:val="000000"/>
                <w:sz w:val="21"/>
                <w:szCs w:val="21"/>
                <w:highlight w:val="none"/>
              </w:rPr>
              <w:t>（</w:t>
            </w:r>
            <w:r>
              <w:rPr>
                <w:rFonts w:hint="eastAsia" w:ascii="楷体" w:hAnsi="楷体" w:eastAsia="楷体" w:cs="楷体"/>
                <w:color w:val="000000"/>
                <w:sz w:val="21"/>
                <w:szCs w:val="21"/>
                <w:highlight w:val="none"/>
                <w:lang w:val="en-US" w:eastAsia="zh-CN"/>
              </w:rPr>
              <w:t>一</w:t>
            </w:r>
            <w:r>
              <w:rPr>
                <w:rFonts w:hint="eastAsia" w:ascii="楷体" w:hAnsi="楷体" w:eastAsia="楷体" w:cs="楷体"/>
                <w:color w:val="000000"/>
                <w:sz w:val="21"/>
                <w:szCs w:val="21"/>
                <w:highlight w:val="none"/>
              </w:rPr>
              <w:t>）验收标准或规范</w:t>
            </w:r>
          </w:p>
          <w:p w14:paraId="2AA18BEF">
            <w:pPr>
              <w:pStyle w:val="23"/>
              <w:spacing w:after="0" w:line="520" w:lineRule="exact"/>
              <w:ind w:firstLine="420" w:firstLineChars="200"/>
              <w:jc w:val="both"/>
              <w:rPr>
                <w:rFonts w:hint="eastAsia" w:ascii="楷体" w:hAnsi="楷体" w:eastAsia="楷体" w:cs="楷体"/>
                <w:color w:val="000000"/>
                <w:sz w:val="21"/>
                <w:szCs w:val="21"/>
                <w:highlight w:val="none"/>
              </w:rPr>
            </w:pPr>
            <w:r>
              <w:rPr>
                <w:rFonts w:hint="eastAsia" w:ascii="楷体" w:hAnsi="楷体" w:eastAsia="楷体" w:cs="楷体"/>
                <w:color w:val="000000"/>
                <w:sz w:val="21"/>
                <w:szCs w:val="21"/>
                <w:highlight w:val="none"/>
              </w:rPr>
              <w:t>1.在</w:t>
            </w:r>
            <w:r>
              <w:rPr>
                <w:rFonts w:hint="eastAsia" w:ascii="楷体" w:hAnsi="楷体" w:eastAsia="楷体" w:cs="楷体"/>
                <w:color w:val="000000"/>
                <w:sz w:val="21"/>
                <w:szCs w:val="21"/>
                <w:highlight w:val="none"/>
                <w:lang w:eastAsia="zh-CN"/>
              </w:rPr>
              <w:t>批次抽检工作完成后</w:t>
            </w:r>
            <w:r>
              <w:rPr>
                <w:rFonts w:hint="eastAsia" w:ascii="楷体" w:hAnsi="楷体" w:eastAsia="楷体" w:cs="楷体"/>
                <w:color w:val="000000"/>
                <w:sz w:val="21"/>
                <w:szCs w:val="21"/>
                <w:highlight w:val="none"/>
              </w:rPr>
              <w:t>，服务商应对实施的效果等进行准确而全面的</w:t>
            </w:r>
            <w:r>
              <w:rPr>
                <w:rFonts w:hint="eastAsia" w:ascii="楷体" w:hAnsi="楷体" w:eastAsia="楷体" w:cs="楷体"/>
                <w:color w:val="000000"/>
                <w:sz w:val="21"/>
                <w:szCs w:val="21"/>
                <w:highlight w:val="none"/>
                <w:lang w:eastAsia="zh-CN"/>
              </w:rPr>
              <w:t>总结评估</w:t>
            </w:r>
            <w:r>
              <w:rPr>
                <w:rFonts w:hint="eastAsia" w:ascii="楷体" w:hAnsi="楷体" w:eastAsia="楷体" w:cs="楷体"/>
                <w:color w:val="000000"/>
                <w:sz w:val="21"/>
                <w:szCs w:val="21"/>
                <w:highlight w:val="none"/>
              </w:rPr>
              <w:t>，并出具</w:t>
            </w:r>
            <w:r>
              <w:rPr>
                <w:rFonts w:hint="eastAsia" w:ascii="楷体" w:hAnsi="楷体" w:eastAsia="楷体" w:cs="楷体"/>
                <w:color w:val="000000"/>
                <w:sz w:val="21"/>
                <w:szCs w:val="21"/>
                <w:highlight w:val="none"/>
                <w:lang w:eastAsia="zh-CN"/>
              </w:rPr>
              <w:t>抽检</w:t>
            </w:r>
            <w:r>
              <w:rPr>
                <w:rFonts w:hint="eastAsia" w:ascii="楷体" w:hAnsi="楷体" w:eastAsia="楷体" w:cs="楷体"/>
                <w:color w:val="000000"/>
                <w:sz w:val="21"/>
                <w:szCs w:val="21"/>
                <w:highlight w:val="none"/>
              </w:rPr>
              <w:t>报告。</w:t>
            </w:r>
          </w:p>
          <w:p w14:paraId="0A332311">
            <w:pPr>
              <w:pStyle w:val="23"/>
              <w:spacing w:after="0" w:line="520" w:lineRule="exact"/>
              <w:ind w:firstLine="420" w:firstLineChars="200"/>
              <w:jc w:val="both"/>
              <w:rPr>
                <w:rFonts w:hint="eastAsia" w:ascii="楷体" w:hAnsi="楷体" w:eastAsia="楷体" w:cs="楷体"/>
                <w:color w:val="000000"/>
                <w:sz w:val="21"/>
                <w:szCs w:val="21"/>
                <w:highlight w:val="none"/>
              </w:rPr>
            </w:pPr>
            <w:r>
              <w:rPr>
                <w:rFonts w:hint="eastAsia" w:ascii="楷体" w:hAnsi="楷体" w:eastAsia="楷体" w:cs="楷体"/>
                <w:color w:val="000000"/>
                <w:sz w:val="21"/>
                <w:szCs w:val="21"/>
                <w:highlight w:val="none"/>
              </w:rPr>
              <w:t>2.采购人应按照政府采购合同约定的服务内容与标准组织对服务商服务内容进行验收。验收内容包含</w:t>
            </w:r>
            <w:r>
              <w:rPr>
                <w:rFonts w:hint="eastAsia" w:ascii="楷体" w:hAnsi="楷体" w:eastAsia="楷体" w:cs="楷体"/>
                <w:color w:val="000000"/>
                <w:sz w:val="21"/>
                <w:szCs w:val="21"/>
                <w:highlight w:val="none"/>
                <w:lang w:eastAsia="zh-CN"/>
              </w:rPr>
              <w:t>人员投入</w:t>
            </w:r>
            <w:r>
              <w:rPr>
                <w:rFonts w:hint="eastAsia" w:ascii="楷体" w:hAnsi="楷体" w:eastAsia="楷体" w:cs="楷体"/>
                <w:color w:val="000000"/>
                <w:sz w:val="21"/>
                <w:szCs w:val="21"/>
                <w:highlight w:val="none"/>
              </w:rPr>
              <w:t>情况、</w:t>
            </w:r>
            <w:r>
              <w:rPr>
                <w:rFonts w:hint="eastAsia" w:ascii="楷体" w:hAnsi="楷体" w:eastAsia="楷体" w:cs="楷体"/>
                <w:color w:val="000000"/>
                <w:sz w:val="21"/>
                <w:szCs w:val="21"/>
                <w:highlight w:val="none"/>
                <w:lang w:eastAsia="zh-CN"/>
              </w:rPr>
              <w:t>实际抽检批次数量、抽检效果</w:t>
            </w:r>
            <w:r>
              <w:rPr>
                <w:rFonts w:hint="eastAsia" w:ascii="楷体" w:hAnsi="楷体" w:eastAsia="楷体" w:cs="楷体"/>
                <w:color w:val="000000"/>
                <w:sz w:val="21"/>
                <w:szCs w:val="21"/>
                <w:highlight w:val="none"/>
              </w:rPr>
              <w:t>以及其他服务内容的履约完成情况。</w:t>
            </w:r>
          </w:p>
          <w:p w14:paraId="3B4AF914">
            <w:pPr>
              <w:pStyle w:val="23"/>
              <w:spacing w:after="0" w:line="520" w:lineRule="exact"/>
              <w:ind w:firstLine="420" w:firstLineChars="200"/>
              <w:jc w:val="both"/>
              <w:rPr>
                <w:rFonts w:hint="eastAsia" w:ascii="楷体" w:hAnsi="楷体" w:eastAsia="楷体" w:cs="楷体"/>
                <w:color w:val="000000"/>
                <w:sz w:val="21"/>
                <w:szCs w:val="21"/>
                <w:highlight w:val="none"/>
              </w:rPr>
            </w:pPr>
            <w:r>
              <w:rPr>
                <w:rFonts w:hint="eastAsia" w:ascii="楷体" w:hAnsi="楷体" w:eastAsia="楷体" w:cs="楷体"/>
                <w:color w:val="000000"/>
                <w:sz w:val="21"/>
                <w:szCs w:val="21"/>
                <w:highlight w:val="none"/>
              </w:rPr>
              <w:t>3.服务商应向采购人提交项目实施过程中的所有资料，主动配合采购方完成验收工作程序。</w:t>
            </w:r>
          </w:p>
          <w:p w14:paraId="43886434">
            <w:pPr>
              <w:pStyle w:val="23"/>
              <w:spacing w:after="0" w:line="520" w:lineRule="exact"/>
              <w:ind w:firstLine="420" w:firstLineChars="200"/>
              <w:jc w:val="both"/>
              <w:rPr>
                <w:rFonts w:hint="eastAsia" w:ascii="楷体" w:hAnsi="楷体" w:eastAsia="楷体" w:cs="楷体"/>
                <w:color w:val="000000"/>
                <w:sz w:val="21"/>
                <w:szCs w:val="21"/>
                <w:highlight w:val="none"/>
              </w:rPr>
            </w:pPr>
            <w:r>
              <w:rPr>
                <w:rFonts w:hint="eastAsia" w:ascii="楷体" w:hAnsi="楷体" w:eastAsia="楷体" w:cs="楷体"/>
                <w:color w:val="000000"/>
                <w:sz w:val="21"/>
                <w:szCs w:val="21"/>
                <w:highlight w:val="none"/>
              </w:rPr>
              <w:t>4.验收合格后，填写政府采购项目验收单（一式伍份）。</w:t>
            </w:r>
          </w:p>
          <w:p w14:paraId="17286EA0">
            <w:pPr>
              <w:pStyle w:val="23"/>
              <w:spacing w:after="0" w:line="520" w:lineRule="exact"/>
              <w:ind w:firstLine="420" w:firstLineChars="200"/>
              <w:jc w:val="both"/>
              <w:rPr>
                <w:rFonts w:hint="eastAsia" w:ascii="楷体" w:hAnsi="楷体" w:eastAsia="楷体" w:cs="楷体"/>
                <w:color w:val="000000"/>
                <w:sz w:val="21"/>
                <w:szCs w:val="21"/>
                <w:highlight w:val="none"/>
              </w:rPr>
            </w:pPr>
            <w:r>
              <w:rPr>
                <w:rFonts w:hint="eastAsia" w:ascii="楷体" w:hAnsi="楷体" w:eastAsia="楷体" w:cs="楷体"/>
                <w:color w:val="000000"/>
                <w:sz w:val="21"/>
                <w:szCs w:val="21"/>
                <w:highlight w:val="none"/>
              </w:rPr>
              <w:t>（</w:t>
            </w:r>
            <w:r>
              <w:rPr>
                <w:rFonts w:hint="eastAsia" w:ascii="楷体" w:hAnsi="楷体" w:eastAsia="楷体" w:cs="楷体"/>
                <w:color w:val="000000"/>
                <w:sz w:val="21"/>
                <w:szCs w:val="21"/>
                <w:highlight w:val="none"/>
                <w:lang w:val="en-US" w:eastAsia="zh-CN"/>
              </w:rPr>
              <w:t>二</w:t>
            </w:r>
            <w:r>
              <w:rPr>
                <w:rFonts w:hint="eastAsia" w:ascii="楷体" w:hAnsi="楷体" w:eastAsia="楷体" w:cs="楷体"/>
                <w:color w:val="000000"/>
                <w:sz w:val="21"/>
                <w:szCs w:val="21"/>
                <w:highlight w:val="none"/>
              </w:rPr>
              <w:t>）违约责任</w:t>
            </w:r>
          </w:p>
          <w:p w14:paraId="1A82252E">
            <w:pPr>
              <w:pStyle w:val="23"/>
              <w:spacing w:after="0" w:line="520" w:lineRule="exact"/>
              <w:ind w:firstLine="420" w:firstLineChars="200"/>
              <w:jc w:val="both"/>
              <w:rPr>
                <w:rFonts w:hint="eastAsia" w:ascii="楷体" w:hAnsi="楷体" w:eastAsia="楷体" w:cs="楷体"/>
                <w:color w:val="000000"/>
                <w:sz w:val="21"/>
                <w:szCs w:val="21"/>
                <w:highlight w:val="none"/>
              </w:rPr>
            </w:pPr>
            <w:r>
              <w:rPr>
                <w:rFonts w:hint="eastAsia" w:ascii="楷体" w:hAnsi="楷体" w:eastAsia="楷体" w:cs="楷体"/>
                <w:color w:val="000000"/>
                <w:sz w:val="21"/>
                <w:szCs w:val="21"/>
                <w:highlight w:val="none"/>
              </w:rPr>
              <w:t>1.按《中华人民共和国民法典》中的相关条款执行。</w:t>
            </w:r>
          </w:p>
          <w:p w14:paraId="33A0209C">
            <w:pPr>
              <w:pStyle w:val="23"/>
              <w:spacing w:after="0" w:line="520" w:lineRule="exact"/>
              <w:ind w:firstLine="420" w:firstLineChars="200"/>
              <w:jc w:val="both"/>
              <w:rPr>
                <w:rFonts w:hint="eastAsia" w:ascii="楷体" w:hAnsi="楷体" w:eastAsia="楷体" w:cs="楷体"/>
                <w:color w:val="000000"/>
                <w:sz w:val="21"/>
                <w:szCs w:val="21"/>
                <w:highlight w:val="none"/>
              </w:rPr>
            </w:pPr>
            <w:r>
              <w:rPr>
                <w:rFonts w:hint="eastAsia" w:ascii="楷体" w:hAnsi="楷体" w:eastAsia="楷体" w:cs="楷体"/>
                <w:color w:val="000000"/>
                <w:sz w:val="21"/>
                <w:szCs w:val="21"/>
                <w:highlight w:val="none"/>
              </w:rPr>
              <w:t>2.未按合同要求提供服务或服务质量不能满足服务要求和标准，采购方有权终止合同，并对供方违约行为进行追究，同时按《中华人民共和国政府采购法》的有关规定进行处罚。</w:t>
            </w:r>
          </w:p>
          <w:p w14:paraId="1908EE1D">
            <w:pPr>
              <w:pStyle w:val="23"/>
              <w:spacing w:after="0" w:line="520" w:lineRule="exact"/>
              <w:ind w:firstLine="420" w:firstLineChars="200"/>
              <w:jc w:val="both"/>
              <w:rPr>
                <w:rFonts w:hint="eastAsia" w:ascii="楷体" w:hAnsi="楷体" w:eastAsia="楷体" w:cs="楷体"/>
                <w:color w:val="000000"/>
                <w:sz w:val="21"/>
                <w:szCs w:val="21"/>
                <w:highlight w:val="none"/>
              </w:rPr>
            </w:pPr>
            <w:r>
              <w:rPr>
                <w:rFonts w:hint="eastAsia" w:ascii="楷体" w:hAnsi="楷体" w:eastAsia="楷体" w:cs="楷体"/>
                <w:color w:val="000000"/>
                <w:sz w:val="21"/>
                <w:szCs w:val="21"/>
                <w:highlight w:val="none"/>
              </w:rPr>
              <w:t>3.服务商如未按合同约定</w:t>
            </w:r>
            <w:r>
              <w:rPr>
                <w:rFonts w:hint="eastAsia" w:ascii="楷体" w:hAnsi="楷体" w:eastAsia="楷体" w:cs="楷体"/>
                <w:color w:val="000000"/>
                <w:sz w:val="21"/>
                <w:szCs w:val="21"/>
                <w:highlight w:val="none"/>
                <w:lang w:eastAsia="zh-CN"/>
              </w:rPr>
              <w:t>及采购方要求</w:t>
            </w:r>
            <w:r>
              <w:rPr>
                <w:rFonts w:hint="eastAsia" w:ascii="楷体" w:hAnsi="楷体" w:eastAsia="楷体" w:cs="楷体"/>
                <w:color w:val="000000"/>
                <w:sz w:val="21"/>
                <w:szCs w:val="21"/>
                <w:highlight w:val="none"/>
              </w:rPr>
              <w:t>的时间</w:t>
            </w:r>
            <w:r>
              <w:rPr>
                <w:rFonts w:hint="eastAsia" w:ascii="楷体" w:hAnsi="楷体" w:eastAsia="楷体" w:cs="楷体"/>
                <w:color w:val="000000"/>
                <w:sz w:val="21"/>
                <w:szCs w:val="21"/>
                <w:highlight w:val="none"/>
                <w:lang w:eastAsia="zh-CN"/>
              </w:rPr>
              <w:t>进行监督抽查</w:t>
            </w:r>
            <w:r>
              <w:rPr>
                <w:rFonts w:hint="eastAsia" w:ascii="楷体" w:hAnsi="楷体" w:eastAsia="楷体" w:cs="楷体"/>
                <w:color w:val="000000"/>
                <w:sz w:val="21"/>
                <w:szCs w:val="21"/>
                <w:highlight w:val="none"/>
              </w:rPr>
              <w:t>，每逾期一天应承担合同总价款千分之五的违约金，逾期超过七天，采购方可单方解除本合同，并要求服务商承担合同总价款 5 %的违约金，给采购方造成损失的，还应承担赔偿责任。</w:t>
            </w:r>
          </w:p>
          <w:p w14:paraId="7289A5CD">
            <w:pPr>
              <w:pStyle w:val="23"/>
              <w:spacing w:after="0" w:line="520" w:lineRule="exact"/>
              <w:ind w:firstLine="420" w:firstLineChars="200"/>
              <w:jc w:val="both"/>
              <w:rPr>
                <w:rFonts w:hint="eastAsia" w:ascii="楷体" w:hAnsi="楷体" w:eastAsia="楷体" w:cs="楷体"/>
                <w:color w:val="000000"/>
                <w:sz w:val="21"/>
                <w:szCs w:val="21"/>
                <w:highlight w:val="none"/>
              </w:rPr>
            </w:pPr>
            <w:r>
              <w:rPr>
                <w:rFonts w:hint="eastAsia" w:ascii="楷体" w:hAnsi="楷体" w:eastAsia="楷体" w:cs="楷体"/>
                <w:color w:val="000000"/>
                <w:sz w:val="21"/>
                <w:szCs w:val="21"/>
                <w:highlight w:val="none"/>
              </w:rPr>
              <w:t>（</w:t>
            </w:r>
            <w:r>
              <w:rPr>
                <w:rFonts w:hint="eastAsia" w:ascii="楷体" w:hAnsi="楷体" w:eastAsia="楷体" w:cs="楷体"/>
                <w:color w:val="000000"/>
                <w:sz w:val="21"/>
                <w:szCs w:val="21"/>
                <w:highlight w:val="none"/>
                <w:lang w:val="en-US" w:eastAsia="zh-CN"/>
              </w:rPr>
              <w:t>三</w:t>
            </w:r>
            <w:r>
              <w:rPr>
                <w:rFonts w:hint="eastAsia" w:ascii="楷体" w:hAnsi="楷体" w:eastAsia="楷体" w:cs="楷体"/>
                <w:color w:val="000000"/>
                <w:sz w:val="21"/>
                <w:szCs w:val="21"/>
                <w:highlight w:val="none"/>
              </w:rPr>
              <w:t>）采购方的权利及责任</w:t>
            </w:r>
          </w:p>
          <w:p w14:paraId="1E732EC0">
            <w:pPr>
              <w:pStyle w:val="23"/>
              <w:spacing w:after="0" w:line="520" w:lineRule="exact"/>
              <w:ind w:firstLine="420" w:firstLineChars="200"/>
              <w:jc w:val="both"/>
              <w:rPr>
                <w:rFonts w:hint="eastAsia" w:ascii="楷体" w:hAnsi="楷体" w:eastAsia="楷体" w:cs="楷体"/>
                <w:color w:val="000000"/>
                <w:sz w:val="21"/>
                <w:szCs w:val="21"/>
                <w:highlight w:val="none"/>
              </w:rPr>
            </w:pPr>
            <w:r>
              <w:rPr>
                <w:rFonts w:hint="eastAsia" w:ascii="楷体" w:hAnsi="楷体" w:eastAsia="楷体" w:cs="楷体"/>
                <w:color w:val="000000"/>
                <w:sz w:val="21"/>
                <w:szCs w:val="21"/>
                <w:highlight w:val="none"/>
              </w:rPr>
              <w:t>采购方协助服务商负责相关</w:t>
            </w:r>
            <w:r>
              <w:rPr>
                <w:rFonts w:hint="eastAsia" w:ascii="楷体" w:hAnsi="楷体" w:eastAsia="楷体" w:cs="楷体"/>
                <w:color w:val="000000"/>
                <w:sz w:val="21"/>
                <w:szCs w:val="21"/>
                <w:highlight w:val="none"/>
                <w:lang w:eastAsia="zh-CN"/>
              </w:rPr>
              <w:t>组织协调</w:t>
            </w:r>
            <w:r>
              <w:rPr>
                <w:rFonts w:hint="eastAsia" w:ascii="楷体" w:hAnsi="楷体" w:eastAsia="楷体" w:cs="楷体"/>
                <w:color w:val="000000"/>
                <w:sz w:val="21"/>
                <w:szCs w:val="21"/>
                <w:highlight w:val="none"/>
              </w:rPr>
              <w:t>工作。所有</w:t>
            </w:r>
            <w:r>
              <w:rPr>
                <w:rFonts w:hint="eastAsia" w:ascii="楷体" w:hAnsi="楷体" w:eastAsia="楷体" w:cs="楷体"/>
                <w:color w:val="000000"/>
                <w:sz w:val="21"/>
                <w:szCs w:val="21"/>
                <w:highlight w:val="none"/>
                <w:lang w:eastAsia="zh-CN"/>
              </w:rPr>
              <w:t>监督抽查工作</w:t>
            </w:r>
            <w:r>
              <w:rPr>
                <w:rFonts w:hint="eastAsia" w:ascii="楷体" w:hAnsi="楷体" w:eastAsia="楷体" w:cs="楷体"/>
                <w:color w:val="000000"/>
                <w:sz w:val="21"/>
                <w:szCs w:val="21"/>
                <w:highlight w:val="none"/>
              </w:rPr>
              <w:t>必须严格遵守国家</w:t>
            </w:r>
            <w:r>
              <w:rPr>
                <w:rFonts w:hint="eastAsia" w:ascii="楷体" w:hAnsi="楷体" w:eastAsia="楷体" w:cs="楷体"/>
                <w:color w:val="000000"/>
                <w:sz w:val="21"/>
                <w:szCs w:val="21"/>
                <w:highlight w:val="none"/>
                <w:lang w:eastAsia="zh-CN"/>
              </w:rPr>
              <w:t>及省级</w:t>
            </w:r>
            <w:r>
              <w:rPr>
                <w:rFonts w:hint="eastAsia" w:ascii="楷体" w:hAnsi="楷体" w:eastAsia="楷体" w:cs="楷体"/>
                <w:color w:val="000000"/>
                <w:sz w:val="21"/>
                <w:szCs w:val="21"/>
                <w:highlight w:val="none"/>
              </w:rPr>
              <w:t>法律法规及相关管理规定。</w:t>
            </w:r>
          </w:p>
          <w:p w14:paraId="443E907E">
            <w:pPr>
              <w:pStyle w:val="23"/>
              <w:spacing w:after="0" w:line="520" w:lineRule="exact"/>
              <w:ind w:firstLine="420" w:firstLineChars="200"/>
              <w:jc w:val="both"/>
              <w:rPr>
                <w:rFonts w:hint="eastAsia" w:ascii="楷体" w:hAnsi="楷体" w:eastAsia="楷体" w:cs="楷体"/>
                <w:color w:val="000000"/>
                <w:sz w:val="21"/>
                <w:szCs w:val="21"/>
                <w:highlight w:val="none"/>
              </w:rPr>
            </w:pPr>
            <w:r>
              <w:rPr>
                <w:rFonts w:hint="eastAsia" w:ascii="楷体" w:hAnsi="楷体" w:eastAsia="楷体" w:cs="楷体"/>
                <w:color w:val="000000"/>
                <w:sz w:val="21"/>
                <w:szCs w:val="21"/>
                <w:highlight w:val="none"/>
              </w:rPr>
              <w:t>（</w:t>
            </w:r>
            <w:r>
              <w:rPr>
                <w:rFonts w:hint="eastAsia" w:ascii="楷体" w:hAnsi="楷体" w:eastAsia="楷体" w:cs="楷体"/>
                <w:color w:val="000000"/>
                <w:sz w:val="21"/>
                <w:szCs w:val="21"/>
                <w:highlight w:val="none"/>
                <w:lang w:val="en-US" w:eastAsia="zh-CN"/>
              </w:rPr>
              <w:t>四</w:t>
            </w:r>
            <w:r>
              <w:rPr>
                <w:rFonts w:hint="eastAsia" w:ascii="楷体" w:hAnsi="楷体" w:eastAsia="楷体" w:cs="楷体"/>
                <w:color w:val="000000"/>
                <w:sz w:val="21"/>
                <w:szCs w:val="21"/>
                <w:highlight w:val="none"/>
              </w:rPr>
              <w:t>）服务商的权利及责任</w:t>
            </w:r>
          </w:p>
          <w:p w14:paraId="4AF51A4B">
            <w:pPr>
              <w:pStyle w:val="23"/>
              <w:spacing w:after="0" w:line="520" w:lineRule="exact"/>
              <w:ind w:firstLine="420" w:firstLineChars="200"/>
              <w:jc w:val="both"/>
              <w:rPr>
                <w:rFonts w:hint="eastAsia" w:ascii="楷体" w:hAnsi="楷体" w:eastAsia="楷体" w:cs="楷体"/>
                <w:color w:val="000000"/>
                <w:sz w:val="21"/>
                <w:szCs w:val="21"/>
                <w:highlight w:val="none"/>
              </w:rPr>
            </w:pPr>
            <w:r>
              <w:rPr>
                <w:rFonts w:hint="eastAsia" w:ascii="楷体" w:hAnsi="楷体" w:eastAsia="楷体" w:cs="楷体"/>
                <w:color w:val="000000"/>
                <w:sz w:val="21"/>
                <w:szCs w:val="21"/>
                <w:highlight w:val="none"/>
              </w:rPr>
              <w:t>服务商按照采购方要求，负责</w:t>
            </w:r>
            <w:r>
              <w:rPr>
                <w:rFonts w:hint="eastAsia" w:ascii="楷体" w:hAnsi="楷体" w:eastAsia="楷体" w:cs="楷体"/>
                <w:color w:val="000000"/>
                <w:sz w:val="21"/>
                <w:szCs w:val="21"/>
                <w:highlight w:val="none"/>
                <w:lang w:eastAsia="zh-CN"/>
              </w:rPr>
              <w:t>监督抽查具体实施</w:t>
            </w:r>
            <w:r>
              <w:rPr>
                <w:rFonts w:hint="eastAsia" w:ascii="楷体" w:hAnsi="楷体" w:eastAsia="楷体" w:cs="楷体"/>
                <w:color w:val="000000"/>
                <w:sz w:val="21"/>
                <w:szCs w:val="21"/>
                <w:highlight w:val="none"/>
              </w:rPr>
              <w:t>工作。</w:t>
            </w:r>
          </w:p>
          <w:p w14:paraId="5292E1AA">
            <w:pPr>
              <w:pStyle w:val="23"/>
              <w:spacing w:after="0" w:line="520" w:lineRule="exact"/>
              <w:ind w:firstLine="420" w:firstLineChars="200"/>
              <w:jc w:val="both"/>
              <w:rPr>
                <w:rFonts w:hint="eastAsia" w:ascii="楷体" w:hAnsi="楷体" w:eastAsia="楷体" w:cs="楷体"/>
                <w:color w:val="000000"/>
                <w:sz w:val="21"/>
                <w:szCs w:val="21"/>
                <w:highlight w:val="none"/>
              </w:rPr>
            </w:pPr>
            <w:r>
              <w:rPr>
                <w:rFonts w:hint="eastAsia" w:ascii="楷体" w:hAnsi="楷体" w:eastAsia="楷体" w:cs="楷体"/>
                <w:color w:val="000000"/>
                <w:sz w:val="21"/>
                <w:szCs w:val="21"/>
                <w:highlight w:val="none"/>
              </w:rPr>
              <w:t>（</w:t>
            </w:r>
            <w:r>
              <w:rPr>
                <w:rFonts w:hint="eastAsia" w:ascii="楷体" w:hAnsi="楷体" w:eastAsia="楷体" w:cs="楷体"/>
                <w:color w:val="000000"/>
                <w:sz w:val="21"/>
                <w:szCs w:val="21"/>
                <w:highlight w:val="none"/>
                <w:lang w:val="en-US" w:eastAsia="zh-CN"/>
              </w:rPr>
              <w:t>五</w:t>
            </w:r>
            <w:r>
              <w:rPr>
                <w:rFonts w:hint="eastAsia" w:ascii="楷体" w:hAnsi="楷体" w:eastAsia="楷体" w:cs="楷体"/>
                <w:color w:val="000000"/>
                <w:sz w:val="21"/>
                <w:szCs w:val="21"/>
                <w:highlight w:val="none"/>
              </w:rPr>
              <w:t>）保密约定</w:t>
            </w:r>
          </w:p>
          <w:p w14:paraId="6E044FCC">
            <w:pPr>
              <w:pStyle w:val="23"/>
              <w:spacing w:line="520" w:lineRule="exact"/>
              <w:ind w:firstLine="420" w:firstLineChars="200"/>
              <w:rPr>
                <w:rFonts w:hint="eastAsia" w:ascii="楷体" w:hAnsi="楷体" w:eastAsia="楷体" w:cs="楷体"/>
                <w:color w:val="000000"/>
                <w:sz w:val="21"/>
                <w:szCs w:val="21"/>
                <w:highlight w:val="none"/>
              </w:rPr>
            </w:pPr>
            <w:r>
              <w:rPr>
                <w:rFonts w:hint="eastAsia" w:ascii="楷体" w:hAnsi="楷体" w:eastAsia="楷体" w:cs="楷体"/>
                <w:color w:val="000000"/>
                <w:sz w:val="21"/>
                <w:szCs w:val="21"/>
                <w:highlight w:val="none"/>
              </w:rPr>
              <w:t>1.服务商应对</w:t>
            </w:r>
            <w:r>
              <w:rPr>
                <w:rFonts w:hint="eastAsia" w:ascii="楷体" w:hAnsi="楷体" w:eastAsia="楷体" w:cs="楷体"/>
                <w:color w:val="000000"/>
                <w:sz w:val="21"/>
                <w:szCs w:val="21"/>
                <w:highlight w:val="none"/>
                <w:lang w:eastAsia="zh-CN"/>
              </w:rPr>
              <w:t>监督抽查对象</w:t>
            </w:r>
            <w:r>
              <w:rPr>
                <w:rFonts w:hint="eastAsia" w:ascii="楷体" w:hAnsi="楷体" w:eastAsia="楷体" w:cs="楷体"/>
                <w:color w:val="000000"/>
                <w:sz w:val="21"/>
                <w:szCs w:val="21"/>
                <w:highlight w:val="none"/>
              </w:rPr>
              <w:t>的信息资料或其他文件或信息的内容保守秘密，未经采购方书面事先同意，不得向任何第三方披露。</w:t>
            </w:r>
          </w:p>
          <w:p w14:paraId="116390F0">
            <w:pPr>
              <w:pStyle w:val="23"/>
              <w:spacing w:line="520" w:lineRule="exact"/>
              <w:ind w:firstLine="420" w:firstLineChars="200"/>
              <w:rPr>
                <w:rFonts w:hint="eastAsia" w:ascii="楷体" w:hAnsi="楷体" w:eastAsia="楷体" w:cs="楷体"/>
                <w:color w:val="000000"/>
                <w:sz w:val="21"/>
                <w:szCs w:val="21"/>
                <w:highlight w:val="none"/>
              </w:rPr>
            </w:pPr>
            <w:r>
              <w:rPr>
                <w:rFonts w:hint="eastAsia" w:ascii="楷体" w:hAnsi="楷体" w:eastAsia="楷体" w:cs="楷体"/>
                <w:color w:val="000000"/>
                <w:sz w:val="21"/>
                <w:szCs w:val="21"/>
                <w:highlight w:val="none"/>
              </w:rPr>
              <w:t>2.除非得到采购方的书面许可，服务商不得将服务内容及服务过程中获得的</w:t>
            </w:r>
            <w:r>
              <w:rPr>
                <w:rFonts w:hint="eastAsia" w:ascii="楷体" w:hAnsi="楷体" w:eastAsia="楷体" w:cs="楷体"/>
                <w:color w:val="000000"/>
                <w:sz w:val="21"/>
                <w:szCs w:val="21"/>
                <w:highlight w:val="none"/>
                <w:lang w:eastAsia="zh-CN"/>
              </w:rPr>
              <w:t>监督抽查对象</w:t>
            </w:r>
            <w:r>
              <w:rPr>
                <w:rFonts w:hint="eastAsia" w:ascii="楷体" w:hAnsi="楷体" w:eastAsia="楷体" w:cs="楷体"/>
                <w:color w:val="000000"/>
                <w:sz w:val="21"/>
                <w:szCs w:val="21"/>
                <w:highlight w:val="none"/>
              </w:rPr>
              <w:t>相关资料向任何第三方泄露。</w:t>
            </w:r>
          </w:p>
          <w:p w14:paraId="13ABA79F">
            <w:pPr>
              <w:pStyle w:val="23"/>
              <w:spacing w:after="0" w:line="520" w:lineRule="exact"/>
              <w:ind w:firstLine="420" w:firstLineChars="200"/>
              <w:jc w:val="both"/>
              <w:rPr>
                <w:rFonts w:hint="eastAsia" w:ascii="楷体" w:hAnsi="楷体" w:eastAsia="楷体" w:cs="楷体"/>
                <w:color w:val="000000"/>
                <w:sz w:val="21"/>
                <w:szCs w:val="21"/>
                <w:highlight w:val="none"/>
              </w:rPr>
            </w:pPr>
            <w:r>
              <w:rPr>
                <w:rFonts w:hint="eastAsia" w:ascii="楷体" w:hAnsi="楷体" w:eastAsia="楷体" w:cs="楷体"/>
                <w:color w:val="000000"/>
                <w:sz w:val="21"/>
                <w:szCs w:val="21"/>
                <w:highlight w:val="none"/>
              </w:rPr>
              <w:t>3.本保密义务应在服务期满、解除或终止后仍然有效。</w:t>
            </w:r>
          </w:p>
          <w:p w14:paraId="66BE2B75">
            <w:pPr>
              <w:pStyle w:val="23"/>
              <w:spacing w:after="0" w:line="520" w:lineRule="exact"/>
              <w:ind w:firstLine="420" w:firstLineChars="200"/>
              <w:jc w:val="both"/>
              <w:rPr>
                <w:rFonts w:hint="eastAsia" w:ascii="楷体" w:hAnsi="楷体" w:eastAsia="楷体" w:cs="楷体"/>
                <w:color w:val="000000"/>
                <w:sz w:val="21"/>
                <w:szCs w:val="21"/>
                <w:highlight w:val="none"/>
              </w:rPr>
            </w:pPr>
            <w:r>
              <w:rPr>
                <w:rFonts w:hint="eastAsia" w:ascii="楷体" w:hAnsi="楷体" w:eastAsia="楷体" w:cs="楷体"/>
                <w:color w:val="000000"/>
                <w:sz w:val="21"/>
                <w:szCs w:val="21"/>
                <w:highlight w:val="none"/>
              </w:rPr>
              <w:t>（</w:t>
            </w:r>
            <w:r>
              <w:rPr>
                <w:rFonts w:hint="eastAsia" w:ascii="楷体" w:hAnsi="楷体" w:eastAsia="楷体" w:cs="楷体"/>
                <w:color w:val="000000"/>
                <w:sz w:val="21"/>
                <w:szCs w:val="21"/>
                <w:highlight w:val="none"/>
                <w:lang w:val="en-US" w:eastAsia="zh-CN"/>
              </w:rPr>
              <w:t>六</w:t>
            </w:r>
            <w:r>
              <w:rPr>
                <w:rFonts w:hint="eastAsia" w:ascii="楷体" w:hAnsi="楷体" w:eastAsia="楷体" w:cs="楷体"/>
                <w:color w:val="000000"/>
                <w:sz w:val="21"/>
                <w:szCs w:val="21"/>
                <w:highlight w:val="none"/>
              </w:rPr>
              <w:t>）合同的解除</w:t>
            </w:r>
          </w:p>
          <w:p w14:paraId="1F47C4F4">
            <w:pPr>
              <w:pStyle w:val="23"/>
              <w:spacing w:after="0" w:line="520" w:lineRule="exact"/>
              <w:ind w:firstLine="420" w:firstLineChars="200"/>
              <w:jc w:val="both"/>
              <w:rPr>
                <w:rFonts w:hint="eastAsia" w:ascii="楷体" w:hAnsi="楷体" w:eastAsia="楷体" w:cs="楷体"/>
                <w:color w:val="000000"/>
                <w:sz w:val="21"/>
                <w:szCs w:val="21"/>
                <w:highlight w:val="none"/>
              </w:rPr>
            </w:pPr>
            <w:r>
              <w:rPr>
                <w:rFonts w:hint="eastAsia" w:ascii="楷体" w:hAnsi="楷体" w:eastAsia="楷体" w:cs="楷体"/>
                <w:color w:val="000000"/>
                <w:sz w:val="21"/>
                <w:szCs w:val="21"/>
                <w:highlight w:val="none"/>
              </w:rPr>
              <w:t>1.有下述情形之一，当事人可发出书面通知全部或部分地解除合同，合同自通知到达对方时全部或部分地解除：</w:t>
            </w:r>
          </w:p>
          <w:p w14:paraId="05A3C5A4">
            <w:pPr>
              <w:pStyle w:val="23"/>
              <w:spacing w:after="0" w:line="520" w:lineRule="exact"/>
              <w:ind w:firstLine="420" w:firstLineChars="200"/>
              <w:jc w:val="both"/>
              <w:rPr>
                <w:rFonts w:hint="eastAsia" w:ascii="楷体" w:hAnsi="楷体" w:eastAsia="楷体" w:cs="楷体"/>
                <w:color w:val="000000"/>
                <w:sz w:val="21"/>
                <w:szCs w:val="21"/>
                <w:highlight w:val="none"/>
              </w:rPr>
            </w:pPr>
            <w:r>
              <w:rPr>
                <w:rFonts w:hint="eastAsia" w:ascii="楷体" w:hAnsi="楷体" w:eastAsia="楷体" w:cs="楷体"/>
                <w:color w:val="000000"/>
                <w:sz w:val="21"/>
                <w:szCs w:val="21"/>
                <w:highlight w:val="none"/>
              </w:rPr>
              <w:t>（1）服务商延迟完成项目超过 30 天；</w:t>
            </w:r>
          </w:p>
          <w:p w14:paraId="13CD7147">
            <w:pPr>
              <w:pStyle w:val="23"/>
              <w:spacing w:after="0" w:line="520" w:lineRule="exact"/>
              <w:ind w:firstLine="420" w:firstLineChars="200"/>
              <w:jc w:val="both"/>
              <w:rPr>
                <w:rFonts w:hint="eastAsia" w:ascii="楷体" w:hAnsi="楷体" w:eastAsia="楷体" w:cs="楷体"/>
                <w:color w:val="000000"/>
                <w:sz w:val="21"/>
                <w:szCs w:val="21"/>
                <w:highlight w:val="none"/>
              </w:rPr>
            </w:pPr>
            <w:r>
              <w:rPr>
                <w:rFonts w:hint="eastAsia" w:ascii="楷体" w:hAnsi="楷体" w:eastAsia="楷体" w:cs="楷体"/>
                <w:color w:val="000000"/>
                <w:sz w:val="21"/>
                <w:szCs w:val="21"/>
                <w:highlight w:val="none"/>
              </w:rPr>
              <w:t>（2）服务商提供的服务内容不符合招标文件规定或不合格的或本项目不能通过验收的；</w:t>
            </w:r>
          </w:p>
          <w:p w14:paraId="58DC182A">
            <w:pPr>
              <w:pStyle w:val="23"/>
              <w:spacing w:after="0" w:line="520" w:lineRule="exact"/>
              <w:ind w:firstLine="420" w:firstLineChars="200"/>
              <w:jc w:val="both"/>
              <w:rPr>
                <w:rFonts w:hint="eastAsia" w:ascii="楷体" w:hAnsi="楷体" w:eastAsia="楷体" w:cs="楷体"/>
                <w:color w:val="000000"/>
                <w:sz w:val="21"/>
                <w:szCs w:val="21"/>
                <w:highlight w:val="none"/>
              </w:rPr>
            </w:pPr>
            <w:r>
              <w:rPr>
                <w:rFonts w:hint="eastAsia" w:ascii="楷体" w:hAnsi="楷体" w:eastAsia="楷体" w:cs="楷体"/>
                <w:color w:val="000000"/>
                <w:sz w:val="21"/>
                <w:szCs w:val="21"/>
                <w:highlight w:val="none"/>
              </w:rPr>
              <w:t>（3）采购方延迟付款超过 60 天；</w:t>
            </w:r>
          </w:p>
          <w:p w14:paraId="6ED26AC1">
            <w:pPr>
              <w:pStyle w:val="23"/>
              <w:spacing w:after="0" w:line="520" w:lineRule="exact"/>
              <w:ind w:firstLine="420" w:firstLineChars="200"/>
              <w:jc w:val="both"/>
              <w:rPr>
                <w:rFonts w:hint="eastAsia" w:ascii="楷体" w:hAnsi="楷体" w:eastAsia="楷体" w:cs="楷体"/>
                <w:color w:val="000000"/>
                <w:sz w:val="21"/>
                <w:szCs w:val="21"/>
                <w:highlight w:val="none"/>
              </w:rPr>
            </w:pPr>
            <w:r>
              <w:rPr>
                <w:rFonts w:hint="eastAsia" w:ascii="楷体" w:hAnsi="楷体" w:eastAsia="楷体" w:cs="楷体"/>
                <w:color w:val="000000"/>
                <w:sz w:val="21"/>
                <w:szCs w:val="21"/>
                <w:highlight w:val="none"/>
              </w:rPr>
              <w:t>（4）任何一方当事人未能履行合同项下任何其它义务（细微义务除外），或在未事先征得另一方当事人同意的情况下，从事任何可能在实质上不利影响其履行合同能力的活动，经另一方当事人书面通知后 15 日内未能对其行为作出补救；</w:t>
            </w:r>
          </w:p>
          <w:p w14:paraId="64671164">
            <w:pPr>
              <w:pStyle w:val="23"/>
              <w:spacing w:after="0" w:line="520" w:lineRule="exact"/>
              <w:ind w:firstLine="420" w:firstLineChars="200"/>
              <w:jc w:val="both"/>
              <w:rPr>
                <w:rFonts w:hint="eastAsia" w:ascii="楷体" w:hAnsi="楷体" w:eastAsia="楷体" w:cs="楷体"/>
                <w:color w:val="000000"/>
                <w:sz w:val="21"/>
                <w:szCs w:val="21"/>
                <w:highlight w:val="none"/>
              </w:rPr>
            </w:pPr>
            <w:r>
              <w:rPr>
                <w:rFonts w:hint="eastAsia" w:ascii="楷体" w:hAnsi="楷体" w:eastAsia="楷体" w:cs="楷体"/>
                <w:color w:val="000000"/>
                <w:sz w:val="21"/>
                <w:szCs w:val="21"/>
                <w:highlight w:val="none"/>
              </w:rPr>
              <w:t>（5）任何一方当事人出现破产、清算、资不抵债、成为失信被执行人等可能丧失履约能力的情形。</w:t>
            </w:r>
          </w:p>
          <w:p w14:paraId="017B8690">
            <w:pPr>
              <w:pStyle w:val="23"/>
              <w:spacing w:after="0" w:line="520" w:lineRule="exact"/>
              <w:ind w:firstLine="420" w:firstLineChars="200"/>
              <w:jc w:val="both"/>
              <w:rPr>
                <w:rFonts w:hint="eastAsia" w:ascii="楷体" w:hAnsi="楷体" w:eastAsia="楷体" w:cs="楷体"/>
                <w:color w:val="000000"/>
                <w:sz w:val="21"/>
                <w:szCs w:val="21"/>
                <w:highlight w:val="none"/>
              </w:rPr>
            </w:pPr>
            <w:r>
              <w:rPr>
                <w:rFonts w:hint="eastAsia" w:ascii="楷体" w:hAnsi="楷体" w:eastAsia="楷体" w:cs="楷体"/>
                <w:color w:val="000000"/>
                <w:sz w:val="21"/>
                <w:szCs w:val="21"/>
                <w:highlight w:val="none"/>
              </w:rPr>
              <w:t>2.在服务商违约的情况下，采购方报告政府采购管理部门后，有权终止合同，并依法向服务商进行索赔实际损失(包括但不限于维权所支出的律师费、诉讼费、交通费等)。</w:t>
            </w:r>
          </w:p>
          <w:p w14:paraId="350800C2">
            <w:pPr>
              <w:pStyle w:val="23"/>
              <w:spacing w:after="0" w:line="520" w:lineRule="exact"/>
              <w:ind w:firstLine="420" w:firstLineChars="200"/>
              <w:jc w:val="both"/>
              <w:rPr>
                <w:rFonts w:hint="eastAsia" w:ascii="楷体" w:hAnsi="楷体" w:eastAsia="楷体" w:cs="楷体"/>
                <w:color w:val="000000"/>
                <w:sz w:val="21"/>
                <w:szCs w:val="21"/>
                <w:highlight w:val="none"/>
              </w:rPr>
            </w:pPr>
            <w:r>
              <w:rPr>
                <w:rFonts w:hint="eastAsia" w:ascii="楷体" w:hAnsi="楷体" w:eastAsia="楷体" w:cs="楷体"/>
                <w:color w:val="000000"/>
                <w:sz w:val="21"/>
                <w:szCs w:val="21"/>
                <w:highlight w:val="none"/>
              </w:rPr>
              <w:t>（</w:t>
            </w:r>
            <w:r>
              <w:rPr>
                <w:rFonts w:hint="eastAsia" w:ascii="楷体" w:hAnsi="楷体" w:eastAsia="楷体" w:cs="楷体"/>
                <w:color w:val="000000"/>
                <w:sz w:val="21"/>
                <w:szCs w:val="21"/>
                <w:highlight w:val="none"/>
                <w:lang w:val="en-US" w:eastAsia="zh-CN"/>
              </w:rPr>
              <w:t>七</w:t>
            </w:r>
            <w:r>
              <w:rPr>
                <w:rFonts w:hint="eastAsia" w:ascii="楷体" w:hAnsi="楷体" w:eastAsia="楷体" w:cs="楷体"/>
                <w:color w:val="000000"/>
                <w:sz w:val="21"/>
                <w:szCs w:val="21"/>
                <w:highlight w:val="none"/>
              </w:rPr>
              <w:t>）不可抗力</w:t>
            </w:r>
          </w:p>
          <w:p w14:paraId="5FE48ABF">
            <w:pPr>
              <w:pStyle w:val="23"/>
              <w:spacing w:after="0" w:line="520" w:lineRule="exact"/>
              <w:ind w:firstLine="420" w:firstLineChars="200"/>
              <w:jc w:val="both"/>
              <w:rPr>
                <w:rFonts w:hint="eastAsia" w:ascii="楷体" w:hAnsi="楷体" w:eastAsia="楷体" w:cs="楷体"/>
                <w:color w:val="000000"/>
                <w:sz w:val="21"/>
                <w:szCs w:val="21"/>
                <w:highlight w:val="none"/>
              </w:rPr>
            </w:pPr>
            <w:r>
              <w:rPr>
                <w:rFonts w:hint="eastAsia" w:ascii="楷体" w:hAnsi="楷体" w:eastAsia="楷体" w:cs="楷体"/>
                <w:color w:val="000000"/>
                <w:sz w:val="21"/>
                <w:szCs w:val="21"/>
                <w:highlight w:val="none"/>
              </w:rPr>
              <w:t>1.如果任何一方当事人受到不能预见、不能避免且不能克服的不可抗力事件的影响，例如战争、严重的火灾、台风、地震、洪水等情形，而无法履行合同项下的任何义务，则受影响的一方当事人应立即将此类事件的发生通知另一方当事人，并应在不可抗力事件发生后 20 日内将有关当局或机构出具的证明文件提交给另一方当事人。</w:t>
            </w:r>
          </w:p>
          <w:p w14:paraId="603FD5FD">
            <w:pPr>
              <w:pStyle w:val="23"/>
              <w:spacing w:after="0" w:line="520" w:lineRule="exact"/>
              <w:ind w:firstLine="420" w:firstLineChars="200"/>
              <w:jc w:val="both"/>
              <w:rPr>
                <w:rFonts w:hint="eastAsia" w:ascii="楷体" w:hAnsi="楷体" w:eastAsia="楷体" w:cs="楷体"/>
                <w:color w:val="000000"/>
                <w:sz w:val="21"/>
                <w:szCs w:val="21"/>
                <w:highlight w:val="none"/>
              </w:rPr>
            </w:pPr>
            <w:r>
              <w:rPr>
                <w:rFonts w:hint="eastAsia" w:ascii="楷体" w:hAnsi="楷体" w:eastAsia="楷体" w:cs="楷体"/>
                <w:color w:val="000000"/>
                <w:sz w:val="21"/>
                <w:szCs w:val="21"/>
                <w:highlight w:val="none"/>
              </w:rPr>
              <w:t>2.受不可抗力事件影响的一方当事人对于不可抗力事件导致的任何合同义务的延迟履行或不能履行不承担违约责任。但该方当事人应尽快将不可抗力事件结束或消除的情况通知另一方当事人。</w:t>
            </w:r>
          </w:p>
          <w:p w14:paraId="0621371E">
            <w:pPr>
              <w:pStyle w:val="24"/>
              <w:keepNext/>
              <w:keepLines/>
              <w:pBdr>
                <w:bottom w:val="single" w:color="auto" w:sz="4" w:space="0"/>
              </w:pBdr>
              <w:spacing w:after="156" w:afterLines="50" w:line="622" w:lineRule="exact"/>
              <w:ind w:left="0" w:leftChars="0" w:firstLine="0" w:firstLineChars="0"/>
              <w:jc w:val="both"/>
              <w:rPr>
                <w:rFonts w:hint="eastAsia" w:ascii="楷体" w:hAnsi="楷体" w:eastAsia="楷体" w:cs="楷体"/>
                <w:highlight w:val="none"/>
                <w:lang w:val="en-US" w:eastAsia="zh-CN"/>
              </w:rPr>
            </w:pPr>
            <w:r>
              <w:rPr>
                <w:rFonts w:hint="eastAsia" w:ascii="楷体" w:hAnsi="楷体" w:eastAsia="楷体" w:cs="楷体"/>
                <w:color w:val="000000"/>
                <w:sz w:val="21"/>
                <w:szCs w:val="21"/>
                <w:highlight w:val="none"/>
              </w:rPr>
              <w:t>3.双方当事人应在不可抗力事件结束或其影响消除后立即继续履行其合同义务，合同期限也应相应顺延。如果不可抗力事件的影响持续超过 90 日，则任何一方当事人均有权以书面通知解除合同</w:t>
            </w:r>
            <w:r>
              <w:rPr>
                <w:rFonts w:hint="eastAsia" w:ascii="楷体" w:hAnsi="楷体" w:eastAsia="楷体" w:cs="楷体"/>
                <w:color w:val="000000"/>
                <w:sz w:val="21"/>
                <w:szCs w:val="21"/>
                <w:highlight w:val="none"/>
                <w:lang w:eastAsia="zh-CN"/>
              </w:rPr>
              <w:t>。</w:t>
            </w:r>
            <w:bookmarkEnd w:id="120"/>
          </w:p>
        </w:tc>
      </w:tr>
    </w:tbl>
    <w:p w14:paraId="47E32D4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both"/>
        <w:textAlignment w:val="auto"/>
        <w:outlineLvl w:val="0"/>
        <w:rPr>
          <w:rFonts w:hint="eastAsia" w:ascii="楷体" w:hAnsi="楷体" w:eastAsia="楷体" w:cs="楷体"/>
          <w:b/>
          <w:color w:val="auto"/>
          <w:sz w:val="28"/>
          <w:szCs w:val="28"/>
          <w:highlight w:val="none"/>
          <w:lang w:val="en-US" w:eastAsia="zh-CN"/>
        </w:rPr>
      </w:pPr>
    </w:p>
    <w:p w14:paraId="5E1A648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both"/>
        <w:textAlignment w:val="auto"/>
        <w:outlineLvl w:val="0"/>
        <w:rPr>
          <w:rFonts w:hint="eastAsia" w:ascii="楷体" w:hAnsi="楷体" w:eastAsia="楷体" w:cs="楷体"/>
          <w:b/>
          <w:color w:val="auto"/>
          <w:sz w:val="28"/>
          <w:szCs w:val="28"/>
          <w:highlight w:val="none"/>
          <w:lang w:val="en-US" w:eastAsia="zh-CN"/>
        </w:rPr>
      </w:pPr>
    </w:p>
    <w:p w14:paraId="2E51A50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both"/>
        <w:textAlignment w:val="auto"/>
        <w:outlineLvl w:val="0"/>
        <w:rPr>
          <w:rFonts w:hint="eastAsia" w:ascii="楷体" w:hAnsi="楷体" w:eastAsia="楷体" w:cs="楷体"/>
          <w:b/>
          <w:color w:val="auto"/>
          <w:sz w:val="28"/>
          <w:szCs w:val="28"/>
          <w:highlight w:val="none"/>
          <w:lang w:val="en-US" w:eastAsia="zh-CN"/>
        </w:rPr>
      </w:pPr>
    </w:p>
    <w:p w14:paraId="4F76D9A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both"/>
        <w:textAlignment w:val="auto"/>
        <w:outlineLvl w:val="0"/>
        <w:rPr>
          <w:rFonts w:hint="eastAsia" w:ascii="楷体" w:hAnsi="楷体" w:eastAsia="楷体" w:cs="楷体"/>
          <w:b/>
          <w:color w:val="auto"/>
          <w:sz w:val="28"/>
          <w:szCs w:val="28"/>
          <w:highlight w:val="none"/>
          <w:lang w:val="en-US" w:eastAsia="zh-CN"/>
        </w:rPr>
      </w:pPr>
    </w:p>
    <w:p w14:paraId="63C996E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both"/>
        <w:textAlignment w:val="auto"/>
        <w:outlineLvl w:val="0"/>
        <w:rPr>
          <w:rFonts w:hint="eastAsia" w:ascii="楷体" w:hAnsi="楷体" w:eastAsia="楷体" w:cs="楷体"/>
          <w:b/>
          <w:color w:val="auto"/>
          <w:sz w:val="28"/>
          <w:szCs w:val="28"/>
          <w:highlight w:val="none"/>
          <w:lang w:val="en-US" w:eastAsia="zh-CN"/>
        </w:rPr>
      </w:pPr>
    </w:p>
    <w:p w14:paraId="4F16AAD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both"/>
        <w:textAlignment w:val="auto"/>
        <w:outlineLvl w:val="0"/>
        <w:rPr>
          <w:rFonts w:hint="eastAsia" w:ascii="楷体" w:hAnsi="楷体" w:eastAsia="楷体" w:cs="楷体"/>
          <w:b/>
          <w:color w:val="auto"/>
          <w:sz w:val="28"/>
          <w:szCs w:val="28"/>
          <w:highlight w:val="none"/>
          <w:lang w:val="en-US" w:eastAsia="zh-CN"/>
        </w:rPr>
      </w:pPr>
    </w:p>
    <w:p w14:paraId="007665D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both"/>
        <w:textAlignment w:val="auto"/>
        <w:outlineLvl w:val="0"/>
        <w:rPr>
          <w:rFonts w:hint="eastAsia" w:ascii="楷体" w:hAnsi="楷体" w:eastAsia="楷体" w:cs="楷体"/>
          <w:b/>
          <w:color w:val="auto"/>
          <w:sz w:val="28"/>
          <w:szCs w:val="28"/>
          <w:highlight w:val="none"/>
          <w:lang w:val="en-US" w:eastAsia="zh-CN"/>
        </w:rPr>
      </w:pPr>
    </w:p>
    <w:p w14:paraId="3F28D62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both"/>
        <w:textAlignment w:val="auto"/>
        <w:outlineLvl w:val="0"/>
        <w:rPr>
          <w:rFonts w:hint="eastAsia" w:ascii="楷体" w:hAnsi="楷体" w:eastAsia="楷体" w:cs="楷体"/>
          <w:b/>
          <w:color w:val="auto"/>
          <w:sz w:val="28"/>
          <w:szCs w:val="28"/>
          <w:highlight w:val="none"/>
          <w:lang w:val="en-US" w:eastAsia="zh-CN"/>
        </w:rPr>
      </w:pPr>
    </w:p>
    <w:p w14:paraId="0FB4B92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both"/>
        <w:textAlignment w:val="auto"/>
        <w:outlineLvl w:val="0"/>
        <w:rPr>
          <w:rFonts w:hint="eastAsia" w:ascii="楷体" w:hAnsi="楷体" w:eastAsia="楷体" w:cs="楷体"/>
          <w:b/>
          <w:color w:val="auto"/>
          <w:sz w:val="28"/>
          <w:szCs w:val="28"/>
          <w:highlight w:val="none"/>
          <w:lang w:val="en-US" w:eastAsia="zh-CN"/>
        </w:rPr>
      </w:pPr>
      <w:r>
        <w:rPr>
          <w:rFonts w:hint="eastAsia" w:ascii="楷体" w:hAnsi="楷体" w:eastAsia="楷体" w:cs="楷体"/>
          <w:b/>
          <w:color w:val="auto"/>
          <w:sz w:val="28"/>
          <w:szCs w:val="28"/>
          <w:highlight w:val="none"/>
          <w:lang w:val="en-US" w:eastAsia="zh-CN"/>
        </w:rPr>
        <w:t>采购包3：</w:t>
      </w:r>
    </w:p>
    <w:p w14:paraId="5D73AA2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left"/>
        <w:textAlignment w:val="auto"/>
        <w:outlineLvl w:val="0"/>
        <w:rPr>
          <w:rFonts w:hint="eastAsia" w:ascii="楷体" w:hAnsi="楷体" w:eastAsia="楷体" w:cs="楷体"/>
          <w:b/>
          <w:color w:val="auto"/>
          <w:sz w:val="28"/>
          <w:szCs w:val="28"/>
          <w:highlight w:val="none"/>
          <w:lang w:val="en-US" w:eastAsia="zh-CN"/>
        </w:rPr>
      </w:pPr>
    </w:p>
    <w:tbl>
      <w:tblPr>
        <w:tblStyle w:val="17"/>
        <w:tblW w:w="851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631"/>
        <w:gridCol w:w="585"/>
        <w:gridCol w:w="7303"/>
      </w:tblGrid>
      <w:tr w14:paraId="729BA62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631" w:type="dxa"/>
            <w:vAlign w:val="center"/>
          </w:tcPr>
          <w:p w14:paraId="4BB3215C">
            <w:pPr>
              <w:pStyle w:val="22"/>
              <w:pageBreakBefore w:val="0"/>
              <w:kinsoku/>
              <w:wordWrap/>
              <w:overflowPunct/>
              <w:topLinePunct w:val="0"/>
              <w:autoSpaceDE/>
              <w:autoSpaceDN/>
              <w:bidi w:val="0"/>
              <w:adjustRightInd/>
              <w:snapToGrid/>
              <w:spacing w:line="360" w:lineRule="auto"/>
              <w:jc w:val="center"/>
              <w:textAlignment w:val="auto"/>
              <w:rPr>
                <w:rFonts w:hint="eastAsia" w:ascii="楷体" w:hAnsi="楷体" w:eastAsia="楷体" w:cs="楷体"/>
                <w:sz w:val="18"/>
                <w:szCs w:val="18"/>
                <w:highlight w:val="none"/>
              </w:rPr>
            </w:pPr>
            <w:r>
              <w:rPr>
                <w:rFonts w:hint="eastAsia" w:ascii="楷体" w:hAnsi="楷体" w:eastAsia="楷体" w:cs="楷体"/>
                <w:sz w:val="18"/>
                <w:szCs w:val="18"/>
                <w:highlight w:val="none"/>
              </w:rPr>
              <w:t>参数</w:t>
            </w:r>
          </w:p>
          <w:p w14:paraId="2292AEE5">
            <w:pPr>
              <w:pStyle w:val="22"/>
              <w:pageBreakBefore w:val="0"/>
              <w:kinsoku/>
              <w:wordWrap/>
              <w:overflowPunct/>
              <w:topLinePunct w:val="0"/>
              <w:autoSpaceDE/>
              <w:autoSpaceDN/>
              <w:bidi w:val="0"/>
              <w:adjustRightInd/>
              <w:snapToGrid/>
              <w:spacing w:line="360" w:lineRule="auto"/>
              <w:jc w:val="center"/>
              <w:textAlignment w:val="auto"/>
              <w:rPr>
                <w:rFonts w:hint="eastAsia" w:ascii="楷体" w:hAnsi="楷体" w:eastAsia="楷体" w:cs="楷体"/>
                <w:sz w:val="18"/>
                <w:szCs w:val="18"/>
                <w:highlight w:val="none"/>
              </w:rPr>
            </w:pPr>
            <w:r>
              <w:rPr>
                <w:rFonts w:hint="eastAsia" w:ascii="楷体" w:hAnsi="楷体" w:eastAsia="楷体" w:cs="楷体"/>
                <w:sz w:val="18"/>
                <w:szCs w:val="18"/>
                <w:highlight w:val="none"/>
              </w:rPr>
              <w:t>性质</w:t>
            </w:r>
          </w:p>
        </w:tc>
        <w:tc>
          <w:tcPr>
            <w:tcW w:w="585" w:type="dxa"/>
            <w:vAlign w:val="center"/>
          </w:tcPr>
          <w:p w14:paraId="7ACFA6A0">
            <w:pPr>
              <w:pStyle w:val="22"/>
              <w:pageBreakBefore w:val="0"/>
              <w:kinsoku/>
              <w:wordWrap/>
              <w:overflowPunct/>
              <w:topLinePunct w:val="0"/>
              <w:autoSpaceDE/>
              <w:autoSpaceDN/>
              <w:bidi w:val="0"/>
              <w:adjustRightInd/>
              <w:snapToGrid/>
              <w:spacing w:line="360" w:lineRule="auto"/>
              <w:jc w:val="center"/>
              <w:textAlignment w:val="auto"/>
              <w:rPr>
                <w:rFonts w:hint="eastAsia" w:ascii="楷体" w:hAnsi="楷体" w:eastAsia="楷体" w:cs="楷体"/>
                <w:sz w:val="18"/>
                <w:szCs w:val="18"/>
                <w:highlight w:val="none"/>
              </w:rPr>
            </w:pPr>
            <w:r>
              <w:rPr>
                <w:rFonts w:hint="eastAsia" w:ascii="楷体" w:hAnsi="楷体" w:eastAsia="楷体" w:cs="楷体"/>
                <w:sz w:val="18"/>
                <w:szCs w:val="18"/>
                <w:highlight w:val="none"/>
              </w:rPr>
              <w:t>序号</w:t>
            </w:r>
          </w:p>
        </w:tc>
        <w:tc>
          <w:tcPr>
            <w:tcW w:w="7303" w:type="dxa"/>
            <w:vAlign w:val="center"/>
          </w:tcPr>
          <w:p w14:paraId="14BC3C51">
            <w:pPr>
              <w:pStyle w:val="22"/>
              <w:pageBreakBefore w:val="0"/>
              <w:kinsoku/>
              <w:wordWrap/>
              <w:overflowPunct/>
              <w:topLinePunct w:val="0"/>
              <w:autoSpaceDE/>
              <w:autoSpaceDN/>
              <w:bidi w:val="0"/>
              <w:adjustRightInd/>
              <w:snapToGrid/>
              <w:spacing w:line="360" w:lineRule="auto"/>
              <w:jc w:val="center"/>
              <w:textAlignment w:val="auto"/>
              <w:rPr>
                <w:rFonts w:hint="eastAsia" w:ascii="楷体" w:hAnsi="楷体" w:eastAsia="楷体" w:cs="楷体"/>
                <w:sz w:val="18"/>
                <w:szCs w:val="18"/>
                <w:highlight w:val="none"/>
              </w:rPr>
            </w:pPr>
            <w:r>
              <w:rPr>
                <w:rFonts w:hint="eastAsia" w:ascii="楷体" w:hAnsi="楷体" w:eastAsia="楷体" w:cs="楷体"/>
                <w:sz w:val="18"/>
                <w:szCs w:val="18"/>
                <w:highlight w:val="none"/>
              </w:rPr>
              <w:t>技术参数与性能指标</w:t>
            </w:r>
          </w:p>
        </w:tc>
      </w:tr>
      <w:tr w14:paraId="3723B3E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631" w:type="dxa"/>
          </w:tcPr>
          <w:p w14:paraId="3AD8E7D9">
            <w:pPr>
              <w:pageBreakBefore w:val="0"/>
              <w:kinsoku/>
              <w:wordWrap/>
              <w:overflowPunct/>
              <w:topLinePunct w:val="0"/>
              <w:autoSpaceDE/>
              <w:autoSpaceDN/>
              <w:bidi w:val="0"/>
              <w:adjustRightInd/>
              <w:snapToGrid/>
              <w:spacing w:line="360" w:lineRule="auto"/>
              <w:textAlignment w:val="auto"/>
              <w:rPr>
                <w:rFonts w:hint="eastAsia" w:ascii="楷体" w:hAnsi="楷体" w:eastAsia="楷体" w:cs="楷体"/>
                <w:sz w:val="21"/>
                <w:szCs w:val="21"/>
                <w:highlight w:val="none"/>
              </w:rPr>
            </w:pPr>
          </w:p>
        </w:tc>
        <w:tc>
          <w:tcPr>
            <w:tcW w:w="585" w:type="dxa"/>
          </w:tcPr>
          <w:p w14:paraId="65CED08E">
            <w:pPr>
              <w:pStyle w:val="22"/>
              <w:pageBreakBefore w:val="0"/>
              <w:kinsoku/>
              <w:wordWrap/>
              <w:overflowPunct/>
              <w:topLinePunct w:val="0"/>
              <w:autoSpaceDE/>
              <w:autoSpaceDN/>
              <w:bidi w:val="0"/>
              <w:adjustRightInd/>
              <w:snapToGrid/>
              <w:spacing w:line="360" w:lineRule="auto"/>
              <w:textAlignment w:val="auto"/>
              <w:rPr>
                <w:rFonts w:hint="eastAsia" w:ascii="楷体" w:hAnsi="楷体" w:eastAsia="楷体" w:cs="楷体"/>
                <w:sz w:val="21"/>
                <w:szCs w:val="21"/>
                <w:highlight w:val="none"/>
              </w:rPr>
            </w:pPr>
            <w:r>
              <w:rPr>
                <w:rFonts w:hint="eastAsia" w:ascii="楷体" w:hAnsi="楷体" w:eastAsia="楷体" w:cs="楷体"/>
                <w:sz w:val="21"/>
                <w:szCs w:val="21"/>
                <w:highlight w:val="none"/>
              </w:rPr>
              <w:t>1</w:t>
            </w:r>
          </w:p>
        </w:tc>
        <w:tc>
          <w:tcPr>
            <w:tcW w:w="7303" w:type="dxa"/>
          </w:tcPr>
          <w:p w14:paraId="34FFA43C">
            <w:pPr>
              <w:keepNext w:val="0"/>
              <w:keepLines w:val="0"/>
              <w:pageBreakBefore w:val="0"/>
              <w:widowControl w:val="0"/>
              <w:numPr>
                <w:ilvl w:val="0"/>
                <w:numId w:val="9"/>
              </w:numPr>
              <w:kinsoku/>
              <w:wordWrap/>
              <w:overflowPunct/>
              <w:topLinePunct w:val="0"/>
              <w:autoSpaceDE/>
              <w:autoSpaceDN/>
              <w:bidi w:val="0"/>
              <w:adjustRightInd/>
              <w:snapToGrid/>
              <w:spacing w:line="360" w:lineRule="auto"/>
              <w:jc w:val="both"/>
              <w:textAlignment w:val="auto"/>
              <w:rPr>
                <w:rFonts w:hint="eastAsia" w:ascii="楷体" w:hAnsi="楷体" w:eastAsia="楷体" w:cs="楷体"/>
                <w:b/>
                <w:bCs/>
                <w:color w:val="000000" w:themeColor="text1"/>
                <w:sz w:val="21"/>
                <w:szCs w:val="21"/>
                <w:highlight w:val="none"/>
                <w:lang w:val="en-US" w:eastAsia="zh-CN"/>
                <w14:textFill>
                  <w14:solidFill>
                    <w14:schemeClr w14:val="tx1"/>
                  </w14:solidFill>
                </w14:textFill>
              </w:rPr>
            </w:pPr>
            <w:r>
              <w:rPr>
                <w:rFonts w:hint="eastAsia" w:ascii="楷体" w:hAnsi="楷体" w:eastAsia="楷体" w:cs="楷体"/>
                <w:b/>
                <w:bCs/>
                <w:color w:val="000000" w:themeColor="text1"/>
                <w:sz w:val="21"/>
                <w:szCs w:val="21"/>
                <w:highlight w:val="none"/>
                <w:lang w:val="en-US" w:eastAsia="zh-CN"/>
                <w14:textFill>
                  <w14:solidFill>
                    <w14:schemeClr w14:val="tx1"/>
                  </w14:solidFill>
                </w14:textFill>
              </w:rPr>
              <w:t>项目概况</w:t>
            </w:r>
            <w:bookmarkStart w:id="134" w:name="OLE_LINK108"/>
          </w:p>
          <w:p w14:paraId="72C09531">
            <w:pPr>
              <w:pStyle w:val="22"/>
              <w:pageBreakBefore w:val="0"/>
              <w:kinsoku/>
              <w:wordWrap/>
              <w:overflowPunct/>
              <w:topLinePunct w:val="0"/>
              <w:autoSpaceDE/>
              <w:autoSpaceDN/>
              <w:bidi w:val="0"/>
              <w:adjustRightInd/>
              <w:snapToGrid/>
              <w:spacing w:line="360" w:lineRule="auto"/>
              <w:ind w:firstLine="480"/>
              <w:textAlignment w:val="auto"/>
              <w:rPr>
                <w:rFonts w:hint="eastAsia" w:ascii="楷体" w:hAnsi="楷体" w:eastAsia="楷体" w:cs="楷体"/>
                <w:sz w:val="21"/>
                <w:szCs w:val="21"/>
                <w:highlight w:val="none"/>
                <w:lang w:eastAsia="zh-CN"/>
              </w:rPr>
            </w:pPr>
            <w:r>
              <w:rPr>
                <w:rFonts w:hint="eastAsia" w:ascii="楷体" w:hAnsi="楷体" w:eastAsia="楷体" w:cs="楷体"/>
                <w:sz w:val="21"/>
                <w:szCs w:val="21"/>
                <w:highlight w:val="none"/>
                <w:lang w:eastAsia="zh-CN"/>
              </w:rPr>
              <w:t>为规范市场秩序，加强生态环境和安全相关产品质量管控，</w:t>
            </w:r>
            <w:r>
              <w:rPr>
                <w:rFonts w:hint="eastAsia" w:ascii="楷体" w:hAnsi="楷体" w:eastAsia="楷体" w:cs="楷体"/>
                <w:sz w:val="21"/>
                <w:szCs w:val="21"/>
                <w:highlight w:val="none"/>
              </w:rPr>
              <w:t>计划在2025年</w:t>
            </w:r>
            <w:r>
              <w:rPr>
                <w:rFonts w:hint="eastAsia" w:ascii="楷体" w:hAnsi="楷体" w:eastAsia="楷体" w:cs="楷体"/>
                <w:sz w:val="21"/>
                <w:szCs w:val="21"/>
                <w:highlight w:val="none"/>
                <w:lang w:eastAsia="zh-CN"/>
              </w:rPr>
              <w:t>进行生态环境和安全相关产品质量监督抽查。</w:t>
            </w:r>
          </w:p>
          <w:p w14:paraId="50924D5A">
            <w:pPr>
              <w:pStyle w:val="24"/>
              <w:keepNext/>
              <w:keepLines/>
              <w:numPr>
                <w:ilvl w:val="0"/>
                <w:numId w:val="9"/>
              </w:numPr>
              <w:pBdr>
                <w:bottom w:val="single" w:color="auto" w:sz="4" w:space="0"/>
              </w:pBdr>
              <w:spacing w:after="156" w:afterLines="50" w:line="622" w:lineRule="exact"/>
              <w:ind w:left="0" w:leftChars="0" w:firstLine="0" w:firstLineChars="0"/>
              <w:jc w:val="both"/>
              <w:rPr>
                <w:rFonts w:hint="eastAsia" w:ascii="楷体" w:hAnsi="楷体" w:eastAsia="楷体" w:cs="楷体"/>
                <w:color w:val="000000" w:themeColor="text1"/>
                <w:kern w:val="2"/>
                <w:sz w:val="21"/>
                <w:szCs w:val="21"/>
                <w:highlight w:val="none"/>
                <w:lang w:val="en-US" w:eastAsia="zh-CN" w:bidi="ar-SA"/>
                <w14:textFill>
                  <w14:solidFill>
                    <w14:schemeClr w14:val="tx1"/>
                  </w14:solidFill>
                </w14:textFill>
              </w:rPr>
            </w:pPr>
            <w:r>
              <w:rPr>
                <w:rFonts w:hint="eastAsia" w:ascii="楷体" w:hAnsi="楷体" w:eastAsia="楷体" w:cs="楷体"/>
                <w:color w:val="000000" w:themeColor="text1"/>
                <w:kern w:val="2"/>
                <w:sz w:val="21"/>
                <w:szCs w:val="21"/>
                <w:highlight w:val="none"/>
                <w:lang w:val="en-US" w:eastAsia="zh-CN" w:bidi="ar-SA"/>
                <w14:textFill>
                  <w14:solidFill>
                    <w14:schemeClr w14:val="tx1"/>
                  </w14:solidFill>
                </w14:textFill>
              </w:rPr>
              <w:t>服务内容及执行标准</w:t>
            </w:r>
          </w:p>
          <w:tbl>
            <w:tblPr>
              <w:tblStyle w:val="18"/>
              <w:tblpPr w:leftFromText="180" w:rightFromText="180" w:vertAnchor="text" w:horzAnchor="page" w:tblpX="113" w:tblpY="418"/>
              <w:tblOverlap w:val="never"/>
              <w:tblW w:w="707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4"/>
              <w:gridCol w:w="2124"/>
              <w:gridCol w:w="1916"/>
              <w:gridCol w:w="1992"/>
            </w:tblGrid>
            <w:tr w14:paraId="0B221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44" w:type="dxa"/>
                  <w:vAlign w:val="center"/>
                </w:tcPr>
                <w:p w14:paraId="64C1CCBC">
                  <w:pPr>
                    <w:pageBreakBefore w:val="0"/>
                    <w:overflowPunct/>
                    <w:topLinePunct w:val="0"/>
                    <w:bidi w:val="0"/>
                    <w:snapToGrid/>
                    <w:spacing w:line="360" w:lineRule="auto"/>
                    <w:ind w:left="0" w:leftChars="0" w:right="0" w:rightChars="0"/>
                    <w:jc w:val="center"/>
                    <w:rPr>
                      <w:rFonts w:hint="eastAsia" w:ascii="楷体" w:hAnsi="楷体" w:eastAsia="楷体" w:cs="楷体"/>
                      <w:b/>
                      <w:bCs/>
                      <w:color w:val="auto"/>
                      <w:kern w:val="2"/>
                      <w:sz w:val="21"/>
                      <w:szCs w:val="21"/>
                      <w:highlight w:val="none"/>
                      <w:lang w:val="en-US" w:eastAsia="zh-CN" w:bidi="ar-SA"/>
                    </w:rPr>
                  </w:pPr>
                  <w:r>
                    <w:rPr>
                      <w:rFonts w:hint="eastAsia" w:ascii="楷体" w:hAnsi="楷体" w:eastAsia="楷体" w:cs="楷体"/>
                      <w:b/>
                      <w:bCs/>
                      <w:color w:val="auto"/>
                      <w:sz w:val="21"/>
                      <w:szCs w:val="21"/>
                      <w:highlight w:val="none"/>
                      <w:lang w:val="en-US" w:eastAsia="zh-CN"/>
                    </w:rPr>
                    <w:t>包号</w:t>
                  </w:r>
                </w:p>
              </w:tc>
              <w:tc>
                <w:tcPr>
                  <w:tcW w:w="2124" w:type="dxa"/>
                  <w:vAlign w:val="center"/>
                </w:tcPr>
                <w:p w14:paraId="6E568B03">
                  <w:pPr>
                    <w:pageBreakBefore w:val="0"/>
                    <w:overflowPunct/>
                    <w:topLinePunct w:val="0"/>
                    <w:bidi w:val="0"/>
                    <w:snapToGrid/>
                    <w:spacing w:line="360" w:lineRule="auto"/>
                    <w:ind w:left="0" w:leftChars="0" w:right="0" w:rightChars="0"/>
                    <w:jc w:val="center"/>
                    <w:rPr>
                      <w:rFonts w:hint="eastAsia" w:ascii="楷体" w:hAnsi="楷体" w:eastAsia="楷体" w:cs="楷体"/>
                      <w:b/>
                      <w:bCs/>
                      <w:color w:val="auto"/>
                      <w:kern w:val="2"/>
                      <w:sz w:val="21"/>
                      <w:szCs w:val="21"/>
                      <w:highlight w:val="none"/>
                      <w:lang w:val="en-US" w:eastAsia="zh-CN" w:bidi="ar-SA"/>
                    </w:rPr>
                  </w:pPr>
                  <w:r>
                    <w:rPr>
                      <w:rFonts w:hint="eastAsia" w:ascii="楷体" w:hAnsi="楷体" w:eastAsia="楷体" w:cs="楷体"/>
                      <w:b/>
                      <w:bCs/>
                      <w:color w:val="auto"/>
                      <w:sz w:val="21"/>
                      <w:szCs w:val="21"/>
                      <w:highlight w:val="none"/>
                      <w:lang w:val="en-US" w:eastAsia="zh-CN"/>
                    </w:rPr>
                    <w:t>包名称</w:t>
                  </w:r>
                </w:p>
              </w:tc>
              <w:tc>
                <w:tcPr>
                  <w:tcW w:w="1916" w:type="dxa"/>
                  <w:vAlign w:val="center"/>
                </w:tcPr>
                <w:p w14:paraId="51BB97F3">
                  <w:pPr>
                    <w:pageBreakBefore w:val="0"/>
                    <w:overflowPunct/>
                    <w:topLinePunct w:val="0"/>
                    <w:bidi w:val="0"/>
                    <w:snapToGrid/>
                    <w:spacing w:line="360" w:lineRule="auto"/>
                    <w:ind w:left="0" w:right="0" w:rightChars="0"/>
                    <w:jc w:val="center"/>
                    <w:rPr>
                      <w:rFonts w:hint="eastAsia" w:ascii="楷体" w:hAnsi="楷体" w:eastAsia="楷体" w:cs="楷体"/>
                      <w:b/>
                      <w:bCs/>
                      <w:color w:val="auto"/>
                      <w:sz w:val="21"/>
                      <w:szCs w:val="21"/>
                      <w:highlight w:val="none"/>
                      <w:lang w:val="en-US" w:eastAsia="zh-CN"/>
                    </w:rPr>
                  </w:pPr>
                  <w:r>
                    <w:rPr>
                      <w:rFonts w:hint="eastAsia" w:ascii="楷体" w:hAnsi="楷体" w:eastAsia="楷体" w:cs="楷体"/>
                      <w:b/>
                      <w:bCs/>
                      <w:color w:val="auto"/>
                      <w:sz w:val="21"/>
                      <w:szCs w:val="21"/>
                      <w:highlight w:val="none"/>
                      <w:lang w:val="en-US" w:eastAsia="zh-CN"/>
                    </w:rPr>
                    <w:t>包预算</w:t>
                  </w:r>
                </w:p>
                <w:p w14:paraId="2B5693E1">
                  <w:pPr>
                    <w:pageBreakBefore w:val="0"/>
                    <w:overflowPunct/>
                    <w:topLinePunct w:val="0"/>
                    <w:bidi w:val="0"/>
                    <w:snapToGrid/>
                    <w:spacing w:line="360" w:lineRule="auto"/>
                    <w:ind w:left="0" w:leftChars="0" w:right="0" w:rightChars="0"/>
                    <w:jc w:val="center"/>
                    <w:rPr>
                      <w:rFonts w:hint="eastAsia" w:ascii="楷体" w:hAnsi="楷体" w:eastAsia="楷体" w:cs="楷体"/>
                      <w:b/>
                      <w:bCs/>
                      <w:color w:val="auto"/>
                      <w:kern w:val="2"/>
                      <w:sz w:val="21"/>
                      <w:szCs w:val="21"/>
                      <w:highlight w:val="none"/>
                      <w:lang w:val="en-US" w:eastAsia="zh-CN" w:bidi="ar-SA"/>
                    </w:rPr>
                  </w:pPr>
                  <w:r>
                    <w:rPr>
                      <w:rFonts w:hint="eastAsia" w:ascii="楷体" w:hAnsi="楷体" w:eastAsia="楷体" w:cs="楷体"/>
                      <w:b/>
                      <w:bCs/>
                      <w:color w:val="auto"/>
                      <w:sz w:val="21"/>
                      <w:szCs w:val="21"/>
                      <w:highlight w:val="none"/>
                      <w:lang w:val="en-US" w:eastAsia="zh-CN"/>
                    </w:rPr>
                    <w:t>（万元）</w:t>
                  </w:r>
                </w:p>
              </w:tc>
              <w:tc>
                <w:tcPr>
                  <w:tcW w:w="1992" w:type="dxa"/>
                  <w:vAlign w:val="center"/>
                </w:tcPr>
                <w:p w14:paraId="00D1B4A5">
                  <w:pPr>
                    <w:pageBreakBefore w:val="0"/>
                    <w:overflowPunct/>
                    <w:topLinePunct w:val="0"/>
                    <w:bidi w:val="0"/>
                    <w:snapToGrid/>
                    <w:spacing w:line="360" w:lineRule="auto"/>
                    <w:ind w:left="0" w:leftChars="0" w:right="0" w:rightChars="0"/>
                    <w:jc w:val="center"/>
                    <w:rPr>
                      <w:rFonts w:hint="eastAsia" w:ascii="楷体" w:hAnsi="楷体" w:eastAsia="楷体" w:cs="楷体"/>
                      <w:b/>
                      <w:bCs/>
                      <w:color w:val="auto"/>
                      <w:kern w:val="2"/>
                      <w:sz w:val="21"/>
                      <w:szCs w:val="21"/>
                      <w:highlight w:val="none"/>
                      <w:lang w:val="en-US" w:eastAsia="zh-CN" w:bidi="ar-SA"/>
                    </w:rPr>
                  </w:pPr>
                  <w:r>
                    <w:rPr>
                      <w:rFonts w:hint="eastAsia" w:ascii="楷体" w:hAnsi="楷体" w:eastAsia="楷体" w:cs="楷体"/>
                      <w:b/>
                      <w:bCs/>
                      <w:color w:val="auto"/>
                      <w:sz w:val="21"/>
                      <w:szCs w:val="21"/>
                      <w:highlight w:val="none"/>
                      <w:lang w:val="en-US" w:eastAsia="zh-CN"/>
                    </w:rPr>
                    <w:t>备注</w:t>
                  </w:r>
                </w:p>
              </w:tc>
            </w:tr>
            <w:tr w14:paraId="3F6FF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4" w:type="dxa"/>
                  <w:vAlign w:val="top"/>
                </w:tcPr>
                <w:p w14:paraId="61AEE90B">
                  <w:pPr>
                    <w:pStyle w:val="28"/>
                    <w:spacing w:before="208" w:line="193" w:lineRule="auto"/>
                    <w:ind w:left="427" w:leftChars="0"/>
                    <w:rPr>
                      <w:rFonts w:hint="eastAsia" w:ascii="楷体" w:hAnsi="楷体" w:eastAsia="楷体" w:cs="楷体"/>
                      <w:kern w:val="2"/>
                      <w:sz w:val="21"/>
                      <w:szCs w:val="21"/>
                      <w:highlight w:val="none"/>
                      <w:lang w:val="en-US" w:eastAsia="zh-CN" w:bidi="ar-SA"/>
                    </w:rPr>
                  </w:pPr>
                  <w:r>
                    <w:rPr>
                      <w:rFonts w:hint="eastAsia" w:ascii="楷体" w:hAnsi="楷体" w:eastAsia="楷体" w:cs="楷体"/>
                      <w:sz w:val="21"/>
                      <w:szCs w:val="21"/>
                      <w:highlight w:val="none"/>
                      <w:lang w:val="en-US" w:eastAsia="zh-CN"/>
                    </w:rPr>
                    <w:t>三</w:t>
                  </w:r>
                </w:p>
              </w:tc>
              <w:tc>
                <w:tcPr>
                  <w:tcW w:w="2124" w:type="dxa"/>
                  <w:vAlign w:val="top"/>
                </w:tcPr>
                <w:p w14:paraId="541A6215">
                  <w:pPr>
                    <w:pStyle w:val="28"/>
                    <w:spacing w:before="183" w:line="220" w:lineRule="auto"/>
                    <w:ind w:left="324" w:leftChars="0"/>
                    <w:rPr>
                      <w:rFonts w:hint="eastAsia" w:ascii="楷体" w:hAnsi="楷体" w:eastAsia="楷体" w:cs="楷体"/>
                      <w:kern w:val="2"/>
                      <w:sz w:val="21"/>
                      <w:szCs w:val="21"/>
                      <w:highlight w:val="none"/>
                      <w:lang w:val="en-US" w:eastAsia="zh-CN" w:bidi="ar-SA"/>
                    </w:rPr>
                  </w:pPr>
                  <w:r>
                    <w:rPr>
                      <w:rFonts w:hint="eastAsia" w:ascii="楷体" w:hAnsi="楷体" w:eastAsia="楷体" w:cs="楷体"/>
                      <w:b/>
                      <w:bCs/>
                      <w:spacing w:val="-4"/>
                      <w:sz w:val="21"/>
                      <w:szCs w:val="21"/>
                      <w:highlight w:val="none"/>
                      <w:lang w:eastAsia="zh-CN"/>
                    </w:rPr>
                    <w:t>燃气器具</w:t>
                  </w:r>
                </w:p>
              </w:tc>
              <w:tc>
                <w:tcPr>
                  <w:tcW w:w="1916" w:type="dxa"/>
                  <w:vAlign w:val="top"/>
                </w:tcPr>
                <w:p w14:paraId="7AE8B418">
                  <w:pPr>
                    <w:pStyle w:val="28"/>
                    <w:spacing w:before="183" w:line="226" w:lineRule="auto"/>
                    <w:jc w:val="center"/>
                    <w:rPr>
                      <w:rFonts w:hint="eastAsia" w:ascii="楷体" w:hAnsi="楷体" w:eastAsia="楷体" w:cs="楷体"/>
                      <w:kern w:val="2"/>
                      <w:sz w:val="21"/>
                      <w:szCs w:val="21"/>
                      <w:highlight w:val="none"/>
                      <w:lang w:val="en-US" w:eastAsia="zh-CN" w:bidi="ar-SA"/>
                    </w:rPr>
                  </w:pPr>
                  <w:r>
                    <w:rPr>
                      <w:rFonts w:hint="eastAsia" w:ascii="楷体" w:hAnsi="楷体" w:eastAsia="楷体" w:cs="楷体"/>
                      <w:b/>
                      <w:bCs/>
                      <w:spacing w:val="-9"/>
                      <w:sz w:val="21"/>
                      <w:szCs w:val="21"/>
                      <w:highlight w:val="none"/>
                      <w:lang w:eastAsia="zh-CN"/>
                    </w:rPr>
                    <w:t>2</w:t>
                  </w:r>
                  <w:r>
                    <w:rPr>
                      <w:rFonts w:hint="eastAsia" w:ascii="楷体" w:hAnsi="楷体" w:eastAsia="楷体" w:cs="楷体"/>
                      <w:b/>
                      <w:bCs/>
                      <w:spacing w:val="-9"/>
                      <w:sz w:val="21"/>
                      <w:szCs w:val="21"/>
                      <w:highlight w:val="none"/>
                      <w:lang w:val="en-US" w:eastAsia="zh-CN"/>
                    </w:rPr>
                    <w:t>5</w:t>
                  </w:r>
                </w:p>
              </w:tc>
              <w:tc>
                <w:tcPr>
                  <w:tcW w:w="1992" w:type="dxa"/>
                  <w:vAlign w:val="top"/>
                </w:tcPr>
                <w:p w14:paraId="50DBFBA5">
                  <w:pPr>
                    <w:pStyle w:val="28"/>
                    <w:spacing w:before="183" w:line="223" w:lineRule="auto"/>
                    <w:ind w:left="127" w:leftChars="0"/>
                    <w:rPr>
                      <w:rFonts w:hint="eastAsia" w:ascii="楷体" w:hAnsi="楷体" w:eastAsia="楷体" w:cs="楷体"/>
                      <w:kern w:val="2"/>
                      <w:sz w:val="21"/>
                      <w:szCs w:val="21"/>
                      <w:highlight w:val="none"/>
                      <w:lang w:val="en-US" w:eastAsia="zh-CN" w:bidi="ar-SA"/>
                    </w:rPr>
                  </w:pPr>
                </w:p>
              </w:tc>
            </w:tr>
            <w:tr w14:paraId="52B4B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4" w:type="dxa"/>
                  <w:vAlign w:val="top"/>
                </w:tcPr>
                <w:p w14:paraId="34F27BF0">
                  <w:pPr>
                    <w:pStyle w:val="28"/>
                    <w:spacing w:before="116" w:line="313" w:lineRule="auto"/>
                    <w:ind w:left="423" w:leftChars="0" w:right="165" w:rightChars="0" w:hanging="238" w:firstLineChars="0"/>
                    <w:rPr>
                      <w:rFonts w:hint="eastAsia" w:ascii="楷体" w:hAnsi="楷体" w:eastAsia="楷体" w:cs="楷体"/>
                      <w:kern w:val="2"/>
                      <w:sz w:val="21"/>
                      <w:szCs w:val="21"/>
                      <w:highlight w:val="none"/>
                      <w:lang w:val="en-US" w:eastAsia="zh-CN" w:bidi="ar-SA"/>
                    </w:rPr>
                  </w:pPr>
                  <w:r>
                    <w:rPr>
                      <w:rFonts w:hint="eastAsia" w:ascii="楷体" w:hAnsi="楷体" w:eastAsia="楷体" w:cs="楷体"/>
                      <w:spacing w:val="-6"/>
                      <w:sz w:val="21"/>
                      <w:szCs w:val="21"/>
                      <w:highlight w:val="none"/>
                    </w:rPr>
                    <w:t>产品名</w:t>
                  </w:r>
                  <w:r>
                    <w:rPr>
                      <w:rFonts w:hint="eastAsia" w:ascii="楷体" w:hAnsi="楷体" w:eastAsia="楷体" w:cs="楷体"/>
                      <w:sz w:val="21"/>
                      <w:szCs w:val="21"/>
                      <w:highlight w:val="none"/>
                    </w:rPr>
                    <w:t xml:space="preserve"> 称</w:t>
                  </w:r>
                </w:p>
              </w:tc>
              <w:tc>
                <w:tcPr>
                  <w:tcW w:w="2124" w:type="dxa"/>
                  <w:vAlign w:val="top"/>
                </w:tcPr>
                <w:p w14:paraId="744AC990">
                  <w:pPr>
                    <w:spacing w:line="268" w:lineRule="auto"/>
                    <w:rPr>
                      <w:rFonts w:hint="eastAsia" w:ascii="楷体" w:hAnsi="楷体" w:eastAsia="楷体" w:cs="楷体"/>
                      <w:sz w:val="21"/>
                      <w:szCs w:val="21"/>
                      <w:highlight w:val="none"/>
                    </w:rPr>
                  </w:pPr>
                </w:p>
                <w:p w14:paraId="4D653074">
                  <w:pPr>
                    <w:pStyle w:val="28"/>
                    <w:spacing w:before="78" w:line="221" w:lineRule="auto"/>
                    <w:ind w:firstLine="404" w:firstLineChars="200"/>
                    <w:rPr>
                      <w:rFonts w:hint="eastAsia" w:ascii="楷体" w:hAnsi="楷体" w:eastAsia="楷体" w:cs="楷体"/>
                      <w:kern w:val="2"/>
                      <w:sz w:val="21"/>
                      <w:szCs w:val="21"/>
                      <w:highlight w:val="none"/>
                      <w:lang w:val="en-US" w:eastAsia="zh-CN" w:bidi="ar-SA"/>
                    </w:rPr>
                  </w:pPr>
                  <w:r>
                    <w:rPr>
                      <w:rFonts w:hint="eastAsia" w:ascii="楷体" w:hAnsi="楷体" w:eastAsia="楷体" w:cs="楷体"/>
                      <w:spacing w:val="-4"/>
                      <w:sz w:val="21"/>
                      <w:szCs w:val="21"/>
                      <w:highlight w:val="none"/>
                    </w:rPr>
                    <w:t>执行标准</w:t>
                  </w:r>
                </w:p>
              </w:tc>
              <w:tc>
                <w:tcPr>
                  <w:tcW w:w="3908" w:type="dxa"/>
                  <w:gridSpan w:val="2"/>
                  <w:vAlign w:val="top"/>
                </w:tcPr>
                <w:p w14:paraId="0B9D4A3E">
                  <w:pPr>
                    <w:spacing w:line="269" w:lineRule="auto"/>
                    <w:rPr>
                      <w:rFonts w:hint="eastAsia" w:ascii="楷体" w:hAnsi="楷体" w:eastAsia="楷体" w:cs="楷体"/>
                      <w:sz w:val="21"/>
                      <w:szCs w:val="21"/>
                      <w:highlight w:val="none"/>
                    </w:rPr>
                  </w:pPr>
                </w:p>
                <w:p w14:paraId="155CB5C6">
                  <w:pPr>
                    <w:pStyle w:val="28"/>
                    <w:spacing w:before="78" w:line="220" w:lineRule="auto"/>
                    <w:ind w:firstLine="1200" w:firstLineChars="600"/>
                    <w:rPr>
                      <w:rFonts w:hint="eastAsia" w:ascii="楷体" w:hAnsi="楷体" w:eastAsia="楷体" w:cs="楷体"/>
                      <w:kern w:val="2"/>
                      <w:sz w:val="21"/>
                      <w:szCs w:val="21"/>
                      <w:highlight w:val="none"/>
                      <w:lang w:val="en-US" w:eastAsia="zh-CN" w:bidi="ar-SA"/>
                    </w:rPr>
                  </w:pPr>
                  <w:r>
                    <w:rPr>
                      <w:rFonts w:hint="eastAsia" w:ascii="楷体" w:hAnsi="楷体" w:eastAsia="楷体" w:cs="楷体"/>
                      <w:spacing w:val="-5"/>
                      <w:sz w:val="21"/>
                      <w:szCs w:val="21"/>
                      <w:highlight w:val="none"/>
                    </w:rPr>
                    <w:t>检验项目</w:t>
                  </w:r>
                </w:p>
              </w:tc>
            </w:tr>
            <w:tr w14:paraId="618EC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4" w:type="dxa"/>
                  <w:vAlign w:val="center"/>
                </w:tcPr>
                <w:p w14:paraId="0C3F61A9">
                  <w:pPr>
                    <w:pageBreakBefore w:val="0"/>
                    <w:overflowPunct/>
                    <w:topLinePunct w:val="0"/>
                    <w:bidi w:val="0"/>
                    <w:snapToGrid/>
                    <w:spacing w:line="360" w:lineRule="auto"/>
                    <w:ind w:left="0" w:leftChars="0" w:right="0" w:rightChars="0"/>
                    <w:jc w:val="center"/>
                    <w:rPr>
                      <w:rFonts w:hint="eastAsia" w:ascii="楷体" w:hAnsi="楷体" w:eastAsia="楷体" w:cs="楷体"/>
                      <w:bCs/>
                      <w:color w:val="auto"/>
                      <w:kern w:val="2"/>
                      <w:sz w:val="21"/>
                      <w:szCs w:val="21"/>
                      <w:highlight w:val="none"/>
                      <w:lang w:val="en-US" w:eastAsia="zh-CN" w:bidi="ar-SA"/>
                    </w:rPr>
                  </w:pPr>
                  <w:r>
                    <w:rPr>
                      <w:rFonts w:hint="eastAsia" w:ascii="楷体" w:hAnsi="楷体" w:eastAsia="楷体" w:cs="楷体"/>
                      <w:b/>
                      <w:bCs w:val="0"/>
                      <w:sz w:val="21"/>
                      <w:szCs w:val="21"/>
                      <w:highlight w:val="none"/>
                      <w:lang w:val="en-US" w:eastAsia="zh-CN"/>
                    </w:rPr>
                    <w:t>家用燃气快速热水器</w:t>
                  </w:r>
                </w:p>
              </w:tc>
              <w:tc>
                <w:tcPr>
                  <w:tcW w:w="2124" w:type="dxa"/>
                  <w:vAlign w:val="center"/>
                </w:tcPr>
                <w:p w14:paraId="494E9129">
                  <w:pPr>
                    <w:pageBreakBefore w:val="0"/>
                    <w:overflowPunct/>
                    <w:topLinePunct w:val="0"/>
                    <w:bidi w:val="0"/>
                    <w:snapToGrid/>
                    <w:spacing w:line="360" w:lineRule="auto"/>
                    <w:ind w:left="0" w:right="0" w:rightChars="0"/>
                    <w:jc w:val="left"/>
                    <w:rPr>
                      <w:rFonts w:hint="eastAsia" w:ascii="楷体" w:hAnsi="楷体" w:eastAsia="楷体" w:cs="楷体"/>
                      <w:bCs/>
                      <w:sz w:val="21"/>
                      <w:szCs w:val="21"/>
                      <w:highlight w:val="none"/>
                      <w:lang w:val="en-US" w:eastAsia="zh-CN"/>
                    </w:rPr>
                  </w:pPr>
                  <w:bookmarkStart w:id="135" w:name="OLE_LINK30"/>
                  <w:r>
                    <w:rPr>
                      <w:rFonts w:hint="eastAsia" w:ascii="楷体" w:hAnsi="楷体" w:eastAsia="楷体" w:cs="楷体"/>
                      <w:bCs/>
                      <w:sz w:val="21"/>
                      <w:szCs w:val="21"/>
                      <w:highlight w:val="none"/>
                      <w:lang w:val="en-US" w:eastAsia="zh-CN"/>
                    </w:rPr>
                    <w:t>GB 6932</w:t>
                  </w:r>
                  <w:bookmarkEnd w:id="135"/>
                  <w:r>
                    <w:rPr>
                      <w:rFonts w:hint="eastAsia" w:ascii="楷体" w:hAnsi="楷体" w:eastAsia="楷体" w:cs="楷体"/>
                      <w:bCs/>
                      <w:sz w:val="21"/>
                      <w:szCs w:val="21"/>
                      <w:highlight w:val="none"/>
                      <w:lang w:val="en-US" w:eastAsia="zh-CN"/>
                    </w:rPr>
                    <w:t>-2015</w:t>
                  </w:r>
                </w:p>
                <w:p w14:paraId="14C735B6">
                  <w:pPr>
                    <w:pageBreakBefore w:val="0"/>
                    <w:overflowPunct/>
                    <w:topLinePunct w:val="0"/>
                    <w:bidi w:val="0"/>
                    <w:snapToGrid/>
                    <w:spacing w:line="360" w:lineRule="auto"/>
                    <w:ind w:left="0" w:leftChars="0" w:right="0" w:rightChars="0"/>
                    <w:jc w:val="left"/>
                    <w:rPr>
                      <w:rFonts w:hint="eastAsia" w:ascii="楷体" w:hAnsi="楷体" w:eastAsia="楷体" w:cs="楷体"/>
                      <w:bCs/>
                      <w:color w:val="auto"/>
                      <w:kern w:val="2"/>
                      <w:sz w:val="21"/>
                      <w:szCs w:val="21"/>
                      <w:highlight w:val="none"/>
                      <w:lang w:val="en-US" w:eastAsia="zh-CN" w:bidi="ar-SA"/>
                    </w:rPr>
                  </w:pPr>
                  <w:bookmarkStart w:id="136" w:name="OLE_LINK31"/>
                  <w:r>
                    <w:rPr>
                      <w:rFonts w:hint="eastAsia" w:ascii="楷体" w:hAnsi="楷体" w:eastAsia="楷体" w:cs="楷体"/>
                      <w:bCs/>
                      <w:sz w:val="21"/>
                      <w:szCs w:val="21"/>
                      <w:highlight w:val="none"/>
                      <w:lang w:val="en-US" w:eastAsia="zh-CN"/>
                    </w:rPr>
                    <w:t>GB 20665—2015</w:t>
                  </w:r>
                  <w:bookmarkEnd w:id="136"/>
                  <w:r>
                    <w:rPr>
                      <w:rFonts w:hint="eastAsia" w:ascii="楷体" w:hAnsi="楷体" w:eastAsia="楷体" w:cs="楷体"/>
                      <w:color w:val="auto"/>
                      <w:sz w:val="21"/>
                      <w:szCs w:val="21"/>
                      <w:highlight w:val="none"/>
                      <w:lang w:eastAsia="zh-CN"/>
                    </w:rPr>
                    <w:t>等</w:t>
                  </w:r>
                  <w:r>
                    <w:rPr>
                      <w:rFonts w:hint="eastAsia" w:ascii="楷体" w:hAnsi="楷体" w:eastAsia="楷体" w:cs="楷体"/>
                      <w:color w:val="auto"/>
                      <w:sz w:val="21"/>
                      <w:szCs w:val="21"/>
                      <w:highlight w:val="none"/>
                    </w:rPr>
                    <w:t>现行有效的企业标准、团体标准、地方标准及产品明示质量要求</w:t>
                  </w:r>
                </w:p>
              </w:tc>
              <w:tc>
                <w:tcPr>
                  <w:tcW w:w="3908" w:type="dxa"/>
                  <w:gridSpan w:val="2"/>
                  <w:vAlign w:val="center"/>
                </w:tcPr>
                <w:p w14:paraId="4A3E64DB">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rPr>
                      <w:rFonts w:hint="eastAsia" w:ascii="楷体" w:hAnsi="楷体" w:eastAsia="楷体" w:cs="楷体"/>
                      <w:bCs/>
                      <w:color w:val="auto"/>
                      <w:kern w:val="2"/>
                      <w:sz w:val="21"/>
                      <w:szCs w:val="21"/>
                      <w:highlight w:val="none"/>
                      <w:lang w:val="en-US" w:eastAsia="zh-CN" w:bidi="ar-SA"/>
                    </w:rPr>
                  </w:pPr>
                  <w:r>
                    <w:rPr>
                      <w:rFonts w:hint="eastAsia" w:ascii="楷体" w:hAnsi="楷体" w:eastAsia="楷体" w:cs="楷体"/>
                      <w:bCs/>
                      <w:sz w:val="21"/>
                      <w:szCs w:val="21"/>
                      <w:highlight w:val="none"/>
                      <w:lang w:val="en-US" w:eastAsia="zh-CN"/>
                    </w:rPr>
                    <w:t>燃气系统气密性、燃烧工况—无风状态（火焰稳定性、燃烧噪声、熄火噪声、烟气中CO含量）、安全装置（熄火保护装置、烟道堵塞安全装置（强制排气式）、风压过大安全装置（强制排气式）、防干烧安全装置、防止不完全燃烧安全装置（自然排气式））、电气部分（使用交流电源）—电气安全（接地措施、电气强度）、热效率、热水产率</w:t>
                  </w:r>
                </w:p>
              </w:tc>
            </w:tr>
            <w:tr w14:paraId="20FA4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4" w:type="dxa"/>
                  <w:vAlign w:val="center"/>
                </w:tcPr>
                <w:p w14:paraId="3E7CD000">
                  <w:pPr>
                    <w:pageBreakBefore w:val="0"/>
                    <w:overflowPunct/>
                    <w:topLinePunct w:val="0"/>
                    <w:bidi w:val="0"/>
                    <w:snapToGrid/>
                    <w:spacing w:line="360" w:lineRule="auto"/>
                    <w:ind w:left="0" w:leftChars="0" w:right="0" w:rightChars="0"/>
                    <w:jc w:val="center"/>
                    <w:rPr>
                      <w:rFonts w:hint="eastAsia" w:ascii="楷体" w:hAnsi="楷体" w:eastAsia="楷体" w:cs="楷体"/>
                      <w:bCs/>
                      <w:color w:val="auto"/>
                      <w:kern w:val="2"/>
                      <w:sz w:val="21"/>
                      <w:szCs w:val="21"/>
                      <w:highlight w:val="none"/>
                      <w:lang w:val="en-US" w:eastAsia="zh-CN" w:bidi="ar-SA"/>
                    </w:rPr>
                  </w:pPr>
                  <w:r>
                    <w:rPr>
                      <w:rFonts w:hint="eastAsia" w:ascii="楷体" w:hAnsi="楷体" w:eastAsia="楷体" w:cs="楷体"/>
                      <w:b/>
                      <w:bCs w:val="0"/>
                      <w:sz w:val="21"/>
                      <w:szCs w:val="21"/>
                      <w:highlight w:val="none"/>
                      <w:lang w:val="en-US" w:eastAsia="zh-CN"/>
                    </w:rPr>
                    <w:t>家用燃气灶</w:t>
                  </w:r>
                </w:p>
              </w:tc>
              <w:tc>
                <w:tcPr>
                  <w:tcW w:w="2124" w:type="dxa"/>
                  <w:vAlign w:val="center"/>
                </w:tcPr>
                <w:p w14:paraId="3878803C">
                  <w:pPr>
                    <w:pageBreakBefore w:val="0"/>
                    <w:overflowPunct/>
                    <w:topLinePunct w:val="0"/>
                    <w:bidi w:val="0"/>
                    <w:snapToGrid/>
                    <w:spacing w:line="360" w:lineRule="auto"/>
                    <w:ind w:left="0" w:right="0" w:rightChars="0"/>
                    <w:jc w:val="left"/>
                    <w:rPr>
                      <w:rFonts w:hint="eastAsia" w:ascii="楷体" w:hAnsi="楷体" w:eastAsia="楷体" w:cs="楷体"/>
                      <w:bCs/>
                      <w:sz w:val="21"/>
                      <w:szCs w:val="21"/>
                      <w:highlight w:val="none"/>
                      <w:lang w:val="en-US" w:eastAsia="zh-CN"/>
                    </w:rPr>
                  </w:pPr>
                  <w:bookmarkStart w:id="137" w:name="OLE_LINK32"/>
                  <w:r>
                    <w:rPr>
                      <w:rFonts w:hint="eastAsia" w:ascii="楷体" w:hAnsi="楷体" w:eastAsia="楷体" w:cs="楷体"/>
                      <w:bCs/>
                      <w:sz w:val="21"/>
                      <w:szCs w:val="21"/>
                      <w:highlight w:val="none"/>
                      <w:lang w:val="en-US" w:eastAsia="zh-CN"/>
                    </w:rPr>
                    <w:t>GB 16410-2020</w:t>
                  </w:r>
                </w:p>
                <w:bookmarkEnd w:id="137"/>
                <w:p w14:paraId="2600191F">
                  <w:pPr>
                    <w:pageBreakBefore w:val="0"/>
                    <w:overflowPunct/>
                    <w:topLinePunct w:val="0"/>
                    <w:bidi w:val="0"/>
                    <w:snapToGrid/>
                    <w:spacing w:line="360" w:lineRule="auto"/>
                    <w:ind w:left="0" w:leftChars="0" w:right="0" w:rightChars="0"/>
                    <w:jc w:val="left"/>
                    <w:rPr>
                      <w:rFonts w:hint="eastAsia" w:ascii="楷体" w:hAnsi="楷体" w:eastAsia="楷体" w:cs="楷体"/>
                      <w:bCs/>
                      <w:color w:val="auto"/>
                      <w:kern w:val="2"/>
                      <w:sz w:val="21"/>
                      <w:szCs w:val="21"/>
                      <w:highlight w:val="none"/>
                      <w:lang w:val="en-US" w:eastAsia="zh-CN" w:bidi="ar-SA"/>
                    </w:rPr>
                  </w:pPr>
                  <w:bookmarkStart w:id="138" w:name="OLE_LINK33"/>
                  <w:r>
                    <w:rPr>
                      <w:rFonts w:hint="eastAsia" w:ascii="楷体" w:hAnsi="楷体" w:eastAsia="楷体" w:cs="楷体"/>
                      <w:bCs/>
                      <w:sz w:val="21"/>
                      <w:szCs w:val="21"/>
                      <w:highlight w:val="none"/>
                      <w:lang w:val="en-US" w:eastAsia="zh-CN"/>
                    </w:rPr>
                    <w:t>GB 30720—</w:t>
                  </w:r>
                  <w:bookmarkEnd w:id="138"/>
                  <w:r>
                    <w:rPr>
                      <w:rFonts w:hint="eastAsia" w:ascii="楷体" w:hAnsi="楷体" w:eastAsia="楷体" w:cs="楷体"/>
                      <w:bCs/>
                      <w:sz w:val="21"/>
                      <w:szCs w:val="21"/>
                      <w:highlight w:val="none"/>
                      <w:lang w:val="en-US" w:eastAsia="zh-CN"/>
                    </w:rPr>
                    <w:t>2014</w:t>
                  </w:r>
                  <w:r>
                    <w:rPr>
                      <w:rFonts w:hint="eastAsia" w:ascii="楷体" w:hAnsi="楷体" w:eastAsia="楷体" w:cs="楷体"/>
                      <w:color w:val="auto"/>
                      <w:sz w:val="21"/>
                      <w:szCs w:val="21"/>
                      <w:highlight w:val="none"/>
                      <w:lang w:eastAsia="zh-CN"/>
                    </w:rPr>
                    <w:t>等</w:t>
                  </w:r>
                  <w:r>
                    <w:rPr>
                      <w:rFonts w:hint="eastAsia" w:ascii="楷体" w:hAnsi="楷体" w:eastAsia="楷体" w:cs="楷体"/>
                      <w:color w:val="auto"/>
                      <w:sz w:val="21"/>
                      <w:szCs w:val="21"/>
                      <w:highlight w:val="none"/>
                    </w:rPr>
                    <w:t>现行有效的企业标准、团体标准、地方标准及产品明示质量要求</w:t>
                  </w:r>
                </w:p>
              </w:tc>
              <w:tc>
                <w:tcPr>
                  <w:tcW w:w="3908" w:type="dxa"/>
                  <w:gridSpan w:val="2"/>
                  <w:vAlign w:val="center"/>
                </w:tcPr>
                <w:p w14:paraId="01303510">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left"/>
                    <w:textAlignment w:val="auto"/>
                    <w:rPr>
                      <w:rFonts w:hint="eastAsia" w:ascii="楷体" w:hAnsi="楷体" w:eastAsia="楷体" w:cs="楷体"/>
                      <w:bCs/>
                      <w:color w:val="auto"/>
                      <w:kern w:val="2"/>
                      <w:sz w:val="21"/>
                      <w:szCs w:val="21"/>
                      <w:highlight w:val="none"/>
                      <w:lang w:val="en-US" w:eastAsia="zh-CN" w:bidi="ar-SA"/>
                    </w:rPr>
                  </w:pPr>
                  <w:r>
                    <w:rPr>
                      <w:rFonts w:hint="eastAsia" w:ascii="楷体" w:hAnsi="楷体" w:eastAsia="楷体" w:cs="楷体"/>
                      <w:bCs/>
                      <w:sz w:val="21"/>
                      <w:szCs w:val="21"/>
                      <w:highlight w:val="none"/>
                      <w:lang w:val="en-US" w:eastAsia="zh-CN"/>
                    </w:rPr>
                    <w:t>气密性、热负荷、燃烧工况（离焰、熄火、回火、燃烧噪声、熄火噪声、干烟气中CO浓度（α=1体积分数））、温升、熄火保护装置、燃气导管、耐热冲击、耐重力冲击、热效率</w:t>
                  </w:r>
                </w:p>
              </w:tc>
            </w:tr>
            <w:tr w14:paraId="028EC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4" w:type="dxa"/>
                  <w:vAlign w:val="center"/>
                </w:tcPr>
                <w:p w14:paraId="38696B2F">
                  <w:pPr>
                    <w:pageBreakBefore w:val="0"/>
                    <w:overflowPunct/>
                    <w:topLinePunct w:val="0"/>
                    <w:bidi w:val="0"/>
                    <w:snapToGrid/>
                    <w:spacing w:line="360" w:lineRule="auto"/>
                    <w:ind w:left="0" w:leftChars="0" w:right="0" w:rightChars="0"/>
                    <w:jc w:val="center"/>
                    <w:rPr>
                      <w:rFonts w:hint="eastAsia" w:ascii="楷体" w:hAnsi="楷体" w:eastAsia="楷体" w:cs="楷体"/>
                      <w:bCs/>
                      <w:color w:val="auto"/>
                      <w:kern w:val="2"/>
                      <w:sz w:val="21"/>
                      <w:szCs w:val="21"/>
                      <w:highlight w:val="none"/>
                      <w:lang w:val="en-US" w:eastAsia="zh-CN" w:bidi="ar-SA"/>
                    </w:rPr>
                  </w:pPr>
                  <w:r>
                    <w:rPr>
                      <w:rFonts w:hint="eastAsia" w:ascii="楷体" w:hAnsi="楷体" w:eastAsia="楷体" w:cs="楷体"/>
                      <w:b/>
                      <w:bCs w:val="0"/>
                      <w:sz w:val="21"/>
                      <w:szCs w:val="21"/>
                      <w:highlight w:val="none"/>
                      <w:lang w:val="en-US" w:eastAsia="zh-CN"/>
                    </w:rPr>
                    <w:t>燃气采暖热水炉</w:t>
                  </w:r>
                </w:p>
              </w:tc>
              <w:tc>
                <w:tcPr>
                  <w:tcW w:w="2124" w:type="dxa"/>
                  <w:vAlign w:val="center"/>
                </w:tcPr>
                <w:p w14:paraId="555D8B01">
                  <w:pPr>
                    <w:keepNext w:val="0"/>
                    <w:keepLines w:val="0"/>
                    <w:widowControl/>
                    <w:suppressLineNumbers w:val="0"/>
                    <w:jc w:val="left"/>
                    <w:rPr>
                      <w:rFonts w:hint="eastAsia" w:ascii="楷体" w:hAnsi="楷体" w:eastAsia="楷体" w:cs="楷体"/>
                      <w:bCs/>
                      <w:sz w:val="21"/>
                      <w:szCs w:val="21"/>
                      <w:highlight w:val="none"/>
                      <w:lang w:val="en-US" w:eastAsia="zh-CN"/>
                    </w:rPr>
                  </w:pPr>
                  <w:bookmarkStart w:id="139" w:name="OLE_LINK34"/>
                  <w:r>
                    <w:rPr>
                      <w:rFonts w:hint="eastAsia" w:ascii="楷体" w:hAnsi="楷体" w:eastAsia="楷体" w:cs="楷体"/>
                      <w:bCs/>
                      <w:sz w:val="21"/>
                      <w:szCs w:val="21"/>
                      <w:highlight w:val="none"/>
                      <w:lang w:val="en-US" w:eastAsia="zh-CN"/>
                    </w:rPr>
                    <w:t>GB 25034</w:t>
                  </w:r>
                  <w:bookmarkEnd w:id="139"/>
                  <w:r>
                    <w:rPr>
                      <w:rFonts w:hint="eastAsia" w:ascii="楷体" w:hAnsi="楷体" w:eastAsia="楷体" w:cs="楷体"/>
                      <w:bCs/>
                      <w:sz w:val="21"/>
                      <w:szCs w:val="21"/>
                      <w:highlight w:val="none"/>
                      <w:lang w:val="en-US" w:eastAsia="zh-CN"/>
                    </w:rPr>
                    <w:t>-2020</w:t>
                  </w:r>
                  <w:r>
                    <w:rPr>
                      <w:rFonts w:hint="eastAsia" w:ascii="楷体" w:hAnsi="楷体" w:eastAsia="楷体" w:cs="楷体"/>
                      <w:color w:val="auto"/>
                      <w:sz w:val="21"/>
                      <w:szCs w:val="21"/>
                      <w:highlight w:val="none"/>
                      <w:lang w:eastAsia="zh-CN"/>
                    </w:rPr>
                    <w:t>等</w:t>
                  </w:r>
                  <w:r>
                    <w:rPr>
                      <w:rFonts w:hint="eastAsia" w:ascii="楷体" w:hAnsi="楷体" w:eastAsia="楷体" w:cs="楷体"/>
                      <w:color w:val="auto"/>
                      <w:sz w:val="21"/>
                      <w:szCs w:val="21"/>
                      <w:highlight w:val="none"/>
                    </w:rPr>
                    <w:t>现行有效的企业标准、团体标准、地方标准及产品明示质量要求</w:t>
                  </w:r>
                </w:p>
                <w:p w14:paraId="43563F8B">
                  <w:pPr>
                    <w:pageBreakBefore w:val="0"/>
                    <w:overflowPunct/>
                    <w:topLinePunct w:val="0"/>
                    <w:bidi w:val="0"/>
                    <w:snapToGrid/>
                    <w:spacing w:line="360" w:lineRule="auto"/>
                    <w:ind w:left="0" w:leftChars="0" w:right="0" w:rightChars="0"/>
                    <w:jc w:val="left"/>
                    <w:rPr>
                      <w:rFonts w:hint="eastAsia" w:ascii="楷体" w:hAnsi="楷体" w:eastAsia="楷体" w:cs="楷体"/>
                      <w:bCs/>
                      <w:color w:val="auto"/>
                      <w:kern w:val="2"/>
                      <w:sz w:val="21"/>
                      <w:szCs w:val="21"/>
                      <w:highlight w:val="none"/>
                      <w:lang w:val="en-US" w:eastAsia="zh-CN" w:bidi="ar-SA"/>
                    </w:rPr>
                  </w:pPr>
                </w:p>
              </w:tc>
              <w:tc>
                <w:tcPr>
                  <w:tcW w:w="3908" w:type="dxa"/>
                  <w:gridSpan w:val="2"/>
                  <w:vAlign w:val="center"/>
                </w:tcPr>
                <w:p w14:paraId="4A99C4A8">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left"/>
                    <w:textAlignment w:val="auto"/>
                    <w:rPr>
                      <w:rFonts w:hint="eastAsia" w:ascii="楷体" w:hAnsi="楷体" w:eastAsia="楷体" w:cs="楷体"/>
                      <w:bCs/>
                      <w:color w:val="auto"/>
                      <w:kern w:val="2"/>
                      <w:sz w:val="21"/>
                      <w:szCs w:val="21"/>
                      <w:highlight w:val="none"/>
                      <w:lang w:val="en-US" w:eastAsia="zh-CN" w:bidi="ar-SA"/>
                    </w:rPr>
                  </w:pPr>
                  <w:r>
                    <w:rPr>
                      <w:rFonts w:hint="eastAsia" w:ascii="楷体" w:hAnsi="楷体" w:eastAsia="楷体" w:cs="楷体"/>
                      <w:bCs/>
                      <w:sz w:val="21"/>
                      <w:szCs w:val="21"/>
                      <w:highlight w:val="none"/>
                      <w:lang w:val="en-US" w:eastAsia="zh-CN"/>
                    </w:rPr>
                    <w:t>燃气系统密封性、电源运行安全性、 采暖额定热输出、热效率、 额定热负荷时CO含量、工作温度下的电气强度、工作温度下的泄漏电流、接地措施（含低电阻值）</w:t>
                  </w:r>
                </w:p>
              </w:tc>
            </w:tr>
            <w:tr w14:paraId="15035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4" w:type="dxa"/>
                  <w:vAlign w:val="center"/>
                </w:tcPr>
                <w:p w14:paraId="1B04C873">
                  <w:pPr>
                    <w:pageBreakBefore w:val="0"/>
                    <w:overflowPunct/>
                    <w:topLinePunct w:val="0"/>
                    <w:bidi w:val="0"/>
                    <w:snapToGrid/>
                    <w:spacing w:line="360" w:lineRule="auto"/>
                    <w:ind w:left="0" w:leftChars="0" w:right="0" w:rightChars="0"/>
                    <w:jc w:val="center"/>
                    <w:rPr>
                      <w:rFonts w:hint="eastAsia" w:ascii="楷体" w:hAnsi="楷体" w:eastAsia="楷体" w:cs="楷体"/>
                      <w:bCs/>
                      <w:color w:val="auto"/>
                      <w:kern w:val="2"/>
                      <w:sz w:val="21"/>
                      <w:szCs w:val="21"/>
                      <w:highlight w:val="none"/>
                      <w:lang w:val="en-US" w:eastAsia="zh-CN" w:bidi="ar-SA"/>
                    </w:rPr>
                  </w:pPr>
                  <w:r>
                    <w:rPr>
                      <w:rFonts w:hint="eastAsia" w:ascii="楷体" w:hAnsi="楷体" w:eastAsia="楷体" w:cs="楷体"/>
                      <w:b/>
                      <w:bCs w:val="0"/>
                      <w:sz w:val="21"/>
                      <w:szCs w:val="21"/>
                      <w:highlight w:val="none"/>
                      <w:lang w:val="en-US" w:eastAsia="zh-CN"/>
                    </w:rPr>
                    <w:t>瓶装液化石油气调压器</w:t>
                  </w:r>
                </w:p>
              </w:tc>
              <w:tc>
                <w:tcPr>
                  <w:tcW w:w="2124" w:type="dxa"/>
                  <w:vAlign w:val="center"/>
                </w:tcPr>
                <w:p w14:paraId="59836497">
                  <w:pPr>
                    <w:pageBreakBefore w:val="0"/>
                    <w:overflowPunct/>
                    <w:topLinePunct w:val="0"/>
                    <w:bidi w:val="0"/>
                    <w:snapToGrid/>
                    <w:spacing w:line="360" w:lineRule="auto"/>
                    <w:ind w:left="0" w:leftChars="0" w:right="0" w:rightChars="0"/>
                    <w:jc w:val="left"/>
                    <w:rPr>
                      <w:rFonts w:hint="eastAsia" w:ascii="楷体" w:hAnsi="楷体" w:eastAsia="楷体" w:cs="楷体"/>
                      <w:bCs/>
                      <w:color w:val="auto"/>
                      <w:kern w:val="2"/>
                      <w:sz w:val="21"/>
                      <w:szCs w:val="21"/>
                      <w:highlight w:val="none"/>
                      <w:lang w:val="en-US" w:eastAsia="zh-CN" w:bidi="ar-SA"/>
                    </w:rPr>
                  </w:pPr>
                  <w:bookmarkStart w:id="140" w:name="OLE_LINK35"/>
                  <w:r>
                    <w:rPr>
                      <w:rFonts w:hint="eastAsia" w:ascii="楷体" w:hAnsi="楷体" w:eastAsia="楷体" w:cs="楷体"/>
                      <w:bCs/>
                      <w:sz w:val="21"/>
                      <w:szCs w:val="21"/>
                      <w:highlight w:val="none"/>
                      <w:lang w:val="en-US" w:eastAsia="zh-CN"/>
                    </w:rPr>
                    <w:t>GB 35844-2018</w:t>
                  </w:r>
                  <w:bookmarkEnd w:id="140"/>
                  <w:r>
                    <w:rPr>
                      <w:rFonts w:hint="eastAsia" w:ascii="楷体" w:hAnsi="楷体" w:eastAsia="楷体" w:cs="楷体"/>
                      <w:color w:val="auto"/>
                      <w:sz w:val="21"/>
                      <w:szCs w:val="21"/>
                      <w:highlight w:val="none"/>
                      <w:lang w:eastAsia="zh-CN"/>
                    </w:rPr>
                    <w:t>等</w:t>
                  </w:r>
                  <w:r>
                    <w:rPr>
                      <w:rFonts w:hint="eastAsia" w:ascii="楷体" w:hAnsi="楷体" w:eastAsia="楷体" w:cs="楷体"/>
                      <w:color w:val="auto"/>
                      <w:sz w:val="21"/>
                      <w:szCs w:val="21"/>
                      <w:highlight w:val="none"/>
                    </w:rPr>
                    <w:t>现行有效的企业标准、团体标准、地方标准及产品明示质量要求</w:t>
                  </w:r>
                </w:p>
              </w:tc>
              <w:tc>
                <w:tcPr>
                  <w:tcW w:w="3908" w:type="dxa"/>
                  <w:gridSpan w:val="2"/>
                  <w:vAlign w:val="center"/>
                </w:tcPr>
                <w:p w14:paraId="79DD9BBF">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left"/>
                    <w:textAlignment w:val="auto"/>
                    <w:rPr>
                      <w:rFonts w:hint="eastAsia" w:ascii="楷体" w:hAnsi="楷体" w:eastAsia="楷体" w:cs="楷体"/>
                      <w:bCs/>
                      <w:color w:val="auto"/>
                      <w:kern w:val="2"/>
                      <w:sz w:val="21"/>
                      <w:szCs w:val="21"/>
                      <w:highlight w:val="none"/>
                      <w:lang w:val="en-US" w:eastAsia="zh-CN" w:bidi="ar-SA"/>
                    </w:rPr>
                  </w:pPr>
                  <w:r>
                    <w:rPr>
                      <w:rFonts w:hint="eastAsia" w:ascii="楷体" w:hAnsi="楷体" w:eastAsia="楷体" w:cs="楷体"/>
                      <w:bCs/>
                      <w:sz w:val="21"/>
                      <w:szCs w:val="21"/>
                      <w:highlight w:val="none"/>
                      <w:lang w:val="en-US" w:eastAsia="zh-CN"/>
                    </w:rPr>
                    <w:t>结构、气密性、调压静特性、耐冲击性、连接接头机械强度、材料</w:t>
                  </w:r>
                </w:p>
              </w:tc>
            </w:tr>
            <w:tr w14:paraId="41D6C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4" w:type="dxa"/>
                  <w:vAlign w:val="center"/>
                </w:tcPr>
                <w:p w14:paraId="3BB80417">
                  <w:pPr>
                    <w:pageBreakBefore w:val="0"/>
                    <w:overflowPunct/>
                    <w:topLinePunct w:val="0"/>
                    <w:bidi w:val="0"/>
                    <w:snapToGrid/>
                    <w:spacing w:line="360" w:lineRule="auto"/>
                    <w:ind w:left="0" w:leftChars="0" w:right="0" w:rightChars="0"/>
                    <w:jc w:val="center"/>
                    <w:rPr>
                      <w:rFonts w:hint="eastAsia" w:ascii="楷体" w:hAnsi="楷体" w:eastAsia="楷体" w:cs="楷体"/>
                      <w:bCs/>
                      <w:color w:val="auto"/>
                      <w:kern w:val="2"/>
                      <w:sz w:val="21"/>
                      <w:szCs w:val="21"/>
                      <w:highlight w:val="none"/>
                      <w:lang w:val="en-US" w:eastAsia="zh-CN" w:bidi="ar-SA"/>
                    </w:rPr>
                  </w:pPr>
                  <w:r>
                    <w:rPr>
                      <w:rFonts w:hint="eastAsia" w:ascii="楷体" w:hAnsi="楷体" w:eastAsia="楷体" w:cs="楷体"/>
                      <w:b/>
                      <w:bCs w:val="0"/>
                      <w:sz w:val="21"/>
                      <w:szCs w:val="21"/>
                      <w:highlight w:val="none"/>
                      <w:lang w:val="en-US" w:eastAsia="zh-CN"/>
                    </w:rPr>
                    <w:t>燃气泄露报警器</w:t>
                  </w:r>
                </w:p>
              </w:tc>
              <w:tc>
                <w:tcPr>
                  <w:tcW w:w="2124" w:type="dxa"/>
                  <w:vAlign w:val="center"/>
                </w:tcPr>
                <w:p w14:paraId="4348CDD9">
                  <w:pPr>
                    <w:pageBreakBefore w:val="0"/>
                    <w:overflowPunct/>
                    <w:topLinePunct w:val="0"/>
                    <w:bidi w:val="0"/>
                    <w:snapToGrid/>
                    <w:spacing w:line="360" w:lineRule="auto"/>
                    <w:ind w:left="0" w:right="0" w:rightChars="0"/>
                    <w:jc w:val="left"/>
                    <w:rPr>
                      <w:rFonts w:hint="eastAsia" w:ascii="楷体" w:hAnsi="楷体" w:eastAsia="楷体" w:cs="楷体"/>
                      <w:bCs/>
                      <w:sz w:val="21"/>
                      <w:szCs w:val="21"/>
                      <w:highlight w:val="none"/>
                      <w:lang w:val="en-US" w:eastAsia="zh-CN"/>
                    </w:rPr>
                  </w:pPr>
                  <w:bookmarkStart w:id="141" w:name="OLE_LINK36"/>
                  <w:r>
                    <w:rPr>
                      <w:rFonts w:hint="eastAsia" w:ascii="楷体" w:hAnsi="楷体" w:eastAsia="楷体" w:cs="楷体"/>
                      <w:bCs/>
                      <w:sz w:val="21"/>
                      <w:szCs w:val="21"/>
                      <w:highlight w:val="none"/>
                      <w:lang w:val="en-US" w:eastAsia="zh-CN"/>
                    </w:rPr>
                    <w:t>GB 15322.1-2019</w:t>
                  </w:r>
                  <w:bookmarkEnd w:id="141"/>
                  <w:r>
                    <w:rPr>
                      <w:rFonts w:hint="eastAsia" w:ascii="楷体" w:hAnsi="楷体" w:eastAsia="楷体" w:cs="楷体"/>
                      <w:bCs/>
                      <w:sz w:val="21"/>
                      <w:szCs w:val="21"/>
                      <w:highlight w:val="none"/>
                      <w:lang w:val="en-US" w:eastAsia="zh-CN"/>
                    </w:rPr>
                    <w:t>、</w:t>
                  </w:r>
                </w:p>
                <w:p w14:paraId="11E2A618">
                  <w:pPr>
                    <w:pageBreakBefore w:val="0"/>
                    <w:overflowPunct/>
                    <w:topLinePunct w:val="0"/>
                    <w:bidi w:val="0"/>
                    <w:snapToGrid/>
                    <w:spacing w:line="360" w:lineRule="auto"/>
                    <w:ind w:left="0" w:right="0" w:rightChars="0"/>
                    <w:jc w:val="left"/>
                    <w:rPr>
                      <w:rFonts w:hint="eastAsia" w:ascii="楷体" w:hAnsi="楷体" w:eastAsia="楷体" w:cs="楷体"/>
                      <w:bCs/>
                      <w:sz w:val="21"/>
                      <w:szCs w:val="21"/>
                      <w:highlight w:val="none"/>
                      <w:lang w:val="en-US" w:eastAsia="zh-CN"/>
                    </w:rPr>
                  </w:pPr>
                  <w:r>
                    <w:rPr>
                      <w:rFonts w:hint="eastAsia" w:ascii="楷体" w:hAnsi="楷体" w:eastAsia="楷体" w:cs="楷体"/>
                      <w:bCs/>
                      <w:sz w:val="21"/>
                      <w:szCs w:val="21"/>
                      <w:highlight w:val="none"/>
                      <w:lang w:val="en-US" w:eastAsia="zh-CN"/>
                    </w:rPr>
                    <w:t>GB 15322.2-2019、</w:t>
                  </w:r>
                </w:p>
                <w:p w14:paraId="138A9E33">
                  <w:pPr>
                    <w:pageBreakBefore w:val="0"/>
                    <w:overflowPunct/>
                    <w:topLinePunct w:val="0"/>
                    <w:bidi w:val="0"/>
                    <w:snapToGrid/>
                    <w:spacing w:line="360" w:lineRule="auto"/>
                    <w:ind w:left="0" w:leftChars="0" w:right="0" w:rightChars="0"/>
                    <w:jc w:val="left"/>
                    <w:rPr>
                      <w:rFonts w:hint="eastAsia" w:ascii="楷体" w:hAnsi="楷体" w:eastAsia="楷体" w:cs="楷体"/>
                      <w:bCs/>
                      <w:color w:val="auto"/>
                      <w:kern w:val="2"/>
                      <w:sz w:val="21"/>
                      <w:szCs w:val="21"/>
                      <w:highlight w:val="none"/>
                      <w:lang w:val="en-US" w:eastAsia="zh-CN" w:bidi="ar-SA"/>
                    </w:rPr>
                  </w:pPr>
                  <w:r>
                    <w:rPr>
                      <w:rFonts w:hint="eastAsia" w:ascii="楷体" w:hAnsi="楷体" w:eastAsia="楷体" w:cs="楷体"/>
                      <w:bCs/>
                      <w:sz w:val="21"/>
                      <w:szCs w:val="21"/>
                      <w:highlight w:val="none"/>
                      <w:lang w:val="en-US" w:eastAsia="zh-CN"/>
                    </w:rPr>
                    <w:t>GB 15322.3-2019</w:t>
                  </w:r>
                  <w:r>
                    <w:rPr>
                      <w:rFonts w:hint="eastAsia" w:ascii="楷体" w:hAnsi="楷体" w:eastAsia="楷体" w:cs="楷体"/>
                      <w:color w:val="auto"/>
                      <w:sz w:val="21"/>
                      <w:szCs w:val="21"/>
                      <w:highlight w:val="none"/>
                      <w:lang w:eastAsia="zh-CN"/>
                    </w:rPr>
                    <w:t>等</w:t>
                  </w:r>
                  <w:r>
                    <w:rPr>
                      <w:rFonts w:hint="eastAsia" w:ascii="楷体" w:hAnsi="楷体" w:eastAsia="楷体" w:cs="楷体"/>
                      <w:color w:val="auto"/>
                      <w:sz w:val="21"/>
                      <w:szCs w:val="21"/>
                      <w:highlight w:val="none"/>
                    </w:rPr>
                    <w:t>现行有效的企业标准、团体标准、地方标准及产品明示质量要求</w:t>
                  </w:r>
                </w:p>
              </w:tc>
              <w:tc>
                <w:tcPr>
                  <w:tcW w:w="3908" w:type="dxa"/>
                  <w:gridSpan w:val="2"/>
                  <w:vAlign w:val="center"/>
                </w:tcPr>
                <w:p w14:paraId="6B4AE536">
                  <w:pPr>
                    <w:keepNext w:val="0"/>
                    <w:keepLines w:val="0"/>
                    <w:pageBreakBefore w:val="0"/>
                    <w:widowControl w:val="0"/>
                    <w:kinsoku/>
                    <w:wordWrap/>
                    <w:overflowPunct/>
                    <w:topLinePunct w:val="0"/>
                    <w:autoSpaceDE/>
                    <w:autoSpaceDN/>
                    <w:bidi w:val="0"/>
                    <w:adjustRightInd/>
                    <w:snapToGrid/>
                    <w:spacing w:line="360" w:lineRule="auto"/>
                    <w:ind w:left="0" w:right="0" w:rightChars="0"/>
                    <w:jc w:val="left"/>
                    <w:textAlignment w:val="auto"/>
                    <w:rPr>
                      <w:rFonts w:hint="eastAsia" w:ascii="楷体" w:hAnsi="楷体" w:eastAsia="楷体" w:cs="楷体"/>
                      <w:bCs/>
                      <w:sz w:val="21"/>
                      <w:szCs w:val="21"/>
                      <w:highlight w:val="none"/>
                      <w:lang w:val="en-US" w:eastAsia="zh-CN"/>
                    </w:rPr>
                  </w:pPr>
                  <w:r>
                    <w:rPr>
                      <w:rFonts w:hint="eastAsia" w:ascii="楷体" w:hAnsi="楷体" w:eastAsia="楷体" w:cs="楷体"/>
                      <w:bCs/>
                      <w:sz w:val="21"/>
                      <w:szCs w:val="21"/>
                      <w:highlight w:val="none"/>
                      <w:lang w:val="en-US" w:eastAsia="zh-CN"/>
                    </w:rPr>
                    <w:t>工业及商业用途点型可燃气体探测器：标志、报警动作值、报警重复性、跌落试验、绝缘电阻、电气强度、方位试验</w:t>
                  </w:r>
                </w:p>
                <w:p w14:paraId="0C3B5C3B">
                  <w:pPr>
                    <w:keepNext w:val="0"/>
                    <w:keepLines w:val="0"/>
                    <w:pageBreakBefore w:val="0"/>
                    <w:widowControl w:val="0"/>
                    <w:kinsoku/>
                    <w:wordWrap/>
                    <w:overflowPunct/>
                    <w:topLinePunct w:val="0"/>
                    <w:autoSpaceDE/>
                    <w:autoSpaceDN/>
                    <w:bidi w:val="0"/>
                    <w:adjustRightInd/>
                    <w:snapToGrid/>
                    <w:spacing w:line="360" w:lineRule="auto"/>
                    <w:ind w:left="0" w:right="0" w:rightChars="0"/>
                    <w:jc w:val="left"/>
                    <w:textAlignment w:val="auto"/>
                    <w:rPr>
                      <w:rFonts w:hint="eastAsia" w:ascii="楷体" w:hAnsi="楷体" w:eastAsia="楷体" w:cs="楷体"/>
                      <w:bCs/>
                      <w:sz w:val="21"/>
                      <w:szCs w:val="21"/>
                      <w:highlight w:val="none"/>
                      <w:lang w:val="en-US" w:eastAsia="zh-CN"/>
                    </w:rPr>
                  </w:pPr>
                  <w:r>
                    <w:rPr>
                      <w:rFonts w:hint="eastAsia" w:ascii="楷体" w:hAnsi="楷体" w:eastAsia="楷体" w:cs="楷体"/>
                      <w:bCs/>
                      <w:sz w:val="21"/>
                      <w:szCs w:val="21"/>
                      <w:highlight w:val="none"/>
                      <w:lang w:val="en-US" w:eastAsia="zh-CN"/>
                    </w:rPr>
                    <w:t>家用可燃气体探测器：标志、报警动作值、报警重复性、跌落试验、绝缘电阻、电气强度、方位试验</w:t>
                  </w:r>
                </w:p>
                <w:p w14:paraId="5291BEEC">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left"/>
                    <w:textAlignment w:val="auto"/>
                    <w:rPr>
                      <w:rFonts w:hint="eastAsia" w:ascii="楷体" w:hAnsi="楷体" w:eastAsia="楷体" w:cs="楷体"/>
                      <w:bCs/>
                      <w:color w:val="auto"/>
                      <w:kern w:val="2"/>
                      <w:sz w:val="21"/>
                      <w:szCs w:val="21"/>
                      <w:highlight w:val="none"/>
                      <w:lang w:val="en-US" w:eastAsia="zh-CN" w:bidi="ar-SA"/>
                    </w:rPr>
                  </w:pPr>
                  <w:r>
                    <w:rPr>
                      <w:rFonts w:hint="eastAsia" w:ascii="楷体" w:hAnsi="楷体" w:eastAsia="楷体" w:cs="楷体"/>
                      <w:bCs/>
                      <w:sz w:val="21"/>
                      <w:szCs w:val="21"/>
                      <w:highlight w:val="none"/>
                      <w:lang w:val="en-US" w:eastAsia="zh-CN"/>
                    </w:rPr>
                    <w:t>工业及商业用途便携式可燃气体探测器：标志、报警动作值、报警重复性、跌落试验、方位试验</w:t>
                  </w:r>
                </w:p>
              </w:tc>
            </w:tr>
            <w:tr w14:paraId="49186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4" w:type="dxa"/>
                  <w:vAlign w:val="center"/>
                </w:tcPr>
                <w:p w14:paraId="670ACBAE">
                  <w:pPr>
                    <w:pageBreakBefore w:val="0"/>
                    <w:overflowPunct/>
                    <w:topLinePunct w:val="0"/>
                    <w:bidi w:val="0"/>
                    <w:snapToGrid/>
                    <w:spacing w:line="360" w:lineRule="auto"/>
                    <w:ind w:left="0" w:leftChars="0" w:right="0" w:rightChars="0"/>
                    <w:jc w:val="center"/>
                    <w:rPr>
                      <w:rFonts w:hint="eastAsia" w:ascii="楷体" w:hAnsi="楷体" w:eastAsia="楷体" w:cs="楷体"/>
                      <w:bCs/>
                      <w:color w:val="auto"/>
                      <w:kern w:val="2"/>
                      <w:sz w:val="21"/>
                      <w:szCs w:val="21"/>
                      <w:highlight w:val="none"/>
                      <w:lang w:val="en-US" w:eastAsia="zh-CN" w:bidi="ar-SA"/>
                    </w:rPr>
                  </w:pPr>
                  <w:r>
                    <w:rPr>
                      <w:rFonts w:hint="eastAsia" w:ascii="楷体" w:hAnsi="楷体" w:eastAsia="楷体" w:cs="楷体"/>
                      <w:b/>
                      <w:bCs w:val="0"/>
                      <w:sz w:val="21"/>
                      <w:szCs w:val="21"/>
                      <w:highlight w:val="none"/>
                      <w:lang w:val="en-US" w:eastAsia="zh-CN"/>
                    </w:rPr>
                    <w:t>商用燃气灶</w:t>
                  </w:r>
                </w:p>
              </w:tc>
              <w:tc>
                <w:tcPr>
                  <w:tcW w:w="2124" w:type="dxa"/>
                  <w:vAlign w:val="center"/>
                </w:tcPr>
                <w:p w14:paraId="1D26A96E">
                  <w:pPr>
                    <w:pageBreakBefore w:val="0"/>
                    <w:overflowPunct/>
                    <w:topLinePunct w:val="0"/>
                    <w:bidi w:val="0"/>
                    <w:snapToGrid/>
                    <w:spacing w:line="360" w:lineRule="auto"/>
                    <w:ind w:left="0" w:leftChars="0" w:right="0" w:rightChars="0"/>
                    <w:jc w:val="left"/>
                    <w:rPr>
                      <w:rFonts w:hint="eastAsia" w:ascii="楷体" w:hAnsi="楷体" w:eastAsia="楷体" w:cs="楷体"/>
                      <w:bCs/>
                      <w:color w:val="auto"/>
                      <w:kern w:val="2"/>
                      <w:sz w:val="21"/>
                      <w:szCs w:val="21"/>
                      <w:highlight w:val="none"/>
                      <w:lang w:val="en-US" w:eastAsia="zh-CN" w:bidi="ar-SA"/>
                    </w:rPr>
                  </w:pPr>
                  <w:r>
                    <w:rPr>
                      <w:rFonts w:hint="eastAsia" w:ascii="楷体" w:hAnsi="楷体" w:eastAsia="楷体" w:cs="楷体"/>
                      <w:bCs/>
                      <w:sz w:val="21"/>
                      <w:szCs w:val="21"/>
                      <w:highlight w:val="none"/>
                      <w:lang w:val="en-US" w:eastAsia="zh-CN"/>
                    </w:rPr>
                    <w:t>GB 35848-2024</w:t>
                  </w:r>
                  <w:r>
                    <w:rPr>
                      <w:rFonts w:hint="eastAsia" w:ascii="楷体" w:hAnsi="楷体" w:eastAsia="楷体" w:cs="楷体"/>
                      <w:color w:val="auto"/>
                      <w:sz w:val="21"/>
                      <w:szCs w:val="21"/>
                      <w:highlight w:val="none"/>
                      <w:lang w:eastAsia="zh-CN"/>
                    </w:rPr>
                    <w:t>等</w:t>
                  </w:r>
                  <w:r>
                    <w:rPr>
                      <w:rFonts w:hint="eastAsia" w:ascii="楷体" w:hAnsi="楷体" w:eastAsia="楷体" w:cs="楷体"/>
                      <w:color w:val="auto"/>
                      <w:sz w:val="21"/>
                      <w:szCs w:val="21"/>
                      <w:highlight w:val="none"/>
                    </w:rPr>
                    <w:t>现行有效的企业标准、团体标准、地方标准及产品明示质量要求</w:t>
                  </w:r>
                </w:p>
              </w:tc>
              <w:tc>
                <w:tcPr>
                  <w:tcW w:w="3908" w:type="dxa"/>
                  <w:gridSpan w:val="2"/>
                  <w:vAlign w:val="center"/>
                </w:tcPr>
                <w:p w14:paraId="2F55D0DC">
                  <w:pPr>
                    <w:pStyle w:val="15"/>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楷体" w:hAnsi="楷体" w:eastAsia="楷体" w:cs="楷体"/>
                      <w:b/>
                      <w:bCs/>
                      <w:color w:val="auto"/>
                      <w:kern w:val="2"/>
                      <w:sz w:val="21"/>
                      <w:szCs w:val="21"/>
                      <w:highlight w:val="none"/>
                      <w:lang w:val="en-US" w:eastAsia="zh-CN" w:bidi="ar-SA"/>
                    </w:rPr>
                  </w:pPr>
                  <w:r>
                    <w:rPr>
                      <w:rFonts w:hint="eastAsia" w:ascii="楷体" w:hAnsi="楷体" w:eastAsia="楷体" w:cs="楷体"/>
                      <w:b w:val="0"/>
                      <w:bCs/>
                      <w:kern w:val="2"/>
                      <w:sz w:val="21"/>
                      <w:szCs w:val="21"/>
                      <w:highlight w:val="none"/>
                      <w:lang w:val="en-US" w:eastAsia="zh-CN" w:bidi="ar-SA"/>
                    </w:rPr>
                    <w:t>通用结构、燃气系统零部件、燃气系统密封性、热负荷准确度、燃烧工况（运行噪声、熄火噪声、干烟气中CO（α=1）含量）、熄火保护装置、能源合理利用、电气性能</w:t>
                  </w:r>
                </w:p>
              </w:tc>
            </w:tr>
            <w:tr w14:paraId="41D77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4" w:type="dxa"/>
                  <w:vAlign w:val="center"/>
                </w:tcPr>
                <w:p w14:paraId="4E2A6473">
                  <w:pPr>
                    <w:pageBreakBefore w:val="0"/>
                    <w:overflowPunct/>
                    <w:topLinePunct w:val="0"/>
                    <w:bidi w:val="0"/>
                    <w:snapToGrid/>
                    <w:spacing w:line="360" w:lineRule="auto"/>
                    <w:ind w:left="0" w:leftChars="0" w:right="0" w:rightChars="0"/>
                    <w:jc w:val="center"/>
                    <w:rPr>
                      <w:rFonts w:hint="eastAsia" w:ascii="楷体" w:hAnsi="楷体" w:eastAsia="楷体" w:cs="楷体"/>
                      <w:bCs/>
                      <w:color w:val="auto"/>
                      <w:kern w:val="2"/>
                      <w:sz w:val="21"/>
                      <w:szCs w:val="21"/>
                      <w:highlight w:val="none"/>
                      <w:lang w:val="en-US" w:eastAsia="zh-CN" w:bidi="ar-SA"/>
                    </w:rPr>
                  </w:pPr>
                  <w:r>
                    <w:rPr>
                      <w:rFonts w:hint="eastAsia" w:ascii="楷体" w:hAnsi="楷体" w:eastAsia="楷体" w:cs="楷体"/>
                      <w:b/>
                      <w:bCs w:val="0"/>
                      <w:sz w:val="21"/>
                      <w:szCs w:val="21"/>
                      <w:highlight w:val="none"/>
                      <w:lang w:val="en-US" w:eastAsia="zh-CN"/>
                    </w:rPr>
                    <w:t>电磁式燃气紧急切断阀</w:t>
                  </w:r>
                </w:p>
              </w:tc>
              <w:tc>
                <w:tcPr>
                  <w:tcW w:w="2124" w:type="dxa"/>
                  <w:vAlign w:val="center"/>
                </w:tcPr>
                <w:p w14:paraId="10CD282F">
                  <w:pPr>
                    <w:pageBreakBefore w:val="0"/>
                    <w:overflowPunct/>
                    <w:topLinePunct w:val="0"/>
                    <w:bidi w:val="0"/>
                    <w:snapToGrid/>
                    <w:spacing w:line="360" w:lineRule="auto"/>
                    <w:ind w:left="0" w:leftChars="0" w:right="0" w:rightChars="0"/>
                    <w:jc w:val="left"/>
                    <w:rPr>
                      <w:rFonts w:hint="eastAsia" w:ascii="楷体" w:hAnsi="楷体" w:eastAsia="楷体" w:cs="楷体"/>
                      <w:bCs/>
                      <w:color w:val="auto"/>
                      <w:kern w:val="2"/>
                      <w:sz w:val="21"/>
                      <w:szCs w:val="21"/>
                      <w:highlight w:val="none"/>
                      <w:lang w:val="en-US" w:eastAsia="zh-CN" w:bidi="ar-SA"/>
                    </w:rPr>
                  </w:pPr>
                  <w:r>
                    <w:rPr>
                      <w:rFonts w:hint="eastAsia" w:ascii="楷体" w:hAnsi="楷体" w:eastAsia="楷体" w:cs="楷体"/>
                      <w:bCs/>
                      <w:sz w:val="21"/>
                      <w:szCs w:val="21"/>
                      <w:highlight w:val="none"/>
                      <w:lang w:val="en-US" w:eastAsia="zh-CN"/>
                    </w:rPr>
                    <w:t>GB 44016—2024</w:t>
                  </w:r>
                  <w:r>
                    <w:rPr>
                      <w:rFonts w:hint="eastAsia" w:ascii="楷体" w:hAnsi="楷体" w:eastAsia="楷体" w:cs="楷体"/>
                      <w:color w:val="auto"/>
                      <w:sz w:val="21"/>
                      <w:szCs w:val="21"/>
                      <w:highlight w:val="none"/>
                      <w:lang w:eastAsia="zh-CN"/>
                    </w:rPr>
                    <w:t>等</w:t>
                  </w:r>
                  <w:r>
                    <w:rPr>
                      <w:rFonts w:hint="eastAsia" w:ascii="楷体" w:hAnsi="楷体" w:eastAsia="楷体" w:cs="楷体"/>
                      <w:color w:val="auto"/>
                      <w:sz w:val="21"/>
                      <w:szCs w:val="21"/>
                      <w:highlight w:val="none"/>
                    </w:rPr>
                    <w:t>现行有效的企业标准、团体标准、地方标准及产品明示质量要求</w:t>
                  </w:r>
                </w:p>
              </w:tc>
              <w:tc>
                <w:tcPr>
                  <w:tcW w:w="3908" w:type="dxa"/>
                  <w:gridSpan w:val="2"/>
                  <w:vAlign w:val="center"/>
                </w:tcPr>
                <w:p w14:paraId="2B78B7A2">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left"/>
                    <w:textAlignment w:val="auto"/>
                    <w:rPr>
                      <w:rFonts w:hint="eastAsia" w:ascii="楷体" w:hAnsi="楷体" w:eastAsia="楷体" w:cs="楷体"/>
                      <w:bCs/>
                      <w:color w:val="auto"/>
                      <w:kern w:val="2"/>
                      <w:sz w:val="21"/>
                      <w:szCs w:val="21"/>
                      <w:highlight w:val="none"/>
                      <w:lang w:val="en-US" w:eastAsia="zh-CN" w:bidi="ar-SA"/>
                    </w:rPr>
                  </w:pPr>
                  <w:r>
                    <w:rPr>
                      <w:rFonts w:hint="eastAsia" w:ascii="楷体" w:hAnsi="楷体" w:eastAsia="楷体" w:cs="楷体"/>
                      <w:bCs/>
                      <w:sz w:val="21"/>
                      <w:szCs w:val="21"/>
                      <w:highlight w:val="none"/>
                      <w:lang w:val="en-US" w:eastAsia="zh-CN"/>
                    </w:rPr>
                    <w:t>气密性、紧急切断性能、电气安全性、承压件强度</w:t>
                  </w:r>
                </w:p>
              </w:tc>
            </w:tr>
            <w:tr w14:paraId="3FEDF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4" w:type="dxa"/>
                  <w:vAlign w:val="center"/>
                </w:tcPr>
                <w:p w14:paraId="1D414346">
                  <w:pPr>
                    <w:pageBreakBefore w:val="0"/>
                    <w:overflowPunct/>
                    <w:topLinePunct w:val="0"/>
                    <w:bidi w:val="0"/>
                    <w:snapToGrid/>
                    <w:spacing w:line="360" w:lineRule="auto"/>
                    <w:ind w:left="0" w:leftChars="0" w:right="0" w:rightChars="0"/>
                    <w:jc w:val="center"/>
                    <w:rPr>
                      <w:rFonts w:hint="eastAsia" w:ascii="楷体" w:hAnsi="楷体" w:eastAsia="楷体" w:cs="楷体"/>
                      <w:bCs/>
                      <w:color w:val="auto"/>
                      <w:kern w:val="2"/>
                      <w:sz w:val="21"/>
                      <w:szCs w:val="21"/>
                      <w:highlight w:val="none"/>
                      <w:lang w:val="en-US" w:eastAsia="zh-CN" w:bidi="ar-SA"/>
                    </w:rPr>
                  </w:pPr>
                  <w:r>
                    <w:rPr>
                      <w:rFonts w:hint="eastAsia" w:ascii="楷体" w:hAnsi="楷体" w:eastAsia="楷体" w:cs="楷体"/>
                      <w:b/>
                      <w:bCs w:val="0"/>
                      <w:sz w:val="21"/>
                      <w:szCs w:val="21"/>
                      <w:highlight w:val="none"/>
                      <w:lang w:val="en-US" w:eastAsia="zh-CN"/>
                    </w:rPr>
                    <w:t>管道燃气自闭阀</w:t>
                  </w:r>
                </w:p>
              </w:tc>
              <w:tc>
                <w:tcPr>
                  <w:tcW w:w="2124" w:type="dxa"/>
                  <w:vAlign w:val="center"/>
                </w:tcPr>
                <w:p w14:paraId="2F8B6B33">
                  <w:pPr>
                    <w:pageBreakBefore w:val="0"/>
                    <w:overflowPunct/>
                    <w:topLinePunct w:val="0"/>
                    <w:bidi w:val="0"/>
                    <w:snapToGrid/>
                    <w:spacing w:line="360" w:lineRule="auto"/>
                    <w:ind w:left="0" w:leftChars="0" w:right="0" w:rightChars="0"/>
                    <w:jc w:val="left"/>
                    <w:rPr>
                      <w:rFonts w:hint="eastAsia" w:ascii="楷体" w:hAnsi="楷体" w:eastAsia="楷体" w:cs="楷体"/>
                      <w:bCs/>
                      <w:color w:val="auto"/>
                      <w:kern w:val="2"/>
                      <w:sz w:val="21"/>
                      <w:szCs w:val="21"/>
                      <w:highlight w:val="none"/>
                      <w:lang w:val="en-US" w:eastAsia="zh-CN" w:bidi="ar-SA"/>
                    </w:rPr>
                  </w:pPr>
                  <w:bookmarkStart w:id="142" w:name="OLE_LINK37"/>
                  <w:r>
                    <w:rPr>
                      <w:rFonts w:hint="eastAsia" w:ascii="楷体" w:hAnsi="楷体" w:eastAsia="楷体" w:cs="楷体"/>
                      <w:bCs/>
                      <w:sz w:val="21"/>
                      <w:szCs w:val="21"/>
                      <w:highlight w:val="none"/>
                      <w:lang w:val="en-US" w:eastAsia="zh-CN"/>
                    </w:rPr>
                    <w:t>CJ/T 447-2014</w:t>
                  </w:r>
                  <w:bookmarkEnd w:id="142"/>
                  <w:r>
                    <w:rPr>
                      <w:rFonts w:hint="eastAsia" w:ascii="楷体" w:hAnsi="楷体" w:eastAsia="楷体" w:cs="楷体"/>
                      <w:color w:val="auto"/>
                      <w:sz w:val="21"/>
                      <w:szCs w:val="21"/>
                      <w:highlight w:val="none"/>
                      <w:lang w:eastAsia="zh-CN"/>
                    </w:rPr>
                    <w:t>等</w:t>
                  </w:r>
                  <w:r>
                    <w:rPr>
                      <w:rFonts w:hint="eastAsia" w:ascii="楷体" w:hAnsi="楷体" w:eastAsia="楷体" w:cs="楷体"/>
                      <w:color w:val="auto"/>
                      <w:sz w:val="21"/>
                      <w:szCs w:val="21"/>
                      <w:highlight w:val="none"/>
                    </w:rPr>
                    <w:t>现行有效的企业标准、团体标准、地方标准及产品明示质量要求</w:t>
                  </w:r>
                </w:p>
              </w:tc>
              <w:tc>
                <w:tcPr>
                  <w:tcW w:w="3908" w:type="dxa"/>
                  <w:gridSpan w:val="2"/>
                  <w:vAlign w:val="center"/>
                </w:tcPr>
                <w:p w14:paraId="32EAD0C0">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left"/>
                    <w:textAlignment w:val="auto"/>
                    <w:rPr>
                      <w:rFonts w:hint="eastAsia" w:ascii="楷体" w:hAnsi="楷体" w:eastAsia="楷体" w:cs="楷体"/>
                      <w:bCs/>
                      <w:color w:val="auto"/>
                      <w:kern w:val="2"/>
                      <w:sz w:val="21"/>
                      <w:szCs w:val="21"/>
                      <w:highlight w:val="none"/>
                      <w:lang w:val="en-US" w:eastAsia="zh-CN" w:bidi="ar-SA"/>
                    </w:rPr>
                  </w:pPr>
                  <w:r>
                    <w:rPr>
                      <w:rFonts w:hint="eastAsia" w:ascii="楷体" w:hAnsi="楷体" w:eastAsia="楷体" w:cs="楷体"/>
                      <w:bCs/>
                      <w:sz w:val="21"/>
                      <w:szCs w:val="21"/>
                      <w:highlight w:val="none"/>
                      <w:lang w:val="en-US" w:eastAsia="zh-CN"/>
                    </w:rPr>
                    <w:t>气密性、自动关闭性能</w:t>
                  </w:r>
                </w:p>
              </w:tc>
            </w:tr>
            <w:tr w14:paraId="7FD2F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4" w:type="dxa"/>
                  <w:vAlign w:val="center"/>
                </w:tcPr>
                <w:p w14:paraId="4576A509">
                  <w:pPr>
                    <w:pageBreakBefore w:val="0"/>
                    <w:overflowPunct/>
                    <w:topLinePunct w:val="0"/>
                    <w:bidi w:val="0"/>
                    <w:snapToGrid/>
                    <w:spacing w:line="360" w:lineRule="auto"/>
                    <w:ind w:left="0" w:leftChars="0" w:right="0" w:rightChars="0"/>
                    <w:jc w:val="center"/>
                    <w:rPr>
                      <w:rFonts w:hint="eastAsia" w:ascii="楷体" w:hAnsi="楷体" w:eastAsia="楷体" w:cs="楷体"/>
                      <w:bCs/>
                      <w:color w:val="auto"/>
                      <w:kern w:val="2"/>
                      <w:sz w:val="21"/>
                      <w:szCs w:val="21"/>
                      <w:highlight w:val="none"/>
                      <w:lang w:val="en-US" w:eastAsia="zh-CN" w:bidi="ar-SA"/>
                    </w:rPr>
                  </w:pPr>
                  <w:r>
                    <w:rPr>
                      <w:rFonts w:hint="eastAsia" w:ascii="楷体" w:hAnsi="楷体" w:eastAsia="楷体" w:cs="楷体"/>
                      <w:b/>
                      <w:bCs w:val="0"/>
                      <w:sz w:val="21"/>
                      <w:szCs w:val="21"/>
                      <w:highlight w:val="none"/>
                      <w:lang w:val="en-US" w:eastAsia="zh-CN"/>
                    </w:rPr>
                    <w:t>燃气用具连接用软管</w:t>
                  </w:r>
                </w:p>
              </w:tc>
              <w:tc>
                <w:tcPr>
                  <w:tcW w:w="2124" w:type="dxa"/>
                  <w:vAlign w:val="center"/>
                </w:tcPr>
                <w:p w14:paraId="37E4E717">
                  <w:pPr>
                    <w:pageBreakBefore w:val="0"/>
                    <w:overflowPunct/>
                    <w:topLinePunct w:val="0"/>
                    <w:bidi w:val="0"/>
                    <w:snapToGrid/>
                    <w:spacing w:line="360" w:lineRule="auto"/>
                    <w:ind w:left="0" w:leftChars="0" w:right="0" w:rightChars="0"/>
                    <w:jc w:val="left"/>
                    <w:rPr>
                      <w:rFonts w:hint="eastAsia" w:ascii="楷体" w:hAnsi="楷体" w:eastAsia="楷体" w:cs="楷体"/>
                      <w:bCs/>
                      <w:color w:val="auto"/>
                      <w:kern w:val="2"/>
                      <w:sz w:val="21"/>
                      <w:szCs w:val="21"/>
                      <w:highlight w:val="none"/>
                      <w:lang w:val="en-US" w:eastAsia="zh-CN" w:bidi="ar-SA"/>
                    </w:rPr>
                  </w:pPr>
                  <w:r>
                    <w:rPr>
                      <w:rFonts w:hint="eastAsia" w:ascii="楷体" w:hAnsi="楷体" w:eastAsia="楷体" w:cs="楷体"/>
                      <w:bCs/>
                      <w:sz w:val="21"/>
                      <w:szCs w:val="21"/>
                      <w:highlight w:val="none"/>
                      <w:lang w:val="en-US" w:eastAsia="zh-CN"/>
                    </w:rPr>
                    <w:t>GB 41317-2024、GB 44017-2024、GB 44023-2024</w:t>
                  </w:r>
                  <w:r>
                    <w:rPr>
                      <w:rFonts w:hint="eastAsia" w:ascii="楷体" w:hAnsi="楷体" w:eastAsia="楷体" w:cs="楷体"/>
                      <w:color w:val="auto"/>
                      <w:sz w:val="21"/>
                      <w:szCs w:val="21"/>
                      <w:highlight w:val="none"/>
                      <w:lang w:eastAsia="zh-CN"/>
                    </w:rPr>
                    <w:t>等</w:t>
                  </w:r>
                  <w:r>
                    <w:rPr>
                      <w:rFonts w:hint="eastAsia" w:ascii="楷体" w:hAnsi="楷体" w:eastAsia="楷体" w:cs="楷体"/>
                      <w:color w:val="auto"/>
                      <w:sz w:val="21"/>
                      <w:szCs w:val="21"/>
                      <w:highlight w:val="none"/>
                    </w:rPr>
                    <w:t>现行有效的企业标准、团体标准、地方标准及产品明示质量要求</w:t>
                  </w:r>
                </w:p>
              </w:tc>
              <w:tc>
                <w:tcPr>
                  <w:tcW w:w="3908" w:type="dxa"/>
                  <w:gridSpan w:val="2"/>
                  <w:vAlign w:val="center"/>
                </w:tcPr>
                <w:p w14:paraId="007F2FC9">
                  <w:pPr>
                    <w:keepNext w:val="0"/>
                    <w:keepLines w:val="0"/>
                    <w:pageBreakBefore w:val="0"/>
                    <w:widowControl w:val="0"/>
                    <w:kinsoku/>
                    <w:wordWrap/>
                    <w:overflowPunct/>
                    <w:topLinePunct w:val="0"/>
                    <w:autoSpaceDE/>
                    <w:autoSpaceDN/>
                    <w:bidi w:val="0"/>
                    <w:adjustRightInd/>
                    <w:snapToGrid/>
                    <w:spacing w:line="360" w:lineRule="auto"/>
                    <w:ind w:left="0" w:right="0" w:rightChars="0"/>
                    <w:jc w:val="left"/>
                    <w:textAlignment w:val="auto"/>
                    <w:rPr>
                      <w:rFonts w:hint="eastAsia" w:ascii="楷体" w:hAnsi="楷体" w:eastAsia="楷体" w:cs="楷体"/>
                      <w:bCs/>
                      <w:sz w:val="21"/>
                      <w:szCs w:val="21"/>
                      <w:highlight w:val="none"/>
                      <w:lang w:val="en-US" w:eastAsia="zh-CN"/>
                    </w:rPr>
                  </w:pPr>
                  <w:r>
                    <w:rPr>
                      <w:rFonts w:hint="eastAsia" w:ascii="楷体" w:hAnsi="楷体" w:eastAsia="楷体" w:cs="楷体"/>
                      <w:bCs/>
                      <w:sz w:val="21"/>
                      <w:szCs w:val="21"/>
                      <w:highlight w:val="none"/>
                      <w:lang w:val="en-US" w:eastAsia="zh-CN"/>
                    </w:rPr>
                    <w:t>燃气用具连接用不锈钢波纹软管：气密性、耐压性、弯曲性、耐安装强度</w:t>
                  </w:r>
                </w:p>
                <w:p w14:paraId="0468D7B6">
                  <w:pPr>
                    <w:pStyle w:val="8"/>
                    <w:rPr>
                      <w:rFonts w:hint="eastAsia" w:ascii="楷体" w:hAnsi="楷体" w:eastAsia="楷体" w:cs="楷体"/>
                      <w:bCs/>
                      <w:color w:val="auto"/>
                      <w:kern w:val="2"/>
                      <w:sz w:val="21"/>
                      <w:szCs w:val="21"/>
                      <w:highlight w:val="none"/>
                      <w:lang w:val="en-US" w:eastAsia="zh-CN" w:bidi="ar-SA"/>
                    </w:rPr>
                  </w:pPr>
                  <w:r>
                    <w:rPr>
                      <w:rFonts w:hint="eastAsia" w:ascii="楷体" w:hAnsi="楷体" w:eastAsia="楷体" w:cs="楷体"/>
                      <w:bCs/>
                      <w:sz w:val="21"/>
                      <w:szCs w:val="21"/>
                      <w:highlight w:val="none"/>
                      <w:lang w:val="en-US" w:eastAsia="zh-CN" w:bidi="ar-SA"/>
                    </w:rPr>
                    <w:t>燃气用具连接用金属包覆软管：气密性、内层胶管（拉伸强度、拉断伸长率）、耐压性、耐安装强度</w:t>
                  </w:r>
                </w:p>
              </w:tc>
            </w:tr>
            <w:tr w14:paraId="0ACCB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4" w:type="dxa"/>
                  <w:vAlign w:val="center"/>
                </w:tcPr>
                <w:p w14:paraId="5B31D4CC">
                  <w:pPr>
                    <w:pageBreakBefore w:val="0"/>
                    <w:overflowPunct/>
                    <w:topLinePunct w:val="0"/>
                    <w:bidi w:val="0"/>
                    <w:snapToGrid/>
                    <w:spacing w:line="360" w:lineRule="auto"/>
                    <w:ind w:left="0" w:leftChars="0" w:right="0" w:rightChars="0"/>
                    <w:jc w:val="center"/>
                    <w:rPr>
                      <w:rFonts w:hint="eastAsia" w:ascii="楷体" w:hAnsi="楷体" w:eastAsia="楷体" w:cs="楷体"/>
                      <w:bCs/>
                      <w:color w:val="auto"/>
                      <w:kern w:val="2"/>
                      <w:sz w:val="21"/>
                      <w:szCs w:val="21"/>
                      <w:highlight w:val="none"/>
                      <w:lang w:val="en-US" w:eastAsia="zh-CN" w:bidi="ar-SA"/>
                    </w:rPr>
                  </w:pPr>
                  <w:r>
                    <w:rPr>
                      <w:rFonts w:hint="eastAsia" w:ascii="楷体" w:hAnsi="楷体" w:eastAsia="楷体" w:cs="楷体"/>
                      <w:b/>
                      <w:bCs w:val="0"/>
                      <w:sz w:val="21"/>
                      <w:szCs w:val="21"/>
                      <w:highlight w:val="none"/>
                      <w:lang w:val="en-US" w:eastAsia="zh-CN"/>
                    </w:rPr>
                    <w:t>户外燃气燃烧器具</w:t>
                  </w:r>
                </w:p>
              </w:tc>
              <w:tc>
                <w:tcPr>
                  <w:tcW w:w="2124" w:type="dxa"/>
                  <w:vAlign w:val="center"/>
                </w:tcPr>
                <w:p w14:paraId="6F3C4654">
                  <w:pPr>
                    <w:pageBreakBefore w:val="0"/>
                    <w:overflowPunct/>
                    <w:topLinePunct w:val="0"/>
                    <w:bidi w:val="0"/>
                    <w:snapToGrid/>
                    <w:spacing w:line="360" w:lineRule="auto"/>
                    <w:ind w:left="0" w:leftChars="0" w:right="0" w:rightChars="0"/>
                    <w:jc w:val="left"/>
                    <w:rPr>
                      <w:rFonts w:hint="eastAsia" w:ascii="楷体" w:hAnsi="楷体" w:eastAsia="楷体" w:cs="楷体"/>
                      <w:bCs/>
                      <w:color w:val="auto"/>
                      <w:kern w:val="2"/>
                      <w:sz w:val="21"/>
                      <w:szCs w:val="21"/>
                      <w:highlight w:val="none"/>
                      <w:lang w:val="en-US" w:eastAsia="zh-CN" w:bidi="ar-SA"/>
                    </w:rPr>
                  </w:pPr>
                  <w:bookmarkStart w:id="143" w:name="OLE_LINK38"/>
                  <w:r>
                    <w:rPr>
                      <w:rFonts w:hint="eastAsia" w:ascii="楷体" w:hAnsi="楷体" w:eastAsia="楷体" w:cs="楷体"/>
                      <w:bCs/>
                      <w:sz w:val="21"/>
                      <w:szCs w:val="21"/>
                      <w:highlight w:val="none"/>
                      <w:lang w:val="en-US" w:eastAsia="zh-CN"/>
                    </w:rPr>
                    <w:t>GB/T 38522</w:t>
                  </w:r>
                  <w:bookmarkEnd w:id="143"/>
                  <w:r>
                    <w:rPr>
                      <w:rFonts w:hint="eastAsia" w:ascii="楷体" w:hAnsi="楷体" w:eastAsia="楷体" w:cs="楷体"/>
                      <w:bCs/>
                      <w:sz w:val="21"/>
                      <w:szCs w:val="21"/>
                      <w:highlight w:val="none"/>
                      <w:lang w:val="en-US" w:eastAsia="zh-CN"/>
                    </w:rPr>
                    <w:t>-2020</w:t>
                  </w:r>
                  <w:r>
                    <w:rPr>
                      <w:rFonts w:hint="eastAsia" w:ascii="楷体" w:hAnsi="楷体" w:eastAsia="楷体" w:cs="楷体"/>
                      <w:color w:val="auto"/>
                      <w:sz w:val="21"/>
                      <w:szCs w:val="21"/>
                      <w:highlight w:val="none"/>
                      <w:lang w:eastAsia="zh-CN"/>
                    </w:rPr>
                    <w:t>等</w:t>
                  </w:r>
                  <w:r>
                    <w:rPr>
                      <w:rFonts w:hint="eastAsia" w:ascii="楷体" w:hAnsi="楷体" w:eastAsia="楷体" w:cs="楷体"/>
                      <w:color w:val="auto"/>
                      <w:sz w:val="21"/>
                      <w:szCs w:val="21"/>
                      <w:highlight w:val="none"/>
                    </w:rPr>
                    <w:t>现行有效的企业标准、团体标准、地方标准及产品明示质量要求</w:t>
                  </w:r>
                </w:p>
              </w:tc>
              <w:tc>
                <w:tcPr>
                  <w:tcW w:w="3908" w:type="dxa"/>
                  <w:gridSpan w:val="2"/>
                  <w:vAlign w:val="center"/>
                </w:tcPr>
                <w:p w14:paraId="1DC406DB">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left"/>
                    <w:textAlignment w:val="auto"/>
                    <w:rPr>
                      <w:rFonts w:hint="eastAsia" w:ascii="楷体" w:hAnsi="楷体" w:eastAsia="楷体" w:cs="楷体"/>
                      <w:bCs/>
                      <w:color w:val="auto"/>
                      <w:kern w:val="2"/>
                      <w:sz w:val="21"/>
                      <w:szCs w:val="21"/>
                      <w:highlight w:val="none"/>
                      <w:lang w:val="en-US" w:eastAsia="zh-CN" w:bidi="ar-SA"/>
                    </w:rPr>
                  </w:pPr>
                  <w:r>
                    <w:rPr>
                      <w:rFonts w:hint="eastAsia" w:ascii="楷体" w:hAnsi="楷体" w:eastAsia="楷体" w:cs="楷体"/>
                      <w:bCs/>
                      <w:sz w:val="21"/>
                      <w:szCs w:val="21"/>
                      <w:highlight w:val="none"/>
                      <w:lang w:val="en-US" w:eastAsia="zh-CN" w:bidi="ar-SA"/>
                    </w:rPr>
                    <w:t>燃烧工况（火焰传递、火焰状态、运行噪声、熄火噪声）、点火器性能、表面温升、燃具稳定性、小气瓶燃具的特殊要求（气密性、燃气通路的耐压、过压切断装置）</w:t>
                  </w:r>
                </w:p>
              </w:tc>
            </w:tr>
          </w:tbl>
          <w:p w14:paraId="58A54073">
            <w:pPr>
              <w:pStyle w:val="24"/>
              <w:keepNext/>
              <w:keepLines/>
              <w:pBdr>
                <w:bottom w:val="single" w:color="auto" w:sz="4" w:space="0"/>
              </w:pBdr>
              <w:spacing w:after="156" w:afterLines="50" w:line="622" w:lineRule="exact"/>
              <w:ind w:left="0" w:leftChars="0" w:firstLine="0" w:firstLineChars="0"/>
              <w:jc w:val="both"/>
              <w:rPr>
                <w:rFonts w:hint="eastAsia" w:ascii="楷体" w:hAnsi="楷体" w:eastAsia="楷体" w:cs="楷体"/>
                <w:b/>
                <w:bCs/>
                <w:color w:val="000000"/>
                <w:sz w:val="21"/>
                <w:szCs w:val="21"/>
                <w:highlight w:val="none"/>
              </w:rPr>
            </w:pPr>
            <w:r>
              <w:rPr>
                <w:rFonts w:hint="eastAsia" w:ascii="楷体" w:hAnsi="楷体" w:eastAsia="楷体" w:cs="楷体"/>
                <w:b/>
                <w:bCs/>
                <w:color w:val="000000"/>
                <w:sz w:val="21"/>
                <w:szCs w:val="21"/>
                <w:highlight w:val="none"/>
                <w:lang w:val="en-US" w:eastAsia="zh-CN"/>
              </w:rPr>
              <w:t>三</w:t>
            </w:r>
            <w:r>
              <w:rPr>
                <w:rFonts w:hint="eastAsia" w:ascii="楷体" w:hAnsi="楷体" w:eastAsia="楷体" w:cs="楷体"/>
                <w:b/>
                <w:bCs/>
                <w:color w:val="000000"/>
                <w:sz w:val="21"/>
                <w:szCs w:val="21"/>
                <w:highlight w:val="none"/>
              </w:rPr>
              <w:t>、商务要求</w:t>
            </w:r>
          </w:p>
          <w:p w14:paraId="0AAE2494">
            <w:pPr>
              <w:pStyle w:val="23"/>
              <w:spacing w:after="0" w:line="520" w:lineRule="exact"/>
              <w:ind w:firstLine="420" w:firstLineChars="200"/>
              <w:jc w:val="both"/>
              <w:rPr>
                <w:rFonts w:hint="eastAsia" w:ascii="楷体" w:hAnsi="楷体" w:eastAsia="楷体" w:cs="楷体"/>
                <w:color w:val="000000"/>
                <w:sz w:val="21"/>
                <w:szCs w:val="21"/>
                <w:highlight w:val="none"/>
              </w:rPr>
            </w:pPr>
            <w:r>
              <w:rPr>
                <w:rFonts w:hint="eastAsia" w:ascii="楷体" w:hAnsi="楷体" w:eastAsia="楷体" w:cs="楷体"/>
                <w:color w:val="000000"/>
                <w:sz w:val="21"/>
                <w:szCs w:val="21"/>
                <w:highlight w:val="none"/>
              </w:rPr>
              <w:t>（一）服务期限及地点</w:t>
            </w:r>
          </w:p>
          <w:p w14:paraId="00564BF5">
            <w:pPr>
              <w:pStyle w:val="23"/>
              <w:spacing w:after="0" w:line="520" w:lineRule="exact"/>
              <w:ind w:firstLine="420" w:firstLineChars="200"/>
              <w:jc w:val="both"/>
              <w:rPr>
                <w:rFonts w:hint="eastAsia" w:ascii="楷体" w:hAnsi="楷体" w:eastAsia="楷体" w:cs="楷体"/>
                <w:color w:val="000000"/>
                <w:sz w:val="21"/>
                <w:szCs w:val="21"/>
                <w:highlight w:val="none"/>
              </w:rPr>
            </w:pPr>
            <w:r>
              <w:rPr>
                <w:rFonts w:hint="eastAsia" w:ascii="楷体" w:hAnsi="楷体" w:eastAsia="楷体" w:cs="楷体"/>
                <w:color w:val="000000"/>
                <w:sz w:val="21"/>
                <w:szCs w:val="21"/>
                <w:highlight w:val="none"/>
              </w:rPr>
              <w:t>1.服务期限：自合同签订之日起至</w:t>
            </w:r>
            <w:r>
              <w:rPr>
                <w:rFonts w:hint="eastAsia" w:ascii="楷体" w:hAnsi="楷体" w:eastAsia="楷体" w:cs="楷体"/>
                <w:color w:val="000000"/>
                <w:sz w:val="21"/>
                <w:szCs w:val="21"/>
                <w:highlight w:val="none"/>
                <w:lang w:val="en-US" w:eastAsia="zh-CN"/>
              </w:rPr>
              <w:t>12</w:t>
            </w:r>
            <w:r>
              <w:rPr>
                <w:rFonts w:hint="eastAsia" w:ascii="楷体" w:hAnsi="楷体" w:eastAsia="楷体" w:cs="楷体"/>
                <w:color w:val="000000"/>
                <w:sz w:val="21"/>
                <w:szCs w:val="21"/>
                <w:highlight w:val="none"/>
              </w:rPr>
              <w:t>月底，</w:t>
            </w:r>
            <w:r>
              <w:rPr>
                <w:rFonts w:hint="eastAsia" w:ascii="楷体" w:hAnsi="楷体" w:eastAsia="楷体" w:cs="楷体"/>
                <w:color w:val="000000"/>
                <w:sz w:val="21"/>
                <w:szCs w:val="21"/>
                <w:highlight w:val="none"/>
                <w:lang w:eastAsia="zh-CN"/>
              </w:rPr>
              <w:t>分批次完成质量监督抽查</w:t>
            </w:r>
            <w:r>
              <w:rPr>
                <w:rFonts w:hint="eastAsia" w:ascii="楷体" w:hAnsi="楷体" w:eastAsia="楷体" w:cs="楷体"/>
                <w:color w:val="000000"/>
                <w:sz w:val="21"/>
                <w:szCs w:val="21"/>
                <w:highlight w:val="none"/>
              </w:rPr>
              <w:t>。</w:t>
            </w:r>
          </w:p>
          <w:p w14:paraId="144F61AE">
            <w:pPr>
              <w:pStyle w:val="23"/>
              <w:spacing w:after="0" w:line="520" w:lineRule="exact"/>
              <w:ind w:firstLine="420" w:firstLineChars="200"/>
              <w:jc w:val="both"/>
              <w:rPr>
                <w:rFonts w:hint="eastAsia" w:ascii="楷体" w:hAnsi="楷体" w:eastAsia="楷体" w:cs="楷体"/>
                <w:color w:val="000000"/>
                <w:sz w:val="21"/>
                <w:szCs w:val="21"/>
                <w:highlight w:val="none"/>
              </w:rPr>
            </w:pPr>
            <w:r>
              <w:rPr>
                <w:rFonts w:hint="eastAsia" w:ascii="楷体" w:hAnsi="楷体" w:eastAsia="楷体" w:cs="楷体"/>
                <w:color w:val="000000"/>
                <w:sz w:val="21"/>
                <w:szCs w:val="21"/>
                <w:highlight w:val="none"/>
              </w:rPr>
              <w:t>2.服务地点：采购方指定地点。</w:t>
            </w:r>
          </w:p>
          <w:p w14:paraId="5B97E258">
            <w:pPr>
              <w:pStyle w:val="23"/>
              <w:spacing w:after="0" w:line="520" w:lineRule="exact"/>
              <w:ind w:firstLine="420" w:firstLineChars="200"/>
              <w:jc w:val="both"/>
              <w:rPr>
                <w:rFonts w:hint="eastAsia" w:ascii="楷体" w:hAnsi="楷体" w:eastAsia="楷体" w:cs="楷体"/>
                <w:color w:val="000000"/>
                <w:sz w:val="21"/>
                <w:szCs w:val="21"/>
                <w:highlight w:val="none"/>
              </w:rPr>
            </w:pPr>
            <w:r>
              <w:rPr>
                <w:rFonts w:hint="eastAsia" w:ascii="楷体" w:hAnsi="楷体" w:eastAsia="楷体" w:cs="楷体"/>
                <w:color w:val="000000"/>
                <w:sz w:val="21"/>
                <w:szCs w:val="21"/>
                <w:highlight w:val="none"/>
              </w:rPr>
              <w:t>（二）款项结算</w:t>
            </w:r>
          </w:p>
          <w:p w14:paraId="1E3D8E4C">
            <w:pPr>
              <w:pStyle w:val="23"/>
              <w:spacing w:after="0" w:line="520" w:lineRule="exact"/>
              <w:ind w:firstLine="420" w:firstLineChars="200"/>
              <w:jc w:val="both"/>
              <w:rPr>
                <w:rFonts w:hint="eastAsia" w:ascii="楷体" w:hAnsi="楷体" w:eastAsia="楷体" w:cs="楷体"/>
                <w:color w:val="000000"/>
                <w:sz w:val="21"/>
                <w:szCs w:val="21"/>
                <w:highlight w:val="none"/>
              </w:rPr>
            </w:pPr>
            <w:r>
              <w:rPr>
                <w:rFonts w:hint="eastAsia" w:ascii="楷体" w:hAnsi="楷体" w:eastAsia="楷体" w:cs="楷体"/>
                <w:color w:val="000000"/>
                <w:sz w:val="21"/>
                <w:szCs w:val="21"/>
                <w:highlight w:val="none"/>
              </w:rPr>
              <w:t>根据采购方工作实际需求进行分批</w:t>
            </w:r>
            <w:r>
              <w:rPr>
                <w:rFonts w:hint="eastAsia" w:ascii="楷体" w:hAnsi="楷体" w:eastAsia="楷体" w:cs="楷体"/>
                <w:color w:val="000000"/>
                <w:sz w:val="21"/>
                <w:szCs w:val="21"/>
                <w:highlight w:val="none"/>
                <w:lang w:eastAsia="zh-CN"/>
              </w:rPr>
              <w:t>监督抽查</w:t>
            </w:r>
            <w:r>
              <w:rPr>
                <w:rFonts w:hint="eastAsia" w:ascii="楷体" w:hAnsi="楷体" w:eastAsia="楷体" w:cs="楷体"/>
                <w:color w:val="000000"/>
                <w:sz w:val="21"/>
                <w:szCs w:val="21"/>
                <w:highlight w:val="none"/>
              </w:rPr>
              <w:t>。</w:t>
            </w:r>
          </w:p>
          <w:p w14:paraId="49281848">
            <w:pPr>
              <w:pStyle w:val="23"/>
              <w:spacing w:after="0" w:line="520" w:lineRule="exact"/>
              <w:ind w:firstLine="420" w:firstLineChars="200"/>
              <w:jc w:val="both"/>
              <w:rPr>
                <w:rFonts w:hint="eastAsia" w:ascii="楷体" w:hAnsi="楷体" w:eastAsia="楷体" w:cs="楷体"/>
                <w:color w:val="000000"/>
                <w:sz w:val="21"/>
                <w:szCs w:val="21"/>
                <w:highlight w:val="none"/>
                <w:lang w:val="en-US" w:eastAsia="zh-CN"/>
              </w:rPr>
            </w:pPr>
            <w:r>
              <w:rPr>
                <w:rFonts w:hint="eastAsia" w:ascii="楷体" w:hAnsi="楷体" w:eastAsia="楷体" w:cs="楷体"/>
                <w:color w:val="000000"/>
                <w:sz w:val="21"/>
                <w:szCs w:val="21"/>
                <w:highlight w:val="none"/>
                <w:lang w:val="en-US" w:eastAsia="zh-CN"/>
              </w:rPr>
              <w:t>1.合同签订后10个工作日内支付合同总价款的60%作为预付款。</w:t>
            </w:r>
          </w:p>
          <w:p w14:paraId="19CAE26A">
            <w:pPr>
              <w:pStyle w:val="23"/>
              <w:spacing w:after="0" w:line="520" w:lineRule="exact"/>
              <w:ind w:firstLine="420" w:firstLineChars="200"/>
              <w:jc w:val="both"/>
              <w:rPr>
                <w:rFonts w:hint="eastAsia" w:ascii="楷体" w:hAnsi="楷体" w:eastAsia="楷体" w:cs="楷体"/>
                <w:color w:val="000000"/>
                <w:sz w:val="21"/>
                <w:szCs w:val="21"/>
                <w:highlight w:val="none"/>
                <w:lang w:val="en-US" w:eastAsia="zh-CN"/>
              </w:rPr>
            </w:pPr>
            <w:r>
              <w:rPr>
                <w:rFonts w:hint="eastAsia" w:ascii="楷体" w:hAnsi="楷体" w:eastAsia="楷体" w:cs="楷体"/>
                <w:color w:val="000000"/>
                <w:sz w:val="21"/>
                <w:szCs w:val="21"/>
                <w:highlight w:val="none"/>
                <w:lang w:val="en-US" w:eastAsia="zh-CN"/>
              </w:rPr>
              <w:t>2.质量监督抽查工作完成后，由委托方按照工作程序进行验收并以单项最终成交价格为准据实结算，预算金额结算完毕为止。</w:t>
            </w:r>
          </w:p>
          <w:p w14:paraId="3BF440A4">
            <w:pPr>
              <w:pStyle w:val="23"/>
              <w:spacing w:after="0" w:line="520" w:lineRule="exact"/>
              <w:ind w:firstLine="420" w:firstLineChars="200"/>
              <w:jc w:val="both"/>
              <w:rPr>
                <w:rFonts w:hint="eastAsia" w:ascii="楷体" w:hAnsi="楷体" w:eastAsia="楷体" w:cs="楷体"/>
                <w:color w:val="000000"/>
                <w:sz w:val="21"/>
                <w:szCs w:val="21"/>
                <w:highlight w:val="none"/>
              </w:rPr>
            </w:pPr>
            <w:r>
              <w:rPr>
                <w:rFonts w:hint="eastAsia" w:ascii="楷体" w:hAnsi="楷体" w:eastAsia="楷体" w:cs="楷体"/>
                <w:color w:val="000000"/>
                <w:sz w:val="21"/>
                <w:szCs w:val="21"/>
                <w:highlight w:val="none"/>
              </w:rPr>
              <w:t>（三）合同实施</w:t>
            </w:r>
          </w:p>
          <w:p w14:paraId="42161A9E">
            <w:pPr>
              <w:pStyle w:val="23"/>
              <w:spacing w:after="0" w:line="520" w:lineRule="exact"/>
              <w:ind w:firstLine="420" w:firstLineChars="200"/>
              <w:jc w:val="both"/>
              <w:rPr>
                <w:rFonts w:hint="eastAsia" w:ascii="楷体" w:hAnsi="楷体" w:eastAsia="楷体" w:cs="楷体"/>
                <w:color w:val="000000"/>
                <w:sz w:val="21"/>
                <w:szCs w:val="21"/>
                <w:highlight w:val="none"/>
              </w:rPr>
            </w:pPr>
            <w:r>
              <w:rPr>
                <w:rFonts w:hint="eastAsia" w:ascii="楷体" w:hAnsi="楷体" w:eastAsia="楷体" w:cs="楷体"/>
                <w:color w:val="000000"/>
                <w:sz w:val="21"/>
                <w:szCs w:val="21"/>
                <w:highlight w:val="none"/>
              </w:rPr>
              <w:t>1.成交单位应在合同签订后接招标人通知之日起7个日历日内对</w:t>
            </w:r>
            <w:r>
              <w:rPr>
                <w:rFonts w:hint="eastAsia" w:ascii="楷体" w:hAnsi="楷体" w:eastAsia="楷体" w:cs="楷体"/>
                <w:color w:val="000000"/>
                <w:sz w:val="21"/>
                <w:szCs w:val="21"/>
                <w:highlight w:val="none"/>
                <w:lang w:eastAsia="zh-CN"/>
              </w:rPr>
              <w:t>质量监督抽查工作</w:t>
            </w:r>
            <w:r>
              <w:rPr>
                <w:rFonts w:hint="eastAsia" w:ascii="楷体" w:hAnsi="楷体" w:eastAsia="楷体" w:cs="楷体"/>
                <w:color w:val="000000"/>
                <w:sz w:val="21"/>
                <w:szCs w:val="21"/>
                <w:highlight w:val="none"/>
              </w:rPr>
              <w:t>进行安排、部署、计划。</w:t>
            </w:r>
          </w:p>
          <w:p w14:paraId="2B440483">
            <w:pPr>
              <w:pStyle w:val="23"/>
              <w:spacing w:after="0" w:line="520" w:lineRule="exact"/>
              <w:ind w:firstLine="420" w:firstLineChars="200"/>
              <w:jc w:val="both"/>
              <w:rPr>
                <w:rFonts w:hint="eastAsia" w:ascii="楷体" w:hAnsi="楷体" w:eastAsia="楷体" w:cs="楷体"/>
                <w:color w:val="000000"/>
                <w:sz w:val="21"/>
                <w:szCs w:val="21"/>
                <w:highlight w:val="none"/>
              </w:rPr>
            </w:pPr>
            <w:r>
              <w:rPr>
                <w:rFonts w:hint="eastAsia" w:ascii="楷体" w:hAnsi="楷体" w:eastAsia="楷体" w:cs="楷体"/>
                <w:color w:val="000000"/>
                <w:sz w:val="21"/>
                <w:szCs w:val="21"/>
                <w:highlight w:val="none"/>
              </w:rPr>
              <w:t>2.若未能在按照项目实际工作时间完成规定的义务，由此对采购单位造成的延误和一切损失，由成交单位承担和赔偿。</w:t>
            </w:r>
          </w:p>
          <w:p w14:paraId="756BBA9D">
            <w:pPr>
              <w:pStyle w:val="24"/>
              <w:keepNext/>
              <w:keepLines/>
              <w:pBdr>
                <w:bottom w:val="single" w:color="auto" w:sz="4" w:space="0"/>
              </w:pBdr>
              <w:spacing w:after="156" w:afterLines="50" w:line="622" w:lineRule="exact"/>
              <w:ind w:left="0" w:leftChars="0" w:firstLine="0" w:firstLineChars="0"/>
              <w:jc w:val="both"/>
              <w:rPr>
                <w:rFonts w:hint="eastAsia" w:ascii="楷体" w:hAnsi="楷体" w:eastAsia="楷体" w:cs="楷体"/>
                <w:b/>
                <w:bCs/>
                <w:color w:val="000000"/>
                <w:sz w:val="21"/>
                <w:szCs w:val="21"/>
                <w:highlight w:val="none"/>
              </w:rPr>
            </w:pPr>
            <w:r>
              <w:rPr>
                <w:rFonts w:hint="eastAsia" w:ascii="楷体" w:hAnsi="楷体" w:eastAsia="楷体" w:cs="楷体"/>
                <w:b/>
                <w:bCs/>
                <w:color w:val="000000"/>
                <w:sz w:val="21"/>
                <w:szCs w:val="21"/>
                <w:highlight w:val="none"/>
                <w:lang w:val="en-US" w:eastAsia="zh-CN"/>
              </w:rPr>
              <w:t>四</w:t>
            </w:r>
            <w:r>
              <w:rPr>
                <w:rFonts w:hint="eastAsia" w:ascii="楷体" w:hAnsi="楷体" w:eastAsia="楷体" w:cs="楷体"/>
                <w:b/>
                <w:bCs/>
                <w:color w:val="000000"/>
                <w:sz w:val="21"/>
                <w:szCs w:val="21"/>
                <w:highlight w:val="none"/>
              </w:rPr>
              <w:t>、其他</w:t>
            </w:r>
          </w:p>
          <w:p w14:paraId="7C734CD0">
            <w:pPr>
              <w:pStyle w:val="23"/>
              <w:spacing w:after="0" w:line="520" w:lineRule="exact"/>
              <w:ind w:firstLine="420" w:firstLineChars="200"/>
              <w:jc w:val="both"/>
              <w:rPr>
                <w:rFonts w:hint="eastAsia" w:ascii="楷体" w:hAnsi="楷体" w:eastAsia="楷体" w:cs="楷体"/>
                <w:color w:val="000000"/>
                <w:sz w:val="21"/>
                <w:szCs w:val="21"/>
                <w:highlight w:val="none"/>
              </w:rPr>
            </w:pPr>
            <w:r>
              <w:rPr>
                <w:rFonts w:hint="eastAsia" w:ascii="楷体" w:hAnsi="楷体" w:eastAsia="楷体" w:cs="楷体"/>
                <w:color w:val="000000"/>
                <w:sz w:val="21"/>
                <w:szCs w:val="21"/>
                <w:highlight w:val="none"/>
              </w:rPr>
              <w:t>（</w:t>
            </w:r>
            <w:r>
              <w:rPr>
                <w:rFonts w:hint="eastAsia" w:ascii="楷体" w:hAnsi="楷体" w:eastAsia="楷体" w:cs="楷体"/>
                <w:color w:val="000000"/>
                <w:sz w:val="21"/>
                <w:szCs w:val="21"/>
                <w:highlight w:val="none"/>
                <w:lang w:val="en-US" w:eastAsia="zh-CN"/>
              </w:rPr>
              <w:t>一</w:t>
            </w:r>
            <w:r>
              <w:rPr>
                <w:rFonts w:hint="eastAsia" w:ascii="楷体" w:hAnsi="楷体" w:eastAsia="楷体" w:cs="楷体"/>
                <w:color w:val="000000"/>
                <w:sz w:val="21"/>
                <w:szCs w:val="21"/>
                <w:highlight w:val="none"/>
              </w:rPr>
              <w:t>）验收标准或规范</w:t>
            </w:r>
          </w:p>
          <w:p w14:paraId="34F7FC25">
            <w:pPr>
              <w:pStyle w:val="23"/>
              <w:spacing w:after="0" w:line="520" w:lineRule="exact"/>
              <w:ind w:firstLine="420" w:firstLineChars="200"/>
              <w:jc w:val="both"/>
              <w:rPr>
                <w:rFonts w:hint="eastAsia" w:ascii="楷体" w:hAnsi="楷体" w:eastAsia="楷体" w:cs="楷体"/>
                <w:color w:val="000000"/>
                <w:sz w:val="21"/>
                <w:szCs w:val="21"/>
                <w:highlight w:val="none"/>
              </w:rPr>
            </w:pPr>
            <w:r>
              <w:rPr>
                <w:rFonts w:hint="eastAsia" w:ascii="楷体" w:hAnsi="楷体" w:eastAsia="楷体" w:cs="楷体"/>
                <w:color w:val="000000"/>
                <w:sz w:val="21"/>
                <w:szCs w:val="21"/>
                <w:highlight w:val="none"/>
              </w:rPr>
              <w:t>1.在</w:t>
            </w:r>
            <w:r>
              <w:rPr>
                <w:rFonts w:hint="eastAsia" w:ascii="楷体" w:hAnsi="楷体" w:eastAsia="楷体" w:cs="楷体"/>
                <w:color w:val="000000"/>
                <w:sz w:val="21"/>
                <w:szCs w:val="21"/>
                <w:highlight w:val="none"/>
                <w:lang w:eastAsia="zh-CN"/>
              </w:rPr>
              <w:t>批次抽检工作完成后</w:t>
            </w:r>
            <w:r>
              <w:rPr>
                <w:rFonts w:hint="eastAsia" w:ascii="楷体" w:hAnsi="楷体" w:eastAsia="楷体" w:cs="楷体"/>
                <w:color w:val="000000"/>
                <w:sz w:val="21"/>
                <w:szCs w:val="21"/>
                <w:highlight w:val="none"/>
              </w:rPr>
              <w:t>，服务商应对实施的效果等进行准确而全面的</w:t>
            </w:r>
            <w:r>
              <w:rPr>
                <w:rFonts w:hint="eastAsia" w:ascii="楷体" w:hAnsi="楷体" w:eastAsia="楷体" w:cs="楷体"/>
                <w:color w:val="000000"/>
                <w:sz w:val="21"/>
                <w:szCs w:val="21"/>
                <w:highlight w:val="none"/>
                <w:lang w:eastAsia="zh-CN"/>
              </w:rPr>
              <w:t>总结评估</w:t>
            </w:r>
            <w:r>
              <w:rPr>
                <w:rFonts w:hint="eastAsia" w:ascii="楷体" w:hAnsi="楷体" w:eastAsia="楷体" w:cs="楷体"/>
                <w:color w:val="000000"/>
                <w:sz w:val="21"/>
                <w:szCs w:val="21"/>
                <w:highlight w:val="none"/>
              </w:rPr>
              <w:t>，并出具</w:t>
            </w:r>
            <w:r>
              <w:rPr>
                <w:rFonts w:hint="eastAsia" w:ascii="楷体" w:hAnsi="楷体" w:eastAsia="楷体" w:cs="楷体"/>
                <w:color w:val="000000"/>
                <w:sz w:val="21"/>
                <w:szCs w:val="21"/>
                <w:highlight w:val="none"/>
                <w:lang w:eastAsia="zh-CN"/>
              </w:rPr>
              <w:t>抽检</w:t>
            </w:r>
            <w:r>
              <w:rPr>
                <w:rFonts w:hint="eastAsia" w:ascii="楷体" w:hAnsi="楷体" w:eastAsia="楷体" w:cs="楷体"/>
                <w:color w:val="000000"/>
                <w:sz w:val="21"/>
                <w:szCs w:val="21"/>
                <w:highlight w:val="none"/>
              </w:rPr>
              <w:t>报告。</w:t>
            </w:r>
          </w:p>
          <w:p w14:paraId="6116ADCE">
            <w:pPr>
              <w:pStyle w:val="23"/>
              <w:spacing w:after="0" w:line="520" w:lineRule="exact"/>
              <w:ind w:firstLine="420" w:firstLineChars="200"/>
              <w:jc w:val="both"/>
              <w:rPr>
                <w:rFonts w:hint="eastAsia" w:ascii="楷体" w:hAnsi="楷体" w:eastAsia="楷体" w:cs="楷体"/>
                <w:color w:val="000000"/>
                <w:sz w:val="21"/>
                <w:szCs w:val="21"/>
                <w:highlight w:val="none"/>
              </w:rPr>
            </w:pPr>
            <w:r>
              <w:rPr>
                <w:rFonts w:hint="eastAsia" w:ascii="楷体" w:hAnsi="楷体" w:eastAsia="楷体" w:cs="楷体"/>
                <w:color w:val="000000"/>
                <w:sz w:val="21"/>
                <w:szCs w:val="21"/>
                <w:highlight w:val="none"/>
              </w:rPr>
              <w:t>2.采购人应按照政府采购合同约定的服务内容与标准组织对服务商服务内容进行验收。验收内容包含</w:t>
            </w:r>
            <w:r>
              <w:rPr>
                <w:rFonts w:hint="eastAsia" w:ascii="楷体" w:hAnsi="楷体" w:eastAsia="楷体" w:cs="楷体"/>
                <w:color w:val="000000"/>
                <w:sz w:val="21"/>
                <w:szCs w:val="21"/>
                <w:highlight w:val="none"/>
                <w:lang w:eastAsia="zh-CN"/>
              </w:rPr>
              <w:t>人员投入</w:t>
            </w:r>
            <w:r>
              <w:rPr>
                <w:rFonts w:hint="eastAsia" w:ascii="楷体" w:hAnsi="楷体" w:eastAsia="楷体" w:cs="楷体"/>
                <w:color w:val="000000"/>
                <w:sz w:val="21"/>
                <w:szCs w:val="21"/>
                <w:highlight w:val="none"/>
              </w:rPr>
              <w:t>情况、</w:t>
            </w:r>
            <w:r>
              <w:rPr>
                <w:rFonts w:hint="eastAsia" w:ascii="楷体" w:hAnsi="楷体" w:eastAsia="楷体" w:cs="楷体"/>
                <w:color w:val="000000"/>
                <w:sz w:val="21"/>
                <w:szCs w:val="21"/>
                <w:highlight w:val="none"/>
                <w:lang w:eastAsia="zh-CN"/>
              </w:rPr>
              <w:t>实际抽检批次数量、抽检效果</w:t>
            </w:r>
            <w:r>
              <w:rPr>
                <w:rFonts w:hint="eastAsia" w:ascii="楷体" w:hAnsi="楷体" w:eastAsia="楷体" w:cs="楷体"/>
                <w:color w:val="000000"/>
                <w:sz w:val="21"/>
                <w:szCs w:val="21"/>
                <w:highlight w:val="none"/>
              </w:rPr>
              <w:t>以及其他服务内容的履约完成情况。</w:t>
            </w:r>
          </w:p>
          <w:p w14:paraId="298ADE43">
            <w:pPr>
              <w:pStyle w:val="23"/>
              <w:spacing w:after="0" w:line="520" w:lineRule="exact"/>
              <w:ind w:firstLine="420" w:firstLineChars="200"/>
              <w:jc w:val="both"/>
              <w:rPr>
                <w:rFonts w:hint="eastAsia" w:ascii="楷体" w:hAnsi="楷体" w:eastAsia="楷体" w:cs="楷体"/>
                <w:color w:val="000000"/>
                <w:sz w:val="21"/>
                <w:szCs w:val="21"/>
                <w:highlight w:val="none"/>
              </w:rPr>
            </w:pPr>
            <w:r>
              <w:rPr>
                <w:rFonts w:hint="eastAsia" w:ascii="楷体" w:hAnsi="楷体" w:eastAsia="楷体" w:cs="楷体"/>
                <w:color w:val="000000"/>
                <w:sz w:val="21"/>
                <w:szCs w:val="21"/>
                <w:highlight w:val="none"/>
              </w:rPr>
              <w:t>3.服务商应向采购人提交项目实施过程中的所有资料，主动配合采购方完成验收工作程序。</w:t>
            </w:r>
          </w:p>
          <w:p w14:paraId="4A6B9357">
            <w:pPr>
              <w:pStyle w:val="23"/>
              <w:spacing w:after="0" w:line="520" w:lineRule="exact"/>
              <w:ind w:firstLine="420" w:firstLineChars="200"/>
              <w:jc w:val="both"/>
              <w:rPr>
                <w:rFonts w:hint="eastAsia" w:ascii="楷体" w:hAnsi="楷体" w:eastAsia="楷体" w:cs="楷体"/>
                <w:color w:val="000000"/>
                <w:sz w:val="21"/>
                <w:szCs w:val="21"/>
                <w:highlight w:val="none"/>
              </w:rPr>
            </w:pPr>
            <w:r>
              <w:rPr>
                <w:rFonts w:hint="eastAsia" w:ascii="楷体" w:hAnsi="楷体" w:eastAsia="楷体" w:cs="楷体"/>
                <w:color w:val="000000"/>
                <w:sz w:val="21"/>
                <w:szCs w:val="21"/>
                <w:highlight w:val="none"/>
              </w:rPr>
              <w:t>4.验收合格后，填写政府采购项目验收单（一式伍份）。</w:t>
            </w:r>
          </w:p>
          <w:p w14:paraId="4DE4BEEA">
            <w:pPr>
              <w:pStyle w:val="23"/>
              <w:spacing w:after="0" w:line="520" w:lineRule="exact"/>
              <w:ind w:firstLine="420" w:firstLineChars="200"/>
              <w:jc w:val="both"/>
              <w:rPr>
                <w:rFonts w:hint="eastAsia" w:ascii="楷体" w:hAnsi="楷体" w:eastAsia="楷体" w:cs="楷体"/>
                <w:color w:val="000000"/>
                <w:sz w:val="21"/>
                <w:szCs w:val="21"/>
                <w:highlight w:val="none"/>
              </w:rPr>
            </w:pPr>
            <w:r>
              <w:rPr>
                <w:rFonts w:hint="eastAsia" w:ascii="楷体" w:hAnsi="楷体" w:eastAsia="楷体" w:cs="楷体"/>
                <w:color w:val="000000"/>
                <w:sz w:val="21"/>
                <w:szCs w:val="21"/>
                <w:highlight w:val="none"/>
              </w:rPr>
              <w:t>（</w:t>
            </w:r>
            <w:r>
              <w:rPr>
                <w:rFonts w:hint="eastAsia" w:ascii="楷体" w:hAnsi="楷体" w:eastAsia="楷体" w:cs="楷体"/>
                <w:color w:val="000000"/>
                <w:sz w:val="21"/>
                <w:szCs w:val="21"/>
                <w:highlight w:val="none"/>
                <w:lang w:val="en-US" w:eastAsia="zh-CN"/>
              </w:rPr>
              <w:t>二</w:t>
            </w:r>
            <w:r>
              <w:rPr>
                <w:rFonts w:hint="eastAsia" w:ascii="楷体" w:hAnsi="楷体" w:eastAsia="楷体" w:cs="楷体"/>
                <w:color w:val="000000"/>
                <w:sz w:val="21"/>
                <w:szCs w:val="21"/>
                <w:highlight w:val="none"/>
              </w:rPr>
              <w:t>）违约责任</w:t>
            </w:r>
          </w:p>
          <w:p w14:paraId="3FBD31A3">
            <w:pPr>
              <w:pStyle w:val="23"/>
              <w:spacing w:after="0" w:line="520" w:lineRule="exact"/>
              <w:ind w:firstLine="420" w:firstLineChars="200"/>
              <w:jc w:val="both"/>
              <w:rPr>
                <w:rFonts w:hint="eastAsia" w:ascii="楷体" w:hAnsi="楷体" w:eastAsia="楷体" w:cs="楷体"/>
                <w:color w:val="000000"/>
                <w:sz w:val="21"/>
                <w:szCs w:val="21"/>
                <w:highlight w:val="none"/>
              </w:rPr>
            </w:pPr>
            <w:r>
              <w:rPr>
                <w:rFonts w:hint="eastAsia" w:ascii="楷体" w:hAnsi="楷体" w:eastAsia="楷体" w:cs="楷体"/>
                <w:color w:val="000000"/>
                <w:sz w:val="21"/>
                <w:szCs w:val="21"/>
                <w:highlight w:val="none"/>
              </w:rPr>
              <w:t>1.按《中华人民共和国民法典》中的相关条款执行。</w:t>
            </w:r>
          </w:p>
          <w:p w14:paraId="23E58277">
            <w:pPr>
              <w:pStyle w:val="23"/>
              <w:spacing w:after="0" w:line="520" w:lineRule="exact"/>
              <w:ind w:firstLine="420" w:firstLineChars="200"/>
              <w:jc w:val="both"/>
              <w:rPr>
                <w:rFonts w:hint="eastAsia" w:ascii="楷体" w:hAnsi="楷体" w:eastAsia="楷体" w:cs="楷体"/>
                <w:color w:val="000000"/>
                <w:sz w:val="21"/>
                <w:szCs w:val="21"/>
                <w:highlight w:val="none"/>
              </w:rPr>
            </w:pPr>
            <w:r>
              <w:rPr>
                <w:rFonts w:hint="eastAsia" w:ascii="楷体" w:hAnsi="楷体" w:eastAsia="楷体" w:cs="楷体"/>
                <w:color w:val="000000"/>
                <w:sz w:val="21"/>
                <w:szCs w:val="21"/>
                <w:highlight w:val="none"/>
              </w:rPr>
              <w:t>2.未按合同要求提供服务或服务质量不能满足服务要求和标准，采购方有权终止合同，并对供方违约行为进行追究，同时按《中华人民共和国政府采购法》的有关规定进行处罚。</w:t>
            </w:r>
          </w:p>
          <w:p w14:paraId="69BF2ADF">
            <w:pPr>
              <w:pStyle w:val="23"/>
              <w:spacing w:after="0" w:line="520" w:lineRule="exact"/>
              <w:ind w:firstLine="420" w:firstLineChars="200"/>
              <w:jc w:val="both"/>
              <w:rPr>
                <w:rFonts w:hint="eastAsia" w:ascii="楷体" w:hAnsi="楷体" w:eastAsia="楷体" w:cs="楷体"/>
                <w:color w:val="000000"/>
                <w:sz w:val="21"/>
                <w:szCs w:val="21"/>
                <w:highlight w:val="none"/>
              </w:rPr>
            </w:pPr>
            <w:r>
              <w:rPr>
                <w:rFonts w:hint="eastAsia" w:ascii="楷体" w:hAnsi="楷体" w:eastAsia="楷体" w:cs="楷体"/>
                <w:color w:val="000000"/>
                <w:sz w:val="21"/>
                <w:szCs w:val="21"/>
                <w:highlight w:val="none"/>
              </w:rPr>
              <w:t>3.服务商如未按合同约定</w:t>
            </w:r>
            <w:r>
              <w:rPr>
                <w:rFonts w:hint="eastAsia" w:ascii="楷体" w:hAnsi="楷体" w:eastAsia="楷体" w:cs="楷体"/>
                <w:color w:val="000000"/>
                <w:sz w:val="21"/>
                <w:szCs w:val="21"/>
                <w:highlight w:val="none"/>
                <w:lang w:eastAsia="zh-CN"/>
              </w:rPr>
              <w:t>及采购方要求</w:t>
            </w:r>
            <w:r>
              <w:rPr>
                <w:rFonts w:hint="eastAsia" w:ascii="楷体" w:hAnsi="楷体" w:eastAsia="楷体" w:cs="楷体"/>
                <w:color w:val="000000"/>
                <w:sz w:val="21"/>
                <w:szCs w:val="21"/>
                <w:highlight w:val="none"/>
              </w:rPr>
              <w:t>的时间</w:t>
            </w:r>
            <w:r>
              <w:rPr>
                <w:rFonts w:hint="eastAsia" w:ascii="楷体" w:hAnsi="楷体" w:eastAsia="楷体" w:cs="楷体"/>
                <w:color w:val="000000"/>
                <w:sz w:val="21"/>
                <w:szCs w:val="21"/>
                <w:highlight w:val="none"/>
                <w:lang w:eastAsia="zh-CN"/>
              </w:rPr>
              <w:t>进行监督抽查</w:t>
            </w:r>
            <w:r>
              <w:rPr>
                <w:rFonts w:hint="eastAsia" w:ascii="楷体" w:hAnsi="楷体" w:eastAsia="楷体" w:cs="楷体"/>
                <w:color w:val="000000"/>
                <w:sz w:val="21"/>
                <w:szCs w:val="21"/>
                <w:highlight w:val="none"/>
              </w:rPr>
              <w:t>，每逾期一天应承担合同总价款千分之五的违约金，逾期超过七天，采购方可单方解除本合同，并要求服务商承担合同总价款 5 %的违约金，给采购方造成损失的，还应承担赔偿责任。</w:t>
            </w:r>
          </w:p>
          <w:p w14:paraId="65631856">
            <w:pPr>
              <w:pStyle w:val="23"/>
              <w:spacing w:after="0" w:line="520" w:lineRule="exact"/>
              <w:ind w:firstLine="420" w:firstLineChars="200"/>
              <w:jc w:val="both"/>
              <w:rPr>
                <w:rFonts w:hint="eastAsia" w:ascii="楷体" w:hAnsi="楷体" w:eastAsia="楷体" w:cs="楷体"/>
                <w:color w:val="000000"/>
                <w:sz w:val="21"/>
                <w:szCs w:val="21"/>
                <w:highlight w:val="none"/>
              </w:rPr>
            </w:pPr>
            <w:r>
              <w:rPr>
                <w:rFonts w:hint="eastAsia" w:ascii="楷体" w:hAnsi="楷体" w:eastAsia="楷体" w:cs="楷体"/>
                <w:color w:val="000000"/>
                <w:sz w:val="21"/>
                <w:szCs w:val="21"/>
                <w:highlight w:val="none"/>
              </w:rPr>
              <w:t>（</w:t>
            </w:r>
            <w:r>
              <w:rPr>
                <w:rFonts w:hint="eastAsia" w:ascii="楷体" w:hAnsi="楷体" w:eastAsia="楷体" w:cs="楷体"/>
                <w:color w:val="000000"/>
                <w:sz w:val="21"/>
                <w:szCs w:val="21"/>
                <w:highlight w:val="none"/>
                <w:lang w:val="en-US" w:eastAsia="zh-CN"/>
              </w:rPr>
              <w:t>三</w:t>
            </w:r>
            <w:r>
              <w:rPr>
                <w:rFonts w:hint="eastAsia" w:ascii="楷体" w:hAnsi="楷体" w:eastAsia="楷体" w:cs="楷体"/>
                <w:color w:val="000000"/>
                <w:sz w:val="21"/>
                <w:szCs w:val="21"/>
                <w:highlight w:val="none"/>
              </w:rPr>
              <w:t>）采购方的权利及责任</w:t>
            </w:r>
          </w:p>
          <w:p w14:paraId="508EF291">
            <w:pPr>
              <w:pStyle w:val="23"/>
              <w:spacing w:after="0" w:line="520" w:lineRule="exact"/>
              <w:ind w:firstLine="420" w:firstLineChars="200"/>
              <w:jc w:val="both"/>
              <w:rPr>
                <w:rFonts w:hint="eastAsia" w:ascii="楷体" w:hAnsi="楷体" w:eastAsia="楷体" w:cs="楷体"/>
                <w:color w:val="000000"/>
                <w:sz w:val="21"/>
                <w:szCs w:val="21"/>
                <w:highlight w:val="none"/>
              </w:rPr>
            </w:pPr>
            <w:r>
              <w:rPr>
                <w:rFonts w:hint="eastAsia" w:ascii="楷体" w:hAnsi="楷体" w:eastAsia="楷体" w:cs="楷体"/>
                <w:color w:val="000000"/>
                <w:sz w:val="21"/>
                <w:szCs w:val="21"/>
                <w:highlight w:val="none"/>
              </w:rPr>
              <w:t>采购方协助服务商负责相关</w:t>
            </w:r>
            <w:r>
              <w:rPr>
                <w:rFonts w:hint="eastAsia" w:ascii="楷体" w:hAnsi="楷体" w:eastAsia="楷体" w:cs="楷体"/>
                <w:color w:val="000000"/>
                <w:sz w:val="21"/>
                <w:szCs w:val="21"/>
                <w:highlight w:val="none"/>
                <w:lang w:eastAsia="zh-CN"/>
              </w:rPr>
              <w:t>组织协调</w:t>
            </w:r>
            <w:r>
              <w:rPr>
                <w:rFonts w:hint="eastAsia" w:ascii="楷体" w:hAnsi="楷体" w:eastAsia="楷体" w:cs="楷体"/>
                <w:color w:val="000000"/>
                <w:sz w:val="21"/>
                <w:szCs w:val="21"/>
                <w:highlight w:val="none"/>
              </w:rPr>
              <w:t>工作。所有</w:t>
            </w:r>
            <w:r>
              <w:rPr>
                <w:rFonts w:hint="eastAsia" w:ascii="楷体" w:hAnsi="楷体" w:eastAsia="楷体" w:cs="楷体"/>
                <w:color w:val="000000"/>
                <w:sz w:val="21"/>
                <w:szCs w:val="21"/>
                <w:highlight w:val="none"/>
                <w:lang w:eastAsia="zh-CN"/>
              </w:rPr>
              <w:t>监督抽查工作</w:t>
            </w:r>
            <w:r>
              <w:rPr>
                <w:rFonts w:hint="eastAsia" w:ascii="楷体" w:hAnsi="楷体" w:eastAsia="楷体" w:cs="楷体"/>
                <w:color w:val="000000"/>
                <w:sz w:val="21"/>
                <w:szCs w:val="21"/>
                <w:highlight w:val="none"/>
              </w:rPr>
              <w:t>必须严格遵守国家</w:t>
            </w:r>
            <w:r>
              <w:rPr>
                <w:rFonts w:hint="eastAsia" w:ascii="楷体" w:hAnsi="楷体" w:eastAsia="楷体" w:cs="楷体"/>
                <w:color w:val="000000"/>
                <w:sz w:val="21"/>
                <w:szCs w:val="21"/>
                <w:highlight w:val="none"/>
                <w:lang w:eastAsia="zh-CN"/>
              </w:rPr>
              <w:t>及省级</w:t>
            </w:r>
            <w:r>
              <w:rPr>
                <w:rFonts w:hint="eastAsia" w:ascii="楷体" w:hAnsi="楷体" w:eastAsia="楷体" w:cs="楷体"/>
                <w:color w:val="000000"/>
                <w:sz w:val="21"/>
                <w:szCs w:val="21"/>
                <w:highlight w:val="none"/>
              </w:rPr>
              <w:t>法律法规及相关管理规定。</w:t>
            </w:r>
          </w:p>
          <w:p w14:paraId="61D9AB44">
            <w:pPr>
              <w:pStyle w:val="23"/>
              <w:spacing w:after="0" w:line="520" w:lineRule="exact"/>
              <w:ind w:firstLine="420" w:firstLineChars="200"/>
              <w:jc w:val="both"/>
              <w:rPr>
                <w:rFonts w:hint="eastAsia" w:ascii="楷体" w:hAnsi="楷体" w:eastAsia="楷体" w:cs="楷体"/>
                <w:color w:val="000000"/>
                <w:sz w:val="21"/>
                <w:szCs w:val="21"/>
                <w:highlight w:val="none"/>
              </w:rPr>
            </w:pPr>
            <w:r>
              <w:rPr>
                <w:rFonts w:hint="eastAsia" w:ascii="楷体" w:hAnsi="楷体" w:eastAsia="楷体" w:cs="楷体"/>
                <w:color w:val="000000"/>
                <w:sz w:val="21"/>
                <w:szCs w:val="21"/>
                <w:highlight w:val="none"/>
              </w:rPr>
              <w:t>（</w:t>
            </w:r>
            <w:r>
              <w:rPr>
                <w:rFonts w:hint="eastAsia" w:ascii="楷体" w:hAnsi="楷体" w:eastAsia="楷体" w:cs="楷体"/>
                <w:color w:val="000000"/>
                <w:sz w:val="21"/>
                <w:szCs w:val="21"/>
                <w:highlight w:val="none"/>
                <w:lang w:val="en-US" w:eastAsia="zh-CN"/>
              </w:rPr>
              <w:t>四</w:t>
            </w:r>
            <w:r>
              <w:rPr>
                <w:rFonts w:hint="eastAsia" w:ascii="楷体" w:hAnsi="楷体" w:eastAsia="楷体" w:cs="楷体"/>
                <w:color w:val="000000"/>
                <w:sz w:val="21"/>
                <w:szCs w:val="21"/>
                <w:highlight w:val="none"/>
              </w:rPr>
              <w:t>）服务商的权利及责任</w:t>
            </w:r>
          </w:p>
          <w:p w14:paraId="72C75C95">
            <w:pPr>
              <w:pStyle w:val="23"/>
              <w:spacing w:after="0" w:line="520" w:lineRule="exact"/>
              <w:ind w:firstLine="420" w:firstLineChars="200"/>
              <w:jc w:val="both"/>
              <w:rPr>
                <w:rFonts w:hint="eastAsia" w:ascii="楷体" w:hAnsi="楷体" w:eastAsia="楷体" w:cs="楷体"/>
                <w:color w:val="000000"/>
                <w:sz w:val="21"/>
                <w:szCs w:val="21"/>
                <w:highlight w:val="none"/>
              </w:rPr>
            </w:pPr>
            <w:r>
              <w:rPr>
                <w:rFonts w:hint="eastAsia" w:ascii="楷体" w:hAnsi="楷体" w:eastAsia="楷体" w:cs="楷体"/>
                <w:color w:val="000000"/>
                <w:sz w:val="21"/>
                <w:szCs w:val="21"/>
                <w:highlight w:val="none"/>
              </w:rPr>
              <w:t>服务商按照采购方要求，负责</w:t>
            </w:r>
            <w:r>
              <w:rPr>
                <w:rFonts w:hint="eastAsia" w:ascii="楷体" w:hAnsi="楷体" w:eastAsia="楷体" w:cs="楷体"/>
                <w:color w:val="000000"/>
                <w:sz w:val="21"/>
                <w:szCs w:val="21"/>
                <w:highlight w:val="none"/>
                <w:lang w:eastAsia="zh-CN"/>
              </w:rPr>
              <w:t>监督抽查具体实施</w:t>
            </w:r>
            <w:r>
              <w:rPr>
                <w:rFonts w:hint="eastAsia" w:ascii="楷体" w:hAnsi="楷体" w:eastAsia="楷体" w:cs="楷体"/>
                <w:color w:val="000000"/>
                <w:sz w:val="21"/>
                <w:szCs w:val="21"/>
                <w:highlight w:val="none"/>
              </w:rPr>
              <w:t>工作。</w:t>
            </w:r>
          </w:p>
          <w:p w14:paraId="7B04CFDB">
            <w:pPr>
              <w:pStyle w:val="23"/>
              <w:spacing w:after="0" w:line="520" w:lineRule="exact"/>
              <w:ind w:firstLine="420" w:firstLineChars="200"/>
              <w:jc w:val="both"/>
              <w:rPr>
                <w:rFonts w:hint="eastAsia" w:ascii="楷体" w:hAnsi="楷体" w:eastAsia="楷体" w:cs="楷体"/>
                <w:color w:val="000000"/>
                <w:sz w:val="21"/>
                <w:szCs w:val="21"/>
                <w:highlight w:val="none"/>
              </w:rPr>
            </w:pPr>
            <w:r>
              <w:rPr>
                <w:rFonts w:hint="eastAsia" w:ascii="楷体" w:hAnsi="楷体" w:eastAsia="楷体" w:cs="楷体"/>
                <w:color w:val="000000"/>
                <w:sz w:val="21"/>
                <w:szCs w:val="21"/>
                <w:highlight w:val="none"/>
              </w:rPr>
              <w:t>（</w:t>
            </w:r>
            <w:r>
              <w:rPr>
                <w:rFonts w:hint="eastAsia" w:ascii="楷体" w:hAnsi="楷体" w:eastAsia="楷体" w:cs="楷体"/>
                <w:color w:val="000000"/>
                <w:sz w:val="21"/>
                <w:szCs w:val="21"/>
                <w:highlight w:val="none"/>
                <w:lang w:val="en-US" w:eastAsia="zh-CN"/>
              </w:rPr>
              <w:t>五</w:t>
            </w:r>
            <w:r>
              <w:rPr>
                <w:rFonts w:hint="eastAsia" w:ascii="楷体" w:hAnsi="楷体" w:eastAsia="楷体" w:cs="楷体"/>
                <w:color w:val="000000"/>
                <w:sz w:val="21"/>
                <w:szCs w:val="21"/>
                <w:highlight w:val="none"/>
              </w:rPr>
              <w:t>）保密约定</w:t>
            </w:r>
          </w:p>
          <w:p w14:paraId="1E05855B">
            <w:pPr>
              <w:pStyle w:val="23"/>
              <w:spacing w:line="520" w:lineRule="exact"/>
              <w:ind w:firstLine="420" w:firstLineChars="200"/>
              <w:rPr>
                <w:rFonts w:hint="eastAsia" w:ascii="楷体" w:hAnsi="楷体" w:eastAsia="楷体" w:cs="楷体"/>
                <w:color w:val="000000"/>
                <w:sz w:val="21"/>
                <w:szCs w:val="21"/>
                <w:highlight w:val="none"/>
              </w:rPr>
            </w:pPr>
            <w:r>
              <w:rPr>
                <w:rFonts w:hint="eastAsia" w:ascii="楷体" w:hAnsi="楷体" w:eastAsia="楷体" w:cs="楷体"/>
                <w:color w:val="000000"/>
                <w:sz w:val="21"/>
                <w:szCs w:val="21"/>
                <w:highlight w:val="none"/>
              </w:rPr>
              <w:t>1.服务商应对</w:t>
            </w:r>
            <w:r>
              <w:rPr>
                <w:rFonts w:hint="eastAsia" w:ascii="楷体" w:hAnsi="楷体" w:eastAsia="楷体" w:cs="楷体"/>
                <w:color w:val="000000"/>
                <w:sz w:val="21"/>
                <w:szCs w:val="21"/>
                <w:highlight w:val="none"/>
                <w:lang w:eastAsia="zh-CN"/>
              </w:rPr>
              <w:t>监督抽查对象</w:t>
            </w:r>
            <w:r>
              <w:rPr>
                <w:rFonts w:hint="eastAsia" w:ascii="楷体" w:hAnsi="楷体" w:eastAsia="楷体" w:cs="楷体"/>
                <w:color w:val="000000"/>
                <w:sz w:val="21"/>
                <w:szCs w:val="21"/>
                <w:highlight w:val="none"/>
              </w:rPr>
              <w:t>的信息资料或其他文件或信息的内容保守秘密，未经采购方书面事先同意，不得向任何第三方披露。</w:t>
            </w:r>
          </w:p>
          <w:p w14:paraId="5C0985F3">
            <w:pPr>
              <w:pStyle w:val="23"/>
              <w:spacing w:line="520" w:lineRule="exact"/>
              <w:ind w:firstLine="420" w:firstLineChars="200"/>
              <w:rPr>
                <w:rFonts w:hint="eastAsia" w:ascii="楷体" w:hAnsi="楷体" w:eastAsia="楷体" w:cs="楷体"/>
                <w:color w:val="000000"/>
                <w:sz w:val="21"/>
                <w:szCs w:val="21"/>
                <w:highlight w:val="none"/>
              </w:rPr>
            </w:pPr>
            <w:r>
              <w:rPr>
                <w:rFonts w:hint="eastAsia" w:ascii="楷体" w:hAnsi="楷体" w:eastAsia="楷体" w:cs="楷体"/>
                <w:color w:val="000000"/>
                <w:sz w:val="21"/>
                <w:szCs w:val="21"/>
                <w:highlight w:val="none"/>
              </w:rPr>
              <w:t>2.除非得到采购方的书面许可，服务商不得将服务内容及服务过程中获得的</w:t>
            </w:r>
            <w:r>
              <w:rPr>
                <w:rFonts w:hint="eastAsia" w:ascii="楷体" w:hAnsi="楷体" w:eastAsia="楷体" w:cs="楷体"/>
                <w:color w:val="000000"/>
                <w:sz w:val="21"/>
                <w:szCs w:val="21"/>
                <w:highlight w:val="none"/>
                <w:lang w:eastAsia="zh-CN"/>
              </w:rPr>
              <w:t>监督抽查对象</w:t>
            </w:r>
            <w:r>
              <w:rPr>
                <w:rFonts w:hint="eastAsia" w:ascii="楷体" w:hAnsi="楷体" w:eastAsia="楷体" w:cs="楷体"/>
                <w:color w:val="000000"/>
                <w:sz w:val="21"/>
                <w:szCs w:val="21"/>
                <w:highlight w:val="none"/>
              </w:rPr>
              <w:t>相关资料向任何第三方泄露。</w:t>
            </w:r>
          </w:p>
          <w:p w14:paraId="79F975D0">
            <w:pPr>
              <w:pStyle w:val="23"/>
              <w:spacing w:after="0" w:line="520" w:lineRule="exact"/>
              <w:ind w:firstLine="420" w:firstLineChars="200"/>
              <w:jc w:val="both"/>
              <w:rPr>
                <w:rFonts w:hint="eastAsia" w:ascii="楷体" w:hAnsi="楷体" w:eastAsia="楷体" w:cs="楷体"/>
                <w:color w:val="000000"/>
                <w:sz w:val="21"/>
                <w:szCs w:val="21"/>
                <w:highlight w:val="none"/>
              </w:rPr>
            </w:pPr>
            <w:r>
              <w:rPr>
                <w:rFonts w:hint="eastAsia" w:ascii="楷体" w:hAnsi="楷体" w:eastAsia="楷体" w:cs="楷体"/>
                <w:color w:val="000000"/>
                <w:sz w:val="21"/>
                <w:szCs w:val="21"/>
                <w:highlight w:val="none"/>
              </w:rPr>
              <w:t>3.本保密义务应在服务期满、解除或终止后仍然有效。</w:t>
            </w:r>
          </w:p>
          <w:p w14:paraId="5E54703D">
            <w:pPr>
              <w:pStyle w:val="23"/>
              <w:spacing w:after="0" w:line="520" w:lineRule="exact"/>
              <w:ind w:firstLine="420" w:firstLineChars="200"/>
              <w:jc w:val="both"/>
              <w:rPr>
                <w:rFonts w:hint="eastAsia" w:ascii="楷体" w:hAnsi="楷体" w:eastAsia="楷体" w:cs="楷体"/>
                <w:color w:val="000000"/>
                <w:sz w:val="21"/>
                <w:szCs w:val="21"/>
                <w:highlight w:val="none"/>
              </w:rPr>
            </w:pPr>
            <w:r>
              <w:rPr>
                <w:rFonts w:hint="eastAsia" w:ascii="楷体" w:hAnsi="楷体" w:eastAsia="楷体" w:cs="楷体"/>
                <w:color w:val="000000"/>
                <w:sz w:val="21"/>
                <w:szCs w:val="21"/>
                <w:highlight w:val="none"/>
              </w:rPr>
              <w:t>（</w:t>
            </w:r>
            <w:r>
              <w:rPr>
                <w:rFonts w:hint="eastAsia" w:ascii="楷体" w:hAnsi="楷体" w:eastAsia="楷体" w:cs="楷体"/>
                <w:color w:val="000000"/>
                <w:sz w:val="21"/>
                <w:szCs w:val="21"/>
                <w:highlight w:val="none"/>
                <w:lang w:val="en-US" w:eastAsia="zh-CN"/>
              </w:rPr>
              <w:t>六</w:t>
            </w:r>
            <w:r>
              <w:rPr>
                <w:rFonts w:hint="eastAsia" w:ascii="楷体" w:hAnsi="楷体" w:eastAsia="楷体" w:cs="楷体"/>
                <w:color w:val="000000"/>
                <w:sz w:val="21"/>
                <w:szCs w:val="21"/>
                <w:highlight w:val="none"/>
              </w:rPr>
              <w:t>）合同的解除</w:t>
            </w:r>
          </w:p>
          <w:p w14:paraId="1628E52B">
            <w:pPr>
              <w:pStyle w:val="23"/>
              <w:spacing w:after="0" w:line="520" w:lineRule="exact"/>
              <w:ind w:firstLine="420" w:firstLineChars="200"/>
              <w:jc w:val="both"/>
              <w:rPr>
                <w:rFonts w:hint="eastAsia" w:ascii="楷体" w:hAnsi="楷体" w:eastAsia="楷体" w:cs="楷体"/>
                <w:color w:val="000000"/>
                <w:sz w:val="21"/>
                <w:szCs w:val="21"/>
                <w:highlight w:val="none"/>
              </w:rPr>
            </w:pPr>
            <w:r>
              <w:rPr>
                <w:rFonts w:hint="eastAsia" w:ascii="楷体" w:hAnsi="楷体" w:eastAsia="楷体" w:cs="楷体"/>
                <w:color w:val="000000"/>
                <w:sz w:val="21"/>
                <w:szCs w:val="21"/>
                <w:highlight w:val="none"/>
              </w:rPr>
              <w:t>1.有下述情形之一，当事人可发出书面通知全部或部分地解除合同，合同自通知到达对方时全部或部分地解除：</w:t>
            </w:r>
          </w:p>
          <w:p w14:paraId="51B4F218">
            <w:pPr>
              <w:pStyle w:val="23"/>
              <w:spacing w:after="0" w:line="520" w:lineRule="exact"/>
              <w:ind w:firstLine="420" w:firstLineChars="200"/>
              <w:jc w:val="both"/>
              <w:rPr>
                <w:rFonts w:hint="eastAsia" w:ascii="楷体" w:hAnsi="楷体" w:eastAsia="楷体" w:cs="楷体"/>
                <w:color w:val="000000"/>
                <w:sz w:val="21"/>
                <w:szCs w:val="21"/>
                <w:highlight w:val="none"/>
              </w:rPr>
            </w:pPr>
            <w:r>
              <w:rPr>
                <w:rFonts w:hint="eastAsia" w:ascii="楷体" w:hAnsi="楷体" w:eastAsia="楷体" w:cs="楷体"/>
                <w:color w:val="000000"/>
                <w:sz w:val="21"/>
                <w:szCs w:val="21"/>
                <w:highlight w:val="none"/>
              </w:rPr>
              <w:t>（1）服务商延迟完成项目超过 30 天；</w:t>
            </w:r>
          </w:p>
          <w:p w14:paraId="0FEBB7FD">
            <w:pPr>
              <w:pStyle w:val="23"/>
              <w:spacing w:after="0" w:line="520" w:lineRule="exact"/>
              <w:ind w:firstLine="420" w:firstLineChars="200"/>
              <w:jc w:val="both"/>
              <w:rPr>
                <w:rFonts w:hint="eastAsia" w:ascii="楷体" w:hAnsi="楷体" w:eastAsia="楷体" w:cs="楷体"/>
                <w:color w:val="000000"/>
                <w:sz w:val="21"/>
                <w:szCs w:val="21"/>
                <w:highlight w:val="none"/>
              </w:rPr>
            </w:pPr>
            <w:r>
              <w:rPr>
                <w:rFonts w:hint="eastAsia" w:ascii="楷体" w:hAnsi="楷体" w:eastAsia="楷体" w:cs="楷体"/>
                <w:color w:val="000000"/>
                <w:sz w:val="21"/>
                <w:szCs w:val="21"/>
                <w:highlight w:val="none"/>
              </w:rPr>
              <w:t>（2）服务商提供的服务内容不符合招标文件规定或不合格的或本项目不能通过验收的；</w:t>
            </w:r>
          </w:p>
          <w:p w14:paraId="4CD842B9">
            <w:pPr>
              <w:pStyle w:val="23"/>
              <w:spacing w:after="0" w:line="520" w:lineRule="exact"/>
              <w:ind w:firstLine="420" w:firstLineChars="200"/>
              <w:jc w:val="both"/>
              <w:rPr>
                <w:rFonts w:hint="eastAsia" w:ascii="楷体" w:hAnsi="楷体" w:eastAsia="楷体" w:cs="楷体"/>
                <w:color w:val="000000"/>
                <w:sz w:val="21"/>
                <w:szCs w:val="21"/>
                <w:highlight w:val="none"/>
              </w:rPr>
            </w:pPr>
            <w:r>
              <w:rPr>
                <w:rFonts w:hint="eastAsia" w:ascii="楷体" w:hAnsi="楷体" w:eastAsia="楷体" w:cs="楷体"/>
                <w:color w:val="000000"/>
                <w:sz w:val="21"/>
                <w:szCs w:val="21"/>
                <w:highlight w:val="none"/>
              </w:rPr>
              <w:t>（3）采购方延迟付款超过 60 天；</w:t>
            </w:r>
          </w:p>
          <w:p w14:paraId="6D9EE678">
            <w:pPr>
              <w:pStyle w:val="23"/>
              <w:spacing w:after="0" w:line="520" w:lineRule="exact"/>
              <w:ind w:firstLine="420" w:firstLineChars="200"/>
              <w:jc w:val="both"/>
              <w:rPr>
                <w:rFonts w:hint="eastAsia" w:ascii="楷体" w:hAnsi="楷体" w:eastAsia="楷体" w:cs="楷体"/>
                <w:color w:val="000000"/>
                <w:sz w:val="21"/>
                <w:szCs w:val="21"/>
                <w:highlight w:val="none"/>
              </w:rPr>
            </w:pPr>
            <w:r>
              <w:rPr>
                <w:rFonts w:hint="eastAsia" w:ascii="楷体" w:hAnsi="楷体" w:eastAsia="楷体" w:cs="楷体"/>
                <w:color w:val="000000"/>
                <w:sz w:val="21"/>
                <w:szCs w:val="21"/>
                <w:highlight w:val="none"/>
              </w:rPr>
              <w:t>（4）任何一方当事人未能履行合同项下任何其它义务（细微义务除外），或在未事先征得另一方当事人同意的情况下，从事任何可能在实质上不利影响其履行合同能力的活动，经另一方当事人书面通知后 15 日内未能对其行为作出补救；</w:t>
            </w:r>
          </w:p>
          <w:p w14:paraId="1A7CFC3D">
            <w:pPr>
              <w:pStyle w:val="23"/>
              <w:spacing w:after="0" w:line="520" w:lineRule="exact"/>
              <w:ind w:firstLine="420" w:firstLineChars="200"/>
              <w:jc w:val="both"/>
              <w:rPr>
                <w:rFonts w:hint="eastAsia" w:ascii="楷体" w:hAnsi="楷体" w:eastAsia="楷体" w:cs="楷体"/>
                <w:color w:val="000000"/>
                <w:sz w:val="21"/>
                <w:szCs w:val="21"/>
                <w:highlight w:val="none"/>
              </w:rPr>
            </w:pPr>
            <w:r>
              <w:rPr>
                <w:rFonts w:hint="eastAsia" w:ascii="楷体" w:hAnsi="楷体" w:eastAsia="楷体" w:cs="楷体"/>
                <w:color w:val="000000"/>
                <w:sz w:val="21"/>
                <w:szCs w:val="21"/>
                <w:highlight w:val="none"/>
              </w:rPr>
              <w:t>（5）任何一方当事人出现破产、清算、资不抵债、成为失信被执行人等可能丧失履约能力的情形。</w:t>
            </w:r>
          </w:p>
          <w:p w14:paraId="5C720E33">
            <w:pPr>
              <w:pStyle w:val="23"/>
              <w:spacing w:after="0" w:line="520" w:lineRule="exact"/>
              <w:ind w:firstLine="420" w:firstLineChars="200"/>
              <w:jc w:val="both"/>
              <w:rPr>
                <w:rFonts w:hint="eastAsia" w:ascii="楷体" w:hAnsi="楷体" w:eastAsia="楷体" w:cs="楷体"/>
                <w:color w:val="000000"/>
                <w:sz w:val="21"/>
                <w:szCs w:val="21"/>
                <w:highlight w:val="none"/>
              </w:rPr>
            </w:pPr>
            <w:r>
              <w:rPr>
                <w:rFonts w:hint="eastAsia" w:ascii="楷体" w:hAnsi="楷体" w:eastAsia="楷体" w:cs="楷体"/>
                <w:color w:val="000000"/>
                <w:sz w:val="21"/>
                <w:szCs w:val="21"/>
                <w:highlight w:val="none"/>
              </w:rPr>
              <w:t>2.在服务商违约的情况下，采购方报告政府采购管理部门后，有权终止合同，并依法向服务商进行索赔实际损失(包括但不限于维权所支出的律师费、诉讼费、交通费等)。</w:t>
            </w:r>
          </w:p>
          <w:p w14:paraId="55487B09">
            <w:pPr>
              <w:pStyle w:val="23"/>
              <w:spacing w:after="0" w:line="520" w:lineRule="exact"/>
              <w:ind w:firstLine="420" w:firstLineChars="200"/>
              <w:jc w:val="both"/>
              <w:rPr>
                <w:rFonts w:hint="eastAsia" w:ascii="楷体" w:hAnsi="楷体" w:eastAsia="楷体" w:cs="楷体"/>
                <w:color w:val="000000"/>
                <w:sz w:val="21"/>
                <w:szCs w:val="21"/>
                <w:highlight w:val="none"/>
              </w:rPr>
            </w:pPr>
            <w:r>
              <w:rPr>
                <w:rFonts w:hint="eastAsia" w:ascii="楷体" w:hAnsi="楷体" w:eastAsia="楷体" w:cs="楷体"/>
                <w:color w:val="000000"/>
                <w:sz w:val="21"/>
                <w:szCs w:val="21"/>
                <w:highlight w:val="none"/>
              </w:rPr>
              <w:t>（</w:t>
            </w:r>
            <w:r>
              <w:rPr>
                <w:rFonts w:hint="eastAsia" w:ascii="楷体" w:hAnsi="楷体" w:eastAsia="楷体" w:cs="楷体"/>
                <w:color w:val="000000"/>
                <w:sz w:val="21"/>
                <w:szCs w:val="21"/>
                <w:highlight w:val="none"/>
                <w:lang w:val="en-US" w:eastAsia="zh-CN"/>
              </w:rPr>
              <w:t>七</w:t>
            </w:r>
            <w:r>
              <w:rPr>
                <w:rFonts w:hint="eastAsia" w:ascii="楷体" w:hAnsi="楷体" w:eastAsia="楷体" w:cs="楷体"/>
                <w:color w:val="000000"/>
                <w:sz w:val="21"/>
                <w:szCs w:val="21"/>
                <w:highlight w:val="none"/>
              </w:rPr>
              <w:t>）不可抗力</w:t>
            </w:r>
          </w:p>
          <w:p w14:paraId="7A7D6783">
            <w:pPr>
              <w:pStyle w:val="23"/>
              <w:spacing w:after="0" w:line="520" w:lineRule="exact"/>
              <w:ind w:firstLine="420" w:firstLineChars="200"/>
              <w:jc w:val="both"/>
              <w:rPr>
                <w:rFonts w:hint="eastAsia" w:ascii="楷体" w:hAnsi="楷体" w:eastAsia="楷体" w:cs="楷体"/>
                <w:color w:val="000000"/>
                <w:sz w:val="21"/>
                <w:szCs w:val="21"/>
                <w:highlight w:val="none"/>
              </w:rPr>
            </w:pPr>
            <w:r>
              <w:rPr>
                <w:rFonts w:hint="eastAsia" w:ascii="楷体" w:hAnsi="楷体" w:eastAsia="楷体" w:cs="楷体"/>
                <w:color w:val="000000"/>
                <w:sz w:val="21"/>
                <w:szCs w:val="21"/>
                <w:highlight w:val="none"/>
              </w:rPr>
              <w:t>1.如果任何一方当事人受到不能预见、不能避免且不能克服的不可抗力事件的影响，例如战争、严重的火灾、台风、地震、洪水等情形，而无法履行合同项下的任何义务，则受影响的一方当事人应立即将此类事件的发生通知另一方当事人，并应在不可抗力事件发生后 20 日内将有关当局或机构出具的证明文件提交给另一方当事人。</w:t>
            </w:r>
          </w:p>
          <w:p w14:paraId="463E56EC">
            <w:pPr>
              <w:pStyle w:val="23"/>
              <w:spacing w:after="0" w:line="520" w:lineRule="exact"/>
              <w:ind w:firstLine="420" w:firstLineChars="200"/>
              <w:jc w:val="both"/>
              <w:rPr>
                <w:rFonts w:hint="eastAsia" w:ascii="楷体" w:hAnsi="楷体" w:eastAsia="楷体" w:cs="楷体"/>
                <w:color w:val="000000"/>
                <w:sz w:val="21"/>
                <w:szCs w:val="21"/>
                <w:highlight w:val="none"/>
              </w:rPr>
            </w:pPr>
            <w:r>
              <w:rPr>
                <w:rFonts w:hint="eastAsia" w:ascii="楷体" w:hAnsi="楷体" w:eastAsia="楷体" w:cs="楷体"/>
                <w:color w:val="000000"/>
                <w:sz w:val="21"/>
                <w:szCs w:val="21"/>
                <w:highlight w:val="none"/>
              </w:rPr>
              <w:t>2.受不可抗力事件影响的一方当事人对于不可抗力事件导致的任何合同义务的延迟履行或不能履行不承担违约责任。但该方当事人应尽快将不可抗力事件结束或消除的情况通知另一方当事人。</w:t>
            </w:r>
          </w:p>
          <w:p w14:paraId="7927A60D">
            <w:pPr>
              <w:pStyle w:val="24"/>
              <w:keepNext/>
              <w:keepLines/>
              <w:pBdr>
                <w:bottom w:val="single" w:color="auto" w:sz="4" w:space="0"/>
              </w:pBdr>
              <w:spacing w:after="156" w:afterLines="50" w:line="622" w:lineRule="exact"/>
              <w:ind w:left="0" w:leftChars="0" w:firstLine="0" w:firstLineChars="0"/>
              <w:jc w:val="both"/>
              <w:rPr>
                <w:rFonts w:hint="eastAsia" w:ascii="楷体" w:hAnsi="楷体" w:eastAsia="楷体" w:cs="楷体"/>
                <w:sz w:val="21"/>
                <w:szCs w:val="21"/>
                <w:highlight w:val="none"/>
                <w:lang w:val="en-US" w:eastAsia="zh-CN"/>
              </w:rPr>
            </w:pPr>
            <w:r>
              <w:rPr>
                <w:rFonts w:hint="eastAsia" w:ascii="楷体" w:hAnsi="楷体" w:eastAsia="楷体" w:cs="楷体"/>
                <w:color w:val="000000"/>
                <w:sz w:val="21"/>
                <w:szCs w:val="21"/>
                <w:highlight w:val="none"/>
              </w:rPr>
              <w:t>3.双方当事人应在不可抗力事件结束或其影响消除后立即继续履行其合同义务，合同期限也应相应顺延。如果不可抗力事件的影响持续超过 90 日，则任何一方当事人均有权以书面通知解除合同</w:t>
            </w:r>
            <w:r>
              <w:rPr>
                <w:rFonts w:hint="eastAsia" w:ascii="楷体" w:hAnsi="楷体" w:eastAsia="楷体" w:cs="楷体"/>
                <w:color w:val="000000"/>
                <w:sz w:val="21"/>
                <w:szCs w:val="21"/>
                <w:highlight w:val="none"/>
                <w:lang w:eastAsia="zh-CN"/>
              </w:rPr>
              <w:t>。</w:t>
            </w:r>
            <w:bookmarkEnd w:id="134"/>
          </w:p>
        </w:tc>
      </w:tr>
    </w:tbl>
    <w:p w14:paraId="491EF69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both"/>
        <w:textAlignment w:val="auto"/>
        <w:outlineLvl w:val="0"/>
        <w:rPr>
          <w:rFonts w:hint="eastAsia" w:ascii="楷体" w:hAnsi="楷体" w:eastAsia="楷体" w:cs="楷体"/>
          <w:b/>
          <w:color w:val="auto"/>
          <w:sz w:val="28"/>
          <w:szCs w:val="28"/>
          <w:highlight w:val="none"/>
          <w:lang w:val="en-US" w:eastAsia="zh-CN"/>
        </w:rPr>
      </w:pPr>
    </w:p>
    <w:p w14:paraId="63B5B9E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both"/>
        <w:textAlignment w:val="auto"/>
        <w:outlineLvl w:val="0"/>
        <w:rPr>
          <w:rFonts w:hint="eastAsia" w:ascii="楷体" w:hAnsi="楷体" w:eastAsia="楷体" w:cs="楷体"/>
          <w:b/>
          <w:color w:val="auto"/>
          <w:sz w:val="28"/>
          <w:szCs w:val="28"/>
          <w:highlight w:val="none"/>
          <w:lang w:val="en-US" w:eastAsia="zh-CN"/>
        </w:rPr>
      </w:pPr>
    </w:p>
    <w:p w14:paraId="65C7AFE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both"/>
        <w:textAlignment w:val="auto"/>
        <w:outlineLvl w:val="0"/>
        <w:rPr>
          <w:rFonts w:hint="eastAsia" w:ascii="楷体" w:hAnsi="楷体" w:eastAsia="楷体" w:cs="楷体"/>
          <w:b/>
          <w:color w:val="auto"/>
          <w:sz w:val="28"/>
          <w:szCs w:val="28"/>
          <w:highlight w:val="none"/>
          <w:lang w:val="en-US" w:eastAsia="zh-CN"/>
        </w:rPr>
      </w:pPr>
    </w:p>
    <w:p w14:paraId="6B5BEBB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both"/>
        <w:textAlignment w:val="auto"/>
        <w:outlineLvl w:val="0"/>
        <w:rPr>
          <w:rFonts w:hint="eastAsia" w:ascii="楷体" w:hAnsi="楷体" w:eastAsia="楷体" w:cs="楷体"/>
          <w:b/>
          <w:color w:val="auto"/>
          <w:sz w:val="28"/>
          <w:szCs w:val="28"/>
          <w:highlight w:val="none"/>
          <w:lang w:val="en-US" w:eastAsia="zh-CN"/>
        </w:rPr>
      </w:pPr>
    </w:p>
    <w:p w14:paraId="46CD325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both"/>
        <w:textAlignment w:val="auto"/>
        <w:outlineLvl w:val="0"/>
        <w:rPr>
          <w:rFonts w:hint="eastAsia" w:ascii="楷体" w:hAnsi="楷体" w:eastAsia="楷体" w:cs="楷体"/>
          <w:b/>
          <w:color w:val="auto"/>
          <w:sz w:val="28"/>
          <w:szCs w:val="28"/>
          <w:highlight w:val="none"/>
          <w:lang w:val="en-US" w:eastAsia="zh-CN"/>
        </w:rPr>
      </w:pPr>
    </w:p>
    <w:p w14:paraId="36F1403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both"/>
        <w:textAlignment w:val="auto"/>
        <w:outlineLvl w:val="0"/>
        <w:rPr>
          <w:rFonts w:hint="eastAsia" w:ascii="楷体" w:hAnsi="楷体" w:eastAsia="楷体" w:cs="楷体"/>
          <w:b/>
          <w:color w:val="auto"/>
          <w:sz w:val="28"/>
          <w:szCs w:val="28"/>
          <w:highlight w:val="none"/>
          <w:lang w:val="en-US" w:eastAsia="zh-CN"/>
        </w:rPr>
      </w:pPr>
    </w:p>
    <w:p w14:paraId="2825014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both"/>
        <w:textAlignment w:val="auto"/>
        <w:outlineLvl w:val="0"/>
        <w:rPr>
          <w:rFonts w:hint="eastAsia" w:ascii="楷体" w:hAnsi="楷体" w:eastAsia="楷体" w:cs="楷体"/>
          <w:b/>
          <w:color w:val="auto"/>
          <w:sz w:val="28"/>
          <w:szCs w:val="28"/>
          <w:highlight w:val="none"/>
          <w:lang w:val="en-US" w:eastAsia="zh-CN"/>
        </w:rPr>
      </w:pPr>
    </w:p>
    <w:p w14:paraId="7A242E9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both"/>
        <w:textAlignment w:val="auto"/>
        <w:outlineLvl w:val="0"/>
        <w:rPr>
          <w:rFonts w:hint="eastAsia" w:ascii="楷体" w:hAnsi="楷体" w:eastAsia="楷体" w:cs="楷体"/>
          <w:b/>
          <w:color w:val="auto"/>
          <w:sz w:val="28"/>
          <w:szCs w:val="28"/>
          <w:highlight w:val="none"/>
          <w:lang w:val="en-US" w:eastAsia="zh-CN"/>
        </w:rPr>
      </w:pPr>
    </w:p>
    <w:p w14:paraId="22F0346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both"/>
        <w:textAlignment w:val="auto"/>
        <w:outlineLvl w:val="0"/>
        <w:rPr>
          <w:rFonts w:hint="eastAsia" w:ascii="楷体" w:hAnsi="楷体" w:eastAsia="楷体" w:cs="楷体"/>
          <w:b/>
          <w:color w:val="auto"/>
          <w:sz w:val="28"/>
          <w:szCs w:val="28"/>
          <w:highlight w:val="none"/>
          <w:lang w:val="en-US" w:eastAsia="zh-CN"/>
        </w:rPr>
      </w:pPr>
    </w:p>
    <w:p w14:paraId="55D9B50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both"/>
        <w:textAlignment w:val="auto"/>
        <w:outlineLvl w:val="0"/>
        <w:rPr>
          <w:rFonts w:hint="eastAsia" w:ascii="楷体" w:hAnsi="楷体" w:eastAsia="楷体" w:cs="楷体"/>
          <w:b/>
          <w:color w:val="auto"/>
          <w:sz w:val="28"/>
          <w:szCs w:val="28"/>
          <w:highlight w:val="none"/>
          <w:lang w:val="en-US" w:eastAsia="zh-CN"/>
        </w:rPr>
      </w:pPr>
    </w:p>
    <w:p w14:paraId="3337772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both"/>
        <w:textAlignment w:val="auto"/>
        <w:outlineLvl w:val="0"/>
        <w:rPr>
          <w:rFonts w:hint="eastAsia" w:ascii="楷体" w:hAnsi="楷体" w:eastAsia="楷体" w:cs="楷体"/>
          <w:b/>
          <w:color w:val="auto"/>
          <w:sz w:val="28"/>
          <w:szCs w:val="28"/>
          <w:highlight w:val="none"/>
          <w:lang w:val="en-US" w:eastAsia="zh-CN"/>
        </w:rPr>
      </w:pPr>
    </w:p>
    <w:p w14:paraId="5E35141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both"/>
        <w:textAlignment w:val="auto"/>
        <w:outlineLvl w:val="0"/>
        <w:rPr>
          <w:rFonts w:hint="eastAsia" w:ascii="楷体" w:hAnsi="楷体" w:eastAsia="楷体" w:cs="楷体"/>
          <w:b/>
          <w:color w:val="auto"/>
          <w:sz w:val="28"/>
          <w:szCs w:val="28"/>
          <w:highlight w:val="none"/>
          <w:lang w:val="en-US" w:eastAsia="zh-CN"/>
        </w:rPr>
      </w:pPr>
    </w:p>
    <w:p w14:paraId="7990380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both"/>
        <w:textAlignment w:val="auto"/>
        <w:outlineLvl w:val="0"/>
        <w:rPr>
          <w:rFonts w:hint="eastAsia" w:ascii="楷体" w:hAnsi="楷体" w:eastAsia="楷体" w:cs="楷体"/>
          <w:b/>
          <w:color w:val="auto"/>
          <w:sz w:val="28"/>
          <w:szCs w:val="28"/>
          <w:highlight w:val="none"/>
          <w:lang w:val="en-US" w:eastAsia="zh-CN"/>
        </w:rPr>
      </w:pPr>
    </w:p>
    <w:p w14:paraId="4A8C8DD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both"/>
        <w:textAlignment w:val="auto"/>
        <w:outlineLvl w:val="0"/>
        <w:rPr>
          <w:rFonts w:hint="eastAsia" w:ascii="楷体" w:hAnsi="楷体" w:eastAsia="楷体" w:cs="楷体"/>
          <w:b/>
          <w:color w:val="auto"/>
          <w:sz w:val="28"/>
          <w:szCs w:val="28"/>
          <w:highlight w:val="none"/>
          <w:lang w:val="en-US" w:eastAsia="zh-CN"/>
        </w:rPr>
      </w:pPr>
    </w:p>
    <w:p w14:paraId="1D383B8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both"/>
        <w:textAlignment w:val="auto"/>
        <w:outlineLvl w:val="0"/>
        <w:rPr>
          <w:rFonts w:hint="eastAsia" w:ascii="楷体" w:hAnsi="楷体" w:eastAsia="楷体" w:cs="楷体"/>
          <w:b/>
          <w:color w:val="auto"/>
          <w:sz w:val="28"/>
          <w:szCs w:val="28"/>
          <w:highlight w:val="none"/>
          <w:lang w:val="en-US" w:eastAsia="zh-CN"/>
        </w:rPr>
      </w:pPr>
    </w:p>
    <w:p w14:paraId="7D897E2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both"/>
        <w:textAlignment w:val="auto"/>
        <w:outlineLvl w:val="0"/>
        <w:rPr>
          <w:rFonts w:hint="eastAsia" w:ascii="楷体" w:hAnsi="楷体" w:eastAsia="楷体" w:cs="楷体"/>
          <w:b/>
          <w:color w:val="auto"/>
          <w:sz w:val="28"/>
          <w:szCs w:val="28"/>
          <w:highlight w:val="none"/>
          <w:lang w:val="en-US" w:eastAsia="zh-CN"/>
        </w:rPr>
      </w:pPr>
    </w:p>
    <w:p w14:paraId="131F390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both"/>
        <w:textAlignment w:val="auto"/>
        <w:outlineLvl w:val="0"/>
        <w:rPr>
          <w:rFonts w:hint="eastAsia" w:ascii="楷体" w:hAnsi="楷体" w:eastAsia="楷体" w:cs="楷体"/>
          <w:b/>
          <w:color w:val="auto"/>
          <w:sz w:val="28"/>
          <w:szCs w:val="28"/>
          <w:highlight w:val="none"/>
          <w:lang w:val="en-US" w:eastAsia="zh-CN"/>
        </w:rPr>
      </w:pPr>
      <w:r>
        <w:rPr>
          <w:rFonts w:hint="eastAsia" w:ascii="楷体" w:hAnsi="楷体" w:eastAsia="楷体" w:cs="楷体"/>
          <w:b/>
          <w:color w:val="auto"/>
          <w:sz w:val="28"/>
          <w:szCs w:val="28"/>
          <w:highlight w:val="none"/>
          <w:lang w:val="en-US" w:eastAsia="zh-CN"/>
        </w:rPr>
        <w:t>采购包4：</w:t>
      </w:r>
    </w:p>
    <w:p w14:paraId="32D4D45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left"/>
        <w:textAlignment w:val="auto"/>
        <w:outlineLvl w:val="0"/>
        <w:rPr>
          <w:rFonts w:hint="eastAsia" w:ascii="楷体" w:hAnsi="楷体" w:eastAsia="楷体" w:cs="楷体"/>
          <w:sz w:val="21"/>
          <w:szCs w:val="21"/>
          <w:highlight w:val="none"/>
          <w:lang w:val="en-US" w:eastAsia="zh-CN"/>
        </w:rPr>
      </w:pPr>
    </w:p>
    <w:tbl>
      <w:tblPr>
        <w:tblStyle w:val="17"/>
        <w:tblW w:w="851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631"/>
        <w:gridCol w:w="585"/>
        <w:gridCol w:w="7303"/>
      </w:tblGrid>
      <w:tr w14:paraId="31D51C9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631" w:type="dxa"/>
            <w:vAlign w:val="center"/>
          </w:tcPr>
          <w:p w14:paraId="3E93D676">
            <w:pPr>
              <w:pStyle w:val="22"/>
              <w:pageBreakBefore w:val="0"/>
              <w:kinsoku/>
              <w:wordWrap/>
              <w:overflowPunct/>
              <w:topLinePunct w:val="0"/>
              <w:autoSpaceDE/>
              <w:autoSpaceDN/>
              <w:bidi w:val="0"/>
              <w:adjustRightInd/>
              <w:snapToGrid/>
              <w:spacing w:line="360" w:lineRule="auto"/>
              <w:jc w:val="center"/>
              <w:textAlignment w:val="auto"/>
              <w:rPr>
                <w:rFonts w:hint="eastAsia" w:ascii="楷体" w:hAnsi="楷体" w:eastAsia="楷体" w:cs="楷体"/>
                <w:sz w:val="18"/>
                <w:szCs w:val="18"/>
                <w:highlight w:val="none"/>
              </w:rPr>
            </w:pPr>
            <w:r>
              <w:rPr>
                <w:rFonts w:hint="eastAsia" w:ascii="楷体" w:hAnsi="楷体" w:eastAsia="楷体" w:cs="楷体"/>
                <w:sz w:val="18"/>
                <w:szCs w:val="18"/>
                <w:highlight w:val="none"/>
              </w:rPr>
              <w:t>参数</w:t>
            </w:r>
          </w:p>
          <w:p w14:paraId="3180464E">
            <w:pPr>
              <w:pStyle w:val="22"/>
              <w:pageBreakBefore w:val="0"/>
              <w:kinsoku/>
              <w:wordWrap/>
              <w:overflowPunct/>
              <w:topLinePunct w:val="0"/>
              <w:autoSpaceDE/>
              <w:autoSpaceDN/>
              <w:bidi w:val="0"/>
              <w:adjustRightInd/>
              <w:snapToGrid/>
              <w:spacing w:line="360" w:lineRule="auto"/>
              <w:jc w:val="center"/>
              <w:textAlignment w:val="auto"/>
              <w:rPr>
                <w:rFonts w:hint="eastAsia" w:ascii="楷体" w:hAnsi="楷体" w:eastAsia="楷体" w:cs="楷体"/>
                <w:sz w:val="18"/>
                <w:szCs w:val="18"/>
                <w:highlight w:val="none"/>
              </w:rPr>
            </w:pPr>
            <w:r>
              <w:rPr>
                <w:rFonts w:hint="eastAsia" w:ascii="楷体" w:hAnsi="楷体" w:eastAsia="楷体" w:cs="楷体"/>
                <w:sz w:val="18"/>
                <w:szCs w:val="18"/>
                <w:highlight w:val="none"/>
              </w:rPr>
              <w:t>性质</w:t>
            </w:r>
          </w:p>
        </w:tc>
        <w:tc>
          <w:tcPr>
            <w:tcW w:w="585" w:type="dxa"/>
            <w:vAlign w:val="center"/>
          </w:tcPr>
          <w:p w14:paraId="727BC0A7">
            <w:pPr>
              <w:pStyle w:val="22"/>
              <w:pageBreakBefore w:val="0"/>
              <w:kinsoku/>
              <w:wordWrap/>
              <w:overflowPunct/>
              <w:topLinePunct w:val="0"/>
              <w:autoSpaceDE/>
              <w:autoSpaceDN/>
              <w:bidi w:val="0"/>
              <w:adjustRightInd/>
              <w:snapToGrid/>
              <w:spacing w:line="360" w:lineRule="auto"/>
              <w:jc w:val="center"/>
              <w:textAlignment w:val="auto"/>
              <w:rPr>
                <w:rFonts w:hint="eastAsia" w:ascii="楷体" w:hAnsi="楷体" w:eastAsia="楷体" w:cs="楷体"/>
                <w:sz w:val="18"/>
                <w:szCs w:val="18"/>
                <w:highlight w:val="none"/>
              </w:rPr>
            </w:pPr>
            <w:r>
              <w:rPr>
                <w:rFonts w:hint="eastAsia" w:ascii="楷体" w:hAnsi="楷体" w:eastAsia="楷体" w:cs="楷体"/>
                <w:sz w:val="18"/>
                <w:szCs w:val="18"/>
                <w:highlight w:val="none"/>
              </w:rPr>
              <w:t>序号</w:t>
            </w:r>
          </w:p>
        </w:tc>
        <w:tc>
          <w:tcPr>
            <w:tcW w:w="7303" w:type="dxa"/>
            <w:vAlign w:val="center"/>
          </w:tcPr>
          <w:p w14:paraId="20F14D1C">
            <w:pPr>
              <w:pStyle w:val="22"/>
              <w:pageBreakBefore w:val="0"/>
              <w:kinsoku/>
              <w:wordWrap/>
              <w:overflowPunct/>
              <w:topLinePunct w:val="0"/>
              <w:autoSpaceDE/>
              <w:autoSpaceDN/>
              <w:bidi w:val="0"/>
              <w:adjustRightInd/>
              <w:snapToGrid/>
              <w:spacing w:line="360" w:lineRule="auto"/>
              <w:jc w:val="center"/>
              <w:textAlignment w:val="auto"/>
              <w:rPr>
                <w:rFonts w:hint="eastAsia" w:ascii="楷体" w:hAnsi="楷体" w:eastAsia="楷体" w:cs="楷体"/>
                <w:sz w:val="18"/>
                <w:szCs w:val="18"/>
                <w:highlight w:val="none"/>
              </w:rPr>
            </w:pPr>
            <w:r>
              <w:rPr>
                <w:rFonts w:hint="eastAsia" w:ascii="楷体" w:hAnsi="楷体" w:eastAsia="楷体" w:cs="楷体"/>
                <w:sz w:val="18"/>
                <w:szCs w:val="18"/>
                <w:highlight w:val="none"/>
              </w:rPr>
              <w:t>技术参数与性能指标</w:t>
            </w:r>
          </w:p>
        </w:tc>
      </w:tr>
      <w:tr w14:paraId="523E361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631" w:type="dxa"/>
          </w:tcPr>
          <w:p w14:paraId="5A05A469">
            <w:pPr>
              <w:pageBreakBefore w:val="0"/>
              <w:kinsoku/>
              <w:wordWrap/>
              <w:overflowPunct/>
              <w:topLinePunct w:val="0"/>
              <w:autoSpaceDE/>
              <w:autoSpaceDN/>
              <w:bidi w:val="0"/>
              <w:adjustRightInd/>
              <w:snapToGrid/>
              <w:spacing w:line="360" w:lineRule="auto"/>
              <w:textAlignment w:val="auto"/>
              <w:rPr>
                <w:rFonts w:hint="eastAsia" w:ascii="楷体" w:hAnsi="楷体" w:eastAsia="楷体" w:cs="楷体"/>
                <w:sz w:val="20"/>
                <w:szCs w:val="20"/>
                <w:highlight w:val="none"/>
              </w:rPr>
            </w:pPr>
          </w:p>
        </w:tc>
        <w:tc>
          <w:tcPr>
            <w:tcW w:w="585" w:type="dxa"/>
          </w:tcPr>
          <w:p w14:paraId="18CCB299">
            <w:pPr>
              <w:pStyle w:val="22"/>
              <w:pageBreakBefore w:val="0"/>
              <w:kinsoku/>
              <w:wordWrap/>
              <w:overflowPunct/>
              <w:topLinePunct w:val="0"/>
              <w:autoSpaceDE/>
              <w:autoSpaceDN/>
              <w:bidi w:val="0"/>
              <w:adjustRightInd/>
              <w:snapToGrid/>
              <w:spacing w:line="360" w:lineRule="auto"/>
              <w:textAlignment w:val="auto"/>
              <w:rPr>
                <w:rFonts w:hint="eastAsia" w:ascii="楷体" w:hAnsi="楷体" w:eastAsia="楷体" w:cs="楷体"/>
                <w:sz w:val="21"/>
                <w:szCs w:val="21"/>
                <w:highlight w:val="none"/>
              </w:rPr>
            </w:pPr>
            <w:r>
              <w:rPr>
                <w:rFonts w:hint="eastAsia" w:ascii="楷体" w:hAnsi="楷体" w:eastAsia="楷体" w:cs="楷体"/>
                <w:sz w:val="21"/>
                <w:szCs w:val="21"/>
                <w:highlight w:val="none"/>
              </w:rPr>
              <w:t>1</w:t>
            </w:r>
          </w:p>
        </w:tc>
        <w:tc>
          <w:tcPr>
            <w:tcW w:w="7303" w:type="dxa"/>
          </w:tcPr>
          <w:p w14:paraId="037D4B3B">
            <w:pPr>
              <w:keepNext w:val="0"/>
              <w:keepLines w:val="0"/>
              <w:pageBreakBefore w:val="0"/>
              <w:widowControl w:val="0"/>
              <w:numPr>
                <w:ilvl w:val="0"/>
                <w:numId w:val="10"/>
              </w:numPr>
              <w:kinsoku/>
              <w:wordWrap/>
              <w:overflowPunct/>
              <w:topLinePunct w:val="0"/>
              <w:autoSpaceDE/>
              <w:autoSpaceDN/>
              <w:bidi w:val="0"/>
              <w:adjustRightInd/>
              <w:snapToGrid/>
              <w:spacing w:line="360" w:lineRule="auto"/>
              <w:jc w:val="both"/>
              <w:textAlignment w:val="auto"/>
              <w:rPr>
                <w:rFonts w:hint="eastAsia" w:ascii="楷体" w:hAnsi="楷体" w:eastAsia="楷体" w:cs="楷体"/>
                <w:b/>
                <w:bCs/>
                <w:color w:val="000000" w:themeColor="text1"/>
                <w:sz w:val="21"/>
                <w:szCs w:val="21"/>
                <w:highlight w:val="none"/>
                <w:lang w:val="en-US" w:eastAsia="zh-CN"/>
                <w14:textFill>
                  <w14:solidFill>
                    <w14:schemeClr w14:val="tx1"/>
                  </w14:solidFill>
                </w14:textFill>
              </w:rPr>
            </w:pPr>
            <w:r>
              <w:rPr>
                <w:rFonts w:hint="eastAsia" w:ascii="楷体" w:hAnsi="楷体" w:eastAsia="楷体" w:cs="楷体"/>
                <w:b/>
                <w:bCs/>
                <w:color w:val="000000" w:themeColor="text1"/>
                <w:sz w:val="21"/>
                <w:szCs w:val="21"/>
                <w:highlight w:val="none"/>
                <w:lang w:val="en-US" w:eastAsia="zh-CN"/>
                <w14:textFill>
                  <w14:solidFill>
                    <w14:schemeClr w14:val="tx1"/>
                  </w14:solidFill>
                </w14:textFill>
              </w:rPr>
              <w:t>项目概况</w:t>
            </w:r>
            <w:bookmarkStart w:id="144" w:name="OLE_LINK109"/>
          </w:p>
          <w:p w14:paraId="66CFED1A">
            <w:pPr>
              <w:pStyle w:val="22"/>
              <w:pageBreakBefore w:val="0"/>
              <w:kinsoku/>
              <w:wordWrap/>
              <w:overflowPunct/>
              <w:topLinePunct w:val="0"/>
              <w:autoSpaceDE/>
              <w:autoSpaceDN/>
              <w:bidi w:val="0"/>
              <w:adjustRightInd/>
              <w:snapToGrid/>
              <w:spacing w:line="360" w:lineRule="auto"/>
              <w:ind w:firstLine="480"/>
              <w:textAlignment w:val="auto"/>
              <w:rPr>
                <w:rFonts w:hint="eastAsia" w:ascii="楷体" w:hAnsi="楷体" w:eastAsia="楷体" w:cs="楷体"/>
                <w:sz w:val="21"/>
                <w:szCs w:val="21"/>
                <w:highlight w:val="none"/>
                <w:lang w:eastAsia="zh-CN"/>
              </w:rPr>
            </w:pPr>
            <w:r>
              <w:rPr>
                <w:rFonts w:hint="eastAsia" w:ascii="楷体" w:hAnsi="楷体" w:eastAsia="楷体" w:cs="楷体"/>
                <w:sz w:val="21"/>
                <w:szCs w:val="21"/>
                <w:highlight w:val="none"/>
                <w:lang w:eastAsia="zh-CN"/>
              </w:rPr>
              <w:t>为规范市场秩序，加强生态环境和安全相关产品质量管控，</w:t>
            </w:r>
            <w:r>
              <w:rPr>
                <w:rFonts w:hint="eastAsia" w:ascii="楷体" w:hAnsi="楷体" w:eastAsia="楷体" w:cs="楷体"/>
                <w:sz w:val="21"/>
                <w:szCs w:val="21"/>
                <w:highlight w:val="none"/>
              </w:rPr>
              <w:t>计划在2025年</w:t>
            </w:r>
            <w:r>
              <w:rPr>
                <w:rFonts w:hint="eastAsia" w:ascii="楷体" w:hAnsi="楷体" w:eastAsia="楷体" w:cs="楷体"/>
                <w:sz w:val="21"/>
                <w:szCs w:val="21"/>
                <w:highlight w:val="none"/>
                <w:lang w:eastAsia="zh-CN"/>
              </w:rPr>
              <w:t>进行生态环境和安全相关产品质量监督抽查。</w:t>
            </w:r>
          </w:p>
          <w:p w14:paraId="317901C5">
            <w:pPr>
              <w:pStyle w:val="24"/>
              <w:keepNext/>
              <w:keepLines/>
              <w:numPr>
                <w:ilvl w:val="0"/>
                <w:numId w:val="10"/>
              </w:numPr>
              <w:pBdr>
                <w:bottom w:val="single" w:color="auto" w:sz="4" w:space="0"/>
              </w:pBdr>
              <w:spacing w:after="156" w:afterLines="50" w:line="622" w:lineRule="exact"/>
              <w:ind w:left="0" w:leftChars="0" w:firstLine="0" w:firstLineChars="0"/>
              <w:jc w:val="both"/>
              <w:rPr>
                <w:rFonts w:hint="eastAsia" w:ascii="楷体" w:hAnsi="楷体" w:eastAsia="楷体" w:cs="楷体"/>
                <w:color w:val="000000" w:themeColor="text1"/>
                <w:kern w:val="2"/>
                <w:sz w:val="21"/>
                <w:szCs w:val="21"/>
                <w:highlight w:val="none"/>
                <w:lang w:val="en-US" w:eastAsia="zh-CN" w:bidi="ar-SA"/>
                <w14:textFill>
                  <w14:solidFill>
                    <w14:schemeClr w14:val="tx1"/>
                  </w14:solidFill>
                </w14:textFill>
              </w:rPr>
            </w:pPr>
            <w:r>
              <w:rPr>
                <w:rFonts w:hint="eastAsia" w:ascii="楷体" w:hAnsi="楷体" w:eastAsia="楷体" w:cs="楷体"/>
                <w:color w:val="000000" w:themeColor="text1"/>
                <w:kern w:val="2"/>
                <w:sz w:val="21"/>
                <w:szCs w:val="21"/>
                <w:highlight w:val="none"/>
                <w:lang w:val="en-US" w:eastAsia="zh-CN" w:bidi="ar-SA"/>
                <w14:textFill>
                  <w14:solidFill>
                    <w14:schemeClr w14:val="tx1"/>
                  </w14:solidFill>
                </w14:textFill>
              </w:rPr>
              <w:t>服务内容及执行标准</w:t>
            </w:r>
          </w:p>
          <w:tbl>
            <w:tblPr>
              <w:tblStyle w:val="18"/>
              <w:tblpPr w:leftFromText="180" w:rightFromText="180" w:vertAnchor="text" w:horzAnchor="page" w:tblpX="113" w:tblpY="418"/>
              <w:tblOverlap w:val="never"/>
              <w:tblW w:w="707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4"/>
              <w:gridCol w:w="2124"/>
              <w:gridCol w:w="1916"/>
              <w:gridCol w:w="1992"/>
            </w:tblGrid>
            <w:tr w14:paraId="7EF43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4" w:type="dxa"/>
                  <w:vAlign w:val="center"/>
                </w:tcPr>
                <w:p w14:paraId="78BDACDE">
                  <w:pPr>
                    <w:pageBreakBefore w:val="0"/>
                    <w:overflowPunct/>
                    <w:topLinePunct w:val="0"/>
                    <w:bidi w:val="0"/>
                    <w:snapToGrid/>
                    <w:spacing w:line="360" w:lineRule="auto"/>
                    <w:ind w:left="0" w:leftChars="0" w:right="0" w:rightChars="0"/>
                    <w:jc w:val="center"/>
                    <w:rPr>
                      <w:rFonts w:hint="eastAsia" w:ascii="楷体" w:hAnsi="楷体" w:eastAsia="楷体" w:cs="楷体"/>
                      <w:b/>
                      <w:bCs/>
                      <w:color w:val="auto"/>
                      <w:kern w:val="2"/>
                      <w:sz w:val="21"/>
                      <w:szCs w:val="21"/>
                      <w:highlight w:val="none"/>
                      <w:lang w:val="en-US" w:eastAsia="zh-CN" w:bidi="ar-SA"/>
                    </w:rPr>
                  </w:pPr>
                  <w:r>
                    <w:rPr>
                      <w:rFonts w:hint="eastAsia" w:ascii="楷体" w:hAnsi="楷体" w:eastAsia="楷体" w:cs="楷体"/>
                      <w:b/>
                      <w:bCs/>
                      <w:color w:val="auto"/>
                      <w:sz w:val="21"/>
                      <w:szCs w:val="21"/>
                      <w:highlight w:val="none"/>
                      <w:lang w:val="en-US" w:eastAsia="zh-CN"/>
                    </w:rPr>
                    <w:t>包号</w:t>
                  </w:r>
                </w:p>
              </w:tc>
              <w:tc>
                <w:tcPr>
                  <w:tcW w:w="2124" w:type="dxa"/>
                  <w:vAlign w:val="center"/>
                </w:tcPr>
                <w:p w14:paraId="3BD83F2A">
                  <w:pPr>
                    <w:pageBreakBefore w:val="0"/>
                    <w:overflowPunct/>
                    <w:topLinePunct w:val="0"/>
                    <w:bidi w:val="0"/>
                    <w:snapToGrid/>
                    <w:spacing w:line="360" w:lineRule="auto"/>
                    <w:ind w:left="0" w:leftChars="0" w:right="0" w:rightChars="0"/>
                    <w:jc w:val="center"/>
                    <w:rPr>
                      <w:rFonts w:hint="eastAsia" w:ascii="楷体" w:hAnsi="楷体" w:eastAsia="楷体" w:cs="楷体"/>
                      <w:b/>
                      <w:bCs/>
                      <w:color w:val="auto"/>
                      <w:kern w:val="2"/>
                      <w:sz w:val="21"/>
                      <w:szCs w:val="21"/>
                      <w:highlight w:val="none"/>
                      <w:lang w:val="en-US" w:eastAsia="zh-CN" w:bidi="ar-SA"/>
                    </w:rPr>
                  </w:pPr>
                  <w:r>
                    <w:rPr>
                      <w:rFonts w:hint="eastAsia" w:ascii="楷体" w:hAnsi="楷体" w:eastAsia="楷体" w:cs="楷体"/>
                      <w:b/>
                      <w:bCs/>
                      <w:color w:val="auto"/>
                      <w:sz w:val="21"/>
                      <w:szCs w:val="21"/>
                      <w:highlight w:val="none"/>
                      <w:lang w:val="en-US" w:eastAsia="zh-CN"/>
                    </w:rPr>
                    <w:t>包名称</w:t>
                  </w:r>
                </w:p>
              </w:tc>
              <w:tc>
                <w:tcPr>
                  <w:tcW w:w="1916" w:type="dxa"/>
                  <w:vAlign w:val="center"/>
                </w:tcPr>
                <w:p w14:paraId="1DE7A3B3">
                  <w:pPr>
                    <w:pageBreakBefore w:val="0"/>
                    <w:overflowPunct/>
                    <w:topLinePunct w:val="0"/>
                    <w:bidi w:val="0"/>
                    <w:snapToGrid/>
                    <w:spacing w:line="360" w:lineRule="auto"/>
                    <w:ind w:left="0" w:right="0" w:rightChars="0"/>
                    <w:jc w:val="center"/>
                    <w:rPr>
                      <w:rFonts w:hint="eastAsia" w:ascii="楷体" w:hAnsi="楷体" w:eastAsia="楷体" w:cs="楷体"/>
                      <w:b/>
                      <w:bCs/>
                      <w:color w:val="auto"/>
                      <w:sz w:val="21"/>
                      <w:szCs w:val="21"/>
                      <w:highlight w:val="none"/>
                      <w:lang w:val="en-US" w:eastAsia="zh-CN"/>
                    </w:rPr>
                  </w:pPr>
                  <w:r>
                    <w:rPr>
                      <w:rFonts w:hint="eastAsia" w:ascii="楷体" w:hAnsi="楷体" w:eastAsia="楷体" w:cs="楷体"/>
                      <w:b/>
                      <w:bCs/>
                      <w:color w:val="auto"/>
                      <w:sz w:val="21"/>
                      <w:szCs w:val="21"/>
                      <w:highlight w:val="none"/>
                      <w:lang w:val="en-US" w:eastAsia="zh-CN"/>
                    </w:rPr>
                    <w:t>包预算</w:t>
                  </w:r>
                </w:p>
                <w:p w14:paraId="25549772">
                  <w:pPr>
                    <w:pageBreakBefore w:val="0"/>
                    <w:overflowPunct/>
                    <w:topLinePunct w:val="0"/>
                    <w:bidi w:val="0"/>
                    <w:snapToGrid/>
                    <w:spacing w:line="360" w:lineRule="auto"/>
                    <w:ind w:left="0" w:leftChars="0" w:right="0" w:rightChars="0"/>
                    <w:jc w:val="center"/>
                    <w:rPr>
                      <w:rFonts w:hint="eastAsia" w:ascii="楷体" w:hAnsi="楷体" w:eastAsia="楷体" w:cs="楷体"/>
                      <w:b/>
                      <w:bCs/>
                      <w:color w:val="auto"/>
                      <w:kern w:val="2"/>
                      <w:sz w:val="21"/>
                      <w:szCs w:val="21"/>
                      <w:highlight w:val="none"/>
                      <w:lang w:val="en-US" w:eastAsia="zh-CN" w:bidi="ar-SA"/>
                    </w:rPr>
                  </w:pPr>
                  <w:r>
                    <w:rPr>
                      <w:rFonts w:hint="eastAsia" w:ascii="楷体" w:hAnsi="楷体" w:eastAsia="楷体" w:cs="楷体"/>
                      <w:b/>
                      <w:bCs/>
                      <w:color w:val="auto"/>
                      <w:sz w:val="21"/>
                      <w:szCs w:val="21"/>
                      <w:highlight w:val="none"/>
                      <w:lang w:val="en-US" w:eastAsia="zh-CN"/>
                    </w:rPr>
                    <w:t>（万元）</w:t>
                  </w:r>
                </w:p>
              </w:tc>
              <w:tc>
                <w:tcPr>
                  <w:tcW w:w="1992" w:type="dxa"/>
                  <w:vAlign w:val="center"/>
                </w:tcPr>
                <w:p w14:paraId="0140BFEB">
                  <w:pPr>
                    <w:pageBreakBefore w:val="0"/>
                    <w:overflowPunct/>
                    <w:topLinePunct w:val="0"/>
                    <w:bidi w:val="0"/>
                    <w:snapToGrid/>
                    <w:spacing w:line="360" w:lineRule="auto"/>
                    <w:ind w:left="0" w:leftChars="0" w:right="0" w:rightChars="0"/>
                    <w:jc w:val="center"/>
                    <w:rPr>
                      <w:rFonts w:hint="eastAsia" w:ascii="楷体" w:hAnsi="楷体" w:eastAsia="楷体" w:cs="楷体"/>
                      <w:b/>
                      <w:bCs/>
                      <w:color w:val="auto"/>
                      <w:kern w:val="2"/>
                      <w:sz w:val="21"/>
                      <w:szCs w:val="21"/>
                      <w:highlight w:val="none"/>
                      <w:lang w:val="en-US" w:eastAsia="zh-CN" w:bidi="ar-SA"/>
                    </w:rPr>
                  </w:pPr>
                  <w:r>
                    <w:rPr>
                      <w:rFonts w:hint="eastAsia" w:ascii="楷体" w:hAnsi="楷体" w:eastAsia="楷体" w:cs="楷体"/>
                      <w:b/>
                      <w:bCs/>
                      <w:color w:val="auto"/>
                      <w:sz w:val="21"/>
                      <w:szCs w:val="21"/>
                      <w:highlight w:val="none"/>
                      <w:lang w:val="en-US" w:eastAsia="zh-CN"/>
                    </w:rPr>
                    <w:t>备注</w:t>
                  </w:r>
                </w:p>
              </w:tc>
            </w:tr>
            <w:tr w14:paraId="416DB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4" w:type="dxa"/>
                  <w:vAlign w:val="top"/>
                </w:tcPr>
                <w:p w14:paraId="0DB2FE96">
                  <w:pPr>
                    <w:pStyle w:val="28"/>
                    <w:spacing w:before="208" w:line="193" w:lineRule="auto"/>
                    <w:ind w:left="427" w:leftChars="0"/>
                    <w:rPr>
                      <w:rFonts w:hint="eastAsia" w:ascii="楷体" w:hAnsi="楷体" w:eastAsia="楷体" w:cs="楷体"/>
                      <w:kern w:val="2"/>
                      <w:sz w:val="21"/>
                      <w:szCs w:val="21"/>
                      <w:highlight w:val="none"/>
                      <w:lang w:val="en-US" w:eastAsia="zh-CN" w:bidi="ar-SA"/>
                    </w:rPr>
                  </w:pPr>
                  <w:r>
                    <w:rPr>
                      <w:rFonts w:hint="eastAsia" w:ascii="楷体" w:hAnsi="楷体" w:eastAsia="楷体" w:cs="楷体"/>
                      <w:kern w:val="2"/>
                      <w:sz w:val="21"/>
                      <w:szCs w:val="21"/>
                      <w:highlight w:val="none"/>
                      <w:lang w:val="en-US" w:eastAsia="zh-CN" w:bidi="ar-SA"/>
                    </w:rPr>
                    <w:t>四</w:t>
                  </w:r>
                </w:p>
              </w:tc>
              <w:tc>
                <w:tcPr>
                  <w:tcW w:w="2124" w:type="dxa"/>
                  <w:vAlign w:val="top"/>
                </w:tcPr>
                <w:p w14:paraId="279398BA">
                  <w:pPr>
                    <w:pStyle w:val="28"/>
                    <w:spacing w:before="183" w:line="220" w:lineRule="auto"/>
                    <w:ind w:left="324" w:leftChars="0"/>
                    <w:rPr>
                      <w:rFonts w:hint="eastAsia" w:ascii="楷体" w:hAnsi="楷体" w:eastAsia="楷体" w:cs="楷体"/>
                      <w:kern w:val="2"/>
                      <w:sz w:val="21"/>
                      <w:szCs w:val="21"/>
                      <w:highlight w:val="none"/>
                      <w:lang w:val="en-US" w:eastAsia="zh-CN" w:bidi="ar-SA"/>
                    </w:rPr>
                  </w:pPr>
                  <w:r>
                    <w:rPr>
                      <w:rFonts w:hint="eastAsia" w:ascii="楷体" w:hAnsi="楷体" w:eastAsia="楷体" w:cs="楷体"/>
                      <w:b/>
                      <w:bCs/>
                      <w:spacing w:val="-4"/>
                      <w:sz w:val="21"/>
                      <w:szCs w:val="21"/>
                      <w:highlight w:val="none"/>
                      <w:lang w:eastAsia="zh-CN"/>
                    </w:rPr>
                    <w:t>消防产品</w:t>
                  </w:r>
                </w:p>
              </w:tc>
              <w:tc>
                <w:tcPr>
                  <w:tcW w:w="1916" w:type="dxa"/>
                  <w:vAlign w:val="top"/>
                </w:tcPr>
                <w:p w14:paraId="4269F7A8">
                  <w:pPr>
                    <w:pStyle w:val="28"/>
                    <w:spacing w:before="183" w:line="226" w:lineRule="auto"/>
                    <w:jc w:val="center"/>
                    <w:rPr>
                      <w:rFonts w:hint="eastAsia" w:ascii="楷体" w:hAnsi="楷体" w:eastAsia="楷体" w:cs="楷体"/>
                      <w:kern w:val="2"/>
                      <w:sz w:val="21"/>
                      <w:szCs w:val="21"/>
                      <w:highlight w:val="none"/>
                      <w:lang w:val="en-US" w:eastAsia="zh-CN" w:bidi="ar-SA"/>
                    </w:rPr>
                  </w:pPr>
                  <w:r>
                    <w:rPr>
                      <w:rFonts w:hint="eastAsia" w:ascii="楷体" w:hAnsi="楷体" w:eastAsia="楷体" w:cs="楷体"/>
                      <w:b/>
                      <w:bCs/>
                      <w:spacing w:val="-9"/>
                      <w:sz w:val="21"/>
                      <w:szCs w:val="21"/>
                      <w:highlight w:val="none"/>
                      <w:lang w:eastAsia="zh-CN"/>
                    </w:rPr>
                    <w:t>2</w:t>
                  </w:r>
                  <w:r>
                    <w:rPr>
                      <w:rFonts w:hint="eastAsia" w:ascii="楷体" w:hAnsi="楷体" w:eastAsia="楷体" w:cs="楷体"/>
                      <w:b/>
                      <w:bCs/>
                      <w:spacing w:val="-9"/>
                      <w:sz w:val="21"/>
                      <w:szCs w:val="21"/>
                      <w:highlight w:val="none"/>
                      <w:lang w:val="en-US" w:eastAsia="zh-CN"/>
                    </w:rPr>
                    <w:t>5</w:t>
                  </w:r>
                </w:p>
              </w:tc>
              <w:tc>
                <w:tcPr>
                  <w:tcW w:w="1992" w:type="dxa"/>
                  <w:vAlign w:val="top"/>
                </w:tcPr>
                <w:p w14:paraId="4FF7FBB1">
                  <w:pPr>
                    <w:pStyle w:val="28"/>
                    <w:spacing w:before="183" w:line="223" w:lineRule="auto"/>
                    <w:ind w:left="127" w:leftChars="0"/>
                    <w:rPr>
                      <w:rFonts w:hint="eastAsia" w:ascii="楷体" w:hAnsi="楷体" w:eastAsia="楷体" w:cs="楷体"/>
                      <w:kern w:val="2"/>
                      <w:sz w:val="21"/>
                      <w:szCs w:val="21"/>
                      <w:highlight w:val="none"/>
                      <w:lang w:val="en-US" w:eastAsia="zh-CN" w:bidi="ar-SA"/>
                    </w:rPr>
                  </w:pPr>
                </w:p>
              </w:tc>
            </w:tr>
            <w:tr w14:paraId="1182C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4" w:type="dxa"/>
                  <w:vAlign w:val="top"/>
                </w:tcPr>
                <w:p w14:paraId="6D7F155E">
                  <w:pPr>
                    <w:pStyle w:val="28"/>
                    <w:spacing w:before="116" w:line="313" w:lineRule="auto"/>
                    <w:ind w:left="423" w:leftChars="0" w:right="165" w:rightChars="0" w:hanging="238" w:firstLineChars="0"/>
                    <w:rPr>
                      <w:rFonts w:hint="eastAsia" w:ascii="楷体" w:hAnsi="楷体" w:eastAsia="楷体" w:cs="楷体"/>
                      <w:kern w:val="2"/>
                      <w:sz w:val="21"/>
                      <w:szCs w:val="21"/>
                      <w:highlight w:val="none"/>
                      <w:lang w:val="en-US" w:eastAsia="zh-CN" w:bidi="ar-SA"/>
                    </w:rPr>
                  </w:pPr>
                  <w:r>
                    <w:rPr>
                      <w:rFonts w:hint="eastAsia" w:ascii="楷体" w:hAnsi="楷体" w:eastAsia="楷体" w:cs="楷体"/>
                      <w:spacing w:val="-6"/>
                      <w:sz w:val="21"/>
                      <w:szCs w:val="21"/>
                      <w:highlight w:val="none"/>
                    </w:rPr>
                    <w:t>产品名</w:t>
                  </w:r>
                  <w:r>
                    <w:rPr>
                      <w:rFonts w:hint="eastAsia" w:ascii="楷体" w:hAnsi="楷体" w:eastAsia="楷体" w:cs="楷体"/>
                      <w:sz w:val="21"/>
                      <w:szCs w:val="21"/>
                      <w:highlight w:val="none"/>
                    </w:rPr>
                    <w:t xml:space="preserve"> 称</w:t>
                  </w:r>
                </w:p>
              </w:tc>
              <w:tc>
                <w:tcPr>
                  <w:tcW w:w="2124" w:type="dxa"/>
                  <w:vAlign w:val="top"/>
                </w:tcPr>
                <w:p w14:paraId="766DA4E5">
                  <w:pPr>
                    <w:spacing w:line="268" w:lineRule="auto"/>
                    <w:rPr>
                      <w:rFonts w:hint="eastAsia" w:ascii="楷体" w:hAnsi="楷体" w:eastAsia="楷体" w:cs="楷体"/>
                      <w:sz w:val="21"/>
                      <w:szCs w:val="21"/>
                      <w:highlight w:val="none"/>
                    </w:rPr>
                  </w:pPr>
                </w:p>
                <w:p w14:paraId="5AEE518C">
                  <w:pPr>
                    <w:pStyle w:val="28"/>
                    <w:spacing w:before="78" w:line="221" w:lineRule="auto"/>
                    <w:ind w:firstLine="404" w:firstLineChars="200"/>
                    <w:rPr>
                      <w:rFonts w:hint="eastAsia" w:ascii="楷体" w:hAnsi="楷体" w:eastAsia="楷体" w:cs="楷体"/>
                      <w:kern w:val="2"/>
                      <w:sz w:val="21"/>
                      <w:szCs w:val="21"/>
                      <w:highlight w:val="none"/>
                      <w:lang w:val="en-US" w:eastAsia="zh-CN" w:bidi="ar-SA"/>
                    </w:rPr>
                  </w:pPr>
                  <w:r>
                    <w:rPr>
                      <w:rFonts w:hint="eastAsia" w:ascii="楷体" w:hAnsi="楷体" w:eastAsia="楷体" w:cs="楷体"/>
                      <w:spacing w:val="-4"/>
                      <w:sz w:val="21"/>
                      <w:szCs w:val="21"/>
                      <w:highlight w:val="none"/>
                    </w:rPr>
                    <w:t>执行标准</w:t>
                  </w:r>
                </w:p>
              </w:tc>
              <w:tc>
                <w:tcPr>
                  <w:tcW w:w="3908" w:type="dxa"/>
                  <w:gridSpan w:val="2"/>
                  <w:vAlign w:val="top"/>
                </w:tcPr>
                <w:p w14:paraId="4DC1D0F6">
                  <w:pPr>
                    <w:spacing w:line="269" w:lineRule="auto"/>
                    <w:rPr>
                      <w:rFonts w:hint="eastAsia" w:ascii="楷体" w:hAnsi="楷体" w:eastAsia="楷体" w:cs="楷体"/>
                      <w:sz w:val="21"/>
                      <w:szCs w:val="21"/>
                      <w:highlight w:val="none"/>
                    </w:rPr>
                  </w:pPr>
                </w:p>
                <w:p w14:paraId="52660B8E">
                  <w:pPr>
                    <w:pStyle w:val="28"/>
                    <w:spacing w:before="78" w:line="220" w:lineRule="auto"/>
                    <w:ind w:left="1651" w:leftChars="0"/>
                    <w:rPr>
                      <w:rFonts w:hint="eastAsia" w:ascii="楷体" w:hAnsi="楷体" w:eastAsia="楷体" w:cs="楷体"/>
                      <w:kern w:val="2"/>
                      <w:sz w:val="21"/>
                      <w:szCs w:val="21"/>
                      <w:highlight w:val="none"/>
                      <w:lang w:val="en-US" w:eastAsia="zh-CN" w:bidi="ar-SA"/>
                    </w:rPr>
                  </w:pPr>
                  <w:r>
                    <w:rPr>
                      <w:rFonts w:hint="eastAsia" w:ascii="楷体" w:hAnsi="楷体" w:eastAsia="楷体" w:cs="楷体"/>
                      <w:spacing w:val="-5"/>
                      <w:sz w:val="21"/>
                      <w:szCs w:val="21"/>
                      <w:highlight w:val="none"/>
                    </w:rPr>
                    <w:t>检验项目</w:t>
                  </w:r>
                </w:p>
              </w:tc>
            </w:tr>
            <w:tr w14:paraId="61642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4" w:type="dxa"/>
                  <w:vAlign w:val="center"/>
                </w:tcPr>
                <w:p w14:paraId="5910C36F">
                  <w:pPr>
                    <w:pageBreakBefore w:val="0"/>
                    <w:overflowPunct/>
                    <w:topLinePunct w:val="0"/>
                    <w:bidi w:val="0"/>
                    <w:snapToGrid/>
                    <w:spacing w:line="360" w:lineRule="auto"/>
                    <w:ind w:left="0" w:leftChars="0" w:right="0" w:rightChars="0"/>
                    <w:jc w:val="left"/>
                    <w:rPr>
                      <w:rFonts w:hint="eastAsia" w:ascii="楷体" w:hAnsi="楷体" w:eastAsia="楷体" w:cs="楷体"/>
                      <w:bCs/>
                      <w:color w:val="auto"/>
                      <w:kern w:val="2"/>
                      <w:sz w:val="21"/>
                      <w:szCs w:val="21"/>
                      <w:highlight w:val="none"/>
                      <w:lang w:val="en-US" w:eastAsia="zh-CN" w:bidi="ar-SA"/>
                    </w:rPr>
                  </w:pPr>
                  <w:r>
                    <w:rPr>
                      <w:rFonts w:hint="eastAsia" w:ascii="楷体" w:hAnsi="楷体" w:eastAsia="楷体" w:cs="楷体"/>
                      <w:bCs/>
                      <w:color w:val="auto"/>
                      <w:sz w:val="21"/>
                      <w:szCs w:val="21"/>
                      <w:highlight w:val="none"/>
                      <w:lang w:eastAsia="zh-CN"/>
                    </w:rPr>
                    <w:t>手提式干粉灭火器</w:t>
                  </w:r>
                </w:p>
              </w:tc>
              <w:tc>
                <w:tcPr>
                  <w:tcW w:w="2124" w:type="dxa"/>
                  <w:vAlign w:val="center"/>
                </w:tcPr>
                <w:p w14:paraId="59C3AF17">
                  <w:pPr>
                    <w:pageBreakBefore w:val="0"/>
                    <w:overflowPunct/>
                    <w:topLinePunct w:val="0"/>
                    <w:bidi w:val="0"/>
                    <w:snapToGrid/>
                    <w:spacing w:line="360" w:lineRule="auto"/>
                    <w:ind w:left="0" w:right="0" w:rightChars="0"/>
                    <w:jc w:val="left"/>
                    <w:rPr>
                      <w:rFonts w:hint="eastAsia" w:ascii="楷体" w:hAnsi="楷体" w:eastAsia="楷体" w:cs="楷体"/>
                      <w:bCs/>
                      <w:color w:val="auto"/>
                      <w:sz w:val="21"/>
                      <w:szCs w:val="21"/>
                      <w:highlight w:val="none"/>
                      <w:lang w:eastAsia="zh-CN"/>
                    </w:rPr>
                  </w:pPr>
                  <w:r>
                    <w:rPr>
                      <w:rFonts w:hint="eastAsia" w:ascii="楷体" w:hAnsi="楷体" w:eastAsia="楷体" w:cs="楷体"/>
                      <w:bCs/>
                      <w:color w:val="auto"/>
                      <w:sz w:val="21"/>
                      <w:szCs w:val="21"/>
                      <w:highlight w:val="none"/>
                      <w:lang w:eastAsia="zh-CN"/>
                    </w:rPr>
                    <w:t>GB 4351-2023等现行有效的企业标准、团体标准、地方标准及产品明示质量要求</w:t>
                  </w:r>
                </w:p>
                <w:p w14:paraId="5859711A">
                  <w:pPr>
                    <w:pageBreakBefore w:val="0"/>
                    <w:overflowPunct/>
                    <w:topLinePunct w:val="0"/>
                    <w:bidi w:val="0"/>
                    <w:snapToGrid/>
                    <w:spacing w:line="360" w:lineRule="auto"/>
                    <w:ind w:left="0" w:leftChars="0" w:right="0" w:rightChars="0"/>
                    <w:jc w:val="left"/>
                    <w:rPr>
                      <w:rFonts w:hint="eastAsia" w:ascii="楷体" w:hAnsi="楷体" w:eastAsia="楷体" w:cs="楷体"/>
                      <w:bCs/>
                      <w:color w:val="auto"/>
                      <w:kern w:val="2"/>
                      <w:sz w:val="21"/>
                      <w:szCs w:val="21"/>
                      <w:highlight w:val="none"/>
                      <w:lang w:val="en-US" w:eastAsia="zh-CN" w:bidi="ar-SA"/>
                    </w:rPr>
                  </w:pPr>
                </w:p>
              </w:tc>
              <w:tc>
                <w:tcPr>
                  <w:tcW w:w="3908" w:type="dxa"/>
                  <w:gridSpan w:val="2"/>
                  <w:vAlign w:val="center"/>
                </w:tcPr>
                <w:p w14:paraId="382B41CB">
                  <w:pPr>
                    <w:pageBreakBefore w:val="0"/>
                    <w:overflowPunct/>
                    <w:topLinePunct w:val="0"/>
                    <w:bidi w:val="0"/>
                    <w:snapToGrid/>
                    <w:spacing w:line="360" w:lineRule="auto"/>
                    <w:ind w:left="0" w:leftChars="0" w:right="0" w:rightChars="0"/>
                    <w:jc w:val="left"/>
                    <w:rPr>
                      <w:rFonts w:hint="eastAsia" w:ascii="楷体" w:hAnsi="楷体" w:eastAsia="楷体" w:cs="楷体"/>
                      <w:bCs/>
                      <w:color w:val="auto"/>
                      <w:kern w:val="2"/>
                      <w:sz w:val="21"/>
                      <w:szCs w:val="21"/>
                      <w:highlight w:val="none"/>
                      <w:lang w:val="en-US" w:eastAsia="zh-CN" w:bidi="ar-SA"/>
                    </w:rPr>
                  </w:pPr>
                  <w:r>
                    <w:rPr>
                      <w:rFonts w:hint="eastAsia" w:ascii="楷体" w:hAnsi="楷体" w:eastAsia="楷体" w:cs="楷体"/>
                      <w:bCs/>
                      <w:color w:val="auto"/>
                      <w:sz w:val="21"/>
                      <w:szCs w:val="21"/>
                      <w:highlight w:val="none"/>
                      <w:lang w:eastAsia="zh-CN"/>
                    </w:rPr>
                    <w:t>充装要求、20℃喷射性能、灭火器开启力、保险装置、低压瓶体爆破性能、瓶体水压试验、灭火器阀门组件试验（提压把的长度、厚度、宽度）、压力指示器外观检查、干粉灭火剂主要成分</w:t>
                  </w:r>
                </w:p>
              </w:tc>
            </w:tr>
            <w:tr w14:paraId="2D28F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4" w:type="dxa"/>
                  <w:vAlign w:val="center"/>
                </w:tcPr>
                <w:p w14:paraId="5A7410D8">
                  <w:pPr>
                    <w:pageBreakBefore w:val="0"/>
                    <w:overflowPunct/>
                    <w:topLinePunct w:val="0"/>
                    <w:bidi w:val="0"/>
                    <w:snapToGrid/>
                    <w:spacing w:line="360" w:lineRule="auto"/>
                    <w:ind w:left="0" w:leftChars="0" w:right="0" w:rightChars="0"/>
                    <w:jc w:val="left"/>
                    <w:rPr>
                      <w:rFonts w:hint="eastAsia" w:ascii="楷体" w:hAnsi="楷体" w:eastAsia="楷体" w:cs="楷体"/>
                      <w:bCs/>
                      <w:color w:val="auto"/>
                      <w:kern w:val="2"/>
                      <w:sz w:val="21"/>
                      <w:szCs w:val="21"/>
                      <w:highlight w:val="none"/>
                      <w:lang w:val="en-US" w:eastAsia="zh-CN" w:bidi="ar-SA"/>
                    </w:rPr>
                  </w:pPr>
                  <w:r>
                    <w:rPr>
                      <w:rFonts w:hint="eastAsia" w:ascii="楷体" w:hAnsi="楷体" w:eastAsia="楷体" w:cs="楷体"/>
                      <w:bCs/>
                      <w:color w:val="auto"/>
                      <w:sz w:val="21"/>
                      <w:szCs w:val="21"/>
                      <w:highlight w:val="none"/>
                      <w:lang w:eastAsia="zh-CN"/>
                    </w:rPr>
                    <w:t>消防水带</w:t>
                  </w:r>
                </w:p>
              </w:tc>
              <w:tc>
                <w:tcPr>
                  <w:tcW w:w="2124" w:type="dxa"/>
                  <w:vAlign w:val="center"/>
                </w:tcPr>
                <w:p w14:paraId="14764CD6">
                  <w:pPr>
                    <w:pageBreakBefore w:val="0"/>
                    <w:overflowPunct/>
                    <w:topLinePunct w:val="0"/>
                    <w:bidi w:val="0"/>
                    <w:snapToGrid/>
                    <w:spacing w:line="360" w:lineRule="auto"/>
                    <w:ind w:left="0" w:right="0" w:rightChars="0"/>
                    <w:jc w:val="left"/>
                    <w:rPr>
                      <w:rFonts w:hint="eastAsia" w:ascii="楷体" w:hAnsi="楷体" w:eastAsia="楷体" w:cs="楷体"/>
                      <w:bCs/>
                      <w:color w:val="auto"/>
                      <w:sz w:val="21"/>
                      <w:szCs w:val="21"/>
                      <w:highlight w:val="none"/>
                      <w:lang w:eastAsia="zh-CN"/>
                    </w:rPr>
                  </w:pPr>
                  <w:bookmarkStart w:id="145" w:name="OLE_LINK39"/>
                  <w:r>
                    <w:rPr>
                      <w:rFonts w:hint="eastAsia" w:ascii="楷体" w:hAnsi="楷体" w:eastAsia="楷体" w:cs="楷体"/>
                      <w:bCs/>
                      <w:color w:val="auto"/>
                      <w:sz w:val="21"/>
                      <w:szCs w:val="21"/>
                      <w:highlight w:val="none"/>
                      <w:lang w:eastAsia="zh-CN"/>
                    </w:rPr>
                    <w:t>GB 6246-2011</w:t>
                  </w:r>
                  <w:bookmarkEnd w:id="145"/>
                  <w:r>
                    <w:rPr>
                      <w:rFonts w:hint="eastAsia" w:ascii="楷体" w:hAnsi="楷体" w:eastAsia="楷体" w:cs="楷体"/>
                      <w:bCs/>
                      <w:color w:val="auto"/>
                      <w:sz w:val="21"/>
                      <w:szCs w:val="21"/>
                      <w:highlight w:val="none"/>
                      <w:lang w:eastAsia="zh-CN"/>
                    </w:rPr>
                    <w:t>等现行有效的企业标准、团体标准、地方标准及产品明示质量要求</w:t>
                  </w:r>
                </w:p>
                <w:p w14:paraId="79E3A572">
                  <w:pPr>
                    <w:pageBreakBefore w:val="0"/>
                    <w:overflowPunct/>
                    <w:topLinePunct w:val="0"/>
                    <w:bidi w:val="0"/>
                    <w:snapToGrid/>
                    <w:spacing w:line="360" w:lineRule="auto"/>
                    <w:ind w:left="0" w:leftChars="0" w:right="0" w:rightChars="0"/>
                    <w:jc w:val="left"/>
                    <w:rPr>
                      <w:rFonts w:hint="eastAsia" w:ascii="楷体" w:hAnsi="楷体" w:eastAsia="楷体" w:cs="楷体"/>
                      <w:bCs/>
                      <w:color w:val="auto"/>
                      <w:kern w:val="2"/>
                      <w:sz w:val="21"/>
                      <w:szCs w:val="21"/>
                      <w:highlight w:val="none"/>
                      <w:lang w:val="en-US" w:eastAsia="zh-CN" w:bidi="ar-SA"/>
                    </w:rPr>
                  </w:pPr>
                </w:p>
              </w:tc>
              <w:tc>
                <w:tcPr>
                  <w:tcW w:w="3908" w:type="dxa"/>
                  <w:gridSpan w:val="2"/>
                  <w:vAlign w:val="center"/>
                </w:tcPr>
                <w:p w14:paraId="413FEF84">
                  <w:pPr>
                    <w:pageBreakBefore w:val="0"/>
                    <w:overflowPunct/>
                    <w:topLinePunct w:val="0"/>
                    <w:bidi w:val="0"/>
                    <w:snapToGrid/>
                    <w:spacing w:line="360" w:lineRule="auto"/>
                    <w:ind w:left="0" w:leftChars="0" w:right="0" w:rightChars="0"/>
                    <w:jc w:val="left"/>
                    <w:rPr>
                      <w:rFonts w:hint="eastAsia" w:ascii="楷体" w:hAnsi="楷体" w:eastAsia="楷体" w:cs="楷体"/>
                      <w:bCs/>
                      <w:color w:val="auto"/>
                      <w:kern w:val="2"/>
                      <w:sz w:val="21"/>
                      <w:szCs w:val="21"/>
                      <w:highlight w:val="none"/>
                      <w:lang w:val="en-US" w:eastAsia="zh-CN" w:bidi="ar-SA"/>
                    </w:rPr>
                  </w:pPr>
                  <w:r>
                    <w:rPr>
                      <w:rFonts w:hint="eastAsia" w:ascii="楷体" w:hAnsi="楷体" w:eastAsia="楷体" w:cs="楷体"/>
                      <w:bCs/>
                      <w:color w:val="auto"/>
                      <w:sz w:val="21"/>
                      <w:szCs w:val="21"/>
                      <w:highlight w:val="none"/>
                      <w:lang w:eastAsia="zh-CN"/>
                    </w:rPr>
                    <w:t>附着强度试验、扯断伸长率和扯断强度、热空气老化试验、内径测量、长度测量、水压试验与爆破试验、单位长度质量检查、延伸率、膨胀率及扭转方向试验</w:t>
                  </w:r>
                </w:p>
              </w:tc>
            </w:tr>
            <w:tr w14:paraId="3A3BD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4" w:type="dxa"/>
                  <w:vAlign w:val="center"/>
                </w:tcPr>
                <w:p w14:paraId="5EDFDCB4">
                  <w:pPr>
                    <w:pageBreakBefore w:val="0"/>
                    <w:overflowPunct/>
                    <w:topLinePunct w:val="0"/>
                    <w:bidi w:val="0"/>
                    <w:snapToGrid/>
                    <w:spacing w:line="360" w:lineRule="auto"/>
                    <w:ind w:left="0" w:leftChars="0" w:right="0" w:rightChars="0"/>
                    <w:jc w:val="left"/>
                    <w:rPr>
                      <w:rFonts w:hint="eastAsia" w:ascii="楷体" w:hAnsi="楷体" w:eastAsia="楷体" w:cs="楷体"/>
                      <w:bCs/>
                      <w:color w:val="auto"/>
                      <w:kern w:val="2"/>
                      <w:sz w:val="21"/>
                      <w:szCs w:val="21"/>
                      <w:highlight w:val="none"/>
                      <w:lang w:val="en-US" w:eastAsia="zh-CN" w:bidi="ar-SA"/>
                    </w:rPr>
                  </w:pPr>
                  <w:r>
                    <w:rPr>
                      <w:rFonts w:hint="eastAsia" w:ascii="楷体" w:hAnsi="楷体" w:eastAsia="楷体" w:cs="楷体"/>
                      <w:bCs/>
                      <w:color w:val="auto"/>
                      <w:sz w:val="21"/>
                      <w:szCs w:val="21"/>
                      <w:highlight w:val="none"/>
                      <w:lang w:eastAsia="zh-CN"/>
                    </w:rPr>
                    <w:t>室内消火栓</w:t>
                  </w:r>
                </w:p>
              </w:tc>
              <w:tc>
                <w:tcPr>
                  <w:tcW w:w="2124" w:type="dxa"/>
                  <w:vAlign w:val="center"/>
                </w:tcPr>
                <w:p w14:paraId="19C628C0">
                  <w:pPr>
                    <w:pageBreakBefore w:val="0"/>
                    <w:overflowPunct/>
                    <w:topLinePunct w:val="0"/>
                    <w:bidi w:val="0"/>
                    <w:snapToGrid/>
                    <w:spacing w:line="360" w:lineRule="auto"/>
                    <w:ind w:left="0" w:right="0" w:rightChars="0"/>
                    <w:jc w:val="left"/>
                    <w:rPr>
                      <w:rFonts w:hint="eastAsia" w:ascii="楷体" w:hAnsi="楷体" w:eastAsia="楷体" w:cs="楷体"/>
                      <w:bCs/>
                      <w:color w:val="auto"/>
                      <w:sz w:val="21"/>
                      <w:szCs w:val="21"/>
                      <w:highlight w:val="none"/>
                      <w:lang w:eastAsia="zh-CN"/>
                    </w:rPr>
                  </w:pPr>
                  <w:bookmarkStart w:id="146" w:name="OLE_LINK40"/>
                  <w:r>
                    <w:rPr>
                      <w:rFonts w:hint="eastAsia" w:ascii="楷体" w:hAnsi="楷体" w:eastAsia="楷体" w:cs="楷体"/>
                      <w:bCs/>
                      <w:color w:val="auto"/>
                      <w:sz w:val="21"/>
                      <w:szCs w:val="21"/>
                      <w:highlight w:val="none"/>
                      <w:lang w:eastAsia="zh-CN"/>
                    </w:rPr>
                    <w:t>GB 3445-2018</w:t>
                  </w:r>
                  <w:bookmarkEnd w:id="146"/>
                  <w:r>
                    <w:rPr>
                      <w:rFonts w:hint="eastAsia" w:ascii="楷体" w:hAnsi="楷体" w:eastAsia="楷体" w:cs="楷体"/>
                      <w:bCs/>
                      <w:color w:val="auto"/>
                      <w:sz w:val="21"/>
                      <w:szCs w:val="21"/>
                      <w:highlight w:val="none"/>
                      <w:lang w:eastAsia="zh-CN"/>
                    </w:rPr>
                    <w:t>等现行有效的企业标准、团体标准、地方标准及产品明示质量要求</w:t>
                  </w:r>
                </w:p>
                <w:p w14:paraId="7CF3ECB2">
                  <w:pPr>
                    <w:pageBreakBefore w:val="0"/>
                    <w:overflowPunct/>
                    <w:topLinePunct w:val="0"/>
                    <w:bidi w:val="0"/>
                    <w:snapToGrid/>
                    <w:spacing w:line="360" w:lineRule="auto"/>
                    <w:ind w:left="0" w:leftChars="0" w:right="0" w:rightChars="0"/>
                    <w:jc w:val="left"/>
                    <w:rPr>
                      <w:rFonts w:hint="eastAsia" w:ascii="楷体" w:hAnsi="楷体" w:eastAsia="楷体" w:cs="楷体"/>
                      <w:bCs/>
                      <w:color w:val="auto"/>
                      <w:kern w:val="2"/>
                      <w:sz w:val="21"/>
                      <w:szCs w:val="21"/>
                      <w:highlight w:val="none"/>
                      <w:lang w:val="en-US" w:eastAsia="zh-CN" w:bidi="ar-SA"/>
                    </w:rPr>
                  </w:pPr>
                </w:p>
              </w:tc>
              <w:tc>
                <w:tcPr>
                  <w:tcW w:w="3908" w:type="dxa"/>
                  <w:gridSpan w:val="2"/>
                  <w:vAlign w:val="center"/>
                </w:tcPr>
                <w:p w14:paraId="6B282BF6">
                  <w:pPr>
                    <w:pageBreakBefore w:val="0"/>
                    <w:overflowPunct/>
                    <w:topLinePunct w:val="0"/>
                    <w:bidi w:val="0"/>
                    <w:snapToGrid/>
                    <w:spacing w:line="360" w:lineRule="auto"/>
                    <w:ind w:left="0" w:leftChars="0" w:right="0" w:rightChars="0"/>
                    <w:jc w:val="left"/>
                    <w:rPr>
                      <w:rFonts w:hint="eastAsia" w:ascii="楷体" w:hAnsi="楷体" w:eastAsia="楷体" w:cs="楷体"/>
                      <w:bCs/>
                      <w:color w:val="auto"/>
                      <w:kern w:val="2"/>
                      <w:sz w:val="21"/>
                      <w:szCs w:val="21"/>
                      <w:highlight w:val="none"/>
                      <w:lang w:val="en-US" w:eastAsia="zh-CN" w:bidi="ar-SA"/>
                    </w:rPr>
                  </w:pPr>
                  <w:r>
                    <w:rPr>
                      <w:rFonts w:hint="eastAsia" w:ascii="楷体" w:hAnsi="楷体" w:eastAsia="楷体" w:cs="楷体"/>
                      <w:bCs/>
                      <w:color w:val="auto"/>
                      <w:sz w:val="21"/>
                      <w:szCs w:val="21"/>
                      <w:highlight w:val="none"/>
                      <w:lang w:eastAsia="zh-CN"/>
                    </w:rPr>
                    <w:t>水压强度、密封性能</w:t>
                  </w:r>
                </w:p>
              </w:tc>
            </w:tr>
            <w:tr w14:paraId="03357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4" w:type="dxa"/>
                  <w:vAlign w:val="center"/>
                </w:tcPr>
                <w:p w14:paraId="21B4F02D">
                  <w:pPr>
                    <w:pageBreakBefore w:val="0"/>
                    <w:overflowPunct/>
                    <w:topLinePunct w:val="0"/>
                    <w:bidi w:val="0"/>
                    <w:snapToGrid/>
                    <w:spacing w:line="360" w:lineRule="auto"/>
                    <w:ind w:left="0" w:leftChars="0" w:right="0" w:rightChars="0"/>
                    <w:jc w:val="left"/>
                    <w:rPr>
                      <w:rFonts w:hint="eastAsia" w:ascii="楷体" w:hAnsi="楷体" w:eastAsia="楷体" w:cs="楷体"/>
                      <w:bCs/>
                      <w:color w:val="auto"/>
                      <w:kern w:val="2"/>
                      <w:sz w:val="21"/>
                      <w:szCs w:val="21"/>
                      <w:highlight w:val="none"/>
                      <w:lang w:val="en-US" w:eastAsia="zh-CN" w:bidi="ar-SA"/>
                    </w:rPr>
                  </w:pPr>
                  <w:r>
                    <w:rPr>
                      <w:rFonts w:hint="eastAsia" w:ascii="楷体" w:hAnsi="楷体" w:eastAsia="楷体" w:cs="楷体"/>
                      <w:bCs/>
                      <w:color w:val="auto"/>
                      <w:sz w:val="21"/>
                      <w:szCs w:val="21"/>
                      <w:highlight w:val="none"/>
                      <w:lang w:eastAsia="zh-CN"/>
                    </w:rPr>
                    <w:t>防火门</w:t>
                  </w:r>
                </w:p>
              </w:tc>
              <w:tc>
                <w:tcPr>
                  <w:tcW w:w="2124" w:type="dxa"/>
                  <w:vAlign w:val="center"/>
                </w:tcPr>
                <w:p w14:paraId="57E72314">
                  <w:pPr>
                    <w:pageBreakBefore w:val="0"/>
                    <w:overflowPunct/>
                    <w:topLinePunct w:val="0"/>
                    <w:bidi w:val="0"/>
                    <w:snapToGrid/>
                    <w:spacing w:line="360" w:lineRule="auto"/>
                    <w:ind w:left="0" w:right="0" w:rightChars="0"/>
                    <w:jc w:val="left"/>
                    <w:rPr>
                      <w:rFonts w:hint="eastAsia" w:ascii="楷体" w:hAnsi="楷体" w:eastAsia="楷体" w:cs="楷体"/>
                      <w:bCs/>
                      <w:color w:val="auto"/>
                      <w:sz w:val="21"/>
                      <w:szCs w:val="21"/>
                      <w:highlight w:val="none"/>
                      <w:lang w:eastAsia="zh-CN"/>
                    </w:rPr>
                  </w:pPr>
                  <w:bookmarkStart w:id="147" w:name="OLE_LINK41"/>
                  <w:r>
                    <w:rPr>
                      <w:rFonts w:hint="eastAsia" w:ascii="楷体" w:hAnsi="楷体" w:eastAsia="楷体" w:cs="楷体"/>
                      <w:bCs/>
                      <w:color w:val="auto"/>
                      <w:sz w:val="21"/>
                      <w:szCs w:val="21"/>
                      <w:highlight w:val="none"/>
                      <w:lang w:eastAsia="zh-CN"/>
                    </w:rPr>
                    <w:t>GB 12955-</w:t>
                  </w:r>
                  <w:bookmarkEnd w:id="147"/>
                  <w:r>
                    <w:rPr>
                      <w:rFonts w:hint="eastAsia" w:ascii="楷体" w:hAnsi="楷体" w:eastAsia="楷体" w:cs="楷体"/>
                      <w:bCs/>
                      <w:color w:val="auto"/>
                      <w:sz w:val="21"/>
                      <w:szCs w:val="21"/>
                      <w:highlight w:val="none"/>
                      <w:lang w:val="en-US" w:eastAsia="zh-CN"/>
                    </w:rPr>
                    <w:t>2008</w:t>
                  </w:r>
                  <w:r>
                    <w:rPr>
                      <w:rFonts w:hint="eastAsia" w:ascii="楷体" w:hAnsi="楷体" w:eastAsia="楷体" w:cs="楷体"/>
                      <w:bCs/>
                      <w:color w:val="auto"/>
                      <w:sz w:val="21"/>
                      <w:szCs w:val="21"/>
                      <w:highlight w:val="none"/>
                      <w:lang w:eastAsia="zh-CN"/>
                    </w:rPr>
                    <w:t>等现行有效的企业标准、团体标准、地方标准及产品明示质量要求</w:t>
                  </w:r>
                </w:p>
                <w:p w14:paraId="65209C96">
                  <w:pPr>
                    <w:pageBreakBefore w:val="0"/>
                    <w:overflowPunct/>
                    <w:topLinePunct w:val="0"/>
                    <w:bidi w:val="0"/>
                    <w:snapToGrid/>
                    <w:spacing w:line="360" w:lineRule="auto"/>
                    <w:ind w:left="0" w:leftChars="0" w:right="0" w:rightChars="0"/>
                    <w:jc w:val="left"/>
                    <w:rPr>
                      <w:rFonts w:hint="eastAsia" w:ascii="楷体" w:hAnsi="楷体" w:eastAsia="楷体" w:cs="楷体"/>
                      <w:bCs/>
                      <w:color w:val="auto"/>
                      <w:kern w:val="2"/>
                      <w:sz w:val="21"/>
                      <w:szCs w:val="21"/>
                      <w:highlight w:val="none"/>
                      <w:lang w:val="en-US" w:eastAsia="zh-CN" w:bidi="ar-SA"/>
                    </w:rPr>
                  </w:pPr>
                </w:p>
              </w:tc>
              <w:tc>
                <w:tcPr>
                  <w:tcW w:w="3908" w:type="dxa"/>
                  <w:gridSpan w:val="2"/>
                  <w:vAlign w:val="center"/>
                </w:tcPr>
                <w:p w14:paraId="7B512CA3">
                  <w:pPr>
                    <w:pageBreakBefore w:val="0"/>
                    <w:overflowPunct/>
                    <w:topLinePunct w:val="0"/>
                    <w:bidi w:val="0"/>
                    <w:snapToGrid/>
                    <w:spacing w:line="360" w:lineRule="auto"/>
                    <w:ind w:left="0" w:leftChars="0" w:right="0" w:rightChars="0"/>
                    <w:jc w:val="left"/>
                    <w:rPr>
                      <w:rFonts w:hint="eastAsia" w:ascii="楷体" w:hAnsi="楷体" w:eastAsia="楷体" w:cs="楷体"/>
                      <w:bCs/>
                      <w:color w:val="auto"/>
                      <w:kern w:val="2"/>
                      <w:sz w:val="21"/>
                      <w:szCs w:val="21"/>
                      <w:highlight w:val="none"/>
                      <w:lang w:val="en-US" w:eastAsia="zh-CN" w:bidi="ar-SA"/>
                    </w:rPr>
                  </w:pPr>
                  <w:r>
                    <w:rPr>
                      <w:rFonts w:hint="eastAsia" w:ascii="楷体" w:hAnsi="楷体" w:eastAsia="楷体" w:cs="楷体"/>
                      <w:bCs/>
                      <w:color w:val="auto"/>
                      <w:sz w:val="21"/>
                      <w:szCs w:val="21"/>
                      <w:highlight w:val="none"/>
                      <w:lang w:eastAsia="zh-CN"/>
                    </w:rPr>
                    <w:t>钢材-材质-冷轧钢材尺寸、钢材-材质-热轧钢材尺寸、人造板-含水率、钢材-材料厚度、防火插销、盖缝板、门扇质量、门扇高度、门扇宽度、门扇厚度、门框内裁口高度、门框内裁口宽度、门框侧壁宽度、门扇两对角线长度差、门扇扭曲度、门扇宽度（高度）方向弯曲度、门扇内裁口两对角线长度差、门扇与门框的搭接尺寸、门扇与门框的配合活动间隙、门扇与门框的贴合面间隙、门的开面上门框与门扇的平面高低差、灵活性、启闭灵活性、门扇开启力、耐火性能</w:t>
                  </w:r>
                </w:p>
              </w:tc>
            </w:tr>
            <w:tr w14:paraId="37932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4" w:type="dxa"/>
                  <w:vAlign w:val="center"/>
                </w:tcPr>
                <w:p w14:paraId="1FF7EDB3">
                  <w:pPr>
                    <w:pageBreakBefore w:val="0"/>
                    <w:overflowPunct/>
                    <w:topLinePunct w:val="0"/>
                    <w:bidi w:val="0"/>
                    <w:snapToGrid/>
                    <w:spacing w:line="360" w:lineRule="auto"/>
                    <w:ind w:left="0" w:leftChars="0" w:right="0" w:rightChars="0"/>
                    <w:jc w:val="left"/>
                    <w:rPr>
                      <w:rFonts w:hint="eastAsia" w:ascii="楷体" w:hAnsi="楷体" w:eastAsia="楷体" w:cs="楷体"/>
                      <w:bCs/>
                      <w:color w:val="auto"/>
                      <w:kern w:val="2"/>
                      <w:sz w:val="21"/>
                      <w:szCs w:val="21"/>
                      <w:highlight w:val="none"/>
                      <w:lang w:val="en-US" w:eastAsia="zh-CN" w:bidi="ar-SA"/>
                    </w:rPr>
                  </w:pPr>
                  <w:r>
                    <w:rPr>
                      <w:rFonts w:hint="eastAsia" w:ascii="楷体" w:hAnsi="楷体" w:eastAsia="楷体" w:cs="楷体"/>
                      <w:bCs/>
                      <w:color w:val="auto"/>
                      <w:sz w:val="21"/>
                      <w:szCs w:val="21"/>
                      <w:highlight w:val="none"/>
                      <w:lang w:eastAsia="zh-CN"/>
                    </w:rPr>
                    <w:t>防火玻璃</w:t>
                  </w:r>
                </w:p>
              </w:tc>
              <w:tc>
                <w:tcPr>
                  <w:tcW w:w="2124" w:type="dxa"/>
                  <w:vAlign w:val="center"/>
                </w:tcPr>
                <w:p w14:paraId="03CEDACD">
                  <w:pPr>
                    <w:pageBreakBefore w:val="0"/>
                    <w:overflowPunct/>
                    <w:topLinePunct w:val="0"/>
                    <w:bidi w:val="0"/>
                    <w:snapToGrid/>
                    <w:spacing w:line="360" w:lineRule="auto"/>
                    <w:ind w:left="0" w:right="0" w:rightChars="0"/>
                    <w:jc w:val="left"/>
                    <w:rPr>
                      <w:rFonts w:hint="eastAsia" w:ascii="楷体" w:hAnsi="楷体" w:eastAsia="楷体" w:cs="楷体"/>
                      <w:bCs/>
                      <w:color w:val="auto"/>
                      <w:sz w:val="21"/>
                      <w:szCs w:val="21"/>
                      <w:highlight w:val="none"/>
                      <w:lang w:eastAsia="zh-CN"/>
                    </w:rPr>
                  </w:pPr>
                  <w:bookmarkStart w:id="148" w:name="OLE_LINK42"/>
                  <w:r>
                    <w:rPr>
                      <w:rFonts w:hint="eastAsia" w:ascii="楷体" w:hAnsi="楷体" w:eastAsia="楷体" w:cs="楷体"/>
                      <w:bCs/>
                      <w:color w:val="auto"/>
                      <w:sz w:val="21"/>
                      <w:szCs w:val="21"/>
                      <w:highlight w:val="none"/>
                      <w:lang w:eastAsia="zh-CN"/>
                    </w:rPr>
                    <w:t>GB 15763.1</w:t>
                  </w:r>
                  <w:bookmarkEnd w:id="148"/>
                  <w:r>
                    <w:rPr>
                      <w:rFonts w:hint="eastAsia" w:ascii="楷体" w:hAnsi="楷体" w:eastAsia="楷体" w:cs="楷体"/>
                      <w:bCs/>
                      <w:color w:val="auto"/>
                      <w:sz w:val="21"/>
                      <w:szCs w:val="21"/>
                      <w:highlight w:val="none"/>
                      <w:lang w:eastAsia="zh-CN"/>
                    </w:rPr>
                    <w:t>-2009等现行有效的企业标准、团体标准、地方标准及产品明示质量要求</w:t>
                  </w:r>
                </w:p>
                <w:p w14:paraId="6BC8BDC1">
                  <w:pPr>
                    <w:pageBreakBefore w:val="0"/>
                    <w:overflowPunct/>
                    <w:topLinePunct w:val="0"/>
                    <w:bidi w:val="0"/>
                    <w:snapToGrid/>
                    <w:spacing w:line="360" w:lineRule="auto"/>
                    <w:ind w:left="0" w:leftChars="0" w:right="0" w:rightChars="0"/>
                    <w:jc w:val="left"/>
                    <w:rPr>
                      <w:rFonts w:hint="eastAsia" w:ascii="楷体" w:hAnsi="楷体" w:eastAsia="楷体" w:cs="楷体"/>
                      <w:bCs/>
                      <w:color w:val="auto"/>
                      <w:kern w:val="2"/>
                      <w:sz w:val="21"/>
                      <w:szCs w:val="21"/>
                      <w:highlight w:val="none"/>
                      <w:lang w:val="en-US" w:eastAsia="zh-CN" w:bidi="ar-SA"/>
                    </w:rPr>
                  </w:pPr>
                </w:p>
              </w:tc>
              <w:tc>
                <w:tcPr>
                  <w:tcW w:w="3908" w:type="dxa"/>
                  <w:gridSpan w:val="2"/>
                  <w:vAlign w:val="center"/>
                </w:tcPr>
                <w:p w14:paraId="57F06900">
                  <w:pPr>
                    <w:pageBreakBefore w:val="0"/>
                    <w:overflowPunct/>
                    <w:topLinePunct w:val="0"/>
                    <w:bidi w:val="0"/>
                    <w:snapToGrid/>
                    <w:spacing w:line="360" w:lineRule="auto"/>
                    <w:ind w:left="0" w:leftChars="0" w:right="0" w:rightChars="0"/>
                    <w:jc w:val="left"/>
                    <w:rPr>
                      <w:rFonts w:hint="eastAsia" w:ascii="楷体" w:hAnsi="楷体" w:eastAsia="楷体" w:cs="楷体"/>
                      <w:bCs/>
                      <w:color w:val="auto"/>
                      <w:kern w:val="2"/>
                      <w:sz w:val="21"/>
                      <w:szCs w:val="21"/>
                      <w:highlight w:val="none"/>
                      <w:lang w:val="en-US" w:eastAsia="zh-CN" w:bidi="ar-SA"/>
                    </w:rPr>
                  </w:pPr>
                  <w:r>
                    <w:rPr>
                      <w:rFonts w:hint="eastAsia" w:ascii="楷体" w:hAnsi="楷体" w:eastAsia="楷体" w:cs="楷体"/>
                      <w:bCs/>
                      <w:color w:val="auto"/>
                      <w:sz w:val="21"/>
                      <w:szCs w:val="21"/>
                      <w:highlight w:val="none"/>
                      <w:lang w:eastAsia="zh-CN"/>
                    </w:rPr>
                    <w:t>耐热性能、耐寒性能、耐火性能、可见光透射比</w:t>
                  </w:r>
                </w:p>
              </w:tc>
            </w:tr>
            <w:tr w14:paraId="5DB0F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4" w:type="dxa"/>
                  <w:vAlign w:val="center"/>
                </w:tcPr>
                <w:p w14:paraId="03EBB179">
                  <w:pPr>
                    <w:pageBreakBefore w:val="0"/>
                    <w:overflowPunct/>
                    <w:topLinePunct w:val="0"/>
                    <w:bidi w:val="0"/>
                    <w:snapToGrid/>
                    <w:spacing w:line="360" w:lineRule="auto"/>
                    <w:ind w:left="0" w:leftChars="0" w:right="0" w:rightChars="0"/>
                    <w:jc w:val="left"/>
                    <w:rPr>
                      <w:rFonts w:hint="eastAsia" w:ascii="楷体" w:hAnsi="楷体" w:eastAsia="楷体" w:cs="楷体"/>
                      <w:bCs/>
                      <w:color w:val="auto"/>
                      <w:kern w:val="2"/>
                      <w:sz w:val="21"/>
                      <w:szCs w:val="21"/>
                      <w:highlight w:val="none"/>
                      <w:lang w:val="en-US" w:eastAsia="zh-CN" w:bidi="ar-SA"/>
                    </w:rPr>
                  </w:pPr>
                  <w:r>
                    <w:rPr>
                      <w:rFonts w:hint="eastAsia" w:ascii="楷体" w:hAnsi="楷体" w:eastAsia="楷体" w:cs="楷体"/>
                      <w:bCs/>
                      <w:color w:val="auto"/>
                      <w:sz w:val="21"/>
                      <w:szCs w:val="21"/>
                      <w:highlight w:val="none"/>
                      <w:lang w:eastAsia="zh-CN"/>
                    </w:rPr>
                    <w:t>防火窗</w:t>
                  </w:r>
                </w:p>
              </w:tc>
              <w:tc>
                <w:tcPr>
                  <w:tcW w:w="2124" w:type="dxa"/>
                  <w:vAlign w:val="center"/>
                </w:tcPr>
                <w:p w14:paraId="6234CEF5">
                  <w:pPr>
                    <w:pageBreakBefore w:val="0"/>
                    <w:overflowPunct/>
                    <w:topLinePunct w:val="0"/>
                    <w:bidi w:val="0"/>
                    <w:snapToGrid/>
                    <w:spacing w:line="360" w:lineRule="auto"/>
                    <w:ind w:left="0" w:right="0" w:rightChars="0"/>
                    <w:jc w:val="left"/>
                    <w:rPr>
                      <w:rFonts w:hint="eastAsia" w:ascii="楷体" w:hAnsi="楷体" w:eastAsia="楷体" w:cs="楷体"/>
                      <w:bCs/>
                      <w:color w:val="auto"/>
                      <w:sz w:val="21"/>
                      <w:szCs w:val="21"/>
                      <w:highlight w:val="none"/>
                      <w:lang w:eastAsia="zh-CN"/>
                    </w:rPr>
                  </w:pPr>
                  <w:bookmarkStart w:id="149" w:name="OLE_LINK43"/>
                  <w:r>
                    <w:rPr>
                      <w:rFonts w:hint="eastAsia" w:ascii="楷体" w:hAnsi="楷体" w:eastAsia="楷体" w:cs="楷体"/>
                      <w:bCs/>
                      <w:color w:val="auto"/>
                      <w:sz w:val="21"/>
                      <w:szCs w:val="21"/>
                      <w:highlight w:val="none"/>
                      <w:lang w:eastAsia="zh-CN"/>
                    </w:rPr>
                    <w:t>GB 16809</w:t>
                  </w:r>
                  <w:bookmarkEnd w:id="149"/>
                  <w:r>
                    <w:rPr>
                      <w:rFonts w:hint="eastAsia" w:ascii="楷体" w:hAnsi="楷体" w:eastAsia="楷体" w:cs="楷体"/>
                      <w:bCs/>
                      <w:color w:val="auto"/>
                      <w:sz w:val="21"/>
                      <w:szCs w:val="21"/>
                      <w:highlight w:val="none"/>
                      <w:lang w:eastAsia="zh-CN"/>
                    </w:rPr>
                    <w:t>-</w:t>
                  </w:r>
                  <w:r>
                    <w:rPr>
                      <w:rFonts w:hint="eastAsia" w:ascii="楷体" w:hAnsi="楷体" w:eastAsia="楷体" w:cs="楷体"/>
                      <w:bCs/>
                      <w:color w:val="auto"/>
                      <w:sz w:val="21"/>
                      <w:szCs w:val="21"/>
                      <w:highlight w:val="none"/>
                      <w:lang w:val="en-US" w:eastAsia="zh-CN"/>
                    </w:rPr>
                    <w:t>2008</w:t>
                  </w:r>
                  <w:r>
                    <w:rPr>
                      <w:rFonts w:hint="eastAsia" w:ascii="楷体" w:hAnsi="楷体" w:eastAsia="楷体" w:cs="楷体"/>
                      <w:bCs/>
                      <w:color w:val="auto"/>
                      <w:sz w:val="21"/>
                      <w:szCs w:val="21"/>
                      <w:highlight w:val="none"/>
                      <w:lang w:eastAsia="zh-CN"/>
                    </w:rPr>
                    <w:t>等现行有效的企业标准、团体标准、地方标准及产品明示质量要求</w:t>
                  </w:r>
                </w:p>
                <w:p w14:paraId="3E4E7ED9">
                  <w:pPr>
                    <w:pageBreakBefore w:val="0"/>
                    <w:overflowPunct/>
                    <w:topLinePunct w:val="0"/>
                    <w:bidi w:val="0"/>
                    <w:snapToGrid/>
                    <w:spacing w:line="360" w:lineRule="auto"/>
                    <w:ind w:left="0" w:right="0" w:rightChars="0"/>
                    <w:jc w:val="left"/>
                    <w:rPr>
                      <w:rFonts w:hint="eastAsia" w:ascii="楷体" w:hAnsi="楷体" w:eastAsia="楷体" w:cs="楷体"/>
                      <w:bCs/>
                      <w:color w:val="auto"/>
                      <w:sz w:val="21"/>
                      <w:szCs w:val="21"/>
                      <w:highlight w:val="none"/>
                      <w:lang w:val="en-US" w:eastAsia="zh-CN"/>
                    </w:rPr>
                  </w:pPr>
                </w:p>
              </w:tc>
              <w:tc>
                <w:tcPr>
                  <w:tcW w:w="3908" w:type="dxa"/>
                  <w:gridSpan w:val="2"/>
                  <w:vAlign w:val="center"/>
                </w:tcPr>
                <w:p w14:paraId="2E4E08D9">
                  <w:pPr>
                    <w:pageBreakBefore w:val="0"/>
                    <w:overflowPunct/>
                    <w:topLinePunct w:val="0"/>
                    <w:bidi w:val="0"/>
                    <w:snapToGrid/>
                    <w:spacing w:line="360" w:lineRule="auto"/>
                    <w:ind w:left="0" w:leftChars="0" w:right="0" w:rightChars="0"/>
                    <w:jc w:val="left"/>
                    <w:rPr>
                      <w:rFonts w:hint="eastAsia" w:ascii="楷体" w:hAnsi="楷体" w:eastAsia="楷体" w:cs="楷体"/>
                      <w:bCs/>
                      <w:color w:val="auto"/>
                      <w:kern w:val="2"/>
                      <w:sz w:val="21"/>
                      <w:szCs w:val="21"/>
                      <w:highlight w:val="none"/>
                      <w:lang w:val="en-US" w:eastAsia="zh-CN" w:bidi="ar-SA"/>
                    </w:rPr>
                  </w:pPr>
                  <w:r>
                    <w:rPr>
                      <w:rFonts w:hint="eastAsia" w:ascii="楷体" w:hAnsi="楷体" w:eastAsia="楷体" w:cs="楷体"/>
                      <w:bCs/>
                      <w:color w:val="auto"/>
                      <w:sz w:val="21"/>
                      <w:szCs w:val="21"/>
                      <w:highlight w:val="none"/>
                      <w:lang w:eastAsia="zh-CN"/>
                    </w:rPr>
                    <w:t>防火窗的尺寸偏差、活动窗扇的尺寸偏差、活动窗扇与窗框的搭接宽度偏差、窗扇扭曲度、窗扇关闭可靠性、窗扇自动关闭时间、耐火性能</w:t>
                  </w:r>
                </w:p>
              </w:tc>
            </w:tr>
            <w:tr w14:paraId="29F2F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4" w:type="dxa"/>
                  <w:vAlign w:val="center"/>
                </w:tcPr>
                <w:p w14:paraId="4EE32286">
                  <w:pPr>
                    <w:pageBreakBefore w:val="0"/>
                    <w:overflowPunct/>
                    <w:topLinePunct w:val="0"/>
                    <w:bidi w:val="0"/>
                    <w:snapToGrid/>
                    <w:spacing w:line="360" w:lineRule="auto"/>
                    <w:ind w:left="0" w:leftChars="0" w:right="0" w:rightChars="0"/>
                    <w:jc w:val="left"/>
                    <w:rPr>
                      <w:rFonts w:hint="eastAsia" w:ascii="楷体" w:hAnsi="楷体" w:eastAsia="楷体" w:cs="楷体"/>
                      <w:bCs/>
                      <w:color w:val="auto"/>
                      <w:kern w:val="2"/>
                      <w:sz w:val="21"/>
                      <w:szCs w:val="21"/>
                      <w:highlight w:val="none"/>
                      <w:lang w:val="en-US" w:eastAsia="zh-CN" w:bidi="ar-SA"/>
                    </w:rPr>
                  </w:pPr>
                  <w:r>
                    <w:rPr>
                      <w:rFonts w:hint="eastAsia" w:ascii="楷体" w:hAnsi="楷体" w:eastAsia="楷体" w:cs="楷体"/>
                      <w:bCs/>
                      <w:color w:val="auto"/>
                      <w:sz w:val="21"/>
                      <w:szCs w:val="21"/>
                      <w:highlight w:val="none"/>
                      <w:lang w:eastAsia="zh-CN"/>
                    </w:rPr>
                    <w:t>消防水枪</w:t>
                  </w:r>
                </w:p>
              </w:tc>
              <w:tc>
                <w:tcPr>
                  <w:tcW w:w="2124" w:type="dxa"/>
                  <w:vAlign w:val="center"/>
                </w:tcPr>
                <w:p w14:paraId="408D3CCB">
                  <w:pPr>
                    <w:pageBreakBefore w:val="0"/>
                    <w:overflowPunct/>
                    <w:topLinePunct w:val="0"/>
                    <w:bidi w:val="0"/>
                    <w:snapToGrid/>
                    <w:spacing w:line="360" w:lineRule="auto"/>
                    <w:ind w:left="0" w:right="0" w:rightChars="0"/>
                    <w:jc w:val="left"/>
                    <w:rPr>
                      <w:rFonts w:hint="eastAsia" w:ascii="楷体" w:hAnsi="楷体" w:eastAsia="楷体" w:cs="楷体"/>
                      <w:bCs/>
                      <w:color w:val="auto"/>
                      <w:sz w:val="21"/>
                      <w:szCs w:val="21"/>
                      <w:highlight w:val="none"/>
                      <w:lang w:eastAsia="zh-CN"/>
                    </w:rPr>
                  </w:pPr>
                  <w:bookmarkStart w:id="150" w:name="OLE_LINK44"/>
                  <w:r>
                    <w:rPr>
                      <w:rFonts w:hint="eastAsia" w:ascii="楷体" w:hAnsi="楷体" w:eastAsia="楷体" w:cs="楷体"/>
                      <w:bCs/>
                      <w:color w:val="auto"/>
                      <w:sz w:val="21"/>
                      <w:szCs w:val="21"/>
                      <w:highlight w:val="none"/>
                      <w:lang w:eastAsia="zh-CN"/>
                    </w:rPr>
                    <w:t>GB 8181-2005</w:t>
                  </w:r>
                  <w:bookmarkEnd w:id="150"/>
                  <w:r>
                    <w:rPr>
                      <w:rFonts w:hint="eastAsia" w:ascii="楷体" w:hAnsi="楷体" w:eastAsia="楷体" w:cs="楷体"/>
                      <w:bCs/>
                      <w:color w:val="auto"/>
                      <w:sz w:val="21"/>
                      <w:szCs w:val="21"/>
                      <w:highlight w:val="none"/>
                      <w:lang w:eastAsia="zh-CN"/>
                    </w:rPr>
                    <w:t>等现行有效的企业标准、团体标准、地方标准及产品明示质量要求</w:t>
                  </w:r>
                </w:p>
                <w:p w14:paraId="25C7BBCA">
                  <w:pPr>
                    <w:pageBreakBefore w:val="0"/>
                    <w:overflowPunct/>
                    <w:topLinePunct w:val="0"/>
                    <w:bidi w:val="0"/>
                    <w:snapToGrid/>
                    <w:spacing w:line="360" w:lineRule="auto"/>
                    <w:ind w:left="0" w:leftChars="0" w:right="0" w:rightChars="0"/>
                    <w:jc w:val="left"/>
                    <w:rPr>
                      <w:rFonts w:hint="eastAsia" w:ascii="楷体" w:hAnsi="楷体" w:eastAsia="楷体" w:cs="楷体"/>
                      <w:bCs/>
                      <w:color w:val="auto"/>
                      <w:kern w:val="2"/>
                      <w:sz w:val="21"/>
                      <w:szCs w:val="21"/>
                      <w:highlight w:val="none"/>
                      <w:lang w:val="en-US" w:eastAsia="zh-CN" w:bidi="ar-SA"/>
                    </w:rPr>
                  </w:pPr>
                </w:p>
              </w:tc>
              <w:tc>
                <w:tcPr>
                  <w:tcW w:w="3908" w:type="dxa"/>
                  <w:gridSpan w:val="2"/>
                  <w:vAlign w:val="center"/>
                </w:tcPr>
                <w:p w14:paraId="43755052">
                  <w:pPr>
                    <w:pageBreakBefore w:val="0"/>
                    <w:overflowPunct/>
                    <w:topLinePunct w:val="0"/>
                    <w:bidi w:val="0"/>
                    <w:snapToGrid/>
                    <w:spacing w:line="360" w:lineRule="auto"/>
                    <w:ind w:left="0" w:leftChars="0" w:right="0" w:rightChars="0"/>
                    <w:jc w:val="left"/>
                    <w:rPr>
                      <w:rFonts w:hint="eastAsia" w:ascii="楷体" w:hAnsi="楷体" w:eastAsia="楷体" w:cs="楷体"/>
                      <w:bCs/>
                      <w:color w:val="auto"/>
                      <w:kern w:val="2"/>
                      <w:sz w:val="21"/>
                      <w:szCs w:val="21"/>
                      <w:highlight w:val="none"/>
                      <w:lang w:val="en-US" w:eastAsia="zh-CN" w:bidi="ar-SA"/>
                    </w:rPr>
                  </w:pPr>
                  <w:r>
                    <w:rPr>
                      <w:rFonts w:hint="eastAsia" w:ascii="楷体" w:hAnsi="楷体" w:eastAsia="楷体" w:cs="楷体"/>
                      <w:bCs/>
                      <w:color w:val="auto"/>
                      <w:sz w:val="21"/>
                      <w:szCs w:val="21"/>
                      <w:highlight w:val="none"/>
                      <w:lang w:eastAsia="zh-CN"/>
                    </w:rPr>
                    <w:t>操作力矩测定、密封性能、耐水压强度试验、跌落试验、盐雾试验</w:t>
                  </w:r>
                </w:p>
              </w:tc>
            </w:tr>
            <w:tr w14:paraId="49A21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4" w:type="dxa"/>
                  <w:vAlign w:val="center"/>
                </w:tcPr>
                <w:p w14:paraId="78751B80">
                  <w:pPr>
                    <w:pageBreakBefore w:val="0"/>
                    <w:overflowPunct/>
                    <w:topLinePunct w:val="0"/>
                    <w:bidi w:val="0"/>
                    <w:snapToGrid/>
                    <w:spacing w:line="360" w:lineRule="auto"/>
                    <w:ind w:left="0" w:leftChars="0" w:right="0" w:rightChars="0"/>
                    <w:jc w:val="left"/>
                    <w:rPr>
                      <w:rFonts w:hint="eastAsia" w:ascii="楷体" w:hAnsi="楷体" w:eastAsia="楷体" w:cs="楷体"/>
                      <w:bCs/>
                      <w:color w:val="auto"/>
                      <w:kern w:val="2"/>
                      <w:sz w:val="21"/>
                      <w:szCs w:val="21"/>
                      <w:highlight w:val="none"/>
                      <w:lang w:val="en-US" w:eastAsia="zh-CN" w:bidi="ar-SA"/>
                    </w:rPr>
                  </w:pPr>
                  <w:r>
                    <w:rPr>
                      <w:rFonts w:hint="eastAsia" w:ascii="楷体" w:hAnsi="楷体" w:eastAsia="楷体" w:cs="楷体"/>
                      <w:bCs/>
                      <w:color w:val="auto"/>
                      <w:sz w:val="21"/>
                      <w:szCs w:val="21"/>
                      <w:highlight w:val="none"/>
                      <w:lang w:eastAsia="zh-CN"/>
                    </w:rPr>
                    <w:t>消防应急灯具</w:t>
                  </w:r>
                </w:p>
              </w:tc>
              <w:tc>
                <w:tcPr>
                  <w:tcW w:w="2124" w:type="dxa"/>
                  <w:vAlign w:val="center"/>
                </w:tcPr>
                <w:p w14:paraId="71851465">
                  <w:pPr>
                    <w:pageBreakBefore w:val="0"/>
                    <w:overflowPunct/>
                    <w:topLinePunct w:val="0"/>
                    <w:bidi w:val="0"/>
                    <w:snapToGrid/>
                    <w:spacing w:line="360" w:lineRule="auto"/>
                    <w:ind w:left="0" w:right="0" w:rightChars="0"/>
                    <w:jc w:val="left"/>
                    <w:rPr>
                      <w:rFonts w:hint="eastAsia" w:ascii="楷体" w:hAnsi="楷体" w:eastAsia="楷体" w:cs="楷体"/>
                      <w:bCs/>
                      <w:color w:val="auto"/>
                      <w:sz w:val="21"/>
                      <w:szCs w:val="21"/>
                      <w:highlight w:val="none"/>
                      <w:lang w:eastAsia="zh-CN"/>
                    </w:rPr>
                  </w:pPr>
                  <w:bookmarkStart w:id="151" w:name="OLE_LINK45"/>
                  <w:r>
                    <w:rPr>
                      <w:rFonts w:hint="eastAsia" w:ascii="楷体" w:hAnsi="楷体" w:eastAsia="楷体" w:cs="楷体"/>
                      <w:bCs/>
                      <w:color w:val="auto"/>
                      <w:sz w:val="21"/>
                      <w:szCs w:val="21"/>
                      <w:highlight w:val="none"/>
                      <w:lang w:eastAsia="zh-CN"/>
                    </w:rPr>
                    <w:t>GB 17945-2010</w:t>
                  </w:r>
                  <w:bookmarkEnd w:id="151"/>
                  <w:r>
                    <w:rPr>
                      <w:rFonts w:hint="eastAsia" w:ascii="楷体" w:hAnsi="楷体" w:eastAsia="楷体" w:cs="楷体"/>
                      <w:bCs/>
                      <w:color w:val="auto"/>
                      <w:sz w:val="21"/>
                      <w:szCs w:val="21"/>
                      <w:highlight w:val="none"/>
                      <w:lang w:eastAsia="zh-CN"/>
                    </w:rPr>
                    <w:t>等现行有效的企业标准、团体标准、地方标准及产品明示质量要求</w:t>
                  </w:r>
                </w:p>
                <w:p w14:paraId="783F8127">
                  <w:pPr>
                    <w:pageBreakBefore w:val="0"/>
                    <w:overflowPunct/>
                    <w:topLinePunct w:val="0"/>
                    <w:bidi w:val="0"/>
                    <w:snapToGrid/>
                    <w:spacing w:line="360" w:lineRule="auto"/>
                    <w:ind w:left="0" w:leftChars="0" w:right="0" w:rightChars="0"/>
                    <w:jc w:val="left"/>
                    <w:rPr>
                      <w:rFonts w:hint="eastAsia" w:ascii="楷体" w:hAnsi="楷体" w:eastAsia="楷体" w:cs="楷体"/>
                      <w:bCs/>
                      <w:color w:val="auto"/>
                      <w:kern w:val="2"/>
                      <w:sz w:val="21"/>
                      <w:szCs w:val="21"/>
                      <w:highlight w:val="none"/>
                      <w:lang w:val="en-US" w:eastAsia="zh-CN" w:bidi="ar-SA"/>
                    </w:rPr>
                  </w:pPr>
                </w:p>
              </w:tc>
              <w:tc>
                <w:tcPr>
                  <w:tcW w:w="3908" w:type="dxa"/>
                  <w:gridSpan w:val="2"/>
                  <w:vAlign w:val="center"/>
                </w:tcPr>
                <w:p w14:paraId="2E50A5D9">
                  <w:pPr>
                    <w:pageBreakBefore w:val="0"/>
                    <w:overflowPunct/>
                    <w:topLinePunct w:val="0"/>
                    <w:bidi w:val="0"/>
                    <w:snapToGrid/>
                    <w:spacing w:line="360" w:lineRule="auto"/>
                    <w:ind w:left="0" w:leftChars="0" w:right="0" w:rightChars="0"/>
                    <w:jc w:val="left"/>
                    <w:rPr>
                      <w:rFonts w:hint="eastAsia" w:ascii="楷体" w:hAnsi="楷体" w:eastAsia="楷体" w:cs="楷体"/>
                      <w:bCs/>
                      <w:color w:val="auto"/>
                      <w:kern w:val="2"/>
                      <w:sz w:val="21"/>
                      <w:szCs w:val="21"/>
                      <w:highlight w:val="none"/>
                      <w:lang w:val="en-US" w:eastAsia="zh-CN" w:bidi="ar-SA"/>
                    </w:rPr>
                  </w:pPr>
                  <w:r>
                    <w:rPr>
                      <w:rFonts w:hint="eastAsia" w:ascii="楷体" w:hAnsi="楷体" w:eastAsia="楷体" w:cs="楷体"/>
                      <w:bCs/>
                      <w:color w:val="auto"/>
                      <w:sz w:val="21"/>
                      <w:szCs w:val="21"/>
                      <w:highlight w:val="none"/>
                      <w:lang w:eastAsia="zh-CN"/>
                    </w:rPr>
                    <w:t>基本功能试验、充、放电试验、重复转换试验、电压波动试验、转换电压试验、充、放电耐久试验、绝缘电阻试验、接地电阻试验、耐压试验、抗冲击试验、色温、光通量</w:t>
                  </w:r>
                </w:p>
              </w:tc>
            </w:tr>
            <w:tr w14:paraId="780BE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4" w:type="dxa"/>
                  <w:vAlign w:val="center"/>
                </w:tcPr>
                <w:p w14:paraId="1CD21225">
                  <w:pPr>
                    <w:pageBreakBefore w:val="0"/>
                    <w:overflowPunct/>
                    <w:topLinePunct w:val="0"/>
                    <w:bidi w:val="0"/>
                    <w:snapToGrid/>
                    <w:spacing w:line="360" w:lineRule="auto"/>
                    <w:ind w:left="0" w:leftChars="0" w:right="0" w:rightChars="0"/>
                    <w:jc w:val="left"/>
                    <w:rPr>
                      <w:rFonts w:hint="eastAsia" w:ascii="楷体" w:hAnsi="楷体" w:eastAsia="楷体" w:cs="楷体"/>
                      <w:bCs/>
                      <w:color w:val="auto"/>
                      <w:kern w:val="2"/>
                      <w:sz w:val="21"/>
                      <w:szCs w:val="21"/>
                      <w:highlight w:val="none"/>
                      <w:lang w:val="en-US" w:eastAsia="zh-CN" w:bidi="ar-SA"/>
                    </w:rPr>
                  </w:pPr>
                  <w:r>
                    <w:rPr>
                      <w:rFonts w:hint="eastAsia" w:ascii="楷体" w:hAnsi="楷体" w:eastAsia="楷体" w:cs="楷体"/>
                      <w:bCs/>
                      <w:color w:val="auto"/>
                      <w:sz w:val="21"/>
                      <w:szCs w:val="21"/>
                      <w:highlight w:val="none"/>
                      <w:lang w:eastAsia="zh-CN"/>
                    </w:rPr>
                    <w:t>消防软管卷盘</w:t>
                  </w:r>
                </w:p>
              </w:tc>
              <w:tc>
                <w:tcPr>
                  <w:tcW w:w="2124" w:type="dxa"/>
                  <w:vAlign w:val="center"/>
                </w:tcPr>
                <w:p w14:paraId="36A41DC6">
                  <w:pPr>
                    <w:pageBreakBefore w:val="0"/>
                    <w:overflowPunct/>
                    <w:topLinePunct w:val="0"/>
                    <w:bidi w:val="0"/>
                    <w:snapToGrid/>
                    <w:spacing w:line="360" w:lineRule="auto"/>
                    <w:ind w:left="0" w:right="0" w:rightChars="0"/>
                    <w:jc w:val="left"/>
                    <w:rPr>
                      <w:rFonts w:hint="eastAsia" w:ascii="楷体" w:hAnsi="楷体" w:eastAsia="楷体" w:cs="楷体"/>
                      <w:bCs/>
                      <w:color w:val="auto"/>
                      <w:sz w:val="21"/>
                      <w:szCs w:val="21"/>
                      <w:highlight w:val="none"/>
                      <w:lang w:eastAsia="zh-CN"/>
                    </w:rPr>
                  </w:pPr>
                  <w:bookmarkStart w:id="152" w:name="OLE_LINK46"/>
                  <w:r>
                    <w:rPr>
                      <w:rFonts w:hint="eastAsia" w:ascii="楷体" w:hAnsi="楷体" w:eastAsia="楷体" w:cs="楷体"/>
                      <w:bCs/>
                      <w:color w:val="auto"/>
                      <w:sz w:val="21"/>
                      <w:szCs w:val="21"/>
                      <w:highlight w:val="none"/>
                      <w:lang w:eastAsia="zh-CN"/>
                    </w:rPr>
                    <w:t>GB 15090-2005</w:t>
                  </w:r>
                  <w:bookmarkEnd w:id="152"/>
                  <w:r>
                    <w:rPr>
                      <w:rFonts w:hint="eastAsia" w:ascii="楷体" w:hAnsi="楷体" w:eastAsia="楷体" w:cs="楷体"/>
                      <w:bCs/>
                      <w:color w:val="auto"/>
                      <w:sz w:val="21"/>
                      <w:szCs w:val="21"/>
                      <w:highlight w:val="none"/>
                      <w:lang w:eastAsia="zh-CN"/>
                    </w:rPr>
                    <w:t>等现行有效的企业标准、团体标准、地方标准及产品明示质量要求</w:t>
                  </w:r>
                </w:p>
                <w:p w14:paraId="31062603">
                  <w:pPr>
                    <w:pageBreakBefore w:val="0"/>
                    <w:overflowPunct/>
                    <w:topLinePunct w:val="0"/>
                    <w:bidi w:val="0"/>
                    <w:snapToGrid/>
                    <w:spacing w:line="360" w:lineRule="auto"/>
                    <w:ind w:left="0" w:leftChars="0" w:right="0" w:rightChars="0"/>
                    <w:jc w:val="left"/>
                    <w:rPr>
                      <w:rFonts w:hint="eastAsia" w:ascii="楷体" w:hAnsi="楷体" w:eastAsia="楷体" w:cs="楷体"/>
                      <w:bCs/>
                      <w:color w:val="auto"/>
                      <w:kern w:val="2"/>
                      <w:sz w:val="21"/>
                      <w:szCs w:val="21"/>
                      <w:highlight w:val="none"/>
                      <w:lang w:val="en-US" w:eastAsia="zh-CN" w:bidi="ar-SA"/>
                    </w:rPr>
                  </w:pPr>
                </w:p>
              </w:tc>
              <w:tc>
                <w:tcPr>
                  <w:tcW w:w="3908" w:type="dxa"/>
                  <w:gridSpan w:val="2"/>
                  <w:vAlign w:val="center"/>
                </w:tcPr>
                <w:p w14:paraId="3CBFADB2">
                  <w:pPr>
                    <w:pageBreakBefore w:val="0"/>
                    <w:overflowPunct/>
                    <w:topLinePunct w:val="0"/>
                    <w:bidi w:val="0"/>
                    <w:snapToGrid/>
                    <w:spacing w:line="360" w:lineRule="auto"/>
                    <w:ind w:left="0" w:leftChars="0" w:right="0" w:rightChars="0"/>
                    <w:jc w:val="left"/>
                    <w:rPr>
                      <w:rFonts w:hint="eastAsia" w:ascii="楷体" w:hAnsi="楷体" w:eastAsia="楷体" w:cs="楷体"/>
                      <w:bCs/>
                      <w:color w:val="auto"/>
                      <w:kern w:val="2"/>
                      <w:sz w:val="21"/>
                      <w:szCs w:val="21"/>
                      <w:highlight w:val="none"/>
                      <w:lang w:val="en-US" w:eastAsia="zh-CN" w:bidi="ar-SA"/>
                    </w:rPr>
                  </w:pPr>
                  <w:r>
                    <w:rPr>
                      <w:rFonts w:hint="eastAsia" w:ascii="楷体" w:hAnsi="楷体" w:eastAsia="楷体" w:cs="楷体"/>
                      <w:bCs/>
                      <w:color w:val="auto"/>
                      <w:sz w:val="21"/>
                      <w:szCs w:val="21"/>
                      <w:highlight w:val="none"/>
                      <w:lang w:eastAsia="zh-CN"/>
                    </w:rPr>
                    <w:t>喷射试验、密封试验、耐压试验、软管性能试验</w:t>
                  </w:r>
                </w:p>
              </w:tc>
            </w:tr>
            <w:tr w14:paraId="3BBA8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4" w:type="dxa"/>
                  <w:vAlign w:val="center"/>
                </w:tcPr>
                <w:p w14:paraId="30EFE794">
                  <w:pPr>
                    <w:pageBreakBefore w:val="0"/>
                    <w:overflowPunct/>
                    <w:topLinePunct w:val="0"/>
                    <w:bidi w:val="0"/>
                    <w:snapToGrid/>
                    <w:spacing w:line="360" w:lineRule="auto"/>
                    <w:ind w:left="0" w:leftChars="0" w:right="0" w:rightChars="0"/>
                    <w:jc w:val="left"/>
                    <w:rPr>
                      <w:rFonts w:hint="eastAsia" w:ascii="楷体" w:hAnsi="楷体" w:eastAsia="楷体" w:cs="楷体"/>
                      <w:bCs/>
                      <w:color w:val="auto"/>
                      <w:kern w:val="2"/>
                      <w:sz w:val="21"/>
                      <w:szCs w:val="21"/>
                      <w:highlight w:val="none"/>
                      <w:lang w:val="en-US" w:eastAsia="zh-CN" w:bidi="ar-SA"/>
                    </w:rPr>
                  </w:pPr>
                  <w:r>
                    <w:rPr>
                      <w:rFonts w:hint="eastAsia" w:ascii="楷体" w:hAnsi="楷体" w:eastAsia="楷体" w:cs="楷体"/>
                      <w:bCs/>
                      <w:color w:val="auto"/>
                      <w:sz w:val="21"/>
                      <w:szCs w:val="21"/>
                      <w:highlight w:val="none"/>
                      <w:lang w:eastAsia="zh-CN"/>
                    </w:rPr>
                    <w:t>灭火毯</w:t>
                  </w:r>
                </w:p>
              </w:tc>
              <w:tc>
                <w:tcPr>
                  <w:tcW w:w="2124" w:type="dxa"/>
                  <w:vAlign w:val="center"/>
                </w:tcPr>
                <w:p w14:paraId="73FA671B">
                  <w:pPr>
                    <w:pageBreakBefore w:val="0"/>
                    <w:overflowPunct/>
                    <w:topLinePunct w:val="0"/>
                    <w:bidi w:val="0"/>
                    <w:snapToGrid/>
                    <w:spacing w:line="360" w:lineRule="auto"/>
                    <w:ind w:left="0" w:right="0" w:rightChars="0"/>
                    <w:jc w:val="left"/>
                    <w:rPr>
                      <w:rFonts w:hint="eastAsia" w:ascii="楷体" w:hAnsi="楷体" w:eastAsia="楷体" w:cs="楷体"/>
                      <w:bCs/>
                      <w:color w:val="auto"/>
                      <w:sz w:val="21"/>
                      <w:szCs w:val="21"/>
                      <w:highlight w:val="none"/>
                      <w:lang w:eastAsia="zh-CN"/>
                    </w:rPr>
                  </w:pPr>
                  <w:bookmarkStart w:id="153" w:name="OLE_LINK47"/>
                  <w:r>
                    <w:rPr>
                      <w:rFonts w:hint="eastAsia" w:ascii="楷体" w:hAnsi="楷体" w:eastAsia="楷体" w:cs="楷体"/>
                      <w:bCs/>
                      <w:color w:val="auto"/>
                      <w:sz w:val="21"/>
                      <w:szCs w:val="21"/>
                      <w:highlight w:val="none"/>
                      <w:lang w:eastAsia="zh-CN"/>
                    </w:rPr>
                    <w:t>XF 1205-2014</w:t>
                  </w:r>
                  <w:bookmarkEnd w:id="153"/>
                  <w:r>
                    <w:rPr>
                      <w:rFonts w:hint="eastAsia" w:ascii="楷体" w:hAnsi="楷体" w:eastAsia="楷体" w:cs="楷体"/>
                      <w:bCs/>
                      <w:color w:val="auto"/>
                      <w:sz w:val="21"/>
                      <w:szCs w:val="21"/>
                      <w:highlight w:val="none"/>
                      <w:lang w:eastAsia="zh-CN"/>
                    </w:rPr>
                    <w:t>等现行有效的企业标准、团体标准、地方标准及产品明示质量要求</w:t>
                  </w:r>
                </w:p>
                <w:p w14:paraId="1596B754">
                  <w:pPr>
                    <w:pageBreakBefore w:val="0"/>
                    <w:overflowPunct/>
                    <w:topLinePunct w:val="0"/>
                    <w:bidi w:val="0"/>
                    <w:snapToGrid/>
                    <w:spacing w:line="360" w:lineRule="auto"/>
                    <w:ind w:left="0" w:leftChars="0" w:right="0" w:rightChars="0"/>
                    <w:jc w:val="left"/>
                    <w:rPr>
                      <w:rFonts w:hint="eastAsia" w:ascii="楷体" w:hAnsi="楷体" w:eastAsia="楷体" w:cs="楷体"/>
                      <w:bCs/>
                      <w:color w:val="auto"/>
                      <w:kern w:val="2"/>
                      <w:sz w:val="21"/>
                      <w:szCs w:val="21"/>
                      <w:highlight w:val="none"/>
                      <w:lang w:val="en-US" w:eastAsia="zh-CN" w:bidi="ar-SA"/>
                    </w:rPr>
                  </w:pPr>
                </w:p>
              </w:tc>
              <w:tc>
                <w:tcPr>
                  <w:tcW w:w="3908" w:type="dxa"/>
                  <w:gridSpan w:val="2"/>
                  <w:vAlign w:val="center"/>
                </w:tcPr>
                <w:p w14:paraId="51E04695">
                  <w:pPr>
                    <w:pageBreakBefore w:val="0"/>
                    <w:overflowPunct/>
                    <w:topLinePunct w:val="0"/>
                    <w:bidi w:val="0"/>
                    <w:snapToGrid/>
                    <w:spacing w:line="360" w:lineRule="auto"/>
                    <w:ind w:left="0" w:leftChars="0" w:right="0" w:rightChars="0"/>
                    <w:jc w:val="left"/>
                    <w:rPr>
                      <w:rFonts w:hint="eastAsia" w:ascii="楷体" w:hAnsi="楷体" w:eastAsia="楷体" w:cs="楷体"/>
                      <w:bCs/>
                      <w:color w:val="auto"/>
                      <w:kern w:val="2"/>
                      <w:sz w:val="21"/>
                      <w:szCs w:val="21"/>
                      <w:highlight w:val="none"/>
                      <w:lang w:val="en-US" w:eastAsia="zh-CN" w:bidi="ar-SA"/>
                    </w:rPr>
                  </w:pPr>
                  <w:r>
                    <w:rPr>
                      <w:rFonts w:hint="eastAsia" w:ascii="楷体" w:hAnsi="楷体" w:eastAsia="楷体" w:cs="楷体"/>
                      <w:bCs/>
                      <w:color w:val="auto"/>
                      <w:sz w:val="21"/>
                      <w:szCs w:val="21"/>
                      <w:highlight w:val="none"/>
                      <w:lang w:eastAsia="zh-CN"/>
                    </w:rPr>
                    <w:t>尺寸检查、毯面的干态断裂强力、手持件和包边材料阻燃性能、拉力试验</w:t>
                  </w:r>
                </w:p>
              </w:tc>
            </w:tr>
            <w:tr w14:paraId="2D6BB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4" w:type="dxa"/>
                  <w:vAlign w:val="center"/>
                </w:tcPr>
                <w:p w14:paraId="2F46CD9F">
                  <w:pPr>
                    <w:pageBreakBefore w:val="0"/>
                    <w:overflowPunct/>
                    <w:topLinePunct w:val="0"/>
                    <w:bidi w:val="0"/>
                    <w:snapToGrid/>
                    <w:spacing w:line="360" w:lineRule="auto"/>
                    <w:ind w:left="0" w:leftChars="0" w:right="0" w:rightChars="0"/>
                    <w:jc w:val="left"/>
                    <w:rPr>
                      <w:rFonts w:hint="eastAsia" w:ascii="楷体" w:hAnsi="楷体" w:eastAsia="楷体" w:cs="楷体"/>
                      <w:bCs/>
                      <w:color w:val="auto"/>
                      <w:kern w:val="2"/>
                      <w:sz w:val="21"/>
                      <w:szCs w:val="21"/>
                      <w:highlight w:val="none"/>
                      <w:lang w:val="en-US" w:eastAsia="zh-CN" w:bidi="ar-SA"/>
                    </w:rPr>
                  </w:pPr>
                  <w:r>
                    <w:rPr>
                      <w:rFonts w:hint="eastAsia" w:ascii="楷体" w:hAnsi="楷体" w:eastAsia="楷体" w:cs="楷体"/>
                      <w:bCs/>
                      <w:color w:val="auto"/>
                      <w:sz w:val="21"/>
                      <w:szCs w:val="21"/>
                      <w:highlight w:val="none"/>
                      <w:lang w:eastAsia="zh-CN"/>
                    </w:rPr>
                    <w:t>过滤式消防自救器</w:t>
                  </w:r>
                </w:p>
              </w:tc>
              <w:tc>
                <w:tcPr>
                  <w:tcW w:w="2124" w:type="dxa"/>
                  <w:vAlign w:val="center"/>
                </w:tcPr>
                <w:p w14:paraId="1EF19BF3">
                  <w:pPr>
                    <w:pageBreakBefore w:val="0"/>
                    <w:overflowPunct/>
                    <w:topLinePunct w:val="0"/>
                    <w:bidi w:val="0"/>
                    <w:snapToGrid/>
                    <w:spacing w:line="360" w:lineRule="auto"/>
                    <w:ind w:left="0" w:right="0" w:rightChars="0"/>
                    <w:jc w:val="left"/>
                    <w:rPr>
                      <w:rFonts w:hint="eastAsia" w:ascii="楷体" w:hAnsi="楷体" w:eastAsia="楷体" w:cs="楷体"/>
                      <w:bCs/>
                      <w:color w:val="auto"/>
                      <w:sz w:val="21"/>
                      <w:szCs w:val="21"/>
                      <w:highlight w:val="none"/>
                      <w:lang w:eastAsia="zh-CN"/>
                    </w:rPr>
                  </w:pPr>
                  <w:bookmarkStart w:id="154" w:name="OLE_LINK48"/>
                  <w:r>
                    <w:rPr>
                      <w:rFonts w:hint="eastAsia" w:ascii="楷体" w:hAnsi="楷体" w:eastAsia="楷体" w:cs="楷体"/>
                      <w:bCs/>
                      <w:color w:val="auto"/>
                      <w:sz w:val="21"/>
                      <w:szCs w:val="21"/>
                      <w:highlight w:val="none"/>
                      <w:lang w:eastAsia="zh-CN"/>
                    </w:rPr>
                    <w:t>GB 21976.7-2012</w:t>
                  </w:r>
                  <w:bookmarkEnd w:id="154"/>
                  <w:r>
                    <w:rPr>
                      <w:rFonts w:hint="eastAsia" w:ascii="楷体" w:hAnsi="楷体" w:eastAsia="楷体" w:cs="楷体"/>
                      <w:bCs/>
                      <w:color w:val="auto"/>
                      <w:sz w:val="21"/>
                      <w:szCs w:val="21"/>
                      <w:highlight w:val="none"/>
                      <w:lang w:eastAsia="zh-CN"/>
                    </w:rPr>
                    <w:t>等现行有效的企业标准、团体标准、地方标准及产品明示质量要求</w:t>
                  </w:r>
                </w:p>
                <w:p w14:paraId="714178DF">
                  <w:pPr>
                    <w:pageBreakBefore w:val="0"/>
                    <w:overflowPunct/>
                    <w:topLinePunct w:val="0"/>
                    <w:bidi w:val="0"/>
                    <w:snapToGrid/>
                    <w:spacing w:line="360" w:lineRule="auto"/>
                    <w:ind w:left="0" w:leftChars="0" w:right="0" w:rightChars="0"/>
                    <w:jc w:val="left"/>
                    <w:rPr>
                      <w:rFonts w:hint="eastAsia" w:ascii="楷体" w:hAnsi="楷体" w:eastAsia="楷体" w:cs="楷体"/>
                      <w:bCs/>
                      <w:color w:val="auto"/>
                      <w:kern w:val="2"/>
                      <w:sz w:val="21"/>
                      <w:szCs w:val="21"/>
                      <w:highlight w:val="none"/>
                      <w:lang w:val="en-US" w:eastAsia="zh-CN" w:bidi="ar-SA"/>
                    </w:rPr>
                  </w:pPr>
                </w:p>
              </w:tc>
              <w:tc>
                <w:tcPr>
                  <w:tcW w:w="3908" w:type="dxa"/>
                  <w:gridSpan w:val="2"/>
                  <w:vAlign w:val="center"/>
                </w:tcPr>
                <w:p w14:paraId="79ABD227">
                  <w:pPr>
                    <w:pageBreakBefore w:val="0"/>
                    <w:overflowPunct/>
                    <w:topLinePunct w:val="0"/>
                    <w:bidi w:val="0"/>
                    <w:snapToGrid/>
                    <w:spacing w:line="360" w:lineRule="auto"/>
                    <w:ind w:left="0" w:leftChars="0" w:right="0" w:rightChars="0"/>
                    <w:jc w:val="left"/>
                    <w:rPr>
                      <w:rFonts w:hint="eastAsia" w:ascii="楷体" w:hAnsi="楷体" w:eastAsia="楷体" w:cs="楷体"/>
                      <w:bCs/>
                      <w:color w:val="auto"/>
                      <w:kern w:val="2"/>
                      <w:sz w:val="21"/>
                      <w:szCs w:val="21"/>
                      <w:highlight w:val="none"/>
                      <w:lang w:val="en-US" w:eastAsia="zh-CN" w:bidi="ar-SA"/>
                    </w:rPr>
                  </w:pPr>
                  <w:r>
                    <w:rPr>
                      <w:rFonts w:hint="eastAsia" w:ascii="楷体" w:hAnsi="楷体" w:eastAsia="楷体" w:cs="楷体"/>
                      <w:bCs/>
                      <w:color w:val="auto"/>
                      <w:sz w:val="21"/>
                      <w:szCs w:val="21"/>
                      <w:highlight w:val="none"/>
                      <w:lang w:eastAsia="zh-CN"/>
                    </w:rPr>
                    <w:t>结构检查、佩戴质量测定、材料试验-金属材料表面质量、材料试验-塑料材料老化性能、视野试验、连接强度试验、标志</w:t>
                  </w:r>
                </w:p>
              </w:tc>
            </w:tr>
            <w:tr w14:paraId="52FBF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4" w:type="dxa"/>
                  <w:vAlign w:val="center"/>
                </w:tcPr>
                <w:p w14:paraId="6FC86961">
                  <w:pPr>
                    <w:pageBreakBefore w:val="0"/>
                    <w:overflowPunct/>
                    <w:topLinePunct w:val="0"/>
                    <w:bidi w:val="0"/>
                    <w:snapToGrid/>
                    <w:spacing w:line="360" w:lineRule="auto"/>
                    <w:ind w:left="0" w:leftChars="0" w:right="0" w:rightChars="0"/>
                    <w:jc w:val="left"/>
                    <w:rPr>
                      <w:rFonts w:hint="eastAsia" w:ascii="楷体" w:hAnsi="楷体" w:eastAsia="楷体" w:cs="楷体"/>
                      <w:bCs/>
                      <w:color w:val="auto"/>
                      <w:kern w:val="2"/>
                      <w:sz w:val="21"/>
                      <w:szCs w:val="21"/>
                      <w:highlight w:val="none"/>
                      <w:lang w:val="en-US" w:eastAsia="zh-CN" w:bidi="ar-SA"/>
                    </w:rPr>
                  </w:pPr>
                  <w:r>
                    <w:rPr>
                      <w:rFonts w:hint="eastAsia" w:ascii="楷体" w:hAnsi="楷体" w:eastAsia="楷体" w:cs="楷体"/>
                      <w:bCs/>
                      <w:color w:val="auto"/>
                      <w:sz w:val="21"/>
                      <w:szCs w:val="21"/>
                      <w:highlight w:val="none"/>
                      <w:lang w:eastAsia="zh-CN"/>
                    </w:rPr>
                    <w:t>防火排烟阀门</w:t>
                  </w:r>
                </w:p>
              </w:tc>
              <w:tc>
                <w:tcPr>
                  <w:tcW w:w="2124" w:type="dxa"/>
                  <w:vAlign w:val="center"/>
                </w:tcPr>
                <w:p w14:paraId="38CD2CF3">
                  <w:pPr>
                    <w:pageBreakBefore w:val="0"/>
                    <w:overflowPunct/>
                    <w:topLinePunct w:val="0"/>
                    <w:bidi w:val="0"/>
                    <w:snapToGrid/>
                    <w:spacing w:line="360" w:lineRule="auto"/>
                    <w:ind w:left="0" w:right="0" w:rightChars="0"/>
                    <w:jc w:val="left"/>
                    <w:rPr>
                      <w:rFonts w:hint="eastAsia" w:ascii="楷体" w:hAnsi="楷体" w:eastAsia="楷体" w:cs="楷体"/>
                      <w:bCs/>
                      <w:color w:val="auto"/>
                      <w:sz w:val="21"/>
                      <w:szCs w:val="21"/>
                      <w:highlight w:val="none"/>
                      <w:lang w:eastAsia="zh-CN"/>
                    </w:rPr>
                  </w:pPr>
                  <w:bookmarkStart w:id="155" w:name="OLE_LINK49"/>
                  <w:r>
                    <w:rPr>
                      <w:rFonts w:hint="eastAsia" w:ascii="楷体" w:hAnsi="楷体" w:eastAsia="楷体" w:cs="楷体"/>
                      <w:bCs/>
                      <w:color w:val="auto"/>
                      <w:sz w:val="21"/>
                      <w:szCs w:val="21"/>
                      <w:highlight w:val="none"/>
                      <w:lang w:eastAsia="zh-CN"/>
                    </w:rPr>
                    <w:t>GB 15930-</w:t>
                  </w:r>
                  <w:bookmarkEnd w:id="155"/>
                  <w:r>
                    <w:rPr>
                      <w:rFonts w:hint="eastAsia" w:ascii="楷体" w:hAnsi="楷体" w:eastAsia="楷体" w:cs="楷体"/>
                      <w:bCs/>
                      <w:color w:val="auto"/>
                      <w:sz w:val="21"/>
                      <w:szCs w:val="21"/>
                      <w:highlight w:val="none"/>
                      <w:lang w:val="en-US" w:eastAsia="zh-CN"/>
                    </w:rPr>
                    <w:t>2007</w:t>
                  </w:r>
                  <w:r>
                    <w:rPr>
                      <w:rFonts w:hint="eastAsia" w:ascii="楷体" w:hAnsi="楷体" w:eastAsia="楷体" w:cs="楷体"/>
                      <w:bCs/>
                      <w:color w:val="auto"/>
                      <w:sz w:val="21"/>
                      <w:szCs w:val="21"/>
                      <w:highlight w:val="none"/>
                      <w:lang w:eastAsia="zh-CN"/>
                    </w:rPr>
                    <w:t>等现行有效的企业标准、团体标准、地方标准及产品明示质量要求</w:t>
                  </w:r>
                </w:p>
                <w:p w14:paraId="64D3E707">
                  <w:pPr>
                    <w:pageBreakBefore w:val="0"/>
                    <w:overflowPunct/>
                    <w:topLinePunct w:val="0"/>
                    <w:bidi w:val="0"/>
                    <w:snapToGrid/>
                    <w:spacing w:line="360" w:lineRule="auto"/>
                    <w:ind w:left="0" w:leftChars="0" w:right="0" w:rightChars="0"/>
                    <w:jc w:val="left"/>
                    <w:rPr>
                      <w:rFonts w:hint="eastAsia" w:ascii="楷体" w:hAnsi="楷体" w:eastAsia="楷体" w:cs="楷体"/>
                      <w:bCs/>
                      <w:color w:val="auto"/>
                      <w:kern w:val="2"/>
                      <w:sz w:val="21"/>
                      <w:szCs w:val="21"/>
                      <w:highlight w:val="none"/>
                      <w:lang w:val="en-US" w:eastAsia="zh-CN" w:bidi="ar-SA"/>
                    </w:rPr>
                  </w:pPr>
                </w:p>
              </w:tc>
              <w:tc>
                <w:tcPr>
                  <w:tcW w:w="3908" w:type="dxa"/>
                  <w:gridSpan w:val="2"/>
                  <w:vAlign w:val="center"/>
                </w:tcPr>
                <w:p w14:paraId="1D341053">
                  <w:pPr>
                    <w:pageBreakBefore w:val="0"/>
                    <w:overflowPunct/>
                    <w:topLinePunct w:val="0"/>
                    <w:bidi w:val="0"/>
                    <w:snapToGrid/>
                    <w:spacing w:line="360" w:lineRule="auto"/>
                    <w:ind w:left="0" w:leftChars="0" w:right="0" w:rightChars="0"/>
                    <w:jc w:val="left"/>
                    <w:rPr>
                      <w:rFonts w:hint="eastAsia" w:ascii="楷体" w:hAnsi="楷体" w:eastAsia="楷体" w:cs="楷体"/>
                      <w:bCs/>
                      <w:color w:val="auto"/>
                      <w:kern w:val="2"/>
                      <w:sz w:val="21"/>
                      <w:szCs w:val="21"/>
                      <w:highlight w:val="none"/>
                      <w:lang w:val="en-US" w:eastAsia="zh-CN" w:bidi="ar-SA"/>
                    </w:rPr>
                  </w:pPr>
                  <w:r>
                    <w:rPr>
                      <w:rFonts w:hint="eastAsia" w:ascii="楷体" w:hAnsi="楷体" w:eastAsia="楷体" w:cs="楷体"/>
                      <w:bCs/>
                      <w:color w:val="auto"/>
                      <w:sz w:val="21"/>
                      <w:szCs w:val="21"/>
                      <w:highlight w:val="none"/>
                      <w:lang w:eastAsia="zh-CN"/>
                    </w:rPr>
                    <w:t>环境温度下的漏风量、耐火性能</w:t>
                  </w:r>
                </w:p>
              </w:tc>
            </w:tr>
            <w:tr w14:paraId="0D840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4" w:type="dxa"/>
                  <w:vAlign w:val="center"/>
                </w:tcPr>
                <w:p w14:paraId="6C3E0314">
                  <w:pPr>
                    <w:pageBreakBefore w:val="0"/>
                    <w:overflowPunct/>
                    <w:topLinePunct w:val="0"/>
                    <w:bidi w:val="0"/>
                    <w:snapToGrid/>
                    <w:spacing w:line="360" w:lineRule="auto"/>
                    <w:ind w:left="0" w:leftChars="0" w:right="0" w:rightChars="0"/>
                    <w:jc w:val="left"/>
                    <w:rPr>
                      <w:rFonts w:hint="eastAsia" w:ascii="楷体" w:hAnsi="楷体" w:eastAsia="楷体" w:cs="楷体"/>
                      <w:bCs/>
                      <w:color w:val="auto"/>
                      <w:kern w:val="2"/>
                      <w:sz w:val="21"/>
                      <w:szCs w:val="21"/>
                      <w:highlight w:val="none"/>
                      <w:lang w:val="en-US" w:eastAsia="zh-CN" w:bidi="ar-SA"/>
                    </w:rPr>
                  </w:pPr>
                  <w:r>
                    <w:rPr>
                      <w:rFonts w:hint="eastAsia" w:ascii="楷体" w:hAnsi="楷体" w:eastAsia="楷体" w:cs="楷体"/>
                      <w:bCs/>
                      <w:color w:val="auto"/>
                      <w:sz w:val="21"/>
                      <w:szCs w:val="21"/>
                      <w:highlight w:val="none"/>
                      <w:lang w:eastAsia="zh-CN"/>
                    </w:rPr>
                    <w:t>报警器</w:t>
                  </w:r>
                </w:p>
              </w:tc>
              <w:tc>
                <w:tcPr>
                  <w:tcW w:w="2124" w:type="dxa"/>
                  <w:vAlign w:val="center"/>
                </w:tcPr>
                <w:p w14:paraId="0FBCED77">
                  <w:pPr>
                    <w:pageBreakBefore w:val="0"/>
                    <w:overflowPunct/>
                    <w:topLinePunct w:val="0"/>
                    <w:bidi w:val="0"/>
                    <w:snapToGrid/>
                    <w:spacing w:line="360" w:lineRule="auto"/>
                    <w:ind w:left="0" w:right="0" w:rightChars="0"/>
                    <w:jc w:val="left"/>
                    <w:rPr>
                      <w:rFonts w:hint="eastAsia" w:ascii="楷体" w:hAnsi="楷体" w:eastAsia="楷体" w:cs="楷体"/>
                      <w:bCs/>
                      <w:color w:val="auto"/>
                      <w:kern w:val="2"/>
                      <w:sz w:val="21"/>
                      <w:szCs w:val="21"/>
                      <w:highlight w:val="none"/>
                      <w:lang w:val="en-US" w:eastAsia="zh-CN" w:bidi="ar-SA"/>
                    </w:rPr>
                  </w:pPr>
                  <w:bookmarkStart w:id="156" w:name="OLE_LINK50"/>
                  <w:r>
                    <w:rPr>
                      <w:rFonts w:hint="eastAsia" w:ascii="楷体" w:hAnsi="楷体" w:eastAsia="楷体" w:cs="楷体"/>
                      <w:bCs/>
                      <w:color w:val="auto"/>
                      <w:sz w:val="21"/>
                      <w:szCs w:val="21"/>
                      <w:highlight w:val="none"/>
                      <w:lang w:eastAsia="zh-CN"/>
                    </w:rPr>
                    <w:t>GB 20517-2006</w:t>
                  </w:r>
                  <w:bookmarkEnd w:id="156"/>
                  <w:r>
                    <w:rPr>
                      <w:rFonts w:hint="eastAsia" w:ascii="楷体" w:hAnsi="楷体" w:eastAsia="楷体" w:cs="楷体"/>
                      <w:bCs/>
                      <w:color w:val="auto"/>
                      <w:sz w:val="21"/>
                      <w:szCs w:val="21"/>
                      <w:highlight w:val="none"/>
                      <w:lang w:eastAsia="zh-CN"/>
                    </w:rPr>
                    <w:t>等现行有效的企业标准、团体标准、地方标准及产品明示质量要求</w:t>
                  </w:r>
                </w:p>
              </w:tc>
              <w:tc>
                <w:tcPr>
                  <w:tcW w:w="3908" w:type="dxa"/>
                  <w:gridSpan w:val="2"/>
                  <w:vAlign w:val="center"/>
                </w:tcPr>
                <w:p w14:paraId="1CD86D56">
                  <w:pPr>
                    <w:pageBreakBefore w:val="0"/>
                    <w:overflowPunct/>
                    <w:topLinePunct w:val="0"/>
                    <w:bidi w:val="0"/>
                    <w:snapToGrid/>
                    <w:spacing w:line="360" w:lineRule="auto"/>
                    <w:ind w:left="0" w:leftChars="0" w:right="0" w:rightChars="0"/>
                    <w:jc w:val="left"/>
                    <w:rPr>
                      <w:rFonts w:hint="eastAsia" w:ascii="楷体" w:hAnsi="楷体" w:eastAsia="楷体" w:cs="楷体"/>
                      <w:bCs/>
                      <w:color w:val="auto"/>
                      <w:kern w:val="2"/>
                      <w:sz w:val="21"/>
                      <w:szCs w:val="21"/>
                      <w:highlight w:val="none"/>
                      <w:lang w:val="en-US" w:eastAsia="zh-CN" w:bidi="ar-SA"/>
                    </w:rPr>
                  </w:pPr>
                  <w:r>
                    <w:rPr>
                      <w:rFonts w:hint="eastAsia" w:ascii="楷体" w:hAnsi="楷体" w:eastAsia="楷体" w:cs="楷体"/>
                      <w:bCs/>
                      <w:color w:val="auto"/>
                      <w:sz w:val="21"/>
                      <w:szCs w:val="21"/>
                      <w:highlight w:val="none"/>
                      <w:lang w:eastAsia="zh-CN"/>
                    </w:rPr>
                    <w:t>重复性试验、方位试验、一致性试验、气流试验、高温试验、环境光线试验</w:t>
                  </w:r>
                </w:p>
              </w:tc>
            </w:tr>
          </w:tbl>
          <w:p w14:paraId="1F4AA1D5">
            <w:pPr>
              <w:pStyle w:val="24"/>
              <w:keepNext/>
              <w:keepLines/>
              <w:pBdr>
                <w:bottom w:val="single" w:color="auto" w:sz="4" w:space="0"/>
              </w:pBdr>
              <w:spacing w:after="156" w:afterLines="50" w:line="622" w:lineRule="exact"/>
              <w:ind w:left="0" w:leftChars="0" w:firstLine="0" w:firstLineChars="0"/>
              <w:jc w:val="both"/>
              <w:rPr>
                <w:rFonts w:hint="eastAsia" w:ascii="楷体" w:hAnsi="楷体" w:eastAsia="楷体" w:cs="楷体"/>
                <w:b/>
                <w:bCs/>
                <w:color w:val="000000"/>
                <w:sz w:val="21"/>
                <w:szCs w:val="21"/>
                <w:highlight w:val="none"/>
              </w:rPr>
            </w:pPr>
            <w:r>
              <w:rPr>
                <w:rFonts w:hint="eastAsia" w:ascii="楷体" w:hAnsi="楷体" w:eastAsia="楷体" w:cs="楷体"/>
                <w:b/>
                <w:bCs/>
                <w:color w:val="000000"/>
                <w:sz w:val="21"/>
                <w:szCs w:val="21"/>
                <w:highlight w:val="none"/>
                <w:lang w:val="en-US" w:eastAsia="zh-CN"/>
              </w:rPr>
              <w:t>三</w:t>
            </w:r>
            <w:r>
              <w:rPr>
                <w:rFonts w:hint="eastAsia" w:ascii="楷体" w:hAnsi="楷体" w:eastAsia="楷体" w:cs="楷体"/>
                <w:b/>
                <w:bCs/>
                <w:color w:val="000000"/>
                <w:sz w:val="21"/>
                <w:szCs w:val="21"/>
                <w:highlight w:val="none"/>
              </w:rPr>
              <w:t>、商务要求</w:t>
            </w:r>
          </w:p>
          <w:p w14:paraId="25B14F31">
            <w:pPr>
              <w:pStyle w:val="23"/>
              <w:spacing w:after="0" w:line="520" w:lineRule="exact"/>
              <w:ind w:firstLine="420" w:firstLineChars="200"/>
              <w:jc w:val="both"/>
              <w:rPr>
                <w:rFonts w:hint="eastAsia" w:ascii="楷体" w:hAnsi="楷体" w:eastAsia="楷体" w:cs="楷体"/>
                <w:color w:val="000000"/>
                <w:sz w:val="21"/>
                <w:szCs w:val="21"/>
                <w:highlight w:val="none"/>
              </w:rPr>
            </w:pPr>
            <w:r>
              <w:rPr>
                <w:rFonts w:hint="eastAsia" w:ascii="楷体" w:hAnsi="楷体" w:eastAsia="楷体" w:cs="楷体"/>
                <w:color w:val="000000"/>
                <w:sz w:val="21"/>
                <w:szCs w:val="21"/>
                <w:highlight w:val="none"/>
              </w:rPr>
              <w:t>（一）服务期限及地点</w:t>
            </w:r>
          </w:p>
          <w:p w14:paraId="3601F503">
            <w:pPr>
              <w:pStyle w:val="23"/>
              <w:spacing w:after="0" w:line="520" w:lineRule="exact"/>
              <w:ind w:firstLine="420" w:firstLineChars="200"/>
              <w:jc w:val="both"/>
              <w:rPr>
                <w:rFonts w:hint="eastAsia" w:ascii="楷体" w:hAnsi="楷体" w:eastAsia="楷体" w:cs="楷体"/>
                <w:color w:val="000000"/>
                <w:sz w:val="21"/>
                <w:szCs w:val="21"/>
                <w:highlight w:val="none"/>
              </w:rPr>
            </w:pPr>
            <w:r>
              <w:rPr>
                <w:rFonts w:hint="eastAsia" w:ascii="楷体" w:hAnsi="楷体" w:eastAsia="楷体" w:cs="楷体"/>
                <w:color w:val="000000"/>
                <w:sz w:val="21"/>
                <w:szCs w:val="21"/>
                <w:highlight w:val="none"/>
              </w:rPr>
              <w:t>1.服务期限：自合同签订之日起至</w:t>
            </w:r>
            <w:r>
              <w:rPr>
                <w:rFonts w:hint="eastAsia" w:ascii="楷体" w:hAnsi="楷体" w:eastAsia="楷体" w:cs="楷体"/>
                <w:color w:val="000000"/>
                <w:sz w:val="21"/>
                <w:szCs w:val="21"/>
                <w:highlight w:val="none"/>
                <w:lang w:val="en-US" w:eastAsia="zh-CN"/>
              </w:rPr>
              <w:t>12</w:t>
            </w:r>
            <w:r>
              <w:rPr>
                <w:rFonts w:hint="eastAsia" w:ascii="楷体" w:hAnsi="楷体" w:eastAsia="楷体" w:cs="楷体"/>
                <w:color w:val="000000"/>
                <w:sz w:val="21"/>
                <w:szCs w:val="21"/>
                <w:highlight w:val="none"/>
              </w:rPr>
              <w:t>月底，</w:t>
            </w:r>
            <w:r>
              <w:rPr>
                <w:rFonts w:hint="eastAsia" w:ascii="楷体" w:hAnsi="楷体" w:eastAsia="楷体" w:cs="楷体"/>
                <w:color w:val="000000"/>
                <w:sz w:val="21"/>
                <w:szCs w:val="21"/>
                <w:highlight w:val="none"/>
                <w:lang w:eastAsia="zh-CN"/>
              </w:rPr>
              <w:t>分批次完成质量监督抽查</w:t>
            </w:r>
            <w:r>
              <w:rPr>
                <w:rFonts w:hint="eastAsia" w:ascii="楷体" w:hAnsi="楷体" w:eastAsia="楷体" w:cs="楷体"/>
                <w:color w:val="000000"/>
                <w:sz w:val="21"/>
                <w:szCs w:val="21"/>
                <w:highlight w:val="none"/>
              </w:rPr>
              <w:t>。</w:t>
            </w:r>
          </w:p>
          <w:p w14:paraId="71E1A50F">
            <w:pPr>
              <w:pStyle w:val="23"/>
              <w:spacing w:after="0" w:line="520" w:lineRule="exact"/>
              <w:ind w:firstLine="420" w:firstLineChars="200"/>
              <w:jc w:val="both"/>
              <w:rPr>
                <w:rFonts w:hint="eastAsia" w:ascii="楷体" w:hAnsi="楷体" w:eastAsia="楷体" w:cs="楷体"/>
                <w:color w:val="000000"/>
                <w:sz w:val="21"/>
                <w:szCs w:val="21"/>
                <w:highlight w:val="none"/>
              </w:rPr>
            </w:pPr>
            <w:r>
              <w:rPr>
                <w:rFonts w:hint="eastAsia" w:ascii="楷体" w:hAnsi="楷体" w:eastAsia="楷体" w:cs="楷体"/>
                <w:color w:val="000000"/>
                <w:sz w:val="21"/>
                <w:szCs w:val="21"/>
                <w:highlight w:val="none"/>
              </w:rPr>
              <w:t>2.服务地点：采购方指定地点。</w:t>
            </w:r>
          </w:p>
          <w:p w14:paraId="7CC0E67F">
            <w:pPr>
              <w:pStyle w:val="23"/>
              <w:spacing w:after="0" w:line="520" w:lineRule="exact"/>
              <w:ind w:firstLine="420" w:firstLineChars="200"/>
              <w:jc w:val="both"/>
              <w:rPr>
                <w:rFonts w:hint="eastAsia" w:ascii="楷体" w:hAnsi="楷体" w:eastAsia="楷体" w:cs="楷体"/>
                <w:color w:val="000000"/>
                <w:sz w:val="21"/>
                <w:szCs w:val="21"/>
                <w:highlight w:val="none"/>
              </w:rPr>
            </w:pPr>
            <w:r>
              <w:rPr>
                <w:rFonts w:hint="eastAsia" w:ascii="楷体" w:hAnsi="楷体" w:eastAsia="楷体" w:cs="楷体"/>
                <w:color w:val="000000"/>
                <w:sz w:val="21"/>
                <w:szCs w:val="21"/>
                <w:highlight w:val="none"/>
              </w:rPr>
              <w:t>（二）款项结算</w:t>
            </w:r>
          </w:p>
          <w:p w14:paraId="404D8A52">
            <w:pPr>
              <w:pStyle w:val="23"/>
              <w:spacing w:after="0" w:line="520" w:lineRule="exact"/>
              <w:ind w:firstLine="420" w:firstLineChars="200"/>
              <w:jc w:val="both"/>
              <w:rPr>
                <w:rFonts w:hint="eastAsia" w:ascii="楷体" w:hAnsi="楷体" w:eastAsia="楷体" w:cs="楷体"/>
                <w:color w:val="000000"/>
                <w:sz w:val="21"/>
                <w:szCs w:val="21"/>
                <w:highlight w:val="none"/>
              </w:rPr>
            </w:pPr>
            <w:r>
              <w:rPr>
                <w:rFonts w:hint="eastAsia" w:ascii="楷体" w:hAnsi="楷体" w:eastAsia="楷体" w:cs="楷体"/>
                <w:color w:val="000000"/>
                <w:sz w:val="21"/>
                <w:szCs w:val="21"/>
                <w:highlight w:val="none"/>
              </w:rPr>
              <w:t>根据采购方工作实际需求进行分批</w:t>
            </w:r>
            <w:r>
              <w:rPr>
                <w:rFonts w:hint="eastAsia" w:ascii="楷体" w:hAnsi="楷体" w:eastAsia="楷体" w:cs="楷体"/>
                <w:color w:val="000000"/>
                <w:sz w:val="21"/>
                <w:szCs w:val="21"/>
                <w:highlight w:val="none"/>
                <w:lang w:eastAsia="zh-CN"/>
              </w:rPr>
              <w:t>监督抽查</w:t>
            </w:r>
            <w:r>
              <w:rPr>
                <w:rFonts w:hint="eastAsia" w:ascii="楷体" w:hAnsi="楷体" w:eastAsia="楷体" w:cs="楷体"/>
                <w:color w:val="000000"/>
                <w:sz w:val="21"/>
                <w:szCs w:val="21"/>
                <w:highlight w:val="none"/>
              </w:rPr>
              <w:t>。</w:t>
            </w:r>
          </w:p>
          <w:p w14:paraId="30244661">
            <w:pPr>
              <w:pStyle w:val="23"/>
              <w:spacing w:after="0" w:line="520" w:lineRule="exact"/>
              <w:ind w:firstLine="420" w:firstLineChars="200"/>
              <w:jc w:val="both"/>
              <w:rPr>
                <w:rFonts w:hint="eastAsia" w:ascii="楷体" w:hAnsi="楷体" w:eastAsia="楷体" w:cs="楷体"/>
                <w:color w:val="000000"/>
                <w:sz w:val="21"/>
                <w:szCs w:val="21"/>
                <w:highlight w:val="none"/>
                <w:lang w:val="en-US" w:eastAsia="zh-CN"/>
              </w:rPr>
            </w:pPr>
            <w:r>
              <w:rPr>
                <w:rFonts w:hint="eastAsia" w:ascii="楷体" w:hAnsi="楷体" w:eastAsia="楷体" w:cs="楷体"/>
                <w:color w:val="000000"/>
                <w:sz w:val="21"/>
                <w:szCs w:val="21"/>
                <w:highlight w:val="none"/>
                <w:lang w:val="en-US" w:eastAsia="zh-CN"/>
              </w:rPr>
              <w:t>1.合同签订后10个工作日内支付合同总价款的60%作为预付款。</w:t>
            </w:r>
          </w:p>
          <w:p w14:paraId="140D8A38">
            <w:pPr>
              <w:pStyle w:val="23"/>
              <w:spacing w:after="0" w:line="520" w:lineRule="exact"/>
              <w:ind w:firstLine="420" w:firstLineChars="200"/>
              <w:jc w:val="both"/>
              <w:rPr>
                <w:rFonts w:hint="eastAsia" w:ascii="楷体" w:hAnsi="楷体" w:eastAsia="楷体" w:cs="楷体"/>
                <w:color w:val="000000"/>
                <w:sz w:val="21"/>
                <w:szCs w:val="21"/>
                <w:highlight w:val="none"/>
                <w:lang w:val="en-US" w:eastAsia="zh-CN"/>
              </w:rPr>
            </w:pPr>
            <w:r>
              <w:rPr>
                <w:rFonts w:hint="eastAsia" w:ascii="楷体" w:hAnsi="楷体" w:eastAsia="楷体" w:cs="楷体"/>
                <w:color w:val="000000"/>
                <w:sz w:val="21"/>
                <w:szCs w:val="21"/>
                <w:highlight w:val="none"/>
                <w:lang w:val="en-US" w:eastAsia="zh-CN"/>
              </w:rPr>
              <w:t>2.质量监督抽查工作完成后，由委托方按照工作程序进行验收并以单项最终成交价格为准据实结算，预算金额结算完毕为止。</w:t>
            </w:r>
          </w:p>
          <w:p w14:paraId="5E2668C3">
            <w:pPr>
              <w:pStyle w:val="23"/>
              <w:spacing w:after="0" w:line="520" w:lineRule="exact"/>
              <w:ind w:firstLine="420" w:firstLineChars="200"/>
              <w:jc w:val="both"/>
              <w:rPr>
                <w:rFonts w:hint="eastAsia" w:ascii="楷体" w:hAnsi="楷体" w:eastAsia="楷体" w:cs="楷体"/>
                <w:color w:val="000000"/>
                <w:sz w:val="21"/>
                <w:szCs w:val="21"/>
                <w:highlight w:val="none"/>
              </w:rPr>
            </w:pPr>
            <w:r>
              <w:rPr>
                <w:rFonts w:hint="eastAsia" w:ascii="楷体" w:hAnsi="楷体" w:eastAsia="楷体" w:cs="楷体"/>
                <w:color w:val="000000"/>
                <w:sz w:val="21"/>
                <w:szCs w:val="21"/>
                <w:highlight w:val="none"/>
              </w:rPr>
              <w:t>（三）合同实施</w:t>
            </w:r>
          </w:p>
          <w:p w14:paraId="31D98F29">
            <w:pPr>
              <w:pStyle w:val="23"/>
              <w:spacing w:after="0" w:line="520" w:lineRule="exact"/>
              <w:ind w:firstLine="420" w:firstLineChars="200"/>
              <w:jc w:val="both"/>
              <w:rPr>
                <w:rFonts w:hint="eastAsia" w:ascii="楷体" w:hAnsi="楷体" w:eastAsia="楷体" w:cs="楷体"/>
                <w:color w:val="000000"/>
                <w:sz w:val="21"/>
                <w:szCs w:val="21"/>
                <w:highlight w:val="none"/>
              </w:rPr>
            </w:pPr>
            <w:r>
              <w:rPr>
                <w:rFonts w:hint="eastAsia" w:ascii="楷体" w:hAnsi="楷体" w:eastAsia="楷体" w:cs="楷体"/>
                <w:color w:val="000000"/>
                <w:sz w:val="21"/>
                <w:szCs w:val="21"/>
                <w:highlight w:val="none"/>
              </w:rPr>
              <w:t>1.成交单位应在合同签订后接招标人通知之日起7个日历日内对</w:t>
            </w:r>
            <w:r>
              <w:rPr>
                <w:rFonts w:hint="eastAsia" w:ascii="楷体" w:hAnsi="楷体" w:eastAsia="楷体" w:cs="楷体"/>
                <w:color w:val="000000"/>
                <w:sz w:val="21"/>
                <w:szCs w:val="21"/>
                <w:highlight w:val="none"/>
                <w:lang w:eastAsia="zh-CN"/>
              </w:rPr>
              <w:t>质量监督抽查工作</w:t>
            </w:r>
            <w:r>
              <w:rPr>
                <w:rFonts w:hint="eastAsia" w:ascii="楷体" w:hAnsi="楷体" w:eastAsia="楷体" w:cs="楷体"/>
                <w:color w:val="000000"/>
                <w:sz w:val="21"/>
                <w:szCs w:val="21"/>
                <w:highlight w:val="none"/>
              </w:rPr>
              <w:t>进行安排、部署、计划。</w:t>
            </w:r>
          </w:p>
          <w:p w14:paraId="636D1D58">
            <w:pPr>
              <w:pStyle w:val="23"/>
              <w:spacing w:after="0" w:line="520" w:lineRule="exact"/>
              <w:ind w:firstLine="420" w:firstLineChars="200"/>
              <w:jc w:val="both"/>
              <w:rPr>
                <w:rFonts w:hint="eastAsia" w:ascii="楷体" w:hAnsi="楷体" w:eastAsia="楷体" w:cs="楷体"/>
                <w:color w:val="000000"/>
                <w:sz w:val="21"/>
                <w:szCs w:val="21"/>
                <w:highlight w:val="none"/>
              </w:rPr>
            </w:pPr>
            <w:r>
              <w:rPr>
                <w:rFonts w:hint="eastAsia" w:ascii="楷体" w:hAnsi="楷体" w:eastAsia="楷体" w:cs="楷体"/>
                <w:color w:val="000000"/>
                <w:sz w:val="21"/>
                <w:szCs w:val="21"/>
                <w:highlight w:val="none"/>
              </w:rPr>
              <w:t>2.若未能在按照项目实际工作时间完成规定的义务，由此对采购单位造成的延误和一切损失，由成交单位承担和赔偿。</w:t>
            </w:r>
          </w:p>
          <w:p w14:paraId="052AAC84">
            <w:pPr>
              <w:pStyle w:val="24"/>
              <w:keepNext/>
              <w:keepLines/>
              <w:pBdr>
                <w:bottom w:val="single" w:color="auto" w:sz="4" w:space="0"/>
              </w:pBdr>
              <w:spacing w:after="156" w:afterLines="50" w:line="622" w:lineRule="exact"/>
              <w:ind w:left="0" w:leftChars="0" w:firstLine="0" w:firstLineChars="0"/>
              <w:jc w:val="both"/>
              <w:rPr>
                <w:rFonts w:hint="eastAsia" w:ascii="楷体" w:hAnsi="楷体" w:eastAsia="楷体" w:cs="楷体"/>
                <w:b/>
                <w:bCs/>
                <w:color w:val="000000"/>
                <w:sz w:val="21"/>
                <w:szCs w:val="21"/>
                <w:highlight w:val="none"/>
              </w:rPr>
            </w:pPr>
            <w:r>
              <w:rPr>
                <w:rFonts w:hint="eastAsia" w:ascii="楷体" w:hAnsi="楷体" w:eastAsia="楷体" w:cs="楷体"/>
                <w:b/>
                <w:bCs/>
                <w:color w:val="000000"/>
                <w:sz w:val="21"/>
                <w:szCs w:val="21"/>
                <w:highlight w:val="none"/>
                <w:lang w:val="en-US" w:eastAsia="zh-CN"/>
              </w:rPr>
              <w:t>四</w:t>
            </w:r>
            <w:r>
              <w:rPr>
                <w:rFonts w:hint="eastAsia" w:ascii="楷体" w:hAnsi="楷体" w:eastAsia="楷体" w:cs="楷体"/>
                <w:b/>
                <w:bCs/>
                <w:color w:val="000000"/>
                <w:sz w:val="21"/>
                <w:szCs w:val="21"/>
                <w:highlight w:val="none"/>
              </w:rPr>
              <w:t>、其他</w:t>
            </w:r>
          </w:p>
          <w:p w14:paraId="70916E30">
            <w:pPr>
              <w:pStyle w:val="23"/>
              <w:spacing w:after="0" w:line="520" w:lineRule="exact"/>
              <w:ind w:firstLine="420" w:firstLineChars="200"/>
              <w:jc w:val="both"/>
              <w:rPr>
                <w:rFonts w:hint="eastAsia" w:ascii="楷体" w:hAnsi="楷体" w:eastAsia="楷体" w:cs="楷体"/>
                <w:color w:val="000000"/>
                <w:sz w:val="21"/>
                <w:szCs w:val="21"/>
                <w:highlight w:val="none"/>
              </w:rPr>
            </w:pPr>
            <w:r>
              <w:rPr>
                <w:rFonts w:hint="eastAsia" w:ascii="楷体" w:hAnsi="楷体" w:eastAsia="楷体" w:cs="楷体"/>
                <w:color w:val="000000"/>
                <w:sz w:val="21"/>
                <w:szCs w:val="21"/>
                <w:highlight w:val="none"/>
              </w:rPr>
              <w:t>（</w:t>
            </w:r>
            <w:r>
              <w:rPr>
                <w:rFonts w:hint="eastAsia" w:ascii="楷体" w:hAnsi="楷体" w:eastAsia="楷体" w:cs="楷体"/>
                <w:color w:val="000000"/>
                <w:sz w:val="21"/>
                <w:szCs w:val="21"/>
                <w:highlight w:val="none"/>
                <w:lang w:val="en-US" w:eastAsia="zh-CN"/>
              </w:rPr>
              <w:t>一</w:t>
            </w:r>
            <w:r>
              <w:rPr>
                <w:rFonts w:hint="eastAsia" w:ascii="楷体" w:hAnsi="楷体" w:eastAsia="楷体" w:cs="楷体"/>
                <w:color w:val="000000"/>
                <w:sz w:val="21"/>
                <w:szCs w:val="21"/>
                <w:highlight w:val="none"/>
              </w:rPr>
              <w:t>）验收标准或规范</w:t>
            </w:r>
          </w:p>
          <w:p w14:paraId="66CC75E2">
            <w:pPr>
              <w:pStyle w:val="23"/>
              <w:spacing w:after="0" w:line="520" w:lineRule="exact"/>
              <w:ind w:firstLine="420" w:firstLineChars="200"/>
              <w:jc w:val="both"/>
              <w:rPr>
                <w:rFonts w:hint="eastAsia" w:ascii="楷体" w:hAnsi="楷体" w:eastAsia="楷体" w:cs="楷体"/>
                <w:color w:val="000000"/>
                <w:sz w:val="21"/>
                <w:szCs w:val="21"/>
                <w:highlight w:val="none"/>
              </w:rPr>
            </w:pPr>
            <w:r>
              <w:rPr>
                <w:rFonts w:hint="eastAsia" w:ascii="楷体" w:hAnsi="楷体" w:eastAsia="楷体" w:cs="楷体"/>
                <w:color w:val="000000"/>
                <w:sz w:val="21"/>
                <w:szCs w:val="21"/>
                <w:highlight w:val="none"/>
              </w:rPr>
              <w:t>1.在</w:t>
            </w:r>
            <w:r>
              <w:rPr>
                <w:rFonts w:hint="eastAsia" w:ascii="楷体" w:hAnsi="楷体" w:eastAsia="楷体" w:cs="楷体"/>
                <w:color w:val="000000"/>
                <w:sz w:val="21"/>
                <w:szCs w:val="21"/>
                <w:highlight w:val="none"/>
                <w:lang w:eastAsia="zh-CN"/>
              </w:rPr>
              <w:t>批次抽检工作完成后</w:t>
            </w:r>
            <w:r>
              <w:rPr>
                <w:rFonts w:hint="eastAsia" w:ascii="楷体" w:hAnsi="楷体" w:eastAsia="楷体" w:cs="楷体"/>
                <w:color w:val="000000"/>
                <w:sz w:val="21"/>
                <w:szCs w:val="21"/>
                <w:highlight w:val="none"/>
              </w:rPr>
              <w:t>，服务商应对实施的效果等进行准确而全面的</w:t>
            </w:r>
            <w:r>
              <w:rPr>
                <w:rFonts w:hint="eastAsia" w:ascii="楷体" w:hAnsi="楷体" w:eastAsia="楷体" w:cs="楷体"/>
                <w:color w:val="000000"/>
                <w:sz w:val="21"/>
                <w:szCs w:val="21"/>
                <w:highlight w:val="none"/>
                <w:lang w:eastAsia="zh-CN"/>
              </w:rPr>
              <w:t>总结评估</w:t>
            </w:r>
            <w:r>
              <w:rPr>
                <w:rFonts w:hint="eastAsia" w:ascii="楷体" w:hAnsi="楷体" w:eastAsia="楷体" w:cs="楷体"/>
                <w:color w:val="000000"/>
                <w:sz w:val="21"/>
                <w:szCs w:val="21"/>
                <w:highlight w:val="none"/>
              </w:rPr>
              <w:t>，并出具</w:t>
            </w:r>
            <w:r>
              <w:rPr>
                <w:rFonts w:hint="eastAsia" w:ascii="楷体" w:hAnsi="楷体" w:eastAsia="楷体" w:cs="楷体"/>
                <w:color w:val="000000"/>
                <w:sz w:val="21"/>
                <w:szCs w:val="21"/>
                <w:highlight w:val="none"/>
                <w:lang w:eastAsia="zh-CN"/>
              </w:rPr>
              <w:t>抽检</w:t>
            </w:r>
            <w:r>
              <w:rPr>
                <w:rFonts w:hint="eastAsia" w:ascii="楷体" w:hAnsi="楷体" w:eastAsia="楷体" w:cs="楷体"/>
                <w:color w:val="000000"/>
                <w:sz w:val="21"/>
                <w:szCs w:val="21"/>
                <w:highlight w:val="none"/>
              </w:rPr>
              <w:t>报告。</w:t>
            </w:r>
          </w:p>
          <w:p w14:paraId="4AE67AA1">
            <w:pPr>
              <w:pStyle w:val="23"/>
              <w:spacing w:after="0" w:line="520" w:lineRule="exact"/>
              <w:ind w:firstLine="420" w:firstLineChars="200"/>
              <w:jc w:val="both"/>
              <w:rPr>
                <w:rFonts w:hint="eastAsia" w:ascii="楷体" w:hAnsi="楷体" w:eastAsia="楷体" w:cs="楷体"/>
                <w:color w:val="000000"/>
                <w:sz w:val="21"/>
                <w:szCs w:val="21"/>
                <w:highlight w:val="none"/>
              </w:rPr>
            </w:pPr>
            <w:r>
              <w:rPr>
                <w:rFonts w:hint="eastAsia" w:ascii="楷体" w:hAnsi="楷体" w:eastAsia="楷体" w:cs="楷体"/>
                <w:color w:val="000000"/>
                <w:sz w:val="21"/>
                <w:szCs w:val="21"/>
                <w:highlight w:val="none"/>
              </w:rPr>
              <w:t>2.采购人应按照政府采购合同约定的服务内容与标准组织对服务商服务内容进行验收。验收内容包含</w:t>
            </w:r>
            <w:r>
              <w:rPr>
                <w:rFonts w:hint="eastAsia" w:ascii="楷体" w:hAnsi="楷体" w:eastAsia="楷体" w:cs="楷体"/>
                <w:color w:val="000000"/>
                <w:sz w:val="21"/>
                <w:szCs w:val="21"/>
                <w:highlight w:val="none"/>
                <w:lang w:eastAsia="zh-CN"/>
              </w:rPr>
              <w:t>人员投入</w:t>
            </w:r>
            <w:r>
              <w:rPr>
                <w:rFonts w:hint="eastAsia" w:ascii="楷体" w:hAnsi="楷体" w:eastAsia="楷体" w:cs="楷体"/>
                <w:color w:val="000000"/>
                <w:sz w:val="21"/>
                <w:szCs w:val="21"/>
                <w:highlight w:val="none"/>
              </w:rPr>
              <w:t>情况、</w:t>
            </w:r>
            <w:r>
              <w:rPr>
                <w:rFonts w:hint="eastAsia" w:ascii="楷体" w:hAnsi="楷体" w:eastAsia="楷体" w:cs="楷体"/>
                <w:color w:val="000000"/>
                <w:sz w:val="21"/>
                <w:szCs w:val="21"/>
                <w:highlight w:val="none"/>
                <w:lang w:eastAsia="zh-CN"/>
              </w:rPr>
              <w:t>实际抽检批次数量、抽检效果</w:t>
            </w:r>
            <w:r>
              <w:rPr>
                <w:rFonts w:hint="eastAsia" w:ascii="楷体" w:hAnsi="楷体" w:eastAsia="楷体" w:cs="楷体"/>
                <w:color w:val="000000"/>
                <w:sz w:val="21"/>
                <w:szCs w:val="21"/>
                <w:highlight w:val="none"/>
              </w:rPr>
              <w:t>以及其他服务内容的履约完成情况。</w:t>
            </w:r>
          </w:p>
          <w:p w14:paraId="120D43F2">
            <w:pPr>
              <w:pStyle w:val="23"/>
              <w:spacing w:after="0" w:line="520" w:lineRule="exact"/>
              <w:ind w:firstLine="420" w:firstLineChars="200"/>
              <w:jc w:val="both"/>
              <w:rPr>
                <w:rFonts w:hint="eastAsia" w:ascii="楷体" w:hAnsi="楷体" w:eastAsia="楷体" w:cs="楷体"/>
                <w:color w:val="000000"/>
                <w:sz w:val="21"/>
                <w:szCs w:val="21"/>
                <w:highlight w:val="none"/>
              </w:rPr>
            </w:pPr>
            <w:r>
              <w:rPr>
                <w:rFonts w:hint="eastAsia" w:ascii="楷体" w:hAnsi="楷体" w:eastAsia="楷体" w:cs="楷体"/>
                <w:color w:val="000000"/>
                <w:sz w:val="21"/>
                <w:szCs w:val="21"/>
                <w:highlight w:val="none"/>
              </w:rPr>
              <w:t>3.服务商应向采购人提交项目实施过程中的所有资料，主动配合采购方完成验收工作程序。</w:t>
            </w:r>
          </w:p>
          <w:p w14:paraId="37179A42">
            <w:pPr>
              <w:pStyle w:val="23"/>
              <w:spacing w:after="0" w:line="520" w:lineRule="exact"/>
              <w:ind w:firstLine="420" w:firstLineChars="200"/>
              <w:jc w:val="both"/>
              <w:rPr>
                <w:rFonts w:hint="eastAsia" w:ascii="楷体" w:hAnsi="楷体" w:eastAsia="楷体" w:cs="楷体"/>
                <w:color w:val="000000"/>
                <w:sz w:val="21"/>
                <w:szCs w:val="21"/>
                <w:highlight w:val="none"/>
              </w:rPr>
            </w:pPr>
            <w:r>
              <w:rPr>
                <w:rFonts w:hint="eastAsia" w:ascii="楷体" w:hAnsi="楷体" w:eastAsia="楷体" w:cs="楷体"/>
                <w:color w:val="000000"/>
                <w:sz w:val="21"/>
                <w:szCs w:val="21"/>
                <w:highlight w:val="none"/>
              </w:rPr>
              <w:t>4.验收合格后，填写政府采购项目验收单（一式伍份）。</w:t>
            </w:r>
          </w:p>
          <w:p w14:paraId="6305D1BD">
            <w:pPr>
              <w:pStyle w:val="23"/>
              <w:spacing w:after="0" w:line="520" w:lineRule="exact"/>
              <w:ind w:firstLine="420" w:firstLineChars="200"/>
              <w:jc w:val="both"/>
              <w:rPr>
                <w:rFonts w:hint="eastAsia" w:ascii="楷体" w:hAnsi="楷体" w:eastAsia="楷体" w:cs="楷体"/>
                <w:color w:val="000000"/>
                <w:sz w:val="21"/>
                <w:szCs w:val="21"/>
                <w:highlight w:val="none"/>
              </w:rPr>
            </w:pPr>
            <w:r>
              <w:rPr>
                <w:rFonts w:hint="eastAsia" w:ascii="楷体" w:hAnsi="楷体" w:eastAsia="楷体" w:cs="楷体"/>
                <w:color w:val="000000"/>
                <w:sz w:val="21"/>
                <w:szCs w:val="21"/>
                <w:highlight w:val="none"/>
              </w:rPr>
              <w:t>（</w:t>
            </w:r>
            <w:r>
              <w:rPr>
                <w:rFonts w:hint="eastAsia" w:ascii="楷体" w:hAnsi="楷体" w:eastAsia="楷体" w:cs="楷体"/>
                <w:color w:val="000000"/>
                <w:sz w:val="21"/>
                <w:szCs w:val="21"/>
                <w:highlight w:val="none"/>
                <w:lang w:val="en-US" w:eastAsia="zh-CN"/>
              </w:rPr>
              <w:t>二</w:t>
            </w:r>
            <w:r>
              <w:rPr>
                <w:rFonts w:hint="eastAsia" w:ascii="楷体" w:hAnsi="楷体" w:eastAsia="楷体" w:cs="楷体"/>
                <w:color w:val="000000"/>
                <w:sz w:val="21"/>
                <w:szCs w:val="21"/>
                <w:highlight w:val="none"/>
              </w:rPr>
              <w:t>）违约责任</w:t>
            </w:r>
          </w:p>
          <w:p w14:paraId="0C84935B">
            <w:pPr>
              <w:pStyle w:val="23"/>
              <w:spacing w:after="0" w:line="520" w:lineRule="exact"/>
              <w:ind w:firstLine="420" w:firstLineChars="200"/>
              <w:jc w:val="both"/>
              <w:rPr>
                <w:rFonts w:hint="eastAsia" w:ascii="楷体" w:hAnsi="楷体" w:eastAsia="楷体" w:cs="楷体"/>
                <w:color w:val="000000"/>
                <w:sz w:val="21"/>
                <w:szCs w:val="21"/>
                <w:highlight w:val="none"/>
              </w:rPr>
            </w:pPr>
            <w:r>
              <w:rPr>
                <w:rFonts w:hint="eastAsia" w:ascii="楷体" w:hAnsi="楷体" w:eastAsia="楷体" w:cs="楷体"/>
                <w:color w:val="000000"/>
                <w:sz w:val="21"/>
                <w:szCs w:val="21"/>
                <w:highlight w:val="none"/>
              </w:rPr>
              <w:t>1.按《中华人民共和国民法典》中的相关条款执行。</w:t>
            </w:r>
          </w:p>
          <w:p w14:paraId="27E2FD51">
            <w:pPr>
              <w:pStyle w:val="23"/>
              <w:spacing w:after="0" w:line="520" w:lineRule="exact"/>
              <w:ind w:firstLine="420" w:firstLineChars="200"/>
              <w:jc w:val="both"/>
              <w:rPr>
                <w:rFonts w:hint="eastAsia" w:ascii="楷体" w:hAnsi="楷体" w:eastAsia="楷体" w:cs="楷体"/>
                <w:color w:val="000000"/>
                <w:sz w:val="21"/>
                <w:szCs w:val="21"/>
                <w:highlight w:val="none"/>
              </w:rPr>
            </w:pPr>
            <w:r>
              <w:rPr>
                <w:rFonts w:hint="eastAsia" w:ascii="楷体" w:hAnsi="楷体" w:eastAsia="楷体" w:cs="楷体"/>
                <w:color w:val="000000"/>
                <w:sz w:val="21"/>
                <w:szCs w:val="21"/>
                <w:highlight w:val="none"/>
              </w:rPr>
              <w:t>2.未按合同要求提供服务或服务质量不能满足服务要求和标准，采购方有权终止合同，并对供方违约行为进行追究，同时按《中华人民共和国政府采购法》的有关规定进行处罚。</w:t>
            </w:r>
          </w:p>
          <w:p w14:paraId="3C736A4A">
            <w:pPr>
              <w:pStyle w:val="23"/>
              <w:spacing w:after="0" w:line="520" w:lineRule="exact"/>
              <w:ind w:firstLine="420" w:firstLineChars="200"/>
              <w:jc w:val="both"/>
              <w:rPr>
                <w:rFonts w:hint="eastAsia" w:ascii="楷体" w:hAnsi="楷体" w:eastAsia="楷体" w:cs="楷体"/>
                <w:color w:val="000000"/>
                <w:sz w:val="21"/>
                <w:szCs w:val="21"/>
                <w:highlight w:val="none"/>
              </w:rPr>
            </w:pPr>
            <w:r>
              <w:rPr>
                <w:rFonts w:hint="eastAsia" w:ascii="楷体" w:hAnsi="楷体" w:eastAsia="楷体" w:cs="楷体"/>
                <w:color w:val="000000"/>
                <w:sz w:val="21"/>
                <w:szCs w:val="21"/>
                <w:highlight w:val="none"/>
              </w:rPr>
              <w:t>3.服务商如未按合同约定</w:t>
            </w:r>
            <w:r>
              <w:rPr>
                <w:rFonts w:hint="eastAsia" w:ascii="楷体" w:hAnsi="楷体" w:eastAsia="楷体" w:cs="楷体"/>
                <w:color w:val="000000"/>
                <w:sz w:val="21"/>
                <w:szCs w:val="21"/>
                <w:highlight w:val="none"/>
                <w:lang w:eastAsia="zh-CN"/>
              </w:rPr>
              <w:t>及采购方要求</w:t>
            </w:r>
            <w:r>
              <w:rPr>
                <w:rFonts w:hint="eastAsia" w:ascii="楷体" w:hAnsi="楷体" w:eastAsia="楷体" w:cs="楷体"/>
                <w:color w:val="000000"/>
                <w:sz w:val="21"/>
                <w:szCs w:val="21"/>
                <w:highlight w:val="none"/>
              </w:rPr>
              <w:t>的时间</w:t>
            </w:r>
            <w:r>
              <w:rPr>
                <w:rFonts w:hint="eastAsia" w:ascii="楷体" w:hAnsi="楷体" w:eastAsia="楷体" w:cs="楷体"/>
                <w:color w:val="000000"/>
                <w:sz w:val="21"/>
                <w:szCs w:val="21"/>
                <w:highlight w:val="none"/>
                <w:lang w:eastAsia="zh-CN"/>
              </w:rPr>
              <w:t>进行监督抽查</w:t>
            </w:r>
            <w:r>
              <w:rPr>
                <w:rFonts w:hint="eastAsia" w:ascii="楷体" w:hAnsi="楷体" w:eastAsia="楷体" w:cs="楷体"/>
                <w:color w:val="000000"/>
                <w:sz w:val="21"/>
                <w:szCs w:val="21"/>
                <w:highlight w:val="none"/>
              </w:rPr>
              <w:t>，每逾期一天应承担合同总价款千分之五的违约金，逾期超过七天，采购方可单方解除本合同，并要求服务商承担合同总价款 5 %的违约金，给采购方造成损失的，还应承担赔偿责任。</w:t>
            </w:r>
          </w:p>
          <w:p w14:paraId="0C83DC61">
            <w:pPr>
              <w:pStyle w:val="23"/>
              <w:spacing w:after="0" w:line="520" w:lineRule="exact"/>
              <w:ind w:firstLine="420" w:firstLineChars="200"/>
              <w:jc w:val="both"/>
              <w:rPr>
                <w:rFonts w:hint="eastAsia" w:ascii="楷体" w:hAnsi="楷体" w:eastAsia="楷体" w:cs="楷体"/>
                <w:color w:val="000000"/>
                <w:sz w:val="21"/>
                <w:szCs w:val="21"/>
                <w:highlight w:val="none"/>
              </w:rPr>
            </w:pPr>
            <w:r>
              <w:rPr>
                <w:rFonts w:hint="eastAsia" w:ascii="楷体" w:hAnsi="楷体" w:eastAsia="楷体" w:cs="楷体"/>
                <w:color w:val="000000"/>
                <w:sz w:val="21"/>
                <w:szCs w:val="21"/>
                <w:highlight w:val="none"/>
              </w:rPr>
              <w:t>（</w:t>
            </w:r>
            <w:r>
              <w:rPr>
                <w:rFonts w:hint="eastAsia" w:ascii="楷体" w:hAnsi="楷体" w:eastAsia="楷体" w:cs="楷体"/>
                <w:color w:val="000000"/>
                <w:sz w:val="21"/>
                <w:szCs w:val="21"/>
                <w:highlight w:val="none"/>
                <w:lang w:val="en-US" w:eastAsia="zh-CN"/>
              </w:rPr>
              <w:t>三</w:t>
            </w:r>
            <w:r>
              <w:rPr>
                <w:rFonts w:hint="eastAsia" w:ascii="楷体" w:hAnsi="楷体" w:eastAsia="楷体" w:cs="楷体"/>
                <w:color w:val="000000"/>
                <w:sz w:val="21"/>
                <w:szCs w:val="21"/>
                <w:highlight w:val="none"/>
              </w:rPr>
              <w:t>）采购方的权利及责任</w:t>
            </w:r>
          </w:p>
          <w:p w14:paraId="33CCC73B">
            <w:pPr>
              <w:pStyle w:val="23"/>
              <w:spacing w:after="0" w:line="520" w:lineRule="exact"/>
              <w:ind w:firstLine="420" w:firstLineChars="200"/>
              <w:jc w:val="both"/>
              <w:rPr>
                <w:rFonts w:hint="eastAsia" w:ascii="楷体" w:hAnsi="楷体" w:eastAsia="楷体" w:cs="楷体"/>
                <w:color w:val="000000"/>
                <w:sz w:val="21"/>
                <w:szCs w:val="21"/>
                <w:highlight w:val="none"/>
              </w:rPr>
            </w:pPr>
            <w:r>
              <w:rPr>
                <w:rFonts w:hint="eastAsia" w:ascii="楷体" w:hAnsi="楷体" w:eastAsia="楷体" w:cs="楷体"/>
                <w:color w:val="000000"/>
                <w:sz w:val="21"/>
                <w:szCs w:val="21"/>
                <w:highlight w:val="none"/>
              </w:rPr>
              <w:t>采购方协助服务商负责相关</w:t>
            </w:r>
            <w:r>
              <w:rPr>
                <w:rFonts w:hint="eastAsia" w:ascii="楷体" w:hAnsi="楷体" w:eastAsia="楷体" w:cs="楷体"/>
                <w:color w:val="000000"/>
                <w:sz w:val="21"/>
                <w:szCs w:val="21"/>
                <w:highlight w:val="none"/>
                <w:lang w:eastAsia="zh-CN"/>
              </w:rPr>
              <w:t>组织协调</w:t>
            </w:r>
            <w:r>
              <w:rPr>
                <w:rFonts w:hint="eastAsia" w:ascii="楷体" w:hAnsi="楷体" w:eastAsia="楷体" w:cs="楷体"/>
                <w:color w:val="000000"/>
                <w:sz w:val="21"/>
                <w:szCs w:val="21"/>
                <w:highlight w:val="none"/>
              </w:rPr>
              <w:t>工作。所有</w:t>
            </w:r>
            <w:r>
              <w:rPr>
                <w:rFonts w:hint="eastAsia" w:ascii="楷体" w:hAnsi="楷体" w:eastAsia="楷体" w:cs="楷体"/>
                <w:color w:val="000000"/>
                <w:sz w:val="21"/>
                <w:szCs w:val="21"/>
                <w:highlight w:val="none"/>
                <w:lang w:eastAsia="zh-CN"/>
              </w:rPr>
              <w:t>监督抽查工作</w:t>
            </w:r>
            <w:r>
              <w:rPr>
                <w:rFonts w:hint="eastAsia" w:ascii="楷体" w:hAnsi="楷体" w:eastAsia="楷体" w:cs="楷体"/>
                <w:color w:val="000000"/>
                <w:sz w:val="21"/>
                <w:szCs w:val="21"/>
                <w:highlight w:val="none"/>
              </w:rPr>
              <w:t>必须严格遵守国家</w:t>
            </w:r>
            <w:r>
              <w:rPr>
                <w:rFonts w:hint="eastAsia" w:ascii="楷体" w:hAnsi="楷体" w:eastAsia="楷体" w:cs="楷体"/>
                <w:color w:val="000000"/>
                <w:sz w:val="21"/>
                <w:szCs w:val="21"/>
                <w:highlight w:val="none"/>
                <w:lang w:eastAsia="zh-CN"/>
              </w:rPr>
              <w:t>及省级</w:t>
            </w:r>
            <w:r>
              <w:rPr>
                <w:rFonts w:hint="eastAsia" w:ascii="楷体" w:hAnsi="楷体" w:eastAsia="楷体" w:cs="楷体"/>
                <w:color w:val="000000"/>
                <w:sz w:val="21"/>
                <w:szCs w:val="21"/>
                <w:highlight w:val="none"/>
              </w:rPr>
              <w:t>法律法规及相关管理规定。</w:t>
            </w:r>
          </w:p>
          <w:p w14:paraId="60566788">
            <w:pPr>
              <w:pStyle w:val="23"/>
              <w:spacing w:after="0" w:line="520" w:lineRule="exact"/>
              <w:ind w:firstLine="420" w:firstLineChars="200"/>
              <w:jc w:val="both"/>
              <w:rPr>
                <w:rFonts w:hint="eastAsia" w:ascii="楷体" w:hAnsi="楷体" w:eastAsia="楷体" w:cs="楷体"/>
                <w:color w:val="000000"/>
                <w:sz w:val="21"/>
                <w:szCs w:val="21"/>
                <w:highlight w:val="none"/>
              </w:rPr>
            </w:pPr>
            <w:r>
              <w:rPr>
                <w:rFonts w:hint="eastAsia" w:ascii="楷体" w:hAnsi="楷体" w:eastAsia="楷体" w:cs="楷体"/>
                <w:color w:val="000000"/>
                <w:sz w:val="21"/>
                <w:szCs w:val="21"/>
                <w:highlight w:val="none"/>
              </w:rPr>
              <w:t>（</w:t>
            </w:r>
            <w:r>
              <w:rPr>
                <w:rFonts w:hint="eastAsia" w:ascii="楷体" w:hAnsi="楷体" w:eastAsia="楷体" w:cs="楷体"/>
                <w:color w:val="000000"/>
                <w:sz w:val="21"/>
                <w:szCs w:val="21"/>
                <w:highlight w:val="none"/>
                <w:lang w:val="en-US" w:eastAsia="zh-CN"/>
              </w:rPr>
              <w:t>四</w:t>
            </w:r>
            <w:r>
              <w:rPr>
                <w:rFonts w:hint="eastAsia" w:ascii="楷体" w:hAnsi="楷体" w:eastAsia="楷体" w:cs="楷体"/>
                <w:color w:val="000000"/>
                <w:sz w:val="21"/>
                <w:szCs w:val="21"/>
                <w:highlight w:val="none"/>
              </w:rPr>
              <w:t>）服务商的权利及责任</w:t>
            </w:r>
          </w:p>
          <w:p w14:paraId="7DB25F0C">
            <w:pPr>
              <w:pStyle w:val="23"/>
              <w:spacing w:after="0" w:line="520" w:lineRule="exact"/>
              <w:ind w:firstLine="420" w:firstLineChars="200"/>
              <w:jc w:val="both"/>
              <w:rPr>
                <w:rFonts w:hint="eastAsia" w:ascii="楷体" w:hAnsi="楷体" w:eastAsia="楷体" w:cs="楷体"/>
                <w:color w:val="000000"/>
                <w:sz w:val="21"/>
                <w:szCs w:val="21"/>
                <w:highlight w:val="none"/>
              </w:rPr>
            </w:pPr>
            <w:r>
              <w:rPr>
                <w:rFonts w:hint="eastAsia" w:ascii="楷体" w:hAnsi="楷体" w:eastAsia="楷体" w:cs="楷体"/>
                <w:color w:val="000000"/>
                <w:sz w:val="21"/>
                <w:szCs w:val="21"/>
                <w:highlight w:val="none"/>
              </w:rPr>
              <w:t>服务商按照采购方要求，负责</w:t>
            </w:r>
            <w:r>
              <w:rPr>
                <w:rFonts w:hint="eastAsia" w:ascii="楷体" w:hAnsi="楷体" w:eastAsia="楷体" w:cs="楷体"/>
                <w:color w:val="000000"/>
                <w:sz w:val="21"/>
                <w:szCs w:val="21"/>
                <w:highlight w:val="none"/>
                <w:lang w:eastAsia="zh-CN"/>
              </w:rPr>
              <w:t>监督抽查具体实施</w:t>
            </w:r>
            <w:r>
              <w:rPr>
                <w:rFonts w:hint="eastAsia" w:ascii="楷体" w:hAnsi="楷体" w:eastAsia="楷体" w:cs="楷体"/>
                <w:color w:val="000000"/>
                <w:sz w:val="21"/>
                <w:szCs w:val="21"/>
                <w:highlight w:val="none"/>
              </w:rPr>
              <w:t>工作。</w:t>
            </w:r>
          </w:p>
          <w:p w14:paraId="56F895FE">
            <w:pPr>
              <w:pStyle w:val="23"/>
              <w:spacing w:after="0" w:line="520" w:lineRule="exact"/>
              <w:ind w:firstLine="420" w:firstLineChars="200"/>
              <w:jc w:val="both"/>
              <w:rPr>
                <w:rFonts w:hint="eastAsia" w:ascii="楷体" w:hAnsi="楷体" w:eastAsia="楷体" w:cs="楷体"/>
                <w:color w:val="000000"/>
                <w:sz w:val="21"/>
                <w:szCs w:val="21"/>
                <w:highlight w:val="none"/>
              </w:rPr>
            </w:pPr>
            <w:r>
              <w:rPr>
                <w:rFonts w:hint="eastAsia" w:ascii="楷体" w:hAnsi="楷体" w:eastAsia="楷体" w:cs="楷体"/>
                <w:color w:val="000000"/>
                <w:sz w:val="21"/>
                <w:szCs w:val="21"/>
                <w:highlight w:val="none"/>
              </w:rPr>
              <w:t>（</w:t>
            </w:r>
            <w:r>
              <w:rPr>
                <w:rFonts w:hint="eastAsia" w:ascii="楷体" w:hAnsi="楷体" w:eastAsia="楷体" w:cs="楷体"/>
                <w:color w:val="000000"/>
                <w:sz w:val="21"/>
                <w:szCs w:val="21"/>
                <w:highlight w:val="none"/>
                <w:lang w:val="en-US" w:eastAsia="zh-CN"/>
              </w:rPr>
              <w:t>五</w:t>
            </w:r>
            <w:r>
              <w:rPr>
                <w:rFonts w:hint="eastAsia" w:ascii="楷体" w:hAnsi="楷体" w:eastAsia="楷体" w:cs="楷体"/>
                <w:color w:val="000000"/>
                <w:sz w:val="21"/>
                <w:szCs w:val="21"/>
                <w:highlight w:val="none"/>
              </w:rPr>
              <w:t>）保密约定</w:t>
            </w:r>
          </w:p>
          <w:p w14:paraId="7B3BDE4F">
            <w:pPr>
              <w:pStyle w:val="23"/>
              <w:spacing w:line="520" w:lineRule="exact"/>
              <w:ind w:firstLine="420" w:firstLineChars="200"/>
              <w:rPr>
                <w:rFonts w:hint="eastAsia" w:ascii="楷体" w:hAnsi="楷体" w:eastAsia="楷体" w:cs="楷体"/>
                <w:color w:val="000000"/>
                <w:sz w:val="21"/>
                <w:szCs w:val="21"/>
                <w:highlight w:val="none"/>
              </w:rPr>
            </w:pPr>
            <w:r>
              <w:rPr>
                <w:rFonts w:hint="eastAsia" w:ascii="楷体" w:hAnsi="楷体" w:eastAsia="楷体" w:cs="楷体"/>
                <w:color w:val="000000"/>
                <w:sz w:val="21"/>
                <w:szCs w:val="21"/>
                <w:highlight w:val="none"/>
              </w:rPr>
              <w:t>1.服务商应对</w:t>
            </w:r>
            <w:r>
              <w:rPr>
                <w:rFonts w:hint="eastAsia" w:ascii="楷体" w:hAnsi="楷体" w:eastAsia="楷体" w:cs="楷体"/>
                <w:color w:val="000000"/>
                <w:sz w:val="21"/>
                <w:szCs w:val="21"/>
                <w:highlight w:val="none"/>
                <w:lang w:eastAsia="zh-CN"/>
              </w:rPr>
              <w:t>监督抽查对象</w:t>
            </w:r>
            <w:r>
              <w:rPr>
                <w:rFonts w:hint="eastAsia" w:ascii="楷体" w:hAnsi="楷体" w:eastAsia="楷体" w:cs="楷体"/>
                <w:color w:val="000000"/>
                <w:sz w:val="21"/>
                <w:szCs w:val="21"/>
                <w:highlight w:val="none"/>
              </w:rPr>
              <w:t>的信息资料或其他文件或信息的内容保守秘密，未经采购方书面事先同意，不得向任何第三方披露。</w:t>
            </w:r>
          </w:p>
          <w:p w14:paraId="1F2DC38F">
            <w:pPr>
              <w:pStyle w:val="23"/>
              <w:spacing w:line="520" w:lineRule="exact"/>
              <w:ind w:firstLine="420" w:firstLineChars="200"/>
              <w:rPr>
                <w:rFonts w:hint="eastAsia" w:ascii="楷体" w:hAnsi="楷体" w:eastAsia="楷体" w:cs="楷体"/>
                <w:color w:val="000000"/>
                <w:sz w:val="21"/>
                <w:szCs w:val="21"/>
                <w:highlight w:val="none"/>
              </w:rPr>
            </w:pPr>
            <w:r>
              <w:rPr>
                <w:rFonts w:hint="eastAsia" w:ascii="楷体" w:hAnsi="楷体" w:eastAsia="楷体" w:cs="楷体"/>
                <w:color w:val="000000"/>
                <w:sz w:val="21"/>
                <w:szCs w:val="21"/>
                <w:highlight w:val="none"/>
              </w:rPr>
              <w:t>2.除非得到采购方的书面许可，服务商不得将服务内容及服务过程中获得的</w:t>
            </w:r>
            <w:r>
              <w:rPr>
                <w:rFonts w:hint="eastAsia" w:ascii="楷体" w:hAnsi="楷体" w:eastAsia="楷体" w:cs="楷体"/>
                <w:color w:val="000000"/>
                <w:sz w:val="21"/>
                <w:szCs w:val="21"/>
                <w:highlight w:val="none"/>
                <w:lang w:eastAsia="zh-CN"/>
              </w:rPr>
              <w:t>监督抽查对象</w:t>
            </w:r>
            <w:r>
              <w:rPr>
                <w:rFonts w:hint="eastAsia" w:ascii="楷体" w:hAnsi="楷体" w:eastAsia="楷体" w:cs="楷体"/>
                <w:color w:val="000000"/>
                <w:sz w:val="21"/>
                <w:szCs w:val="21"/>
                <w:highlight w:val="none"/>
              </w:rPr>
              <w:t>相关资料向任何第三方泄露。</w:t>
            </w:r>
          </w:p>
          <w:p w14:paraId="0CB559E7">
            <w:pPr>
              <w:pStyle w:val="23"/>
              <w:spacing w:after="0" w:line="520" w:lineRule="exact"/>
              <w:ind w:firstLine="420" w:firstLineChars="200"/>
              <w:jc w:val="both"/>
              <w:rPr>
                <w:rFonts w:hint="eastAsia" w:ascii="楷体" w:hAnsi="楷体" w:eastAsia="楷体" w:cs="楷体"/>
                <w:color w:val="000000"/>
                <w:sz w:val="21"/>
                <w:szCs w:val="21"/>
                <w:highlight w:val="none"/>
              </w:rPr>
            </w:pPr>
            <w:r>
              <w:rPr>
                <w:rFonts w:hint="eastAsia" w:ascii="楷体" w:hAnsi="楷体" w:eastAsia="楷体" w:cs="楷体"/>
                <w:color w:val="000000"/>
                <w:sz w:val="21"/>
                <w:szCs w:val="21"/>
                <w:highlight w:val="none"/>
              </w:rPr>
              <w:t>3.本保密义务应在服务期满、解除或终止后仍然有效。</w:t>
            </w:r>
          </w:p>
          <w:p w14:paraId="01E8BD65">
            <w:pPr>
              <w:pStyle w:val="23"/>
              <w:spacing w:after="0" w:line="520" w:lineRule="exact"/>
              <w:ind w:firstLine="420" w:firstLineChars="200"/>
              <w:jc w:val="both"/>
              <w:rPr>
                <w:rFonts w:hint="eastAsia" w:ascii="楷体" w:hAnsi="楷体" w:eastAsia="楷体" w:cs="楷体"/>
                <w:color w:val="000000"/>
                <w:sz w:val="21"/>
                <w:szCs w:val="21"/>
                <w:highlight w:val="none"/>
              </w:rPr>
            </w:pPr>
            <w:r>
              <w:rPr>
                <w:rFonts w:hint="eastAsia" w:ascii="楷体" w:hAnsi="楷体" w:eastAsia="楷体" w:cs="楷体"/>
                <w:color w:val="000000"/>
                <w:sz w:val="21"/>
                <w:szCs w:val="21"/>
                <w:highlight w:val="none"/>
              </w:rPr>
              <w:t>（</w:t>
            </w:r>
            <w:r>
              <w:rPr>
                <w:rFonts w:hint="eastAsia" w:ascii="楷体" w:hAnsi="楷体" w:eastAsia="楷体" w:cs="楷体"/>
                <w:color w:val="000000"/>
                <w:sz w:val="21"/>
                <w:szCs w:val="21"/>
                <w:highlight w:val="none"/>
                <w:lang w:val="en-US" w:eastAsia="zh-CN"/>
              </w:rPr>
              <w:t>六</w:t>
            </w:r>
            <w:r>
              <w:rPr>
                <w:rFonts w:hint="eastAsia" w:ascii="楷体" w:hAnsi="楷体" w:eastAsia="楷体" w:cs="楷体"/>
                <w:color w:val="000000"/>
                <w:sz w:val="21"/>
                <w:szCs w:val="21"/>
                <w:highlight w:val="none"/>
              </w:rPr>
              <w:t>）合同的解除</w:t>
            </w:r>
          </w:p>
          <w:p w14:paraId="36A24512">
            <w:pPr>
              <w:pStyle w:val="23"/>
              <w:spacing w:after="0" w:line="520" w:lineRule="exact"/>
              <w:ind w:firstLine="420" w:firstLineChars="200"/>
              <w:jc w:val="both"/>
              <w:rPr>
                <w:rFonts w:hint="eastAsia" w:ascii="楷体" w:hAnsi="楷体" w:eastAsia="楷体" w:cs="楷体"/>
                <w:color w:val="000000"/>
                <w:sz w:val="21"/>
                <w:szCs w:val="21"/>
                <w:highlight w:val="none"/>
              </w:rPr>
            </w:pPr>
            <w:r>
              <w:rPr>
                <w:rFonts w:hint="eastAsia" w:ascii="楷体" w:hAnsi="楷体" w:eastAsia="楷体" w:cs="楷体"/>
                <w:color w:val="000000"/>
                <w:sz w:val="21"/>
                <w:szCs w:val="21"/>
                <w:highlight w:val="none"/>
              </w:rPr>
              <w:t>1.有下述情形之一，当事人可发出书面通知全部或部分地解除合同，合同自通知到达对方时全部或部分地解除：</w:t>
            </w:r>
          </w:p>
          <w:p w14:paraId="709D10DB">
            <w:pPr>
              <w:pStyle w:val="23"/>
              <w:spacing w:after="0" w:line="520" w:lineRule="exact"/>
              <w:ind w:firstLine="420" w:firstLineChars="200"/>
              <w:jc w:val="both"/>
              <w:rPr>
                <w:rFonts w:hint="eastAsia" w:ascii="楷体" w:hAnsi="楷体" w:eastAsia="楷体" w:cs="楷体"/>
                <w:color w:val="000000"/>
                <w:sz w:val="21"/>
                <w:szCs w:val="21"/>
                <w:highlight w:val="none"/>
              </w:rPr>
            </w:pPr>
            <w:r>
              <w:rPr>
                <w:rFonts w:hint="eastAsia" w:ascii="楷体" w:hAnsi="楷体" w:eastAsia="楷体" w:cs="楷体"/>
                <w:color w:val="000000"/>
                <w:sz w:val="21"/>
                <w:szCs w:val="21"/>
                <w:highlight w:val="none"/>
              </w:rPr>
              <w:t>（1）服务商延迟完成项目超过 30 天；</w:t>
            </w:r>
          </w:p>
          <w:p w14:paraId="1C285BC0">
            <w:pPr>
              <w:pStyle w:val="23"/>
              <w:spacing w:after="0" w:line="520" w:lineRule="exact"/>
              <w:ind w:firstLine="420" w:firstLineChars="200"/>
              <w:jc w:val="both"/>
              <w:rPr>
                <w:rFonts w:hint="eastAsia" w:ascii="楷体" w:hAnsi="楷体" w:eastAsia="楷体" w:cs="楷体"/>
                <w:color w:val="000000"/>
                <w:sz w:val="21"/>
                <w:szCs w:val="21"/>
                <w:highlight w:val="none"/>
              </w:rPr>
            </w:pPr>
            <w:r>
              <w:rPr>
                <w:rFonts w:hint="eastAsia" w:ascii="楷体" w:hAnsi="楷体" w:eastAsia="楷体" w:cs="楷体"/>
                <w:color w:val="000000"/>
                <w:sz w:val="21"/>
                <w:szCs w:val="21"/>
                <w:highlight w:val="none"/>
              </w:rPr>
              <w:t>（2）服务商提供的服务内容不符合招标文件规定或不合格的或本项目不能通过验收的；</w:t>
            </w:r>
          </w:p>
          <w:p w14:paraId="7E47A553">
            <w:pPr>
              <w:pStyle w:val="23"/>
              <w:spacing w:after="0" w:line="520" w:lineRule="exact"/>
              <w:ind w:firstLine="420" w:firstLineChars="200"/>
              <w:jc w:val="both"/>
              <w:rPr>
                <w:rFonts w:hint="eastAsia" w:ascii="楷体" w:hAnsi="楷体" w:eastAsia="楷体" w:cs="楷体"/>
                <w:color w:val="000000"/>
                <w:sz w:val="21"/>
                <w:szCs w:val="21"/>
                <w:highlight w:val="none"/>
              </w:rPr>
            </w:pPr>
            <w:r>
              <w:rPr>
                <w:rFonts w:hint="eastAsia" w:ascii="楷体" w:hAnsi="楷体" w:eastAsia="楷体" w:cs="楷体"/>
                <w:color w:val="000000"/>
                <w:sz w:val="21"/>
                <w:szCs w:val="21"/>
                <w:highlight w:val="none"/>
              </w:rPr>
              <w:t>（3）采购方延迟付款超过 60 天；</w:t>
            </w:r>
          </w:p>
          <w:p w14:paraId="13BA34DA">
            <w:pPr>
              <w:pStyle w:val="23"/>
              <w:spacing w:after="0" w:line="520" w:lineRule="exact"/>
              <w:ind w:firstLine="420" w:firstLineChars="200"/>
              <w:jc w:val="both"/>
              <w:rPr>
                <w:rFonts w:hint="eastAsia" w:ascii="楷体" w:hAnsi="楷体" w:eastAsia="楷体" w:cs="楷体"/>
                <w:color w:val="000000"/>
                <w:sz w:val="21"/>
                <w:szCs w:val="21"/>
                <w:highlight w:val="none"/>
              </w:rPr>
            </w:pPr>
            <w:r>
              <w:rPr>
                <w:rFonts w:hint="eastAsia" w:ascii="楷体" w:hAnsi="楷体" w:eastAsia="楷体" w:cs="楷体"/>
                <w:color w:val="000000"/>
                <w:sz w:val="21"/>
                <w:szCs w:val="21"/>
                <w:highlight w:val="none"/>
              </w:rPr>
              <w:t>（4）任何一方当事人未能履行合同项下任何其它义务（细微义务除外），或在未事先征得另一方当事人同意的情况下，从事任何可能在实质上不利影响其履行合同能力的活动，经另一方当事人书面通知后 15 日内未能对其行为作出补救；</w:t>
            </w:r>
          </w:p>
          <w:p w14:paraId="49A0A448">
            <w:pPr>
              <w:pStyle w:val="23"/>
              <w:spacing w:after="0" w:line="520" w:lineRule="exact"/>
              <w:ind w:firstLine="420" w:firstLineChars="200"/>
              <w:jc w:val="both"/>
              <w:rPr>
                <w:rFonts w:hint="eastAsia" w:ascii="楷体" w:hAnsi="楷体" w:eastAsia="楷体" w:cs="楷体"/>
                <w:color w:val="000000"/>
                <w:sz w:val="21"/>
                <w:szCs w:val="21"/>
                <w:highlight w:val="none"/>
              </w:rPr>
            </w:pPr>
            <w:r>
              <w:rPr>
                <w:rFonts w:hint="eastAsia" w:ascii="楷体" w:hAnsi="楷体" w:eastAsia="楷体" w:cs="楷体"/>
                <w:color w:val="000000"/>
                <w:sz w:val="21"/>
                <w:szCs w:val="21"/>
                <w:highlight w:val="none"/>
              </w:rPr>
              <w:t>（5）任何一方当事人出现破产、清算、资不抵债、成为失信被执行人等可能丧失履约能力的情形。</w:t>
            </w:r>
          </w:p>
          <w:p w14:paraId="6B2B20D8">
            <w:pPr>
              <w:pStyle w:val="23"/>
              <w:spacing w:after="0" w:line="520" w:lineRule="exact"/>
              <w:ind w:firstLine="420" w:firstLineChars="200"/>
              <w:jc w:val="both"/>
              <w:rPr>
                <w:rFonts w:hint="eastAsia" w:ascii="楷体" w:hAnsi="楷体" w:eastAsia="楷体" w:cs="楷体"/>
                <w:color w:val="000000"/>
                <w:sz w:val="21"/>
                <w:szCs w:val="21"/>
                <w:highlight w:val="none"/>
              </w:rPr>
            </w:pPr>
            <w:r>
              <w:rPr>
                <w:rFonts w:hint="eastAsia" w:ascii="楷体" w:hAnsi="楷体" w:eastAsia="楷体" w:cs="楷体"/>
                <w:color w:val="000000"/>
                <w:sz w:val="21"/>
                <w:szCs w:val="21"/>
                <w:highlight w:val="none"/>
              </w:rPr>
              <w:t>2.在服务商违约的情况下，采购方报告政府采购管理部门后，有权终止合同，并依法向服务商进行索赔实际损失(包括但不限于维权所支出的律师费、诉讼费、交通费等)。</w:t>
            </w:r>
          </w:p>
          <w:p w14:paraId="7E6C2C06">
            <w:pPr>
              <w:pStyle w:val="23"/>
              <w:spacing w:after="0" w:line="520" w:lineRule="exact"/>
              <w:ind w:firstLine="420" w:firstLineChars="200"/>
              <w:jc w:val="both"/>
              <w:rPr>
                <w:rFonts w:hint="eastAsia" w:ascii="楷体" w:hAnsi="楷体" w:eastAsia="楷体" w:cs="楷体"/>
                <w:color w:val="000000"/>
                <w:sz w:val="21"/>
                <w:szCs w:val="21"/>
                <w:highlight w:val="none"/>
              </w:rPr>
            </w:pPr>
            <w:r>
              <w:rPr>
                <w:rFonts w:hint="eastAsia" w:ascii="楷体" w:hAnsi="楷体" w:eastAsia="楷体" w:cs="楷体"/>
                <w:color w:val="000000"/>
                <w:sz w:val="21"/>
                <w:szCs w:val="21"/>
                <w:highlight w:val="none"/>
              </w:rPr>
              <w:t>（</w:t>
            </w:r>
            <w:r>
              <w:rPr>
                <w:rFonts w:hint="eastAsia" w:ascii="楷体" w:hAnsi="楷体" w:eastAsia="楷体" w:cs="楷体"/>
                <w:color w:val="000000"/>
                <w:sz w:val="21"/>
                <w:szCs w:val="21"/>
                <w:highlight w:val="none"/>
                <w:lang w:val="en-US" w:eastAsia="zh-CN"/>
              </w:rPr>
              <w:t>七</w:t>
            </w:r>
            <w:r>
              <w:rPr>
                <w:rFonts w:hint="eastAsia" w:ascii="楷体" w:hAnsi="楷体" w:eastAsia="楷体" w:cs="楷体"/>
                <w:color w:val="000000"/>
                <w:sz w:val="21"/>
                <w:szCs w:val="21"/>
                <w:highlight w:val="none"/>
              </w:rPr>
              <w:t>）不可抗力</w:t>
            </w:r>
          </w:p>
          <w:p w14:paraId="606D3BD1">
            <w:pPr>
              <w:pStyle w:val="23"/>
              <w:spacing w:after="0" w:line="520" w:lineRule="exact"/>
              <w:ind w:firstLine="420" w:firstLineChars="200"/>
              <w:jc w:val="both"/>
              <w:rPr>
                <w:rFonts w:hint="eastAsia" w:ascii="楷体" w:hAnsi="楷体" w:eastAsia="楷体" w:cs="楷体"/>
                <w:color w:val="000000"/>
                <w:sz w:val="21"/>
                <w:szCs w:val="21"/>
                <w:highlight w:val="none"/>
              </w:rPr>
            </w:pPr>
            <w:r>
              <w:rPr>
                <w:rFonts w:hint="eastAsia" w:ascii="楷体" w:hAnsi="楷体" w:eastAsia="楷体" w:cs="楷体"/>
                <w:color w:val="000000"/>
                <w:sz w:val="21"/>
                <w:szCs w:val="21"/>
                <w:highlight w:val="none"/>
              </w:rPr>
              <w:t>1.如果任何一方当事人受到不能预见、不能避免且不能克服的不可抗力事件的影响，例如战争、严重的火灾、台风、地震、洪水等情形，而无法履行合同项下的任何义务，则受影响的一方当事人应立即将此类事件的发生通知另一方当事人，并应在不可抗力事件发生后 20 日内将有关当局或机构出具的证明文件提交给另一方当事人。</w:t>
            </w:r>
          </w:p>
          <w:p w14:paraId="2CD7FC14">
            <w:pPr>
              <w:pStyle w:val="23"/>
              <w:spacing w:after="0" w:line="520" w:lineRule="exact"/>
              <w:ind w:firstLine="420" w:firstLineChars="200"/>
              <w:jc w:val="both"/>
              <w:rPr>
                <w:rFonts w:hint="eastAsia" w:ascii="楷体" w:hAnsi="楷体" w:eastAsia="楷体" w:cs="楷体"/>
                <w:color w:val="000000"/>
                <w:sz w:val="21"/>
                <w:szCs w:val="21"/>
                <w:highlight w:val="none"/>
              </w:rPr>
            </w:pPr>
            <w:r>
              <w:rPr>
                <w:rFonts w:hint="eastAsia" w:ascii="楷体" w:hAnsi="楷体" w:eastAsia="楷体" w:cs="楷体"/>
                <w:color w:val="000000"/>
                <w:sz w:val="21"/>
                <w:szCs w:val="21"/>
                <w:highlight w:val="none"/>
              </w:rPr>
              <w:t>2.受不可抗力事件影响的一方当事人对于不可抗力事件导致的任何合同义务的延迟履行或不能履行不承担违约责任。但该方当事人应尽快将不可抗力事件结束或消除的情况通知另一方当事人。</w:t>
            </w:r>
          </w:p>
          <w:p w14:paraId="32DD3476">
            <w:pPr>
              <w:pStyle w:val="24"/>
              <w:keepNext/>
              <w:keepLines/>
              <w:pBdr>
                <w:bottom w:val="single" w:color="auto" w:sz="4" w:space="0"/>
              </w:pBdr>
              <w:spacing w:after="156" w:afterLines="50" w:line="622" w:lineRule="exact"/>
              <w:ind w:left="0" w:leftChars="0" w:firstLine="0" w:firstLineChars="0"/>
              <w:jc w:val="both"/>
              <w:rPr>
                <w:rFonts w:hint="eastAsia" w:ascii="楷体" w:hAnsi="楷体" w:eastAsia="楷体" w:cs="楷体"/>
                <w:sz w:val="21"/>
                <w:szCs w:val="21"/>
                <w:highlight w:val="none"/>
                <w:lang w:val="en-US" w:eastAsia="zh-CN"/>
              </w:rPr>
            </w:pPr>
            <w:r>
              <w:rPr>
                <w:rFonts w:hint="eastAsia" w:ascii="楷体" w:hAnsi="楷体" w:eastAsia="楷体" w:cs="楷体"/>
                <w:color w:val="000000"/>
                <w:sz w:val="21"/>
                <w:szCs w:val="21"/>
                <w:highlight w:val="none"/>
              </w:rPr>
              <w:t>3.双方当事人应在不可抗力事件结束或其影响消除后立即继续履行其合同义务，合同期限也应相应顺延。如果不可抗力事件的影响持续超过 90 日，则任何一方当事人均有权以书面通知解除合同</w:t>
            </w:r>
            <w:r>
              <w:rPr>
                <w:rFonts w:hint="eastAsia" w:ascii="楷体" w:hAnsi="楷体" w:eastAsia="楷体" w:cs="楷体"/>
                <w:color w:val="000000"/>
                <w:sz w:val="21"/>
                <w:szCs w:val="21"/>
                <w:highlight w:val="none"/>
                <w:lang w:eastAsia="zh-CN"/>
              </w:rPr>
              <w:t>。</w:t>
            </w:r>
            <w:bookmarkEnd w:id="144"/>
          </w:p>
        </w:tc>
      </w:tr>
    </w:tbl>
    <w:p w14:paraId="54524D3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left"/>
        <w:textAlignment w:val="auto"/>
        <w:outlineLvl w:val="0"/>
        <w:rPr>
          <w:rFonts w:hint="eastAsia" w:hAnsi="宋体" w:cs="宋体"/>
          <w:sz w:val="21"/>
          <w:szCs w:val="21"/>
          <w:highlight w:val="none"/>
          <w:lang w:val="en-US" w:eastAsia="zh-CN"/>
        </w:rPr>
        <w:sectPr>
          <w:footerReference r:id="rId10" w:type="default"/>
          <w:pgSz w:w="11906" w:h="16838"/>
          <w:pgMar w:top="1440" w:right="1800" w:bottom="1440" w:left="1800" w:header="851" w:footer="992" w:gutter="0"/>
          <w:pgNumType w:fmt="decimal"/>
          <w:cols w:space="720" w:num="1"/>
          <w:docGrid w:type="lines" w:linePitch="312" w:charSpace="0"/>
        </w:sectPr>
      </w:pPr>
    </w:p>
    <w:p w14:paraId="662ECBF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723" w:firstLineChars="200"/>
        <w:jc w:val="center"/>
        <w:textAlignment w:val="auto"/>
        <w:outlineLvl w:val="0"/>
        <w:rPr>
          <w:rFonts w:hint="eastAsia" w:ascii="楷体" w:hAnsi="楷体" w:eastAsia="楷体" w:cs="楷体"/>
          <w:color w:val="auto"/>
          <w:highlight w:val="none"/>
          <w:lang w:val="en-US" w:eastAsia="zh-CN"/>
        </w:rPr>
      </w:pPr>
      <w:r>
        <w:rPr>
          <w:rFonts w:hint="eastAsia" w:ascii="楷体" w:hAnsi="楷体" w:eastAsia="楷体" w:cs="楷体"/>
          <w:b/>
          <w:bCs w:val="0"/>
          <w:color w:val="auto"/>
          <w:kern w:val="2"/>
          <w:sz w:val="36"/>
          <w:szCs w:val="36"/>
          <w:highlight w:val="none"/>
          <w:lang w:val="en-US" w:eastAsia="zh-CN" w:bidi="ar-SA"/>
        </w:rPr>
        <w:t>第五章  评审方法</w:t>
      </w:r>
      <w:bookmarkEnd w:id="100"/>
      <w:bookmarkEnd w:id="101"/>
      <w:bookmarkEnd w:id="102"/>
      <w:bookmarkEnd w:id="110"/>
      <w:bookmarkEnd w:id="111"/>
      <w:bookmarkEnd w:id="112"/>
      <w:bookmarkEnd w:id="113"/>
      <w:bookmarkEnd w:id="114"/>
      <w:bookmarkEnd w:id="115"/>
      <w:bookmarkEnd w:id="116"/>
      <w:bookmarkEnd w:id="117"/>
      <w:bookmarkEnd w:id="118"/>
    </w:p>
    <w:bookmarkEnd w:id="46"/>
    <w:bookmarkEnd w:id="103"/>
    <w:bookmarkEnd w:id="104"/>
    <w:bookmarkEnd w:id="105"/>
    <w:bookmarkEnd w:id="106"/>
    <w:bookmarkEnd w:id="107"/>
    <w:bookmarkEnd w:id="108"/>
    <w:bookmarkEnd w:id="109"/>
    <w:p w14:paraId="11A7E491">
      <w:pPr>
        <w:spacing w:line="360" w:lineRule="auto"/>
        <w:rPr>
          <w:rFonts w:hint="eastAsia" w:ascii="楷体" w:hAnsi="楷体" w:eastAsia="楷体" w:cs="楷体"/>
          <w:b/>
          <w:color w:val="auto"/>
          <w:sz w:val="28"/>
          <w:szCs w:val="28"/>
          <w:highlight w:val="none"/>
        </w:rPr>
      </w:pPr>
      <w:bookmarkStart w:id="157" w:name="_Toc11187"/>
      <w:bookmarkStart w:id="158" w:name="_Toc363474025"/>
      <w:bookmarkStart w:id="159" w:name="_Toc6333"/>
      <w:bookmarkStart w:id="160" w:name="_Toc403077646"/>
      <w:bookmarkStart w:id="161" w:name="_Toc5084"/>
      <w:r>
        <w:rPr>
          <w:rFonts w:hint="eastAsia" w:ascii="楷体" w:hAnsi="楷体" w:eastAsia="楷体" w:cs="楷体"/>
          <w:b/>
          <w:color w:val="auto"/>
          <w:sz w:val="28"/>
          <w:szCs w:val="28"/>
          <w:highlight w:val="none"/>
        </w:rPr>
        <w:t>一．评审方法</w:t>
      </w:r>
    </w:p>
    <w:p w14:paraId="16E79443">
      <w:pPr>
        <w:spacing w:line="360" w:lineRule="auto"/>
        <w:ind w:firstLine="496" w:firstLineChars="200"/>
        <w:rPr>
          <w:rFonts w:hint="eastAsia" w:ascii="楷体" w:hAnsi="楷体" w:eastAsia="楷体" w:cs="楷体"/>
          <w:color w:val="auto"/>
          <w:spacing w:val="4"/>
          <w:szCs w:val="24"/>
          <w:highlight w:val="none"/>
        </w:rPr>
      </w:pPr>
      <w:r>
        <w:rPr>
          <w:rFonts w:hint="eastAsia" w:ascii="楷体" w:hAnsi="楷体" w:eastAsia="楷体" w:cs="楷体"/>
          <w:color w:val="auto"/>
          <w:spacing w:val="4"/>
          <w:szCs w:val="24"/>
          <w:highlight w:val="none"/>
        </w:rPr>
        <w:t>按照《中华人民共和国政府采购法》及实施条例和关于印发《政府采购竞争性磋商采购方式管理暂行办法》的通知（财库【2014】214号）的规定，本次评标采用综合评分法，即在最大限度地满足竞争性磋商文件实质性要求前提下，按照竞争性磋商文件中规定的各项因素和相应的权重分值进行综合评审后，以总得分最高的供应商作为成交候选人并依次排序（最低报价不是成交的唯一标准）。</w:t>
      </w:r>
    </w:p>
    <w:p w14:paraId="366385A2">
      <w:pPr>
        <w:spacing w:line="360" w:lineRule="auto"/>
        <w:rPr>
          <w:rFonts w:hint="eastAsia" w:ascii="楷体" w:hAnsi="楷体" w:eastAsia="楷体" w:cs="楷体"/>
          <w:b/>
          <w:bCs/>
          <w:color w:val="auto"/>
          <w:spacing w:val="4"/>
          <w:sz w:val="28"/>
          <w:szCs w:val="28"/>
          <w:highlight w:val="none"/>
        </w:rPr>
      </w:pPr>
      <w:r>
        <w:rPr>
          <w:rFonts w:hint="eastAsia" w:ascii="楷体" w:hAnsi="楷体" w:eastAsia="楷体" w:cs="楷体"/>
          <w:b/>
          <w:bCs/>
          <w:color w:val="auto"/>
          <w:spacing w:val="4"/>
          <w:sz w:val="28"/>
          <w:szCs w:val="28"/>
          <w:highlight w:val="none"/>
        </w:rPr>
        <w:t>二、评审程序</w:t>
      </w:r>
    </w:p>
    <w:p w14:paraId="6951CC56">
      <w:pPr>
        <w:spacing w:line="360" w:lineRule="auto"/>
        <w:ind w:firstLine="496" w:firstLineChars="200"/>
        <w:rPr>
          <w:rFonts w:hint="eastAsia" w:ascii="楷体" w:hAnsi="楷体" w:eastAsia="楷体" w:cs="楷体"/>
          <w:color w:val="auto"/>
          <w:spacing w:val="4"/>
          <w:szCs w:val="24"/>
          <w:highlight w:val="none"/>
        </w:rPr>
      </w:pPr>
      <w:r>
        <w:rPr>
          <w:rFonts w:hint="eastAsia" w:ascii="楷体" w:hAnsi="楷体" w:eastAsia="楷体" w:cs="楷体"/>
          <w:color w:val="auto"/>
          <w:spacing w:val="4"/>
          <w:szCs w:val="24"/>
          <w:highlight w:val="none"/>
        </w:rPr>
        <w:t>按照竞争性磋商响应文件初审、澄清有关问题、分别磋商、二次报价</w:t>
      </w:r>
      <w:r>
        <w:rPr>
          <w:rFonts w:hint="eastAsia" w:ascii="楷体" w:hAnsi="楷体" w:eastAsia="楷体" w:cs="楷体"/>
          <w:color w:val="auto"/>
          <w:spacing w:val="4"/>
          <w:szCs w:val="24"/>
          <w:highlight w:val="none"/>
          <w:lang w:eastAsia="zh-CN"/>
        </w:rPr>
        <w:t>（最终报价）</w:t>
      </w:r>
      <w:r>
        <w:rPr>
          <w:rFonts w:hint="eastAsia" w:ascii="楷体" w:hAnsi="楷体" w:eastAsia="楷体" w:cs="楷体"/>
          <w:color w:val="auto"/>
          <w:spacing w:val="4"/>
          <w:szCs w:val="24"/>
          <w:highlight w:val="none"/>
        </w:rPr>
        <w:t>、比较与评审、推荐成交候选人名单。在上一步评审中被认定为无效磋商者，不进入下一步的评审。</w:t>
      </w:r>
    </w:p>
    <w:p w14:paraId="0A2F44BD">
      <w:pPr>
        <w:spacing w:line="360" w:lineRule="auto"/>
        <w:ind w:firstLine="498" w:firstLineChars="200"/>
        <w:rPr>
          <w:rFonts w:hint="eastAsia" w:ascii="楷体" w:hAnsi="楷体" w:eastAsia="楷体" w:cs="楷体"/>
          <w:b/>
          <w:color w:val="auto"/>
          <w:spacing w:val="4"/>
          <w:szCs w:val="24"/>
          <w:highlight w:val="none"/>
        </w:rPr>
      </w:pPr>
      <w:r>
        <w:rPr>
          <w:rFonts w:hint="eastAsia" w:ascii="楷体" w:hAnsi="楷体" w:eastAsia="楷体" w:cs="楷体"/>
          <w:b/>
          <w:color w:val="auto"/>
          <w:spacing w:val="4"/>
          <w:szCs w:val="24"/>
          <w:highlight w:val="none"/>
        </w:rPr>
        <w:t>1、初审：</w:t>
      </w:r>
      <w:r>
        <w:rPr>
          <w:rFonts w:hint="eastAsia" w:ascii="楷体" w:hAnsi="楷体" w:eastAsia="楷体" w:cs="楷体"/>
          <w:color w:val="auto"/>
          <w:szCs w:val="24"/>
          <w:highlight w:val="none"/>
        </w:rPr>
        <w:t>资格性审查和符合性审查</w:t>
      </w:r>
    </w:p>
    <w:p w14:paraId="795AB42E">
      <w:pPr>
        <w:spacing w:line="360" w:lineRule="auto"/>
        <w:ind w:firstLine="498" w:firstLineChars="200"/>
        <w:rPr>
          <w:rFonts w:hint="eastAsia" w:ascii="楷体" w:hAnsi="楷体" w:eastAsia="楷体" w:cs="楷体"/>
          <w:b/>
          <w:color w:val="auto"/>
          <w:spacing w:val="4"/>
          <w:szCs w:val="24"/>
          <w:highlight w:val="none"/>
        </w:rPr>
      </w:pPr>
      <w:r>
        <w:rPr>
          <w:rFonts w:hint="eastAsia" w:ascii="楷体" w:hAnsi="楷体" w:eastAsia="楷体" w:cs="楷体"/>
          <w:b/>
          <w:color w:val="auto"/>
          <w:spacing w:val="4"/>
          <w:szCs w:val="24"/>
          <w:highlight w:val="none"/>
        </w:rPr>
        <w:t>1.1资格审查：</w:t>
      </w:r>
    </w:p>
    <w:tbl>
      <w:tblPr>
        <w:tblStyle w:val="17"/>
        <w:tblW w:w="86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5"/>
        <w:gridCol w:w="7907"/>
      </w:tblGrid>
      <w:tr w14:paraId="67E77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705" w:type="dxa"/>
            <w:noWrap w:val="0"/>
            <w:vAlign w:val="center"/>
          </w:tcPr>
          <w:p w14:paraId="2078F8D1">
            <w:pPr>
              <w:spacing w:line="360" w:lineRule="auto"/>
              <w:jc w:val="center"/>
              <w:rPr>
                <w:rFonts w:hint="eastAsia" w:ascii="楷体" w:hAnsi="楷体" w:eastAsia="楷体" w:cs="楷体"/>
                <w:b/>
                <w:bCs/>
                <w:color w:val="auto"/>
                <w:szCs w:val="24"/>
                <w:highlight w:val="none"/>
              </w:rPr>
            </w:pPr>
            <w:r>
              <w:rPr>
                <w:rFonts w:hint="eastAsia" w:ascii="楷体" w:hAnsi="楷体" w:eastAsia="楷体" w:cs="楷体"/>
                <w:b/>
                <w:bCs/>
                <w:color w:val="auto"/>
                <w:szCs w:val="24"/>
                <w:highlight w:val="none"/>
              </w:rPr>
              <w:t>序号</w:t>
            </w:r>
          </w:p>
        </w:tc>
        <w:tc>
          <w:tcPr>
            <w:tcW w:w="7907" w:type="dxa"/>
            <w:noWrap w:val="0"/>
            <w:vAlign w:val="center"/>
          </w:tcPr>
          <w:p w14:paraId="6EB27748">
            <w:pPr>
              <w:spacing w:line="360" w:lineRule="auto"/>
              <w:jc w:val="center"/>
              <w:rPr>
                <w:rFonts w:hint="eastAsia" w:ascii="楷体" w:hAnsi="楷体" w:eastAsia="楷体" w:cs="楷体"/>
                <w:b/>
                <w:bCs/>
                <w:color w:val="auto"/>
                <w:szCs w:val="24"/>
                <w:highlight w:val="none"/>
              </w:rPr>
            </w:pPr>
            <w:r>
              <w:rPr>
                <w:rFonts w:hint="eastAsia" w:ascii="楷体" w:hAnsi="楷体" w:eastAsia="楷体" w:cs="楷体"/>
                <w:b/>
                <w:bCs/>
                <w:color w:val="auto"/>
                <w:szCs w:val="24"/>
                <w:highlight w:val="none"/>
              </w:rPr>
              <w:t>评审内容</w:t>
            </w:r>
          </w:p>
        </w:tc>
      </w:tr>
      <w:tr w14:paraId="57763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705" w:type="dxa"/>
            <w:noWrap w:val="0"/>
            <w:vAlign w:val="center"/>
          </w:tcPr>
          <w:p w14:paraId="3655626C">
            <w:pPr>
              <w:spacing w:line="360" w:lineRule="auto"/>
              <w:jc w:val="center"/>
              <w:rPr>
                <w:rFonts w:hint="eastAsia" w:ascii="楷体" w:hAnsi="楷体" w:eastAsia="楷体" w:cs="楷体"/>
                <w:color w:val="auto"/>
                <w:szCs w:val="24"/>
                <w:highlight w:val="none"/>
              </w:rPr>
            </w:pPr>
            <w:r>
              <w:rPr>
                <w:rFonts w:hint="eastAsia" w:ascii="楷体" w:hAnsi="楷体" w:eastAsia="楷体" w:cs="楷体"/>
                <w:color w:val="auto"/>
                <w:szCs w:val="24"/>
                <w:highlight w:val="none"/>
              </w:rPr>
              <w:t>1</w:t>
            </w:r>
          </w:p>
        </w:tc>
        <w:tc>
          <w:tcPr>
            <w:tcW w:w="7907" w:type="dxa"/>
            <w:noWrap w:val="0"/>
            <w:vAlign w:val="center"/>
          </w:tcPr>
          <w:p w14:paraId="4507F9BC">
            <w:pPr>
              <w:spacing w:line="360" w:lineRule="auto"/>
              <w:jc w:val="left"/>
              <w:rPr>
                <w:rFonts w:hint="eastAsia" w:ascii="楷体" w:hAnsi="楷体" w:eastAsia="楷体" w:cs="楷体"/>
                <w:color w:val="auto"/>
                <w:szCs w:val="24"/>
                <w:highlight w:val="none"/>
              </w:rPr>
            </w:pPr>
            <w:r>
              <w:rPr>
                <w:rFonts w:hint="eastAsia" w:ascii="楷体" w:hAnsi="楷体" w:eastAsia="楷体" w:cs="楷体"/>
                <w:color w:val="auto"/>
                <w:szCs w:val="24"/>
                <w:highlight w:val="none"/>
              </w:rPr>
              <w:t>供应商具备《</w:t>
            </w:r>
            <w:r>
              <w:rPr>
                <w:rFonts w:hint="eastAsia" w:ascii="楷体" w:hAnsi="楷体" w:eastAsia="楷体" w:cs="楷体"/>
                <w:color w:val="auto"/>
                <w:spacing w:val="4"/>
                <w:szCs w:val="24"/>
                <w:highlight w:val="none"/>
              </w:rPr>
              <w:t>中华人民共和国政府采购法</w:t>
            </w:r>
            <w:r>
              <w:rPr>
                <w:rFonts w:hint="eastAsia" w:ascii="楷体" w:hAnsi="楷体" w:eastAsia="楷体" w:cs="楷体"/>
                <w:color w:val="auto"/>
                <w:szCs w:val="24"/>
                <w:highlight w:val="none"/>
              </w:rPr>
              <w:t>》第二十二条规定的资格条件。须提供的证明材料有：</w:t>
            </w:r>
          </w:p>
        </w:tc>
      </w:tr>
      <w:tr w14:paraId="0B197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9" w:hRule="atLeast"/>
          <w:jc w:val="center"/>
        </w:trPr>
        <w:tc>
          <w:tcPr>
            <w:tcW w:w="705" w:type="dxa"/>
            <w:noWrap w:val="0"/>
            <w:vAlign w:val="center"/>
          </w:tcPr>
          <w:p w14:paraId="1A82E142">
            <w:pPr>
              <w:spacing w:line="360" w:lineRule="auto"/>
              <w:jc w:val="center"/>
              <w:rPr>
                <w:rFonts w:hint="eastAsia" w:ascii="楷体" w:hAnsi="楷体" w:eastAsia="楷体" w:cs="楷体"/>
                <w:color w:val="auto"/>
                <w:szCs w:val="24"/>
                <w:highlight w:val="none"/>
              </w:rPr>
            </w:pPr>
            <w:r>
              <w:rPr>
                <w:rFonts w:hint="eastAsia" w:ascii="楷体" w:hAnsi="楷体" w:eastAsia="楷体" w:cs="楷体"/>
                <w:color w:val="auto"/>
                <w:szCs w:val="24"/>
                <w:highlight w:val="none"/>
              </w:rPr>
              <w:t>1.1</w:t>
            </w:r>
          </w:p>
        </w:tc>
        <w:tc>
          <w:tcPr>
            <w:tcW w:w="7907" w:type="dxa"/>
            <w:noWrap w:val="0"/>
            <w:vAlign w:val="center"/>
          </w:tcPr>
          <w:p w14:paraId="756B7BCB">
            <w:pPr>
              <w:spacing w:line="360" w:lineRule="auto"/>
              <w:jc w:val="left"/>
              <w:rPr>
                <w:rFonts w:hint="eastAsia" w:ascii="楷体" w:hAnsi="楷体" w:eastAsia="楷体" w:cs="楷体"/>
                <w:color w:val="auto"/>
                <w:szCs w:val="24"/>
                <w:highlight w:val="none"/>
              </w:rPr>
            </w:pPr>
            <w:r>
              <w:rPr>
                <w:rFonts w:hint="eastAsia" w:ascii="楷体" w:hAnsi="楷体" w:eastAsia="楷体" w:cs="楷体"/>
                <w:color w:val="auto"/>
                <w:highlight w:val="none"/>
              </w:rPr>
              <w:t>提供有效合格的具有</w:t>
            </w:r>
            <w:r>
              <w:rPr>
                <w:rFonts w:hint="eastAsia" w:ascii="楷体" w:hAnsi="楷体" w:eastAsia="楷体" w:cs="楷体"/>
                <w:color w:val="auto"/>
                <w:highlight w:val="none"/>
                <w:lang w:eastAsia="zh-CN"/>
              </w:rPr>
              <w:t>统一社会信用代码</w:t>
            </w:r>
            <w:r>
              <w:rPr>
                <w:rFonts w:hint="eastAsia" w:ascii="楷体" w:hAnsi="楷体" w:eastAsia="楷体" w:cs="楷体"/>
                <w:color w:val="auto"/>
                <w:highlight w:val="none"/>
              </w:rPr>
              <w:t>的营业执照，其他组织经营的须提供合法凭证，自然人提供身份证明文件</w:t>
            </w:r>
            <w:r>
              <w:rPr>
                <w:rFonts w:hint="eastAsia" w:ascii="楷体" w:hAnsi="楷体" w:eastAsia="楷体" w:cs="楷体"/>
                <w:color w:val="auto"/>
                <w:szCs w:val="24"/>
                <w:highlight w:val="none"/>
              </w:rPr>
              <w:t>;</w:t>
            </w:r>
          </w:p>
        </w:tc>
      </w:tr>
      <w:tr w14:paraId="39A1A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5" w:type="dxa"/>
            <w:noWrap w:val="0"/>
            <w:vAlign w:val="center"/>
          </w:tcPr>
          <w:p w14:paraId="15735604">
            <w:pPr>
              <w:spacing w:line="360" w:lineRule="auto"/>
              <w:jc w:val="center"/>
              <w:rPr>
                <w:rFonts w:hint="eastAsia" w:ascii="楷体" w:hAnsi="楷体" w:eastAsia="楷体" w:cs="楷体"/>
                <w:color w:val="auto"/>
                <w:szCs w:val="24"/>
                <w:highlight w:val="none"/>
              </w:rPr>
            </w:pPr>
            <w:r>
              <w:rPr>
                <w:rFonts w:hint="eastAsia" w:ascii="楷体" w:hAnsi="楷体" w:eastAsia="楷体" w:cs="楷体"/>
                <w:color w:val="auto"/>
                <w:szCs w:val="24"/>
                <w:highlight w:val="none"/>
              </w:rPr>
              <w:t>1.2</w:t>
            </w:r>
          </w:p>
        </w:tc>
        <w:tc>
          <w:tcPr>
            <w:tcW w:w="7907" w:type="dxa"/>
            <w:noWrap w:val="0"/>
            <w:vAlign w:val="center"/>
          </w:tcPr>
          <w:p w14:paraId="1328670D">
            <w:pPr>
              <w:spacing w:line="360" w:lineRule="auto"/>
              <w:jc w:val="left"/>
              <w:rPr>
                <w:rFonts w:hint="eastAsia" w:ascii="楷体" w:hAnsi="楷体" w:eastAsia="楷体" w:cs="楷体"/>
                <w:color w:val="auto"/>
                <w:szCs w:val="24"/>
                <w:highlight w:val="none"/>
                <w:lang w:eastAsia="zh-CN"/>
              </w:rPr>
            </w:pPr>
            <w:r>
              <w:rPr>
                <w:rFonts w:hint="eastAsia" w:ascii="楷体" w:hAnsi="楷体" w:eastAsia="楷体" w:cs="楷体"/>
                <w:color w:val="auto"/>
                <w:highlight w:val="none"/>
              </w:rPr>
              <w:t>财务状况报告：</w:t>
            </w:r>
            <w:r>
              <w:rPr>
                <w:rFonts w:hint="eastAsia" w:ascii="楷体" w:hAnsi="楷体" w:eastAsia="楷体" w:cs="楷体"/>
                <w:color w:val="auto"/>
                <w:highlight w:val="none"/>
                <w:lang w:eastAsia="zh-CN"/>
              </w:rPr>
              <w:t>提供202</w:t>
            </w:r>
            <w:r>
              <w:rPr>
                <w:rFonts w:hint="eastAsia" w:ascii="楷体" w:hAnsi="楷体" w:eastAsia="楷体" w:cs="楷体"/>
                <w:color w:val="auto"/>
                <w:highlight w:val="none"/>
                <w:lang w:val="en-US" w:eastAsia="zh-CN"/>
              </w:rPr>
              <w:t>4年度</w:t>
            </w:r>
            <w:r>
              <w:rPr>
                <w:rFonts w:hint="eastAsia" w:ascii="楷体" w:hAnsi="楷体" w:eastAsia="楷体" w:cs="楷体"/>
                <w:color w:val="auto"/>
                <w:highlight w:val="none"/>
                <w:lang w:eastAsia="zh-CN"/>
              </w:rPr>
              <w:t>经审计的完整财务报告或磋商日期前三个月内其基本存款账户开户银行出具的资信证明。（如提供资信证明，须同时提供基本存款账户开户许可证或基本账户信息表）；</w:t>
            </w:r>
          </w:p>
        </w:tc>
      </w:tr>
      <w:tr w14:paraId="61F2C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7" w:hRule="atLeast"/>
          <w:jc w:val="center"/>
        </w:trPr>
        <w:tc>
          <w:tcPr>
            <w:tcW w:w="705" w:type="dxa"/>
            <w:noWrap w:val="0"/>
            <w:vAlign w:val="center"/>
          </w:tcPr>
          <w:p w14:paraId="2A88821B">
            <w:pPr>
              <w:spacing w:line="360" w:lineRule="auto"/>
              <w:jc w:val="center"/>
              <w:rPr>
                <w:rFonts w:hint="eastAsia" w:ascii="楷体" w:hAnsi="楷体" w:eastAsia="楷体" w:cs="楷体"/>
                <w:color w:val="auto"/>
                <w:szCs w:val="24"/>
                <w:highlight w:val="none"/>
              </w:rPr>
            </w:pPr>
            <w:r>
              <w:rPr>
                <w:rFonts w:hint="eastAsia" w:ascii="楷体" w:hAnsi="楷体" w:eastAsia="楷体" w:cs="楷体"/>
                <w:color w:val="auto"/>
                <w:szCs w:val="24"/>
                <w:highlight w:val="none"/>
              </w:rPr>
              <w:t>1.3</w:t>
            </w:r>
          </w:p>
        </w:tc>
        <w:tc>
          <w:tcPr>
            <w:tcW w:w="7907" w:type="dxa"/>
            <w:noWrap w:val="0"/>
            <w:vAlign w:val="center"/>
          </w:tcPr>
          <w:p w14:paraId="5EC07735">
            <w:pPr>
              <w:spacing w:line="360" w:lineRule="auto"/>
              <w:jc w:val="left"/>
              <w:rPr>
                <w:rFonts w:hint="eastAsia" w:ascii="楷体" w:hAnsi="楷体" w:eastAsia="楷体" w:cs="楷体"/>
                <w:color w:val="auto"/>
                <w:szCs w:val="24"/>
                <w:highlight w:val="none"/>
              </w:rPr>
            </w:pPr>
            <w:r>
              <w:rPr>
                <w:rFonts w:hint="eastAsia" w:ascii="楷体" w:hAnsi="楷体" w:eastAsia="楷体" w:cs="楷体"/>
                <w:color w:val="auto"/>
                <w:highlight w:val="none"/>
              </w:rPr>
              <w:t>税收缴纳证明：提供202</w:t>
            </w:r>
            <w:r>
              <w:rPr>
                <w:rFonts w:hint="eastAsia" w:ascii="楷体" w:hAnsi="楷体" w:eastAsia="楷体" w:cs="楷体"/>
                <w:color w:val="auto"/>
                <w:highlight w:val="none"/>
                <w:lang w:val="en-US" w:eastAsia="zh-CN"/>
              </w:rPr>
              <w:t>5</w:t>
            </w:r>
            <w:r>
              <w:rPr>
                <w:rFonts w:hint="eastAsia" w:ascii="楷体" w:hAnsi="楷体" w:eastAsia="楷体" w:cs="楷体"/>
                <w:color w:val="auto"/>
                <w:highlight w:val="none"/>
              </w:rPr>
              <w:t>年</w:t>
            </w:r>
            <w:r>
              <w:rPr>
                <w:rFonts w:hint="eastAsia" w:ascii="楷体" w:hAnsi="楷体" w:eastAsia="楷体" w:cs="楷体"/>
                <w:color w:val="auto"/>
                <w:highlight w:val="none"/>
                <w:lang w:val="en-US" w:eastAsia="zh-CN"/>
              </w:rPr>
              <w:t>1</w:t>
            </w:r>
            <w:r>
              <w:rPr>
                <w:rFonts w:hint="eastAsia" w:ascii="楷体" w:hAnsi="楷体" w:eastAsia="楷体" w:cs="楷体"/>
                <w:color w:val="auto"/>
                <w:highlight w:val="none"/>
              </w:rPr>
              <w:t>月至今已缴纳的至少一个月的纳税证明，依法免税的单位应提供相关证明材料</w:t>
            </w:r>
            <w:r>
              <w:rPr>
                <w:rFonts w:hint="eastAsia" w:ascii="楷体" w:hAnsi="楷体" w:eastAsia="楷体" w:cs="楷体"/>
                <w:color w:val="auto"/>
                <w:szCs w:val="24"/>
                <w:highlight w:val="none"/>
              </w:rPr>
              <w:t>；</w:t>
            </w:r>
          </w:p>
        </w:tc>
      </w:tr>
      <w:tr w14:paraId="66898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5" w:type="dxa"/>
            <w:noWrap w:val="0"/>
            <w:vAlign w:val="center"/>
          </w:tcPr>
          <w:p w14:paraId="75CE6484">
            <w:pPr>
              <w:spacing w:line="360" w:lineRule="auto"/>
              <w:jc w:val="center"/>
              <w:rPr>
                <w:rFonts w:hint="eastAsia" w:ascii="楷体" w:hAnsi="楷体" w:eastAsia="楷体" w:cs="楷体"/>
                <w:color w:val="auto"/>
                <w:szCs w:val="24"/>
                <w:highlight w:val="none"/>
              </w:rPr>
            </w:pPr>
            <w:r>
              <w:rPr>
                <w:rFonts w:hint="eastAsia" w:ascii="楷体" w:hAnsi="楷体" w:eastAsia="楷体" w:cs="楷体"/>
                <w:color w:val="auto"/>
                <w:szCs w:val="24"/>
                <w:highlight w:val="none"/>
              </w:rPr>
              <w:t>1.4</w:t>
            </w:r>
          </w:p>
        </w:tc>
        <w:tc>
          <w:tcPr>
            <w:tcW w:w="7907" w:type="dxa"/>
            <w:noWrap w:val="0"/>
            <w:vAlign w:val="center"/>
          </w:tcPr>
          <w:p w14:paraId="62D580C1">
            <w:pPr>
              <w:spacing w:line="360" w:lineRule="auto"/>
              <w:jc w:val="left"/>
              <w:rPr>
                <w:rFonts w:hint="eastAsia" w:ascii="楷体" w:hAnsi="楷体" w:eastAsia="楷体" w:cs="楷体"/>
                <w:color w:val="auto"/>
                <w:szCs w:val="24"/>
                <w:highlight w:val="none"/>
              </w:rPr>
            </w:pPr>
            <w:r>
              <w:rPr>
                <w:rFonts w:hint="eastAsia" w:ascii="楷体" w:hAnsi="楷体" w:eastAsia="楷体" w:cs="楷体"/>
                <w:color w:val="auto"/>
                <w:highlight w:val="none"/>
              </w:rPr>
              <w:t>社会保障资金缴纳证明：提供202</w:t>
            </w:r>
            <w:r>
              <w:rPr>
                <w:rFonts w:hint="eastAsia" w:ascii="楷体" w:hAnsi="楷体" w:eastAsia="楷体" w:cs="楷体"/>
                <w:color w:val="auto"/>
                <w:highlight w:val="none"/>
                <w:lang w:val="en-US" w:eastAsia="zh-CN"/>
              </w:rPr>
              <w:t>5</w:t>
            </w:r>
            <w:r>
              <w:rPr>
                <w:rFonts w:hint="eastAsia" w:ascii="楷体" w:hAnsi="楷体" w:eastAsia="楷体" w:cs="楷体"/>
                <w:color w:val="auto"/>
                <w:highlight w:val="none"/>
              </w:rPr>
              <w:t>年</w:t>
            </w:r>
            <w:r>
              <w:rPr>
                <w:rFonts w:hint="eastAsia" w:ascii="楷体" w:hAnsi="楷体" w:eastAsia="楷体" w:cs="楷体"/>
                <w:color w:val="auto"/>
                <w:highlight w:val="none"/>
                <w:lang w:val="en-US" w:eastAsia="zh-CN"/>
              </w:rPr>
              <w:t>1</w:t>
            </w:r>
            <w:r>
              <w:rPr>
                <w:rFonts w:hint="eastAsia" w:ascii="楷体" w:hAnsi="楷体" w:eastAsia="楷体" w:cs="楷体"/>
                <w:color w:val="auto"/>
                <w:highlight w:val="none"/>
              </w:rPr>
              <w:t>月至今已缴存的至少一个月的社会保障资金缴存单据或社保机构开具的社会保险参保缴费情况证明，依法不需要缴纳社会保障资金的单位应提供相关证明材料</w:t>
            </w:r>
            <w:r>
              <w:rPr>
                <w:rFonts w:hint="eastAsia" w:ascii="楷体" w:hAnsi="楷体" w:eastAsia="楷体" w:cs="楷体"/>
                <w:color w:val="auto"/>
                <w:szCs w:val="24"/>
                <w:highlight w:val="none"/>
              </w:rPr>
              <w:t>；</w:t>
            </w:r>
          </w:p>
        </w:tc>
      </w:tr>
      <w:tr w14:paraId="69A51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705" w:type="dxa"/>
            <w:noWrap w:val="0"/>
            <w:vAlign w:val="center"/>
          </w:tcPr>
          <w:p w14:paraId="1EBC5AA1">
            <w:pPr>
              <w:spacing w:line="360" w:lineRule="auto"/>
              <w:jc w:val="center"/>
              <w:rPr>
                <w:rFonts w:hint="eastAsia" w:ascii="楷体" w:hAnsi="楷体" w:eastAsia="楷体" w:cs="楷体"/>
                <w:color w:val="auto"/>
                <w:szCs w:val="24"/>
                <w:highlight w:val="none"/>
              </w:rPr>
            </w:pPr>
            <w:r>
              <w:rPr>
                <w:rFonts w:hint="eastAsia" w:ascii="楷体" w:hAnsi="楷体" w:eastAsia="楷体" w:cs="楷体"/>
                <w:color w:val="auto"/>
                <w:szCs w:val="24"/>
                <w:highlight w:val="none"/>
              </w:rPr>
              <w:t>1.5</w:t>
            </w:r>
          </w:p>
        </w:tc>
        <w:tc>
          <w:tcPr>
            <w:tcW w:w="7907" w:type="dxa"/>
            <w:noWrap w:val="0"/>
            <w:vAlign w:val="center"/>
          </w:tcPr>
          <w:p w14:paraId="2915942A">
            <w:pPr>
              <w:tabs>
                <w:tab w:val="left" w:pos="0"/>
              </w:tabs>
              <w:suppressAutoHyphens/>
              <w:spacing w:line="360" w:lineRule="auto"/>
              <w:rPr>
                <w:rFonts w:hint="eastAsia" w:ascii="楷体" w:hAnsi="楷体" w:eastAsia="楷体" w:cs="楷体"/>
                <w:color w:val="auto"/>
                <w:szCs w:val="24"/>
                <w:highlight w:val="none"/>
              </w:rPr>
            </w:pPr>
            <w:r>
              <w:rPr>
                <w:rFonts w:hint="eastAsia" w:ascii="楷体" w:hAnsi="楷体" w:eastAsia="楷体" w:cs="楷体"/>
                <w:color w:val="auto"/>
                <w:szCs w:val="24"/>
                <w:highlight w:val="none"/>
              </w:rPr>
              <w:t>具备履行合同所必须的设备和专业技术能力的书面声明;</w:t>
            </w:r>
          </w:p>
        </w:tc>
      </w:tr>
      <w:tr w14:paraId="1B0F0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jc w:val="center"/>
        </w:trPr>
        <w:tc>
          <w:tcPr>
            <w:tcW w:w="705" w:type="dxa"/>
            <w:noWrap w:val="0"/>
            <w:vAlign w:val="center"/>
          </w:tcPr>
          <w:p w14:paraId="6D67131D">
            <w:pPr>
              <w:spacing w:line="360" w:lineRule="auto"/>
              <w:jc w:val="center"/>
              <w:rPr>
                <w:rFonts w:hint="eastAsia" w:ascii="楷体" w:hAnsi="楷体" w:eastAsia="楷体" w:cs="楷体"/>
                <w:color w:val="auto"/>
                <w:szCs w:val="24"/>
                <w:highlight w:val="none"/>
              </w:rPr>
            </w:pPr>
            <w:r>
              <w:rPr>
                <w:rFonts w:hint="eastAsia" w:ascii="楷体" w:hAnsi="楷体" w:eastAsia="楷体" w:cs="楷体"/>
                <w:color w:val="auto"/>
                <w:szCs w:val="24"/>
                <w:highlight w:val="none"/>
              </w:rPr>
              <w:t>1.6</w:t>
            </w:r>
          </w:p>
        </w:tc>
        <w:tc>
          <w:tcPr>
            <w:tcW w:w="7907" w:type="dxa"/>
            <w:noWrap w:val="0"/>
            <w:vAlign w:val="center"/>
          </w:tcPr>
          <w:p w14:paraId="7E7BC5DB">
            <w:pPr>
              <w:tabs>
                <w:tab w:val="left" w:pos="0"/>
              </w:tabs>
              <w:suppressAutoHyphens/>
              <w:spacing w:line="360" w:lineRule="auto"/>
              <w:rPr>
                <w:rFonts w:hint="eastAsia" w:ascii="楷体" w:hAnsi="楷体" w:eastAsia="楷体" w:cs="楷体"/>
                <w:color w:val="auto"/>
                <w:szCs w:val="24"/>
                <w:highlight w:val="none"/>
              </w:rPr>
            </w:pPr>
            <w:r>
              <w:rPr>
                <w:rFonts w:hint="eastAsia" w:ascii="楷体" w:hAnsi="楷体" w:eastAsia="楷体" w:cs="楷体"/>
                <w:color w:val="auto"/>
                <w:szCs w:val="24"/>
                <w:highlight w:val="none"/>
              </w:rPr>
              <w:t>参加政府采购活动前三年内，在经营活动中没有重大违法记录的书面声明；</w:t>
            </w:r>
          </w:p>
        </w:tc>
      </w:tr>
      <w:tr w14:paraId="036D2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705" w:type="dxa"/>
            <w:noWrap w:val="0"/>
            <w:vAlign w:val="center"/>
          </w:tcPr>
          <w:p w14:paraId="37982DE5">
            <w:pPr>
              <w:spacing w:line="360" w:lineRule="auto"/>
              <w:jc w:val="center"/>
              <w:rPr>
                <w:rFonts w:hint="eastAsia" w:ascii="楷体" w:hAnsi="楷体" w:eastAsia="楷体" w:cs="楷体"/>
                <w:color w:val="auto"/>
                <w:szCs w:val="24"/>
                <w:highlight w:val="none"/>
              </w:rPr>
            </w:pPr>
            <w:r>
              <w:rPr>
                <w:rFonts w:hint="eastAsia" w:ascii="楷体" w:hAnsi="楷体" w:eastAsia="楷体" w:cs="楷体"/>
                <w:color w:val="auto"/>
                <w:szCs w:val="24"/>
                <w:highlight w:val="none"/>
              </w:rPr>
              <w:t>2</w:t>
            </w:r>
          </w:p>
        </w:tc>
        <w:tc>
          <w:tcPr>
            <w:tcW w:w="7907" w:type="dxa"/>
            <w:noWrap w:val="0"/>
            <w:vAlign w:val="center"/>
          </w:tcPr>
          <w:p w14:paraId="1B876793">
            <w:pPr>
              <w:tabs>
                <w:tab w:val="left" w:pos="0"/>
              </w:tabs>
              <w:suppressAutoHyphens/>
              <w:spacing w:line="360" w:lineRule="auto"/>
              <w:rPr>
                <w:rFonts w:hint="eastAsia" w:ascii="楷体" w:hAnsi="楷体" w:eastAsia="楷体" w:cs="楷体"/>
                <w:color w:val="auto"/>
                <w:szCs w:val="24"/>
                <w:highlight w:val="none"/>
              </w:rPr>
            </w:pPr>
            <w:r>
              <w:rPr>
                <w:rFonts w:hint="eastAsia" w:ascii="楷体" w:hAnsi="楷体" w:eastAsia="楷体" w:cs="楷体"/>
                <w:color w:val="auto"/>
                <w:szCs w:val="24"/>
                <w:highlight w:val="none"/>
              </w:rPr>
              <w:t>特定资格条件，需要提供的资料有：</w:t>
            </w:r>
          </w:p>
        </w:tc>
      </w:tr>
      <w:tr w14:paraId="21D83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705" w:type="dxa"/>
            <w:noWrap w:val="0"/>
            <w:vAlign w:val="center"/>
          </w:tcPr>
          <w:p w14:paraId="7AA2CD87">
            <w:pPr>
              <w:spacing w:line="360" w:lineRule="auto"/>
              <w:jc w:val="center"/>
              <w:rPr>
                <w:rFonts w:hint="eastAsia" w:ascii="楷体" w:hAnsi="楷体" w:eastAsia="楷体" w:cs="楷体"/>
                <w:color w:val="auto"/>
                <w:szCs w:val="24"/>
                <w:highlight w:val="none"/>
              </w:rPr>
            </w:pPr>
            <w:r>
              <w:rPr>
                <w:rFonts w:hint="eastAsia" w:ascii="楷体" w:hAnsi="楷体" w:eastAsia="楷体" w:cs="楷体"/>
                <w:color w:val="auto"/>
                <w:szCs w:val="24"/>
                <w:highlight w:val="none"/>
              </w:rPr>
              <w:t>2.1</w:t>
            </w:r>
          </w:p>
        </w:tc>
        <w:tc>
          <w:tcPr>
            <w:tcW w:w="7907" w:type="dxa"/>
            <w:noWrap w:val="0"/>
            <w:vAlign w:val="center"/>
          </w:tcPr>
          <w:p w14:paraId="585B81A2">
            <w:pPr>
              <w:tabs>
                <w:tab w:val="left" w:pos="0"/>
              </w:tabs>
              <w:suppressAutoHyphens/>
              <w:spacing w:line="360" w:lineRule="auto"/>
              <w:rPr>
                <w:rFonts w:hint="eastAsia" w:ascii="楷体" w:hAnsi="楷体" w:eastAsia="楷体" w:cs="楷体"/>
                <w:color w:val="auto"/>
                <w:szCs w:val="24"/>
                <w:highlight w:val="none"/>
              </w:rPr>
            </w:pPr>
            <w:r>
              <w:rPr>
                <w:rFonts w:hint="eastAsia" w:ascii="楷体" w:hAnsi="楷体" w:eastAsia="楷体" w:cs="楷体"/>
                <w:b w:val="0"/>
                <w:color w:val="auto"/>
                <w:kern w:val="0"/>
                <w:sz w:val="24"/>
                <w:szCs w:val="24"/>
                <w:highlight w:val="none"/>
                <w:lang w:val="en-US" w:eastAsia="zh-CN" w:bidi="ar-SA"/>
              </w:rPr>
              <w:t>供应商未被列入信用中国网站(www.creditchina.gov.cn)“失信被执行人、重大税收违法失信主体”；不处于中国政府采购网(www.ccgp.gov.cn)“政府采购严重违法失信行为信息记录”中的禁止参加政府采购活动期间</w:t>
            </w:r>
            <w:r>
              <w:rPr>
                <w:rFonts w:hint="eastAsia" w:ascii="楷体" w:hAnsi="楷体" w:eastAsia="楷体" w:cs="楷体"/>
                <w:color w:val="auto"/>
                <w:szCs w:val="24"/>
                <w:highlight w:val="none"/>
              </w:rPr>
              <w:t>；</w:t>
            </w:r>
          </w:p>
        </w:tc>
      </w:tr>
      <w:tr w14:paraId="64B6E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705" w:type="dxa"/>
            <w:noWrap w:val="0"/>
            <w:vAlign w:val="center"/>
          </w:tcPr>
          <w:p w14:paraId="0FE42DA2">
            <w:pPr>
              <w:spacing w:line="360" w:lineRule="auto"/>
              <w:jc w:val="center"/>
              <w:rPr>
                <w:rFonts w:hint="eastAsia" w:ascii="楷体" w:hAnsi="楷体" w:eastAsia="楷体" w:cs="楷体"/>
                <w:color w:val="auto"/>
                <w:szCs w:val="24"/>
                <w:highlight w:val="none"/>
              </w:rPr>
            </w:pPr>
            <w:r>
              <w:rPr>
                <w:rFonts w:hint="eastAsia" w:ascii="楷体" w:hAnsi="楷体" w:eastAsia="楷体" w:cs="楷体"/>
                <w:color w:val="auto"/>
                <w:szCs w:val="24"/>
                <w:highlight w:val="none"/>
              </w:rPr>
              <w:t>2.2</w:t>
            </w:r>
          </w:p>
        </w:tc>
        <w:tc>
          <w:tcPr>
            <w:tcW w:w="7907" w:type="dxa"/>
            <w:noWrap w:val="0"/>
            <w:vAlign w:val="center"/>
          </w:tcPr>
          <w:p w14:paraId="709D27B4">
            <w:pPr>
              <w:tabs>
                <w:tab w:val="left" w:pos="0"/>
              </w:tabs>
              <w:suppressAutoHyphens/>
              <w:spacing w:line="360" w:lineRule="auto"/>
              <w:rPr>
                <w:rFonts w:hint="eastAsia" w:ascii="楷体" w:hAnsi="楷体" w:eastAsia="楷体" w:cs="楷体"/>
                <w:color w:val="auto"/>
                <w:szCs w:val="24"/>
                <w:highlight w:val="none"/>
              </w:rPr>
            </w:pPr>
            <w:r>
              <w:rPr>
                <w:rFonts w:hint="eastAsia" w:ascii="楷体" w:hAnsi="楷体" w:eastAsia="楷体" w:cs="楷体"/>
                <w:color w:val="auto"/>
                <w:szCs w:val="24"/>
                <w:highlight w:val="none"/>
                <w:lang w:val="en-US" w:eastAsia="zh-CN"/>
              </w:rPr>
              <w:t>授权委托书：</w:t>
            </w:r>
            <w:r>
              <w:rPr>
                <w:rFonts w:hint="eastAsia" w:ascii="楷体" w:hAnsi="楷体" w:eastAsia="楷体" w:cs="楷体"/>
                <w:color w:val="auto"/>
                <w:szCs w:val="24"/>
                <w:highlight w:val="none"/>
              </w:rPr>
              <w:t>法定代表人授权委托书、被授权人身份证（法定代表人参加磋商时,只需提供法定代表人身份证；被授权人参加</w:t>
            </w:r>
            <w:r>
              <w:rPr>
                <w:rFonts w:hint="eastAsia" w:ascii="楷体" w:hAnsi="楷体" w:eastAsia="楷体" w:cs="楷体"/>
                <w:color w:val="auto"/>
                <w:szCs w:val="24"/>
                <w:highlight w:val="none"/>
                <w:lang w:val="en-US" w:eastAsia="zh-CN"/>
              </w:rPr>
              <w:t>磋商</w:t>
            </w:r>
            <w:r>
              <w:rPr>
                <w:rFonts w:hint="eastAsia" w:ascii="楷体" w:hAnsi="楷体" w:eastAsia="楷体" w:cs="楷体"/>
                <w:color w:val="auto"/>
                <w:szCs w:val="24"/>
                <w:highlight w:val="none"/>
              </w:rPr>
              <w:t>时，须提供磋商前三个月至少一个月的基本养老保险参保缴费证明）；</w:t>
            </w:r>
          </w:p>
        </w:tc>
      </w:tr>
      <w:tr w14:paraId="45EC6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705" w:type="dxa"/>
            <w:noWrap w:val="0"/>
            <w:vAlign w:val="center"/>
          </w:tcPr>
          <w:p w14:paraId="7ED34271">
            <w:pPr>
              <w:spacing w:line="360" w:lineRule="auto"/>
              <w:jc w:val="center"/>
              <w:rPr>
                <w:rFonts w:hint="default" w:ascii="楷体" w:hAnsi="楷体" w:eastAsia="楷体" w:cs="楷体"/>
                <w:color w:val="auto"/>
                <w:szCs w:val="24"/>
                <w:highlight w:val="none"/>
                <w:lang w:val="en-US" w:eastAsia="zh-CN"/>
              </w:rPr>
            </w:pPr>
            <w:r>
              <w:rPr>
                <w:rFonts w:hint="eastAsia" w:ascii="楷体" w:hAnsi="楷体" w:eastAsia="楷体" w:cs="楷体"/>
                <w:color w:val="auto"/>
                <w:szCs w:val="24"/>
                <w:highlight w:val="none"/>
                <w:lang w:val="en-US" w:eastAsia="zh-CN"/>
              </w:rPr>
              <w:t>2.3</w:t>
            </w:r>
          </w:p>
        </w:tc>
        <w:tc>
          <w:tcPr>
            <w:tcW w:w="7907" w:type="dxa"/>
            <w:noWrap w:val="0"/>
            <w:vAlign w:val="center"/>
          </w:tcPr>
          <w:p w14:paraId="14808FAB">
            <w:pPr>
              <w:tabs>
                <w:tab w:val="left" w:pos="0"/>
              </w:tabs>
              <w:suppressAutoHyphens/>
              <w:spacing w:line="360" w:lineRule="auto"/>
              <w:rPr>
                <w:rFonts w:hint="eastAsia" w:ascii="楷体" w:hAnsi="楷体" w:eastAsia="楷体" w:cs="楷体"/>
                <w:color w:val="auto"/>
                <w:szCs w:val="24"/>
                <w:highlight w:val="none"/>
                <w:lang w:val="en-US" w:eastAsia="zh-CN"/>
              </w:rPr>
            </w:pPr>
            <w:r>
              <w:rPr>
                <w:rFonts w:hint="eastAsia" w:ascii="楷体" w:hAnsi="楷体" w:eastAsia="楷体" w:cs="楷体"/>
                <w:color w:val="auto"/>
                <w:highlight w:val="none"/>
                <w:lang w:val="en-US" w:eastAsia="zh-CN"/>
              </w:rPr>
              <w:t>供应商须提供合法有效的计量认证证书（CMA）及附符合响应采购包采购要求批准检测范围及限制要求的附表（检测范围能力必须全部符合该采购包项目要求并进行标记）；</w:t>
            </w:r>
          </w:p>
        </w:tc>
      </w:tr>
      <w:tr w14:paraId="67A5C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705" w:type="dxa"/>
            <w:noWrap w:val="0"/>
            <w:vAlign w:val="center"/>
          </w:tcPr>
          <w:p w14:paraId="4463F003">
            <w:pPr>
              <w:spacing w:line="360" w:lineRule="auto"/>
              <w:jc w:val="center"/>
              <w:rPr>
                <w:rFonts w:hint="default" w:ascii="楷体" w:hAnsi="楷体" w:eastAsia="楷体" w:cs="楷体"/>
                <w:color w:val="auto"/>
                <w:szCs w:val="24"/>
                <w:highlight w:val="none"/>
                <w:lang w:val="en-US" w:eastAsia="zh-CN"/>
              </w:rPr>
            </w:pPr>
            <w:r>
              <w:rPr>
                <w:rFonts w:hint="eastAsia" w:ascii="楷体" w:hAnsi="楷体" w:eastAsia="楷体" w:cs="楷体"/>
                <w:color w:val="auto"/>
                <w:szCs w:val="24"/>
                <w:highlight w:val="none"/>
                <w:lang w:val="en-US" w:eastAsia="zh-CN"/>
              </w:rPr>
              <w:t>2.4</w:t>
            </w:r>
          </w:p>
        </w:tc>
        <w:tc>
          <w:tcPr>
            <w:tcW w:w="7907" w:type="dxa"/>
            <w:noWrap w:val="0"/>
            <w:vAlign w:val="center"/>
          </w:tcPr>
          <w:p w14:paraId="0F61A6DB">
            <w:pPr>
              <w:tabs>
                <w:tab w:val="left" w:pos="0"/>
              </w:tabs>
              <w:suppressAutoHyphens/>
              <w:spacing w:line="360" w:lineRule="auto"/>
              <w:rPr>
                <w:rFonts w:hint="eastAsia" w:ascii="楷体" w:hAnsi="楷体" w:eastAsia="楷体" w:cs="楷体"/>
                <w:color w:val="auto"/>
                <w:szCs w:val="24"/>
                <w:highlight w:val="none"/>
                <w:lang w:val="en-US" w:eastAsia="zh-CN"/>
              </w:rPr>
            </w:pPr>
            <w:r>
              <w:rPr>
                <w:rFonts w:hint="eastAsia" w:ascii="楷体" w:hAnsi="楷体" w:eastAsia="楷体" w:cs="楷体"/>
                <w:i w:val="0"/>
                <w:iCs w:val="0"/>
                <w:caps w:val="0"/>
                <w:color w:val="auto"/>
                <w:spacing w:val="0"/>
                <w:kern w:val="0"/>
                <w:sz w:val="24"/>
                <w:szCs w:val="24"/>
                <w:highlight w:val="none"/>
                <w:shd w:val="clear" w:color="auto" w:fill="FFFFFF"/>
                <w:lang w:val="en-US" w:eastAsia="zh-CN"/>
              </w:rPr>
              <w:t>不接受从事承检产（商）品生产、经营活动的企业实验室参与磋商，供应商须提供书面声明；</w:t>
            </w:r>
          </w:p>
        </w:tc>
      </w:tr>
      <w:tr w14:paraId="072B0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705" w:type="dxa"/>
            <w:noWrap w:val="0"/>
            <w:vAlign w:val="center"/>
          </w:tcPr>
          <w:p w14:paraId="548820FB">
            <w:pPr>
              <w:spacing w:line="360" w:lineRule="auto"/>
              <w:jc w:val="center"/>
              <w:rPr>
                <w:rFonts w:hint="default" w:ascii="楷体" w:hAnsi="楷体" w:eastAsia="楷体" w:cs="楷体"/>
                <w:color w:val="auto"/>
                <w:szCs w:val="24"/>
                <w:highlight w:val="none"/>
                <w:lang w:val="en-US" w:eastAsia="zh-CN"/>
              </w:rPr>
            </w:pPr>
            <w:r>
              <w:rPr>
                <w:rFonts w:hint="eastAsia" w:ascii="楷体" w:hAnsi="楷体" w:eastAsia="楷体" w:cs="楷体"/>
                <w:color w:val="auto"/>
                <w:szCs w:val="24"/>
                <w:highlight w:val="none"/>
                <w:lang w:val="en-US" w:eastAsia="zh-CN"/>
              </w:rPr>
              <w:t>2.5</w:t>
            </w:r>
          </w:p>
        </w:tc>
        <w:tc>
          <w:tcPr>
            <w:tcW w:w="7907" w:type="dxa"/>
            <w:noWrap w:val="0"/>
            <w:vAlign w:val="center"/>
          </w:tcPr>
          <w:p w14:paraId="69C3D2A8">
            <w:pPr>
              <w:tabs>
                <w:tab w:val="left" w:pos="0"/>
              </w:tabs>
              <w:suppressAutoHyphens/>
              <w:spacing w:line="360" w:lineRule="auto"/>
              <w:rPr>
                <w:rFonts w:hint="eastAsia" w:ascii="楷体" w:hAnsi="楷体" w:eastAsia="楷体" w:cs="楷体"/>
                <w:color w:val="auto"/>
                <w:szCs w:val="24"/>
                <w:highlight w:val="none"/>
                <w:lang w:val="en-US" w:eastAsia="zh-CN"/>
              </w:rPr>
            </w:pPr>
            <w:r>
              <w:rPr>
                <w:rFonts w:hint="eastAsia" w:ascii="楷体" w:hAnsi="楷体" w:eastAsia="楷体" w:cs="楷体"/>
                <w:i w:val="0"/>
                <w:iCs w:val="0"/>
                <w:caps w:val="0"/>
                <w:color w:val="auto"/>
                <w:spacing w:val="0"/>
                <w:kern w:val="0"/>
                <w:sz w:val="24"/>
                <w:szCs w:val="24"/>
                <w:highlight w:val="none"/>
                <w:shd w:val="clear" w:color="auto" w:fill="FFFFFF"/>
                <w:lang w:val="en-US" w:eastAsia="zh-CN"/>
              </w:rPr>
              <w:t>不接受联合体磋商；</w:t>
            </w:r>
          </w:p>
        </w:tc>
      </w:tr>
      <w:tr w14:paraId="58B3C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705" w:type="dxa"/>
            <w:noWrap w:val="0"/>
            <w:vAlign w:val="center"/>
          </w:tcPr>
          <w:p w14:paraId="4B2772AB">
            <w:pPr>
              <w:spacing w:line="360" w:lineRule="auto"/>
              <w:jc w:val="center"/>
              <w:rPr>
                <w:rFonts w:hint="eastAsia" w:ascii="楷体" w:hAnsi="楷体" w:eastAsia="楷体" w:cs="楷体"/>
                <w:color w:val="auto"/>
                <w:szCs w:val="24"/>
                <w:highlight w:val="none"/>
                <w:lang w:val="en-US" w:eastAsia="zh-CN"/>
              </w:rPr>
            </w:pPr>
            <w:r>
              <w:rPr>
                <w:rFonts w:hint="eastAsia" w:ascii="楷体" w:hAnsi="楷体" w:eastAsia="楷体" w:cs="楷体"/>
                <w:color w:val="auto"/>
                <w:szCs w:val="24"/>
                <w:highlight w:val="none"/>
              </w:rPr>
              <w:t>3</w:t>
            </w:r>
          </w:p>
        </w:tc>
        <w:tc>
          <w:tcPr>
            <w:tcW w:w="7907" w:type="dxa"/>
            <w:noWrap w:val="0"/>
            <w:vAlign w:val="center"/>
          </w:tcPr>
          <w:p w14:paraId="5B623E97">
            <w:pPr>
              <w:tabs>
                <w:tab w:val="left" w:pos="0"/>
              </w:tabs>
              <w:suppressAutoHyphens/>
              <w:spacing w:line="360" w:lineRule="auto"/>
              <w:rPr>
                <w:rFonts w:hint="eastAsia" w:ascii="楷体" w:hAnsi="楷体" w:eastAsia="楷体" w:cs="楷体"/>
                <w:color w:val="FF0000"/>
                <w:szCs w:val="24"/>
                <w:highlight w:val="none"/>
                <w:lang w:val="en-US" w:eastAsia="zh-CN"/>
              </w:rPr>
            </w:pPr>
            <w:r>
              <w:rPr>
                <w:rFonts w:hint="eastAsia" w:ascii="楷体" w:hAnsi="楷体" w:eastAsia="楷体" w:cs="楷体"/>
                <w:color w:val="auto"/>
                <w:szCs w:val="24"/>
                <w:highlight w:val="none"/>
              </w:rPr>
              <w:t>落实政府采购政策需满足的资格要求：</w:t>
            </w:r>
            <w:r>
              <w:rPr>
                <w:rFonts w:hint="eastAsia" w:ascii="楷体" w:hAnsi="楷体" w:eastAsia="楷体" w:cs="楷体"/>
                <w:bCs w:val="0"/>
                <w:i w:val="0"/>
                <w:iCs w:val="0"/>
                <w:caps w:val="0"/>
                <w:color w:val="auto"/>
                <w:spacing w:val="0"/>
                <w:kern w:val="0"/>
                <w:sz w:val="24"/>
                <w:szCs w:val="24"/>
                <w:highlight w:val="none"/>
                <w:shd w:val="clear" w:color="auto" w:fill="FFFFFF"/>
                <w:vertAlign w:val="baseline"/>
                <w:lang w:val="en-US" w:eastAsia="zh-CN" w:bidi="ar-SA"/>
              </w:rPr>
              <w:t>本项目采购包3、采购包4</w:t>
            </w:r>
            <w:r>
              <w:rPr>
                <w:rFonts w:hint="eastAsia" w:ascii="楷体" w:hAnsi="楷体" w:eastAsia="楷体" w:cs="楷体"/>
                <w:color w:val="auto"/>
                <w:szCs w:val="24"/>
                <w:highlight w:val="none"/>
              </w:rPr>
              <w:t>专门面向中小企业采购，供应商须为中小微企业或监狱企业或残疾人福利性单位，</w:t>
            </w:r>
            <w:r>
              <w:rPr>
                <w:rFonts w:hint="eastAsia" w:ascii="楷体" w:hAnsi="楷体" w:eastAsia="楷体" w:cs="楷体"/>
                <w:bCs w:val="0"/>
                <w:i w:val="0"/>
                <w:iCs w:val="0"/>
                <w:caps w:val="0"/>
                <w:color w:val="auto"/>
                <w:spacing w:val="0"/>
                <w:kern w:val="0"/>
                <w:sz w:val="24"/>
                <w:szCs w:val="24"/>
                <w:highlight w:val="none"/>
                <w:shd w:val="clear" w:color="auto" w:fill="FFFFFF"/>
                <w:vertAlign w:val="baseline"/>
                <w:lang w:val="en-US" w:eastAsia="zh-CN" w:bidi="ar-SA"/>
              </w:rPr>
              <w:t>采购包3、采购包4</w:t>
            </w:r>
            <w:r>
              <w:rPr>
                <w:rFonts w:hint="eastAsia" w:ascii="楷体" w:hAnsi="楷体" w:eastAsia="楷体" w:cs="楷体"/>
                <w:color w:val="auto"/>
                <w:szCs w:val="24"/>
                <w:highlight w:val="none"/>
              </w:rPr>
              <w:t>须提供的证明材料有：</w:t>
            </w:r>
          </w:p>
        </w:tc>
      </w:tr>
      <w:tr w14:paraId="09523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705" w:type="dxa"/>
            <w:noWrap w:val="0"/>
            <w:vAlign w:val="center"/>
          </w:tcPr>
          <w:p w14:paraId="482FA283">
            <w:pPr>
              <w:spacing w:line="360" w:lineRule="auto"/>
              <w:jc w:val="center"/>
              <w:rPr>
                <w:rFonts w:hint="eastAsia" w:ascii="楷体" w:hAnsi="楷体" w:eastAsia="楷体" w:cs="楷体"/>
                <w:color w:val="auto"/>
                <w:szCs w:val="24"/>
                <w:highlight w:val="none"/>
                <w:lang w:val="en-US" w:eastAsia="zh-CN"/>
              </w:rPr>
            </w:pPr>
            <w:r>
              <w:rPr>
                <w:rFonts w:hint="eastAsia" w:ascii="楷体" w:hAnsi="楷体" w:eastAsia="楷体" w:cs="楷体"/>
                <w:color w:val="auto"/>
                <w:szCs w:val="24"/>
                <w:highlight w:val="none"/>
              </w:rPr>
              <w:t>3.1</w:t>
            </w:r>
          </w:p>
        </w:tc>
        <w:tc>
          <w:tcPr>
            <w:tcW w:w="7907" w:type="dxa"/>
            <w:noWrap w:val="0"/>
            <w:vAlign w:val="center"/>
          </w:tcPr>
          <w:p w14:paraId="0C018D96">
            <w:pPr>
              <w:tabs>
                <w:tab w:val="left" w:pos="0"/>
              </w:tabs>
              <w:suppressAutoHyphens/>
              <w:spacing w:line="360" w:lineRule="auto"/>
              <w:rPr>
                <w:rFonts w:hint="eastAsia" w:ascii="楷体" w:hAnsi="楷体" w:eastAsia="楷体" w:cs="楷体"/>
                <w:color w:val="FF0000"/>
                <w:szCs w:val="24"/>
                <w:highlight w:val="none"/>
                <w:lang w:val="en-US" w:eastAsia="zh-CN"/>
              </w:rPr>
            </w:pPr>
            <w:r>
              <w:rPr>
                <w:rFonts w:hint="eastAsia" w:ascii="楷体" w:hAnsi="楷体" w:eastAsia="楷体" w:cs="楷体"/>
                <w:color w:val="auto"/>
                <w:highlight w:val="none"/>
              </w:rPr>
              <w:t>中小企业声明函（工程、服务）或</w:t>
            </w:r>
            <w:r>
              <w:rPr>
                <w:rFonts w:hint="eastAsia" w:ascii="楷体" w:hAnsi="楷体" w:eastAsia="楷体" w:cs="楷体"/>
                <w:color w:val="auto"/>
                <w:highlight w:val="none"/>
                <w:lang w:val="zh-CN"/>
              </w:rPr>
              <w:t>残疾人福利性单位声明函</w:t>
            </w:r>
            <w:r>
              <w:rPr>
                <w:rFonts w:hint="eastAsia" w:ascii="楷体" w:hAnsi="楷体" w:eastAsia="楷体" w:cs="楷体"/>
                <w:color w:val="auto"/>
                <w:highlight w:val="none"/>
              </w:rPr>
              <w:t>或监狱企业证明文件。</w:t>
            </w:r>
          </w:p>
        </w:tc>
      </w:tr>
    </w:tbl>
    <w:p w14:paraId="3D969F10">
      <w:pPr>
        <w:spacing w:line="360" w:lineRule="auto"/>
        <w:ind w:firstLine="498" w:firstLineChars="200"/>
        <w:rPr>
          <w:rFonts w:hint="eastAsia" w:ascii="楷体" w:hAnsi="楷体" w:eastAsia="楷体" w:cs="楷体"/>
          <w:b/>
          <w:color w:val="auto"/>
          <w:spacing w:val="4"/>
          <w:szCs w:val="24"/>
          <w:highlight w:val="none"/>
        </w:rPr>
      </w:pPr>
      <w:r>
        <w:rPr>
          <w:rFonts w:hint="eastAsia" w:ascii="楷体" w:hAnsi="楷体" w:eastAsia="楷体" w:cs="楷体"/>
          <w:b/>
          <w:color w:val="auto"/>
          <w:spacing w:val="4"/>
          <w:szCs w:val="24"/>
          <w:highlight w:val="none"/>
        </w:rPr>
        <w:t>1.2符合性审查：</w:t>
      </w:r>
    </w:p>
    <w:tbl>
      <w:tblPr>
        <w:tblStyle w:val="17"/>
        <w:tblW w:w="0" w:type="auto"/>
        <w:jc w:val="center"/>
        <w:tblLayout w:type="fixed"/>
        <w:tblCellMar>
          <w:top w:w="0" w:type="dxa"/>
          <w:left w:w="108" w:type="dxa"/>
          <w:bottom w:w="0" w:type="dxa"/>
          <w:right w:w="108" w:type="dxa"/>
        </w:tblCellMar>
      </w:tblPr>
      <w:tblGrid>
        <w:gridCol w:w="778"/>
        <w:gridCol w:w="2392"/>
        <w:gridCol w:w="5596"/>
      </w:tblGrid>
      <w:tr w14:paraId="4EA04D1E">
        <w:tblPrEx>
          <w:tblCellMar>
            <w:top w:w="0" w:type="dxa"/>
            <w:left w:w="108" w:type="dxa"/>
            <w:bottom w:w="0" w:type="dxa"/>
            <w:right w:w="108" w:type="dxa"/>
          </w:tblCellMar>
        </w:tblPrEx>
        <w:trPr>
          <w:trHeight w:val="700" w:hRule="atLeast"/>
          <w:jc w:val="center"/>
        </w:trPr>
        <w:tc>
          <w:tcPr>
            <w:tcW w:w="778" w:type="dxa"/>
            <w:tcBorders>
              <w:top w:val="single" w:color="auto" w:sz="4" w:space="0"/>
              <w:left w:val="single" w:color="auto" w:sz="4" w:space="0"/>
              <w:bottom w:val="single" w:color="auto" w:sz="4" w:space="0"/>
              <w:right w:val="single" w:color="auto" w:sz="4" w:space="0"/>
            </w:tcBorders>
            <w:noWrap w:val="0"/>
            <w:vAlign w:val="center"/>
          </w:tcPr>
          <w:p w14:paraId="5DEAA938">
            <w:pPr>
              <w:spacing w:line="360" w:lineRule="auto"/>
              <w:jc w:val="center"/>
              <w:rPr>
                <w:rFonts w:hint="eastAsia" w:ascii="楷体" w:hAnsi="楷体" w:eastAsia="楷体" w:cs="楷体"/>
                <w:b/>
                <w:bCs/>
                <w:color w:val="auto"/>
                <w:szCs w:val="24"/>
                <w:highlight w:val="none"/>
              </w:rPr>
            </w:pPr>
            <w:r>
              <w:rPr>
                <w:rFonts w:hint="eastAsia" w:ascii="楷体" w:hAnsi="楷体" w:eastAsia="楷体" w:cs="楷体"/>
                <w:b/>
                <w:bCs/>
                <w:color w:val="auto"/>
                <w:szCs w:val="24"/>
                <w:highlight w:val="none"/>
              </w:rPr>
              <w:t>序号</w:t>
            </w:r>
          </w:p>
        </w:tc>
        <w:tc>
          <w:tcPr>
            <w:tcW w:w="2392" w:type="dxa"/>
            <w:tcBorders>
              <w:top w:val="single" w:color="auto" w:sz="4" w:space="0"/>
              <w:left w:val="nil"/>
              <w:bottom w:val="single" w:color="auto" w:sz="4" w:space="0"/>
              <w:right w:val="single" w:color="auto" w:sz="4" w:space="0"/>
            </w:tcBorders>
            <w:noWrap w:val="0"/>
            <w:vAlign w:val="center"/>
          </w:tcPr>
          <w:p w14:paraId="74DD1FB1">
            <w:pPr>
              <w:spacing w:line="360" w:lineRule="auto"/>
              <w:jc w:val="center"/>
              <w:rPr>
                <w:rFonts w:hint="eastAsia" w:ascii="楷体" w:hAnsi="楷体" w:eastAsia="楷体" w:cs="楷体"/>
                <w:b/>
                <w:bCs/>
                <w:color w:val="auto"/>
                <w:szCs w:val="24"/>
                <w:highlight w:val="none"/>
              </w:rPr>
            </w:pPr>
            <w:r>
              <w:rPr>
                <w:rFonts w:hint="eastAsia" w:ascii="楷体" w:hAnsi="楷体" w:eastAsia="楷体" w:cs="楷体"/>
                <w:b/>
                <w:bCs/>
                <w:color w:val="auto"/>
                <w:szCs w:val="24"/>
                <w:highlight w:val="none"/>
              </w:rPr>
              <w:t>审查内容</w:t>
            </w:r>
          </w:p>
        </w:tc>
        <w:tc>
          <w:tcPr>
            <w:tcW w:w="5596" w:type="dxa"/>
            <w:tcBorders>
              <w:top w:val="single" w:color="auto" w:sz="4" w:space="0"/>
              <w:left w:val="nil"/>
              <w:bottom w:val="single" w:color="auto" w:sz="4" w:space="0"/>
              <w:right w:val="single" w:color="auto" w:sz="4" w:space="0"/>
            </w:tcBorders>
            <w:noWrap w:val="0"/>
            <w:vAlign w:val="center"/>
          </w:tcPr>
          <w:p w14:paraId="52AFA41A">
            <w:pPr>
              <w:spacing w:line="360" w:lineRule="auto"/>
              <w:jc w:val="center"/>
              <w:rPr>
                <w:rFonts w:hint="eastAsia" w:ascii="楷体" w:hAnsi="楷体" w:eastAsia="楷体" w:cs="楷体"/>
                <w:b/>
                <w:bCs/>
                <w:color w:val="auto"/>
                <w:szCs w:val="24"/>
                <w:highlight w:val="none"/>
              </w:rPr>
            </w:pPr>
            <w:r>
              <w:rPr>
                <w:rFonts w:hint="eastAsia" w:ascii="楷体" w:hAnsi="楷体" w:eastAsia="楷体" w:cs="楷体"/>
                <w:b/>
                <w:bCs/>
                <w:color w:val="auto"/>
                <w:szCs w:val="24"/>
                <w:highlight w:val="none"/>
              </w:rPr>
              <w:t>审查细则</w:t>
            </w:r>
          </w:p>
        </w:tc>
      </w:tr>
      <w:tr w14:paraId="5F3444B1">
        <w:tblPrEx>
          <w:tblCellMar>
            <w:top w:w="0" w:type="dxa"/>
            <w:left w:w="108" w:type="dxa"/>
            <w:bottom w:w="0" w:type="dxa"/>
            <w:right w:w="108" w:type="dxa"/>
          </w:tblCellMar>
        </w:tblPrEx>
        <w:trPr>
          <w:trHeight w:val="700" w:hRule="atLeast"/>
          <w:jc w:val="center"/>
        </w:trPr>
        <w:tc>
          <w:tcPr>
            <w:tcW w:w="778" w:type="dxa"/>
            <w:vMerge w:val="restart"/>
            <w:tcBorders>
              <w:top w:val="single" w:color="auto" w:sz="4" w:space="0"/>
              <w:left w:val="single" w:color="auto" w:sz="4" w:space="0"/>
              <w:bottom w:val="single" w:color="auto" w:sz="4" w:space="0"/>
              <w:right w:val="single" w:color="auto" w:sz="4" w:space="0"/>
            </w:tcBorders>
            <w:noWrap w:val="0"/>
            <w:vAlign w:val="center"/>
          </w:tcPr>
          <w:p w14:paraId="2625427D">
            <w:pPr>
              <w:widowControl/>
              <w:spacing w:line="360" w:lineRule="auto"/>
              <w:jc w:val="center"/>
              <w:rPr>
                <w:rFonts w:hint="eastAsia" w:ascii="楷体" w:hAnsi="楷体" w:eastAsia="楷体" w:cs="楷体"/>
                <w:color w:val="auto"/>
                <w:szCs w:val="24"/>
                <w:highlight w:val="none"/>
              </w:rPr>
            </w:pPr>
            <w:r>
              <w:rPr>
                <w:rFonts w:hint="eastAsia" w:ascii="楷体" w:hAnsi="楷体" w:eastAsia="楷体" w:cs="楷体"/>
                <w:color w:val="auto"/>
                <w:szCs w:val="24"/>
                <w:highlight w:val="none"/>
              </w:rPr>
              <w:t>符合性审查</w:t>
            </w:r>
          </w:p>
        </w:tc>
        <w:tc>
          <w:tcPr>
            <w:tcW w:w="2392" w:type="dxa"/>
            <w:tcBorders>
              <w:top w:val="single" w:color="auto" w:sz="4" w:space="0"/>
              <w:left w:val="nil"/>
              <w:bottom w:val="single" w:color="auto" w:sz="4" w:space="0"/>
              <w:right w:val="single" w:color="auto" w:sz="4" w:space="0"/>
            </w:tcBorders>
            <w:noWrap w:val="0"/>
            <w:vAlign w:val="center"/>
          </w:tcPr>
          <w:p w14:paraId="73540D79">
            <w:pPr>
              <w:widowControl/>
              <w:spacing w:line="360" w:lineRule="auto"/>
              <w:jc w:val="center"/>
              <w:rPr>
                <w:rFonts w:hint="eastAsia" w:ascii="楷体" w:hAnsi="楷体" w:eastAsia="楷体" w:cs="楷体"/>
                <w:color w:val="auto"/>
                <w:szCs w:val="24"/>
                <w:highlight w:val="none"/>
              </w:rPr>
            </w:pPr>
            <w:r>
              <w:rPr>
                <w:rFonts w:hint="eastAsia" w:ascii="楷体" w:hAnsi="楷体" w:eastAsia="楷体" w:cs="楷体"/>
                <w:color w:val="auto"/>
                <w:szCs w:val="24"/>
                <w:highlight w:val="none"/>
              </w:rPr>
              <w:t>磋商响应文件完整性</w:t>
            </w:r>
          </w:p>
        </w:tc>
        <w:tc>
          <w:tcPr>
            <w:tcW w:w="5596" w:type="dxa"/>
            <w:tcBorders>
              <w:top w:val="single" w:color="auto" w:sz="4" w:space="0"/>
              <w:left w:val="nil"/>
              <w:bottom w:val="single" w:color="auto" w:sz="4" w:space="0"/>
              <w:right w:val="single" w:color="auto" w:sz="4" w:space="0"/>
            </w:tcBorders>
            <w:noWrap w:val="0"/>
            <w:vAlign w:val="center"/>
          </w:tcPr>
          <w:p w14:paraId="46899C39">
            <w:pPr>
              <w:widowControl/>
              <w:spacing w:line="360" w:lineRule="auto"/>
              <w:jc w:val="left"/>
              <w:rPr>
                <w:rFonts w:hint="eastAsia" w:ascii="楷体" w:hAnsi="楷体" w:eastAsia="楷体" w:cs="楷体"/>
                <w:color w:val="auto"/>
                <w:szCs w:val="24"/>
                <w:highlight w:val="none"/>
              </w:rPr>
            </w:pPr>
            <w:r>
              <w:rPr>
                <w:rFonts w:hint="eastAsia" w:ascii="楷体" w:hAnsi="楷体" w:eastAsia="楷体" w:cs="楷体"/>
                <w:color w:val="auto"/>
                <w:spacing w:val="4"/>
                <w:szCs w:val="24"/>
                <w:highlight w:val="none"/>
              </w:rPr>
              <w:t>磋商响应文件构成无重大缺项</w:t>
            </w:r>
            <w:r>
              <w:rPr>
                <w:rFonts w:hint="eastAsia" w:ascii="楷体" w:hAnsi="楷体" w:eastAsia="楷体" w:cs="楷体"/>
                <w:color w:val="auto"/>
                <w:spacing w:val="4"/>
                <w:szCs w:val="24"/>
                <w:highlight w:val="none"/>
                <w:lang w:eastAsia="zh-CN"/>
              </w:rPr>
              <w:t>（</w:t>
            </w:r>
            <w:r>
              <w:rPr>
                <w:rFonts w:hint="eastAsia" w:ascii="楷体" w:hAnsi="楷体" w:eastAsia="楷体" w:cs="楷体"/>
                <w:color w:val="auto"/>
                <w:spacing w:val="4"/>
                <w:szCs w:val="24"/>
                <w:highlight w:val="none"/>
                <w:lang w:val="en-US" w:eastAsia="zh-CN"/>
              </w:rPr>
              <w:t>详细评审除外</w:t>
            </w:r>
            <w:r>
              <w:rPr>
                <w:rFonts w:hint="eastAsia" w:ascii="楷体" w:hAnsi="楷体" w:eastAsia="楷体" w:cs="楷体"/>
                <w:color w:val="auto"/>
                <w:spacing w:val="4"/>
                <w:szCs w:val="24"/>
                <w:highlight w:val="none"/>
                <w:lang w:eastAsia="zh-CN"/>
              </w:rPr>
              <w:t>）</w:t>
            </w:r>
            <w:r>
              <w:rPr>
                <w:rFonts w:hint="eastAsia" w:ascii="楷体" w:hAnsi="楷体" w:eastAsia="楷体" w:cs="楷体"/>
                <w:color w:val="auto"/>
                <w:spacing w:val="4"/>
                <w:szCs w:val="24"/>
                <w:highlight w:val="none"/>
              </w:rPr>
              <w:t>，按照磋商文件要求的格式编写磋商响应文件；</w:t>
            </w:r>
          </w:p>
        </w:tc>
      </w:tr>
      <w:tr w14:paraId="5456238D">
        <w:tblPrEx>
          <w:tblCellMar>
            <w:top w:w="0" w:type="dxa"/>
            <w:left w:w="108" w:type="dxa"/>
            <w:bottom w:w="0" w:type="dxa"/>
            <w:right w:w="108" w:type="dxa"/>
          </w:tblCellMar>
        </w:tblPrEx>
        <w:trPr>
          <w:trHeight w:val="700" w:hRule="atLeast"/>
          <w:jc w:val="center"/>
        </w:trPr>
        <w:tc>
          <w:tcPr>
            <w:tcW w:w="778" w:type="dxa"/>
            <w:vMerge w:val="continue"/>
            <w:tcBorders>
              <w:top w:val="nil"/>
              <w:left w:val="single" w:color="auto" w:sz="4" w:space="0"/>
              <w:bottom w:val="single" w:color="auto" w:sz="4" w:space="0"/>
              <w:right w:val="single" w:color="auto" w:sz="4" w:space="0"/>
            </w:tcBorders>
            <w:noWrap w:val="0"/>
            <w:vAlign w:val="center"/>
          </w:tcPr>
          <w:p w14:paraId="78B9A8F5">
            <w:pPr>
              <w:widowControl/>
              <w:spacing w:line="360" w:lineRule="auto"/>
              <w:jc w:val="left"/>
              <w:rPr>
                <w:rFonts w:hint="eastAsia" w:ascii="楷体" w:hAnsi="楷体" w:eastAsia="楷体" w:cs="楷体"/>
                <w:color w:val="auto"/>
                <w:szCs w:val="24"/>
                <w:highlight w:val="none"/>
              </w:rPr>
            </w:pPr>
          </w:p>
        </w:tc>
        <w:tc>
          <w:tcPr>
            <w:tcW w:w="2392" w:type="dxa"/>
            <w:tcBorders>
              <w:top w:val="nil"/>
              <w:left w:val="nil"/>
              <w:bottom w:val="single" w:color="auto" w:sz="4" w:space="0"/>
              <w:right w:val="single" w:color="auto" w:sz="4" w:space="0"/>
            </w:tcBorders>
            <w:noWrap w:val="0"/>
            <w:vAlign w:val="center"/>
          </w:tcPr>
          <w:p w14:paraId="07AAA75A">
            <w:pPr>
              <w:widowControl/>
              <w:spacing w:line="360" w:lineRule="auto"/>
              <w:jc w:val="center"/>
              <w:rPr>
                <w:rFonts w:hint="eastAsia" w:ascii="楷体" w:hAnsi="楷体" w:eastAsia="楷体" w:cs="楷体"/>
                <w:color w:val="auto"/>
                <w:szCs w:val="24"/>
                <w:highlight w:val="none"/>
              </w:rPr>
            </w:pPr>
            <w:r>
              <w:rPr>
                <w:rFonts w:hint="eastAsia" w:ascii="楷体" w:hAnsi="楷体" w:eastAsia="楷体" w:cs="楷体"/>
                <w:color w:val="auto"/>
                <w:szCs w:val="24"/>
                <w:highlight w:val="none"/>
              </w:rPr>
              <w:t>磋商响应文件报价</w:t>
            </w:r>
          </w:p>
        </w:tc>
        <w:tc>
          <w:tcPr>
            <w:tcW w:w="5596" w:type="dxa"/>
            <w:tcBorders>
              <w:top w:val="nil"/>
              <w:left w:val="nil"/>
              <w:bottom w:val="single" w:color="auto" w:sz="4" w:space="0"/>
              <w:right w:val="single" w:color="auto" w:sz="4" w:space="0"/>
            </w:tcBorders>
            <w:noWrap w:val="0"/>
            <w:vAlign w:val="center"/>
          </w:tcPr>
          <w:p w14:paraId="5F9A2111">
            <w:pPr>
              <w:widowControl/>
              <w:spacing w:line="360" w:lineRule="auto"/>
              <w:jc w:val="left"/>
              <w:rPr>
                <w:rFonts w:hint="eastAsia" w:ascii="楷体" w:hAnsi="楷体" w:eastAsia="楷体" w:cs="楷体"/>
                <w:color w:val="auto"/>
                <w:szCs w:val="24"/>
                <w:highlight w:val="none"/>
              </w:rPr>
            </w:pPr>
            <w:r>
              <w:rPr>
                <w:rFonts w:hint="eastAsia" w:ascii="楷体" w:hAnsi="楷体" w:eastAsia="楷体" w:cs="楷体"/>
                <w:color w:val="auto"/>
                <w:szCs w:val="24"/>
                <w:highlight w:val="none"/>
              </w:rPr>
              <w:t>报价唯一，且没有低于成本价或高于采购预算的；</w:t>
            </w:r>
          </w:p>
        </w:tc>
      </w:tr>
      <w:tr w14:paraId="043C298B">
        <w:tblPrEx>
          <w:tblCellMar>
            <w:top w:w="0" w:type="dxa"/>
            <w:left w:w="108" w:type="dxa"/>
            <w:bottom w:w="0" w:type="dxa"/>
            <w:right w:w="108" w:type="dxa"/>
          </w:tblCellMar>
        </w:tblPrEx>
        <w:trPr>
          <w:trHeight w:val="700" w:hRule="atLeast"/>
          <w:jc w:val="center"/>
        </w:trPr>
        <w:tc>
          <w:tcPr>
            <w:tcW w:w="778" w:type="dxa"/>
            <w:vMerge w:val="continue"/>
            <w:tcBorders>
              <w:top w:val="nil"/>
              <w:left w:val="single" w:color="auto" w:sz="4" w:space="0"/>
              <w:bottom w:val="single" w:color="auto" w:sz="4" w:space="0"/>
              <w:right w:val="single" w:color="auto" w:sz="4" w:space="0"/>
            </w:tcBorders>
            <w:noWrap w:val="0"/>
            <w:vAlign w:val="center"/>
          </w:tcPr>
          <w:p w14:paraId="4AF08181">
            <w:pPr>
              <w:widowControl/>
              <w:spacing w:line="360" w:lineRule="auto"/>
              <w:jc w:val="left"/>
              <w:rPr>
                <w:rFonts w:hint="eastAsia" w:ascii="楷体" w:hAnsi="楷体" w:eastAsia="楷体" w:cs="楷体"/>
                <w:color w:val="auto"/>
                <w:szCs w:val="24"/>
                <w:highlight w:val="none"/>
              </w:rPr>
            </w:pPr>
          </w:p>
        </w:tc>
        <w:tc>
          <w:tcPr>
            <w:tcW w:w="2392" w:type="dxa"/>
            <w:tcBorders>
              <w:top w:val="nil"/>
              <w:left w:val="nil"/>
              <w:bottom w:val="single" w:color="auto" w:sz="4" w:space="0"/>
              <w:right w:val="single" w:color="auto" w:sz="4" w:space="0"/>
            </w:tcBorders>
            <w:noWrap w:val="0"/>
            <w:vAlign w:val="center"/>
          </w:tcPr>
          <w:p w14:paraId="6A29B1EE">
            <w:pPr>
              <w:widowControl/>
              <w:spacing w:line="360" w:lineRule="auto"/>
              <w:jc w:val="center"/>
              <w:rPr>
                <w:rFonts w:hint="eastAsia" w:ascii="楷体" w:hAnsi="楷体" w:eastAsia="楷体" w:cs="楷体"/>
                <w:color w:val="auto"/>
                <w:szCs w:val="24"/>
                <w:highlight w:val="none"/>
              </w:rPr>
            </w:pPr>
            <w:r>
              <w:rPr>
                <w:rFonts w:hint="eastAsia" w:ascii="楷体" w:hAnsi="楷体" w:eastAsia="楷体" w:cs="楷体"/>
                <w:color w:val="auto"/>
                <w:szCs w:val="24"/>
                <w:highlight w:val="none"/>
              </w:rPr>
              <w:t>磋商响应文件有效性</w:t>
            </w:r>
          </w:p>
        </w:tc>
        <w:tc>
          <w:tcPr>
            <w:tcW w:w="5596" w:type="dxa"/>
            <w:tcBorders>
              <w:top w:val="nil"/>
              <w:left w:val="nil"/>
              <w:bottom w:val="single" w:color="auto" w:sz="4" w:space="0"/>
              <w:right w:val="single" w:color="auto" w:sz="4" w:space="0"/>
            </w:tcBorders>
            <w:noWrap w:val="0"/>
            <w:vAlign w:val="center"/>
          </w:tcPr>
          <w:p w14:paraId="74DFA575">
            <w:pPr>
              <w:widowControl/>
              <w:spacing w:line="360" w:lineRule="auto"/>
              <w:jc w:val="left"/>
              <w:rPr>
                <w:rFonts w:hint="eastAsia" w:ascii="楷体" w:hAnsi="楷体" w:eastAsia="楷体" w:cs="楷体"/>
                <w:color w:val="auto"/>
                <w:szCs w:val="24"/>
                <w:highlight w:val="none"/>
              </w:rPr>
            </w:pPr>
            <w:r>
              <w:rPr>
                <w:rFonts w:hint="eastAsia" w:ascii="楷体" w:hAnsi="楷体" w:eastAsia="楷体" w:cs="楷体"/>
                <w:color w:val="auto"/>
                <w:szCs w:val="24"/>
                <w:highlight w:val="none"/>
              </w:rPr>
              <w:t>磋商响应文件的签署、盖章符合磋商文件要求，供应商递交的磋商响应文件与本项目名称一致；</w:t>
            </w:r>
          </w:p>
        </w:tc>
      </w:tr>
      <w:tr w14:paraId="509DE820">
        <w:tblPrEx>
          <w:tblCellMar>
            <w:top w:w="0" w:type="dxa"/>
            <w:left w:w="108" w:type="dxa"/>
            <w:bottom w:w="0" w:type="dxa"/>
            <w:right w:w="108" w:type="dxa"/>
          </w:tblCellMar>
        </w:tblPrEx>
        <w:trPr>
          <w:trHeight w:val="700" w:hRule="atLeast"/>
          <w:jc w:val="center"/>
        </w:trPr>
        <w:tc>
          <w:tcPr>
            <w:tcW w:w="778" w:type="dxa"/>
            <w:vMerge w:val="continue"/>
            <w:tcBorders>
              <w:top w:val="nil"/>
              <w:left w:val="single" w:color="auto" w:sz="4" w:space="0"/>
              <w:bottom w:val="single" w:color="auto" w:sz="4" w:space="0"/>
              <w:right w:val="single" w:color="auto" w:sz="4" w:space="0"/>
            </w:tcBorders>
            <w:noWrap w:val="0"/>
            <w:vAlign w:val="center"/>
          </w:tcPr>
          <w:p w14:paraId="1189B9E9">
            <w:pPr>
              <w:widowControl/>
              <w:spacing w:line="360" w:lineRule="auto"/>
              <w:jc w:val="left"/>
              <w:rPr>
                <w:rFonts w:hint="eastAsia" w:ascii="楷体" w:hAnsi="楷体" w:eastAsia="楷体" w:cs="楷体"/>
                <w:color w:val="auto"/>
                <w:szCs w:val="24"/>
                <w:highlight w:val="none"/>
              </w:rPr>
            </w:pPr>
          </w:p>
        </w:tc>
        <w:tc>
          <w:tcPr>
            <w:tcW w:w="2392" w:type="dxa"/>
            <w:tcBorders>
              <w:top w:val="nil"/>
              <w:left w:val="nil"/>
              <w:bottom w:val="single" w:color="auto" w:sz="4" w:space="0"/>
              <w:right w:val="single" w:color="auto" w:sz="4" w:space="0"/>
            </w:tcBorders>
            <w:noWrap w:val="0"/>
            <w:vAlign w:val="center"/>
          </w:tcPr>
          <w:p w14:paraId="256F3C27">
            <w:pPr>
              <w:widowControl/>
              <w:spacing w:line="360" w:lineRule="auto"/>
              <w:jc w:val="center"/>
              <w:rPr>
                <w:rFonts w:hint="eastAsia" w:ascii="楷体" w:hAnsi="楷体" w:eastAsia="楷体" w:cs="楷体"/>
                <w:color w:val="auto"/>
                <w:szCs w:val="24"/>
                <w:highlight w:val="none"/>
              </w:rPr>
            </w:pPr>
            <w:r>
              <w:rPr>
                <w:rFonts w:hint="eastAsia" w:ascii="楷体" w:hAnsi="楷体" w:eastAsia="楷体" w:cs="楷体"/>
                <w:color w:val="auto"/>
                <w:szCs w:val="24"/>
                <w:highlight w:val="none"/>
              </w:rPr>
              <w:t>磋商有效期</w:t>
            </w:r>
            <w:r>
              <w:rPr>
                <w:rFonts w:hint="eastAsia" w:ascii="楷体" w:hAnsi="楷体" w:eastAsia="楷体" w:cs="楷体"/>
                <w:color w:val="auto"/>
                <w:szCs w:val="24"/>
                <w:highlight w:val="none"/>
                <w:lang w:eastAsia="zh-CN"/>
              </w:rPr>
              <w:t>、</w:t>
            </w:r>
            <w:r>
              <w:rPr>
                <w:rFonts w:hint="eastAsia" w:ascii="楷体" w:hAnsi="楷体" w:eastAsia="楷体" w:cs="楷体"/>
                <w:color w:val="auto"/>
                <w:szCs w:val="24"/>
                <w:highlight w:val="none"/>
              </w:rPr>
              <w:t>授权有效期</w:t>
            </w:r>
          </w:p>
        </w:tc>
        <w:tc>
          <w:tcPr>
            <w:tcW w:w="5596" w:type="dxa"/>
            <w:tcBorders>
              <w:top w:val="nil"/>
              <w:left w:val="nil"/>
              <w:bottom w:val="single" w:color="auto" w:sz="4" w:space="0"/>
              <w:right w:val="single" w:color="auto" w:sz="4" w:space="0"/>
            </w:tcBorders>
            <w:noWrap w:val="0"/>
            <w:vAlign w:val="center"/>
          </w:tcPr>
          <w:p w14:paraId="59ADAEC8">
            <w:pPr>
              <w:widowControl/>
              <w:spacing w:line="360" w:lineRule="auto"/>
              <w:jc w:val="left"/>
              <w:rPr>
                <w:rFonts w:hint="eastAsia" w:ascii="楷体" w:hAnsi="楷体" w:eastAsia="楷体" w:cs="楷体"/>
                <w:color w:val="auto"/>
                <w:szCs w:val="24"/>
                <w:highlight w:val="none"/>
              </w:rPr>
            </w:pPr>
            <w:r>
              <w:rPr>
                <w:rFonts w:hint="eastAsia" w:ascii="楷体" w:hAnsi="楷体" w:eastAsia="楷体" w:cs="楷体"/>
                <w:color w:val="auto"/>
                <w:szCs w:val="24"/>
                <w:highlight w:val="none"/>
              </w:rPr>
              <w:t>文件递交截止之日起90日历日；</w:t>
            </w:r>
          </w:p>
        </w:tc>
      </w:tr>
      <w:tr w14:paraId="3E5A5680">
        <w:tblPrEx>
          <w:tblCellMar>
            <w:top w:w="0" w:type="dxa"/>
            <w:left w:w="108" w:type="dxa"/>
            <w:bottom w:w="0" w:type="dxa"/>
            <w:right w:w="108" w:type="dxa"/>
          </w:tblCellMar>
        </w:tblPrEx>
        <w:trPr>
          <w:trHeight w:val="700" w:hRule="atLeast"/>
          <w:jc w:val="center"/>
        </w:trPr>
        <w:tc>
          <w:tcPr>
            <w:tcW w:w="778" w:type="dxa"/>
            <w:vMerge w:val="continue"/>
            <w:tcBorders>
              <w:top w:val="nil"/>
              <w:left w:val="single" w:color="auto" w:sz="4" w:space="0"/>
              <w:bottom w:val="single" w:color="auto" w:sz="4" w:space="0"/>
              <w:right w:val="single" w:color="auto" w:sz="4" w:space="0"/>
            </w:tcBorders>
            <w:noWrap w:val="0"/>
            <w:vAlign w:val="center"/>
          </w:tcPr>
          <w:p w14:paraId="359DC88F">
            <w:pPr>
              <w:widowControl/>
              <w:spacing w:line="360" w:lineRule="auto"/>
              <w:jc w:val="left"/>
              <w:rPr>
                <w:rFonts w:hint="eastAsia" w:ascii="楷体" w:hAnsi="楷体" w:eastAsia="楷体" w:cs="楷体"/>
                <w:color w:val="auto"/>
                <w:szCs w:val="24"/>
                <w:highlight w:val="none"/>
              </w:rPr>
            </w:pPr>
          </w:p>
        </w:tc>
        <w:tc>
          <w:tcPr>
            <w:tcW w:w="2392" w:type="dxa"/>
            <w:tcBorders>
              <w:top w:val="nil"/>
              <w:left w:val="nil"/>
              <w:bottom w:val="single" w:color="auto" w:sz="4" w:space="0"/>
              <w:right w:val="single" w:color="auto" w:sz="4" w:space="0"/>
            </w:tcBorders>
            <w:noWrap w:val="0"/>
            <w:vAlign w:val="center"/>
          </w:tcPr>
          <w:p w14:paraId="78EE1573">
            <w:pPr>
              <w:widowControl/>
              <w:spacing w:line="360" w:lineRule="auto"/>
              <w:jc w:val="center"/>
              <w:rPr>
                <w:rFonts w:hint="eastAsia" w:ascii="楷体" w:hAnsi="楷体" w:eastAsia="楷体" w:cs="楷体"/>
                <w:color w:val="auto"/>
                <w:szCs w:val="24"/>
                <w:highlight w:val="none"/>
              </w:rPr>
            </w:pPr>
            <w:r>
              <w:rPr>
                <w:rFonts w:hint="eastAsia" w:ascii="楷体" w:hAnsi="楷体" w:eastAsia="楷体" w:cs="楷体"/>
                <w:color w:val="auto"/>
                <w:szCs w:val="24"/>
                <w:highlight w:val="none"/>
              </w:rPr>
              <w:t>磋商响应文件响应性</w:t>
            </w:r>
          </w:p>
        </w:tc>
        <w:tc>
          <w:tcPr>
            <w:tcW w:w="5596" w:type="dxa"/>
            <w:tcBorders>
              <w:top w:val="nil"/>
              <w:left w:val="nil"/>
              <w:bottom w:val="single" w:color="auto" w:sz="4" w:space="0"/>
              <w:right w:val="single" w:color="auto" w:sz="4" w:space="0"/>
            </w:tcBorders>
            <w:noWrap w:val="0"/>
            <w:vAlign w:val="center"/>
          </w:tcPr>
          <w:p w14:paraId="686EEA13">
            <w:pPr>
              <w:widowControl/>
              <w:spacing w:line="360" w:lineRule="auto"/>
              <w:jc w:val="left"/>
              <w:rPr>
                <w:rFonts w:hint="eastAsia" w:ascii="楷体" w:hAnsi="楷体" w:eastAsia="楷体" w:cs="楷体"/>
                <w:color w:val="auto"/>
                <w:szCs w:val="24"/>
                <w:highlight w:val="none"/>
                <w:lang w:eastAsia="zh-CN"/>
              </w:rPr>
            </w:pPr>
            <w:r>
              <w:rPr>
                <w:rFonts w:hint="eastAsia" w:ascii="楷体" w:hAnsi="楷体" w:eastAsia="楷体" w:cs="楷体"/>
                <w:color w:val="auto"/>
                <w:szCs w:val="24"/>
                <w:highlight w:val="none"/>
                <w:lang w:eastAsia="zh-CN"/>
              </w:rPr>
              <w:t>服务期限</w:t>
            </w:r>
            <w:r>
              <w:rPr>
                <w:rFonts w:hint="eastAsia" w:ascii="楷体" w:hAnsi="楷体" w:eastAsia="楷体" w:cs="楷体"/>
                <w:color w:val="auto"/>
                <w:szCs w:val="24"/>
                <w:highlight w:val="none"/>
              </w:rPr>
              <w:t>响应磋商文件要求</w:t>
            </w:r>
            <w:r>
              <w:rPr>
                <w:rFonts w:hint="eastAsia" w:ascii="楷体" w:hAnsi="楷体" w:eastAsia="楷体" w:cs="楷体"/>
                <w:color w:val="auto"/>
                <w:szCs w:val="24"/>
                <w:highlight w:val="none"/>
                <w:lang w:eastAsia="zh-CN"/>
              </w:rPr>
              <w:t>；</w:t>
            </w:r>
          </w:p>
        </w:tc>
      </w:tr>
      <w:tr w14:paraId="5A647283">
        <w:tblPrEx>
          <w:tblCellMar>
            <w:top w:w="0" w:type="dxa"/>
            <w:left w:w="108" w:type="dxa"/>
            <w:bottom w:w="0" w:type="dxa"/>
            <w:right w:w="108" w:type="dxa"/>
          </w:tblCellMar>
        </w:tblPrEx>
        <w:trPr>
          <w:trHeight w:val="713" w:hRule="atLeast"/>
          <w:jc w:val="center"/>
        </w:trPr>
        <w:tc>
          <w:tcPr>
            <w:tcW w:w="778" w:type="dxa"/>
            <w:vMerge w:val="continue"/>
            <w:tcBorders>
              <w:top w:val="nil"/>
              <w:left w:val="single" w:color="auto" w:sz="4" w:space="0"/>
              <w:bottom w:val="single" w:color="auto" w:sz="4" w:space="0"/>
              <w:right w:val="single" w:color="auto" w:sz="4" w:space="0"/>
            </w:tcBorders>
            <w:noWrap w:val="0"/>
            <w:vAlign w:val="center"/>
          </w:tcPr>
          <w:p w14:paraId="529C76C7">
            <w:pPr>
              <w:widowControl/>
              <w:spacing w:line="360" w:lineRule="auto"/>
              <w:jc w:val="left"/>
              <w:rPr>
                <w:rFonts w:hint="eastAsia" w:ascii="楷体" w:hAnsi="楷体" w:eastAsia="楷体" w:cs="楷体"/>
                <w:color w:val="auto"/>
                <w:szCs w:val="24"/>
                <w:highlight w:val="none"/>
              </w:rPr>
            </w:pPr>
          </w:p>
        </w:tc>
        <w:tc>
          <w:tcPr>
            <w:tcW w:w="2392" w:type="dxa"/>
            <w:tcBorders>
              <w:top w:val="single" w:color="auto" w:sz="4" w:space="0"/>
              <w:left w:val="single" w:color="auto" w:sz="4" w:space="0"/>
              <w:bottom w:val="single" w:color="auto" w:sz="4" w:space="0"/>
              <w:right w:val="single" w:color="auto" w:sz="4" w:space="0"/>
            </w:tcBorders>
            <w:noWrap w:val="0"/>
            <w:vAlign w:val="center"/>
          </w:tcPr>
          <w:p w14:paraId="05614837">
            <w:pPr>
              <w:pStyle w:val="14"/>
              <w:spacing w:before="0" w:beforeAutospacing="0" w:after="0" w:afterAutospacing="0" w:line="360" w:lineRule="auto"/>
              <w:jc w:val="center"/>
              <w:rPr>
                <w:rFonts w:hint="eastAsia" w:ascii="楷体" w:hAnsi="楷体" w:eastAsia="楷体" w:cs="楷体"/>
                <w:color w:val="auto"/>
                <w:highlight w:val="none"/>
              </w:rPr>
            </w:pPr>
            <w:r>
              <w:rPr>
                <w:rFonts w:hint="eastAsia" w:ascii="楷体" w:hAnsi="楷体" w:eastAsia="楷体" w:cs="楷体"/>
                <w:color w:val="auto"/>
                <w:highlight w:val="none"/>
              </w:rPr>
              <w:t>其他</w:t>
            </w:r>
          </w:p>
        </w:tc>
        <w:tc>
          <w:tcPr>
            <w:tcW w:w="5596" w:type="dxa"/>
            <w:tcBorders>
              <w:top w:val="single" w:color="auto" w:sz="4" w:space="0"/>
              <w:left w:val="nil"/>
              <w:bottom w:val="single" w:color="auto" w:sz="4" w:space="0"/>
              <w:right w:val="single" w:color="auto" w:sz="4" w:space="0"/>
            </w:tcBorders>
            <w:noWrap w:val="0"/>
            <w:vAlign w:val="center"/>
          </w:tcPr>
          <w:p w14:paraId="5C60596F">
            <w:pPr>
              <w:pStyle w:val="14"/>
              <w:spacing w:before="0" w:beforeAutospacing="0" w:after="0" w:afterAutospacing="0" w:line="360" w:lineRule="auto"/>
              <w:rPr>
                <w:rFonts w:hint="eastAsia" w:ascii="楷体" w:hAnsi="楷体" w:eastAsia="楷体" w:cs="楷体"/>
                <w:color w:val="auto"/>
                <w:highlight w:val="none"/>
                <w:lang w:eastAsia="zh-CN"/>
              </w:rPr>
            </w:pPr>
            <w:r>
              <w:rPr>
                <w:rFonts w:hint="eastAsia" w:ascii="楷体" w:hAnsi="楷体" w:eastAsia="楷体" w:cs="楷体"/>
                <w:color w:val="auto"/>
                <w:highlight w:val="none"/>
              </w:rPr>
              <w:t>无磋商文件中规定的无效情形</w:t>
            </w:r>
            <w:r>
              <w:rPr>
                <w:rFonts w:hint="eastAsia" w:ascii="楷体" w:hAnsi="楷体" w:eastAsia="楷体" w:cs="楷体"/>
                <w:color w:val="auto"/>
                <w:highlight w:val="none"/>
                <w:lang w:eastAsia="zh-CN"/>
              </w:rPr>
              <w:t>。</w:t>
            </w:r>
          </w:p>
        </w:tc>
      </w:tr>
    </w:tbl>
    <w:p w14:paraId="2139A666">
      <w:pPr>
        <w:numPr>
          <w:ilvl w:val="0"/>
          <w:numId w:val="11"/>
        </w:numPr>
        <w:spacing w:line="360" w:lineRule="auto"/>
        <w:ind w:firstLine="482"/>
        <w:rPr>
          <w:rFonts w:hint="eastAsia" w:ascii="楷体" w:hAnsi="楷体" w:eastAsia="楷体" w:cs="楷体"/>
          <w:b/>
          <w:color w:val="auto"/>
          <w:szCs w:val="24"/>
          <w:highlight w:val="none"/>
        </w:rPr>
      </w:pPr>
      <w:r>
        <w:rPr>
          <w:rFonts w:hint="eastAsia" w:ascii="楷体" w:hAnsi="楷体" w:eastAsia="楷体" w:cs="楷体"/>
          <w:b/>
          <w:color w:val="auto"/>
          <w:szCs w:val="24"/>
          <w:highlight w:val="none"/>
        </w:rPr>
        <w:t>综合评估打分：</w:t>
      </w:r>
    </w:p>
    <w:p w14:paraId="62965FC8">
      <w:pPr>
        <w:pStyle w:val="12"/>
        <w:spacing w:line="360" w:lineRule="auto"/>
        <w:ind w:firstLine="480" w:firstLineChars="200"/>
        <w:rPr>
          <w:rFonts w:hint="eastAsia" w:ascii="楷体" w:hAnsi="楷体" w:eastAsia="楷体" w:cs="楷体"/>
          <w:color w:val="auto"/>
          <w:szCs w:val="24"/>
          <w:highlight w:val="none"/>
        </w:rPr>
      </w:pPr>
      <w:r>
        <w:rPr>
          <w:rFonts w:hint="eastAsia" w:ascii="楷体" w:hAnsi="楷体" w:eastAsia="楷体" w:cs="楷体"/>
          <w:color w:val="auto"/>
          <w:szCs w:val="24"/>
          <w:highlight w:val="none"/>
        </w:rPr>
        <w:t>2.1澄清有关问题：对于磋商响应文件中含义不明确、同类问题表述不一致或者有明显文字和计算错误的内容，磋商小组应当以书面形式要求标人作出必要的澄清、说明或者补正。</w:t>
      </w:r>
    </w:p>
    <w:p w14:paraId="2B30D6E9">
      <w:pPr>
        <w:spacing w:line="360" w:lineRule="auto"/>
        <w:ind w:firstLine="480" w:firstLineChars="200"/>
        <w:rPr>
          <w:rFonts w:hint="eastAsia" w:ascii="楷体" w:hAnsi="楷体" w:eastAsia="楷体" w:cs="楷体"/>
          <w:b/>
          <w:color w:val="auto"/>
          <w:szCs w:val="24"/>
          <w:highlight w:val="none"/>
        </w:rPr>
      </w:pPr>
      <w:r>
        <w:rPr>
          <w:rFonts w:hint="eastAsia" w:ascii="楷体" w:hAnsi="楷体" w:eastAsia="楷体" w:cs="楷体"/>
          <w:bCs/>
          <w:color w:val="auto"/>
          <w:szCs w:val="24"/>
          <w:highlight w:val="none"/>
        </w:rPr>
        <w:t>2.2磋商小组认为供应商的报价明显低于其他通过符合性审查供应商的报价，有可能影响产品质量或者不能诚信履约的，应当要求其在评标现场合理的时间内提供书面说明，必要时提交相关证明材料；供应商不能证明其报价合理性的，磋商小组应当将其作为无效磋商处理。</w:t>
      </w:r>
    </w:p>
    <w:p w14:paraId="54E690B1">
      <w:pPr>
        <w:spacing w:line="360" w:lineRule="auto"/>
        <w:rPr>
          <w:rFonts w:hint="eastAsia" w:ascii="楷体" w:hAnsi="楷体" w:eastAsia="楷体" w:cs="楷体"/>
          <w:b/>
          <w:color w:val="auto"/>
          <w:spacing w:val="4"/>
          <w:szCs w:val="24"/>
          <w:highlight w:val="none"/>
        </w:rPr>
      </w:pPr>
      <w:r>
        <w:rPr>
          <w:rFonts w:hint="eastAsia" w:ascii="楷体" w:hAnsi="楷体" w:eastAsia="楷体" w:cs="楷体"/>
          <w:b/>
          <w:color w:val="auto"/>
          <w:spacing w:val="4"/>
          <w:szCs w:val="24"/>
          <w:highlight w:val="none"/>
        </w:rPr>
        <w:t>2.3详细评审（总分100分）</w:t>
      </w:r>
    </w:p>
    <w:tbl>
      <w:tblPr>
        <w:tblStyle w:val="17"/>
        <w:tblW w:w="518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4"/>
        <w:gridCol w:w="846"/>
        <w:gridCol w:w="6012"/>
        <w:gridCol w:w="1034"/>
      </w:tblGrid>
      <w:tr w14:paraId="7325C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jc w:val="center"/>
        </w:trPr>
        <w:tc>
          <w:tcPr>
            <w:tcW w:w="534" w:type="pct"/>
            <w:noWrap w:val="0"/>
            <w:vAlign w:val="center"/>
          </w:tcPr>
          <w:p w14:paraId="0805512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楷体" w:hAnsi="楷体" w:eastAsia="楷体" w:cs="楷体"/>
                <w:b/>
                <w:bCs/>
                <w:sz w:val="24"/>
                <w:szCs w:val="24"/>
                <w:highlight w:val="none"/>
              </w:rPr>
            </w:pPr>
            <w:r>
              <w:rPr>
                <w:rFonts w:hint="eastAsia" w:ascii="楷体" w:hAnsi="楷体" w:eastAsia="楷体" w:cs="楷体"/>
                <w:b/>
                <w:bCs/>
                <w:sz w:val="24"/>
                <w:szCs w:val="24"/>
                <w:highlight w:val="none"/>
              </w:rPr>
              <w:t>类别</w:t>
            </w:r>
          </w:p>
        </w:tc>
        <w:tc>
          <w:tcPr>
            <w:tcW w:w="478" w:type="pct"/>
            <w:noWrap w:val="0"/>
            <w:vAlign w:val="center"/>
          </w:tcPr>
          <w:p w14:paraId="145FB9D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楷体" w:hAnsi="楷体" w:eastAsia="楷体" w:cs="楷体"/>
                <w:b/>
                <w:bCs/>
                <w:sz w:val="24"/>
                <w:szCs w:val="24"/>
                <w:highlight w:val="none"/>
              </w:rPr>
            </w:pPr>
            <w:r>
              <w:rPr>
                <w:rFonts w:hint="eastAsia" w:ascii="楷体" w:hAnsi="楷体" w:eastAsia="楷体" w:cs="楷体"/>
                <w:b/>
                <w:bCs/>
                <w:sz w:val="24"/>
                <w:szCs w:val="24"/>
                <w:highlight w:val="none"/>
              </w:rPr>
              <w:t>总分</w:t>
            </w:r>
          </w:p>
        </w:tc>
        <w:tc>
          <w:tcPr>
            <w:tcW w:w="3401" w:type="pct"/>
            <w:noWrap w:val="0"/>
            <w:vAlign w:val="center"/>
          </w:tcPr>
          <w:p w14:paraId="3C5E64E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楷体" w:hAnsi="楷体" w:eastAsia="楷体" w:cs="楷体"/>
                <w:b/>
                <w:bCs/>
                <w:sz w:val="24"/>
                <w:szCs w:val="24"/>
                <w:highlight w:val="none"/>
              </w:rPr>
            </w:pPr>
            <w:r>
              <w:rPr>
                <w:rFonts w:hint="eastAsia" w:ascii="楷体" w:hAnsi="楷体" w:eastAsia="楷体" w:cs="楷体"/>
                <w:b/>
                <w:bCs/>
                <w:sz w:val="24"/>
                <w:szCs w:val="24"/>
                <w:highlight w:val="none"/>
              </w:rPr>
              <w:t>评标因素</w:t>
            </w:r>
          </w:p>
        </w:tc>
        <w:tc>
          <w:tcPr>
            <w:tcW w:w="585" w:type="pct"/>
            <w:noWrap w:val="0"/>
            <w:vAlign w:val="center"/>
          </w:tcPr>
          <w:p w14:paraId="306A66C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楷体" w:hAnsi="楷体" w:eastAsia="楷体" w:cs="楷体"/>
                <w:b/>
                <w:bCs/>
                <w:sz w:val="24"/>
                <w:szCs w:val="24"/>
                <w:highlight w:val="none"/>
              </w:rPr>
            </w:pPr>
            <w:r>
              <w:rPr>
                <w:rFonts w:hint="eastAsia" w:ascii="楷体" w:hAnsi="楷体" w:eastAsia="楷体" w:cs="楷体"/>
                <w:b/>
                <w:bCs/>
                <w:sz w:val="24"/>
                <w:szCs w:val="24"/>
                <w:highlight w:val="none"/>
              </w:rPr>
              <w:t>分项</w:t>
            </w:r>
          </w:p>
          <w:p w14:paraId="2F1E8D8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楷体" w:hAnsi="楷体" w:eastAsia="楷体" w:cs="楷体"/>
                <w:b/>
                <w:bCs/>
                <w:sz w:val="24"/>
                <w:szCs w:val="24"/>
                <w:highlight w:val="none"/>
              </w:rPr>
            </w:pPr>
            <w:r>
              <w:rPr>
                <w:rFonts w:hint="eastAsia" w:ascii="楷体" w:hAnsi="楷体" w:eastAsia="楷体" w:cs="楷体"/>
                <w:b/>
                <w:bCs/>
                <w:sz w:val="24"/>
                <w:szCs w:val="24"/>
                <w:highlight w:val="none"/>
              </w:rPr>
              <w:t>分值</w:t>
            </w:r>
          </w:p>
        </w:tc>
      </w:tr>
      <w:tr w14:paraId="0740F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0" w:hRule="atLeast"/>
          <w:jc w:val="center"/>
        </w:trPr>
        <w:tc>
          <w:tcPr>
            <w:tcW w:w="534" w:type="pct"/>
            <w:noWrap w:val="0"/>
            <w:vAlign w:val="center"/>
          </w:tcPr>
          <w:p w14:paraId="7B0068EA">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楷体" w:hAnsi="楷体" w:eastAsia="楷体" w:cs="楷体"/>
                <w:kern w:val="0"/>
                <w:sz w:val="24"/>
                <w:szCs w:val="24"/>
                <w:highlight w:val="none"/>
                <w:lang w:val="en-US" w:eastAsia="zh-CN"/>
              </w:rPr>
            </w:pPr>
            <w:r>
              <w:rPr>
                <w:rFonts w:hint="eastAsia" w:ascii="楷体" w:hAnsi="楷体" w:eastAsia="楷体" w:cs="楷体"/>
                <w:kern w:val="0"/>
                <w:sz w:val="24"/>
                <w:szCs w:val="24"/>
                <w:highlight w:val="none"/>
                <w:lang w:val="en-US" w:eastAsia="zh-CN"/>
              </w:rPr>
              <w:t>报价</w:t>
            </w:r>
          </w:p>
        </w:tc>
        <w:tc>
          <w:tcPr>
            <w:tcW w:w="478" w:type="pct"/>
            <w:noWrap w:val="0"/>
            <w:vAlign w:val="center"/>
          </w:tcPr>
          <w:p w14:paraId="32A5D6AE">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楷体" w:hAnsi="楷体" w:eastAsia="楷体" w:cs="楷体"/>
                <w:kern w:val="0"/>
                <w:sz w:val="24"/>
                <w:szCs w:val="24"/>
                <w:highlight w:val="none"/>
                <w:lang w:val="en-US" w:eastAsia="zh-CN"/>
              </w:rPr>
            </w:pPr>
            <w:r>
              <w:rPr>
                <w:rFonts w:hint="eastAsia" w:ascii="楷体" w:hAnsi="楷体" w:eastAsia="楷体" w:cs="楷体"/>
                <w:kern w:val="0"/>
                <w:sz w:val="24"/>
                <w:szCs w:val="24"/>
                <w:highlight w:val="none"/>
                <w:lang w:val="en-US" w:eastAsia="zh-CN"/>
              </w:rPr>
              <w:t>10分</w:t>
            </w:r>
          </w:p>
        </w:tc>
        <w:tc>
          <w:tcPr>
            <w:tcW w:w="3401" w:type="pct"/>
            <w:noWrap w:val="0"/>
            <w:vAlign w:val="center"/>
          </w:tcPr>
          <w:p w14:paraId="2AC4054C">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楷体" w:hAnsi="楷体" w:eastAsia="楷体" w:cs="楷体"/>
                <w:kern w:val="0"/>
                <w:sz w:val="24"/>
                <w:szCs w:val="24"/>
                <w:highlight w:val="none"/>
                <w:lang w:val="en-US" w:eastAsia="zh-CN"/>
              </w:rPr>
            </w:pPr>
            <w:r>
              <w:rPr>
                <w:rFonts w:hint="eastAsia" w:ascii="楷体" w:hAnsi="楷体" w:eastAsia="楷体" w:cs="楷体"/>
                <w:kern w:val="0"/>
                <w:sz w:val="24"/>
                <w:szCs w:val="24"/>
                <w:highlight w:val="none"/>
                <w:lang w:val="en-US" w:eastAsia="zh-CN"/>
              </w:rPr>
              <w:t>采用低价优先法计算，即满足磋商文件要求且最后报价最低的供应商的价格为评标基准价，其价格分为满分。磋商报价得分=（磋商基准价/最后磋商报价）×10。</w:t>
            </w:r>
          </w:p>
          <w:p w14:paraId="332DF61D">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楷体" w:hAnsi="楷体" w:eastAsia="楷体" w:cs="楷体"/>
                <w:kern w:val="0"/>
                <w:sz w:val="24"/>
                <w:szCs w:val="24"/>
                <w:highlight w:val="none"/>
                <w:lang w:val="en-US" w:eastAsia="zh-CN"/>
              </w:rPr>
            </w:pPr>
            <w:bookmarkStart w:id="162" w:name="OLE_LINK74"/>
            <w:r>
              <w:rPr>
                <w:rFonts w:hint="eastAsia" w:ascii="楷体" w:hAnsi="楷体" w:eastAsia="楷体" w:cs="楷体"/>
                <w:kern w:val="0"/>
                <w:sz w:val="24"/>
                <w:szCs w:val="24"/>
                <w:highlight w:val="none"/>
                <w:lang w:val="en-US" w:eastAsia="zh-CN"/>
              </w:rPr>
              <w:t>采购包1、采购包2对符合《政府采购促进中小企业发展管理办法》（财库〔2020〕46号）规定的小微企业报价给予10%的扣除，用扣除后的价格参加评审。承接本项目的供应商符合相应条件时，给予10%的价格扣除，即：评标价=最后报价×（1-10%）;监狱企业与残疾人福利性单位视同小型、微型企业，享受同等价格扣除，当企业属性重复时，不重复价格</w:t>
            </w:r>
            <w:bookmarkEnd w:id="162"/>
            <w:r>
              <w:rPr>
                <w:rFonts w:hint="eastAsia" w:ascii="楷体" w:hAnsi="楷体" w:eastAsia="楷体" w:cs="楷体"/>
                <w:kern w:val="0"/>
                <w:sz w:val="24"/>
                <w:szCs w:val="24"/>
                <w:highlight w:val="none"/>
                <w:lang w:val="en-US" w:eastAsia="zh-CN"/>
              </w:rPr>
              <w:t>扣除。</w:t>
            </w:r>
          </w:p>
          <w:p w14:paraId="16AC63F9">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楷体" w:hAnsi="楷体" w:eastAsia="楷体" w:cs="楷体"/>
                <w:kern w:val="0"/>
                <w:sz w:val="24"/>
                <w:szCs w:val="24"/>
                <w:highlight w:val="none"/>
                <w:lang w:val="en-US" w:eastAsia="zh-CN"/>
              </w:rPr>
            </w:pPr>
            <w:r>
              <w:rPr>
                <w:rFonts w:hint="eastAsia" w:ascii="楷体" w:hAnsi="楷体" w:eastAsia="楷体" w:cs="楷体"/>
                <w:b/>
                <w:bCs/>
                <w:kern w:val="0"/>
                <w:sz w:val="24"/>
                <w:szCs w:val="24"/>
                <w:highlight w:val="none"/>
                <w:lang w:val="en-US" w:eastAsia="zh-CN"/>
              </w:rPr>
              <w:t>采购包3、采购包4报价评审</w:t>
            </w:r>
            <w:r>
              <w:rPr>
                <w:rFonts w:hint="eastAsia" w:ascii="楷体" w:hAnsi="楷体" w:eastAsia="楷体" w:cs="楷体"/>
                <w:b/>
                <w:bCs/>
                <w:color w:val="auto"/>
                <w:szCs w:val="24"/>
                <w:highlight w:val="none"/>
                <w:lang w:val="zh-CN"/>
              </w:rPr>
              <w:t>不进行</w:t>
            </w:r>
            <w:r>
              <w:rPr>
                <w:rFonts w:hint="eastAsia" w:ascii="楷体" w:hAnsi="楷体" w:eastAsia="楷体" w:cs="楷体"/>
                <w:b/>
                <w:bCs/>
                <w:color w:val="auto"/>
                <w:szCs w:val="24"/>
                <w:highlight w:val="none"/>
                <w:lang w:val="en-US" w:eastAsia="zh-CN"/>
              </w:rPr>
              <w:t>价格扣除</w:t>
            </w:r>
            <w:r>
              <w:rPr>
                <w:rFonts w:hint="eastAsia" w:ascii="楷体" w:hAnsi="楷体" w:eastAsia="楷体" w:cs="楷体"/>
                <w:b/>
                <w:bCs/>
                <w:color w:val="auto"/>
                <w:szCs w:val="24"/>
                <w:highlight w:val="none"/>
                <w:lang w:val="zh-CN"/>
              </w:rPr>
              <w:t>。</w:t>
            </w:r>
          </w:p>
        </w:tc>
        <w:tc>
          <w:tcPr>
            <w:tcW w:w="585" w:type="pct"/>
            <w:noWrap w:val="0"/>
            <w:vAlign w:val="center"/>
          </w:tcPr>
          <w:p w14:paraId="120BCF82">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楷体" w:hAnsi="楷体" w:eastAsia="楷体" w:cs="楷体"/>
                <w:kern w:val="0"/>
                <w:sz w:val="24"/>
                <w:szCs w:val="24"/>
                <w:highlight w:val="none"/>
                <w:lang w:val="en-US" w:eastAsia="zh-CN"/>
              </w:rPr>
            </w:pPr>
            <w:r>
              <w:rPr>
                <w:rFonts w:hint="eastAsia" w:ascii="楷体" w:hAnsi="楷体" w:eastAsia="楷体" w:cs="楷体"/>
                <w:kern w:val="0"/>
                <w:sz w:val="24"/>
                <w:szCs w:val="24"/>
                <w:highlight w:val="none"/>
                <w:lang w:val="en-US" w:eastAsia="zh-CN"/>
              </w:rPr>
              <w:t>10分</w:t>
            </w:r>
          </w:p>
        </w:tc>
      </w:tr>
      <w:tr w14:paraId="28C6E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534" w:type="pct"/>
            <w:vMerge w:val="restart"/>
            <w:noWrap w:val="0"/>
            <w:vAlign w:val="center"/>
          </w:tcPr>
          <w:p w14:paraId="0505012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楷体" w:hAnsi="楷体" w:eastAsia="楷体" w:cs="楷体"/>
                <w:sz w:val="24"/>
                <w:szCs w:val="24"/>
                <w:highlight w:val="none"/>
                <w:lang w:val="en-US" w:eastAsia="zh-CN"/>
              </w:rPr>
            </w:pPr>
            <w:r>
              <w:rPr>
                <w:rFonts w:hint="eastAsia" w:ascii="楷体" w:hAnsi="楷体" w:eastAsia="楷体" w:cs="楷体"/>
                <w:sz w:val="24"/>
                <w:szCs w:val="24"/>
                <w:highlight w:val="none"/>
                <w:lang w:val="en-US" w:eastAsia="zh-CN"/>
              </w:rPr>
              <w:t>详细</w:t>
            </w:r>
          </w:p>
          <w:p w14:paraId="7837DFF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楷体" w:hAnsi="楷体" w:eastAsia="楷体" w:cs="楷体"/>
                <w:sz w:val="24"/>
                <w:szCs w:val="24"/>
                <w:highlight w:val="none"/>
                <w:lang w:val="en-US" w:eastAsia="zh-CN"/>
              </w:rPr>
            </w:pPr>
            <w:r>
              <w:rPr>
                <w:rFonts w:hint="eastAsia" w:ascii="楷体" w:hAnsi="楷体" w:eastAsia="楷体" w:cs="楷体"/>
                <w:sz w:val="24"/>
                <w:szCs w:val="24"/>
                <w:highlight w:val="none"/>
                <w:lang w:val="en-US" w:eastAsia="zh-CN"/>
              </w:rPr>
              <w:t>评审</w:t>
            </w:r>
          </w:p>
        </w:tc>
        <w:tc>
          <w:tcPr>
            <w:tcW w:w="478" w:type="pct"/>
            <w:vMerge w:val="restart"/>
            <w:noWrap w:val="0"/>
            <w:vAlign w:val="center"/>
          </w:tcPr>
          <w:p w14:paraId="3886B5D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楷体" w:hAnsi="楷体" w:eastAsia="楷体" w:cs="楷体"/>
                <w:sz w:val="24"/>
                <w:szCs w:val="24"/>
                <w:highlight w:val="none"/>
                <w:lang w:val="en-US" w:eastAsia="zh-CN"/>
              </w:rPr>
            </w:pPr>
            <w:r>
              <w:rPr>
                <w:rFonts w:hint="eastAsia" w:ascii="楷体" w:hAnsi="楷体" w:eastAsia="楷体" w:cs="楷体"/>
                <w:sz w:val="24"/>
                <w:szCs w:val="24"/>
                <w:highlight w:val="none"/>
                <w:lang w:val="en-US" w:eastAsia="zh-CN"/>
              </w:rPr>
              <w:t>90分</w:t>
            </w:r>
          </w:p>
        </w:tc>
        <w:tc>
          <w:tcPr>
            <w:tcW w:w="3401" w:type="pct"/>
            <w:noWrap w:val="0"/>
            <w:vAlign w:val="center"/>
          </w:tcPr>
          <w:p w14:paraId="0200D6BA">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楷体" w:hAnsi="楷体" w:eastAsia="楷体" w:cs="楷体"/>
                <w:b/>
                <w:bCs/>
                <w:kern w:val="0"/>
                <w:sz w:val="24"/>
                <w:szCs w:val="24"/>
                <w:highlight w:val="none"/>
                <w:lang w:val="en-US" w:eastAsia="zh-CN"/>
              </w:rPr>
            </w:pPr>
            <w:r>
              <w:rPr>
                <w:rFonts w:hint="eastAsia" w:ascii="楷体" w:hAnsi="楷体" w:eastAsia="楷体" w:cs="楷体"/>
                <w:b/>
                <w:bCs/>
                <w:kern w:val="0"/>
                <w:sz w:val="24"/>
                <w:szCs w:val="24"/>
                <w:highlight w:val="none"/>
                <w:lang w:val="en-US" w:eastAsia="zh-CN"/>
              </w:rPr>
              <w:t>业绩：</w:t>
            </w:r>
          </w:p>
          <w:p w14:paraId="0ACA5864">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楷体" w:hAnsi="楷体" w:eastAsia="楷体" w:cs="楷体"/>
                <w:b/>
                <w:bCs/>
                <w:kern w:val="0"/>
                <w:sz w:val="24"/>
                <w:szCs w:val="24"/>
                <w:highlight w:val="none"/>
                <w:lang w:val="en-US" w:eastAsia="zh-CN"/>
              </w:rPr>
            </w:pPr>
            <w:r>
              <w:rPr>
                <w:rFonts w:hint="eastAsia" w:ascii="楷体" w:hAnsi="楷体" w:eastAsia="楷体" w:cs="楷体"/>
                <w:b/>
                <w:bCs/>
                <w:kern w:val="0"/>
                <w:sz w:val="24"/>
                <w:szCs w:val="24"/>
                <w:highlight w:val="none"/>
                <w:lang w:val="en-US" w:eastAsia="zh-CN"/>
              </w:rPr>
              <w:t>区间分值：0-10分</w:t>
            </w:r>
          </w:p>
          <w:p w14:paraId="2E43483D">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楷体" w:hAnsi="楷体" w:eastAsia="楷体" w:cs="楷体"/>
                <w:b/>
                <w:bCs/>
                <w:kern w:val="0"/>
                <w:sz w:val="24"/>
                <w:szCs w:val="24"/>
                <w:highlight w:val="none"/>
                <w:lang w:val="en-US" w:eastAsia="zh-CN"/>
              </w:rPr>
            </w:pPr>
            <w:r>
              <w:rPr>
                <w:rFonts w:hint="eastAsia" w:ascii="楷体" w:hAnsi="楷体" w:eastAsia="楷体" w:cs="楷体"/>
                <w:b/>
                <w:bCs/>
                <w:kern w:val="0"/>
                <w:sz w:val="24"/>
                <w:szCs w:val="24"/>
                <w:highlight w:val="none"/>
                <w:lang w:val="en-US" w:eastAsia="zh-CN"/>
              </w:rPr>
              <w:t>评审标准细化及量化内容：</w:t>
            </w:r>
          </w:p>
          <w:p w14:paraId="4AB1229C">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楷体" w:hAnsi="楷体" w:eastAsia="楷体" w:cs="楷体"/>
                <w:kern w:val="0"/>
                <w:sz w:val="24"/>
                <w:szCs w:val="24"/>
                <w:highlight w:val="none"/>
                <w:lang w:val="en-US" w:eastAsia="zh-CN"/>
              </w:rPr>
            </w:pPr>
            <w:r>
              <w:rPr>
                <w:rFonts w:hint="eastAsia" w:ascii="楷体" w:hAnsi="楷体" w:eastAsia="楷体" w:cs="楷体"/>
                <w:kern w:val="0"/>
                <w:sz w:val="24"/>
                <w:szCs w:val="24"/>
                <w:highlight w:val="none"/>
                <w:lang w:val="en-US" w:eastAsia="zh-CN"/>
              </w:rPr>
              <w:t xml:space="preserve">供应商提供2022年起承担过本采购包部分或全部同种产品质量监督抽查业绩，每提供1个得2分，最高10分。  </w:t>
            </w:r>
          </w:p>
          <w:p w14:paraId="57BC4DCB">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楷体" w:hAnsi="楷体" w:eastAsia="楷体" w:cs="楷体"/>
                <w:kern w:val="0"/>
                <w:sz w:val="24"/>
                <w:szCs w:val="24"/>
                <w:highlight w:val="none"/>
                <w:lang w:val="en-US" w:eastAsia="zh-CN"/>
              </w:rPr>
            </w:pPr>
            <w:r>
              <w:rPr>
                <w:rFonts w:hint="eastAsia" w:ascii="楷体" w:hAnsi="楷体" w:eastAsia="楷体" w:cs="楷体"/>
                <w:kern w:val="0"/>
                <w:sz w:val="24"/>
                <w:szCs w:val="24"/>
                <w:highlight w:val="none"/>
                <w:lang w:val="en-US" w:eastAsia="zh-CN"/>
              </w:rPr>
              <w:t>备注：业绩证明材料仅包含；1.加盖公章的相关行政部门的监督抽查（抽查检验）文件复印件；2.相关行政部门委托的监督抽查（抽查检验）合同；以上两种证明材料任意提供一种即可，其他材料不予认可。</w:t>
            </w:r>
          </w:p>
        </w:tc>
        <w:tc>
          <w:tcPr>
            <w:tcW w:w="585" w:type="pct"/>
            <w:noWrap w:val="0"/>
            <w:vAlign w:val="center"/>
          </w:tcPr>
          <w:p w14:paraId="0A222D6F">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楷体" w:hAnsi="楷体" w:eastAsia="楷体" w:cs="楷体"/>
                <w:sz w:val="24"/>
                <w:szCs w:val="24"/>
                <w:highlight w:val="none"/>
                <w:lang w:val="en-US" w:eastAsia="zh-CN"/>
              </w:rPr>
            </w:pPr>
            <w:r>
              <w:rPr>
                <w:rFonts w:hint="eastAsia" w:ascii="楷体" w:hAnsi="楷体" w:eastAsia="楷体" w:cs="楷体"/>
                <w:sz w:val="24"/>
                <w:szCs w:val="24"/>
                <w:highlight w:val="none"/>
                <w:lang w:val="en-US" w:eastAsia="zh-CN"/>
              </w:rPr>
              <w:t>10分</w:t>
            </w:r>
          </w:p>
        </w:tc>
      </w:tr>
      <w:tr w14:paraId="19B10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534" w:type="pct"/>
            <w:vMerge w:val="continue"/>
            <w:noWrap w:val="0"/>
            <w:vAlign w:val="center"/>
          </w:tcPr>
          <w:p w14:paraId="0B629084">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楷体" w:hAnsi="楷体" w:eastAsia="楷体" w:cs="楷体"/>
                <w:sz w:val="24"/>
                <w:szCs w:val="24"/>
                <w:highlight w:val="none"/>
              </w:rPr>
            </w:pPr>
          </w:p>
        </w:tc>
        <w:tc>
          <w:tcPr>
            <w:tcW w:w="478" w:type="pct"/>
            <w:vMerge w:val="continue"/>
            <w:noWrap w:val="0"/>
            <w:vAlign w:val="center"/>
          </w:tcPr>
          <w:p w14:paraId="7BA1F656">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楷体" w:hAnsi="楷体" w:eastAsia="楷体" w:cs="楷体"/>
                <w:sz w:val="24"/>
                <w:szCs w:val="24"/>
                <w:highlight w:val="none"/>
              </w:rPr>
            </w:pPr>
          </w:p>
        </w:tc>
        <w:tc>
          <w:tcPr>
            <w:tcW w:w="3401" w:type="pct"/>
            <w:noWrap w:val="0"/>
            <w:vAlign w:val="center"/>
          </w:tcPr>
          <w:p w14:paraId="3739CB0E">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楷体" w:hAnsi="楷体" w:eastAsia="楷体" w:cs="楷体"/>
                <w:b/>
                <w:bCs/>
                <w:kern w:val="0"/>
                <w:sz w:val="24"/>
                <w:szCs w:val="24"/>
                <w:highlight w:val="none"/>
                <w:lang w:val="en-US" w:eastAsia="zh-CN"/>
              </w:rPr>
            </w:pPr>
            <w:r>
              <w:rPr>
                <w:rFonts w:hint="eastAsia" w:ascii="楷体" w:hAnsi="楷体" w:eastAsia="楷体" w:cs="楷体"/>
                <w:b/>
                <w:bCs/>
                <w:kern w:val="0"/>
                <w:sz w:val="24"/>
                <w:szCs w:val="24"/>
                <w:highlight w:val="none"/>
                <w:lang w:val="en-US" w:eastAsia="zh-CN"/>
              </w:rPr>
              <w:t>项目理解及现状分析：</w:t>
            </w:r>
          </w:p>
          <w:p w14:paraId="30EB5D3C">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楷体" w:hAnsi="楷体" w:eastAsia="楷体" w:cs="楷体"/>
                <w:b/>
                <w:bCs/>
                <w:kern w:val="0"/>
                <w:sz w:val="24"/>
                <w:szCs w:val="24"/>
                <w:highlight w:val="none"/>
                <w:lang w:val="en-US" w:eastAsia="zh-CN"/>
              </w:rPr>
            </w:pPr>
            <w:r>
              <w:rPr>
                <w:rFonts w:hint="eastAsia" w:ascii="楷体" w:hAnsi="楷体" w:eastAsia="楷体" w:cs="楷体"/>
                <w:b/>
                <w:bCs/>
                <w:kern w:val="0"/>
                <w:sz w:val="24"/>
                <w:szCs w:val="24"/>
                <w:highlight w:val="none"/>
                <w:lang w:val="en-US" w:eastAsia="zh-CN"/>
              </w:rPr>
              <w:t>区间分值：0-5分</w:t>
            </w:r>
          </w:p>
          <w:p w14:paraId="289C06DC">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楷体" w:hAnsi="楷体" w:eastAsia="楷体" w:cs="楷体"/>
                <w:kern w:val="0"/>
                <w:sz w:val="24"/>
                <w:szCs w:val="24"/>
                <w:highlight w:val="none"/>
                <w:lang w:val="en-US" w:eastAsia="zh-CN"/>
              </w:rPr>
            </w:pPr>
            <w:r>
              <w:rPr>
                <w:rFonts w:hint="eastAsia" w:ascii="楷体" w:hAnsi="楷体" w:eastAsia="楷体" w:cs="楷体"/>
                <w:kern w:val="0"/>
                <w:sz w:val="24"/>
                <w:szCs w:val="24"/>
                <w:highlight w:val="none"/>
                <w:lang w:val="en-US" w:eastAsia="zh-CN"/>
              </w:rPr>
              <w:t>供应商提供针对整体目标的项目理解及现状分析。</w:t>
            </w:r>
          </w:p>
          <w:p w14:paraId="7D38D130">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楷体" w:hAnsi="楷体" w:eastAsia="楷体" w:cs="楷体"/>
                <w:b/>
                <w:bCs/>
                <w:kern w:val="0"/>
                <w:sz w:val="24"/>
                <w:szCs w:val="24"/>
                <w:highlight w:val="none"/>
                <w:lang w:val="en-US" w:eastAsia="zh-CN"/>
              </w:rPr>
            </w:pPr>
            <w:r>
              <w:rPr>
                <w:rFonts w:hint="eastAsia" w:ascii="楷体" w:hAnsi="楷体" w:eastAsia="楷体" w:cs="楷体"/>
                <w:b/>
                <w:bCs/>
                <w:kern w:val="0"/>
                <w:sz w:val="24"/>
                <w:szCs w:val="24"/>
                <w:highlight w:val="none"/>
                <w:lang w:val="en-US" w:eastAsia="zh-CN"/>
              </w:rPr>
              <w:t>评审标准细化内容：</w:t>
            </w:r>
          </w:p>
          <w:p w14:paraId="6C1F018A">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楷体" w:hAnsi="楷体" w:eastAsia="楷体" w:cs="楷体"/>
                <w:kern w:val="0"/>
                <w:sz w:val="24"/>
                <w:szCs w:val="24"/>
                <w:highlight w:val="none"/>
                <w:lang w:val="en-US" w:eastAsia="zh-CN"/>
              </w:rPr>
            </w:pPr>
            <w:r>
              <w:rPr>
                <w:rFonts w:hint="eastAsia" w:ascii="楷体" w:hAnsi="楷体" w:eastAsia="楷体" w:cs="楷体"/>
                <w:kern w:val="0"/>
                <w:sz w:val="24"/>
                <w:szCs w:val="24"/>
                <w:highlight w:val="none"/>
                <w:lang w:val="en-US" w:eastAsia="zh-CN"/>
              </w:rPr>
              <w:t>①对项目的理解②现状情况分析。</w:t>
            </w:r>
          </w:p>
          <w:p w14:paraId="0343292C">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楷体" w:hAnsi="楷体" w:eastAsia="楷体" w:cs="楷体"/>
                <w:b/>
                <w:bCs/>
                <w:kern w:val="0"/>
                <w:sz w:val="24"/>
                <w:szCs w:val="24"/>
                <w:highlight w:val="none"/>
                <w:lang w:val="en-US" w:eastAsia="zh-CN"/>
              </w:rPr>
            </w:pPr>
            <w:r>
              <w:rPr>
                <w:rFonts w:hint="eastAsia" w:ascii="楷体" w:hAnsi="楷体" w:eastAsia="楷体" w:cs="楷体"/>
                <w:b/>
                <w:bCs/>
                <w:kern w:val="0"/>
                <w:sz w:val="24"/>
                <w:szCs w:val="24"/>
                <w:highlight w:val="none"/>
                <w:lang w:val="en-US" w:eastAsia="zh-CN"/>
              </w:rPr>
              <w:t>评审标准：</w:t>
            </w:r>
          </w:p>
          <w:p w14:paraId="1DA0C87C">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楷体" w:hAnsi="楷体" w:eastAsia="楷体" w:cs="楷体"/>
                <w:kern w:val="0"/>
                <w:sz w:val="24"/>
                <w:szCs w:val="24"/>
                <w:highlight w:val="none"/>
                <w:lang w:val="en-US" w:eastAsia="zh-CN"/>
              </w:rPr>
            </w:pPr>
            <w:r>
              <w:rPr>
                <w:rFonts w:hint="eastAsia" w:ascii="楷体" w:hAnsi="楷体" w:eastAsia="楷体" w:cs="楷体"/>
                <w:kern w:val="0"/>
                <w:sz w:val="24"/>
                <w:szCs w:val="24"/>
                <w:highlight w:val="none"/>
                <w:lang w:val="en-US" w:eastAsia="zh-CN"/>
              </w:rPr>
              <w:t>1.完整性：项目理解及现状分析详细全面，符合项目采购要求；</w:t>
            </w:r>
          </w:p>
          <w:p w14:paraId="2E2E98A9">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楷体" w:hAnsi="楷体" w:eastAsia="楷体" w:cs="楷体"/>
                <w:kern w:val="0"/>
                <w:sz w:val="24"/>
                <w:szCs w:val="24"/>
                <w:highlight w:val="none"/>
                <w:lang w:val="en-US" w:eastAsia="zh-CN"/>
              </w:rPr>
            </w:pPr>
            <w:r>
              <w:rPr>
                <w:rFonts w:hint="eastAsia" w:ascii="楷体" w:hAnsi="楷体" w:eastAsia="楷体" w:cs="楷体"/>
                <w:kern w:val="0"/>
                <w:sz w:val="24"/>
                <w:szCs w:val="24"/>
                <w:highlight w:val="none"/>
                <w:lang w:val="en-US" w:eastAsia="zh-CN"/>
              </w:rPr>
              <w:t>2.可实施性：项目理解及现状分析切合本项目实际情况，方案全面、实施步骤清晰、合理；</w:t>
            </w:r>
          </w:p>
          <w:p w14:paraId="6917E842">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楷体" w:hAnsi="楷体" w:eastAsia="楷体" w:cs="楷体"/>
                <w:kern w:val="0"/>
                <w:sz w:val="24"/>
                <w:szCs w:val="24"/>
                <w:highlight w:val="none"/>
                <w:lang w:val="en-US" w:eastAsia="zh-CN"/>
              </w:rPr>
            </w:pPr>
            <w:r>
              <w:rPr>
                <w:rFonts w:hint="eastAsia" w:ascii="楷体" w:hAnsi="楷体" w:eastAsia="楷体" w:cs="楷体"/>
                <w:kern w:val="0"/>
                <w:sz w:val="24"/>
                <w:szCs w:val="24"/>
                <w:highlight w:val="none"/>
                <w:lang w:val="en-US" w:eastAsia="zh-CN"/>
              </w:rPr>
              <w:t>3.针对性：项目理解及现状分析能够紧扣项目实际情况，内容科学合理。</w:t>
            </w:r>
          </w:p>
          <w:p w14:paraId="320CF539">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楷体" w:hAnsi="楷体" w:eastAsia="楷体" w:cs="楷体"/>
                <w:b/>
                <w:bCs/>
                <w:kern w:val="0"/>
                <w:sz w:val="24"/>
                <w:szCs w:val="24"/>
                <w:highlight w:val="none"/>
                <w:lang w:val="en-US" w:eastAsia="zh-CN"/>
              </w:rPr>
            </w:pPr>
            <w:r>
              <w:rPr>
                <w:rFonts w:hint="eastAsia" w:ascii="楷体" w:hAnsi="楷体" w:eastAsia="楷体" w:cs="楷体"/>
                <w:b/>
                <w:bCs/>
                <w:kern w:val="0"/>
                <w:sz w:val="24"/>
                <w:szCs w:val="24"/>
                <w:highlight w:val="none"/>
                <w:lang w:val="en-US" w:eastAsia="zh-CN"/>
              </w:rPr>
              <w:t>评审标准量化内容：</w:t>
            </w:r>
          </w:p>
          <w:p w14:paraId="259224B2">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楷体" w:hAnsi="楷体" w:eastAsia="楷体" w:cs="楷体"/>
                <w:kern w:val="0"/>
                <w:sz w:val="24"/>
                <w:szCs w:val="24"/>
                <w:highlight w:val="none"/>
                <w:lang w:val="en-US" w:eastAsia="zh-CN"/>
              </w:rPr>
            </w:pPr>
            <w:r>
              <w:rPr>
                <w:rFonts w:hint="eastAsia" w:ascii="楷体" w:hAnsi="楷体" w:eastAsia="楷体" w:cs="楷体"/>
                <w:kern w:val="0"/>
                <w:sz w:val="24"/>
                <w:szCs w:val="24"/>
                <w:highlight w:val="none"/>
                <w:lang w:val="en-US" w:eastAsia="zh-CN"/>
              </w:rPr>
              <w:t>1.总体目标清晰，掌握市场生产、销售主体分布情况，工作流程明确合理，完全符合国家及省市相关规定的得5分；</w:t>
            </w:r>
          </w:p>
          <w:p w14:paraId="3523ACF8">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楷体" w:hAnsi="楷体" w:eastAsia="楷体" w:cs="楷体"/>
                <w:kern w:val="0"/>
                <w:sz w:val="24"/>
                <w:szCs w:val="24"/>
                <w:highlight w:val="none"/>
                <w:lang w:val="en-US" w:eastAsia="zh-CN"/>
              </w:rPr>
            </w:pPr>
            <w:r>
              <w:rPr>
                <w:rFonts w:hint="eastAsia" w:ascii="楷体" w:hAnsi="楷体" w:eastAsia="楷体" w:cs="楷体"/>
                <w:kern w:val="0"/>
                <w:sz w:val="24"/>
                <w:szCs w:val="24"/>
                <w:highlight w:val="none"/>
                <w:lang w:val="en-US" w:eastAsia="zh-CN"/>
              </w:rPr>
              <w:t>2.总体目标清晰，掌握市场部分生产、销售主体分布情况，工作流程明确，符合国家及省市相关规定的得4分；</w:t>
            </w:r>
          </w:p>
          <w:p w14:paraId="37CE13A2">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楷体" w:hAnsi="楷体" w:eastAsia="楷体" w:cs="楷体"/>
                <w:kern w:val="0"/>
                <w:sz w:val="24"/>
                <w:szCs w:val="24"/>
                <w:highlight w:val="none"/>
                <w:lang w:val="en-US" w:eastAsia="zh-CN"/>
              </w:rPr>
            </w:pPr>
            <w:r>
              <w:rPr>
                <w:rFonts w:hint="eastAsia" w:ascii="楷体" w:hAnsi="楷体" w:eastAsia="楷体" w:cs="楷体"/>
                <w:kern w:val="0"/>
                <w:sz w:val="24"/>
                <w:szCs w:val="24"/>
                <w:highlight w:val="none"/>
                <w:lang w:val="en-US" w:eastAsia="zh-CN"/>
              </w:rPr>
              <w:t>3.总体目标较为清晰，工作流程较为明确，符合国家及省市相关规定的得3分；</w:t>
            </w:r>
          </w:p>
          <w:p w14:paraId="5BD2BD6F">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楷体" w:hAnsi="楷体" w:eastAsia="楷体" w:cs="楷体"/>
                <w:kern w:val="0"/>
                <w:sz w:val="24"/>
                <w:szCs w:val="24"/>
                <w:highlight w:val="none"/>
                <w:lang w:val="en-US" w:eastAsia="zh-CN"/>
              </w:rPr>
            </w:pPr>
            <w:r>
              <w:rPr>
                <w:rFonts w:hint="eastAsia" w:ascii="楷体" w:hAnsi="楷体" w:eastAsia="楷体" w:cs="楷体"/>
                <w:kern w:val="0"/>
                <w:sz w:val="24"/>
                <w:szCs w:val="24"/>
                <w:highlight w:val="none"/>
                <w:lang w:val="en-US" w:eastAsia="zh-CN"/>
              </w:rPr>
              <w:t xml:space="preserve">4.总体目标基本清晰，工作流程基本明确，基本符合国家及省市相关规定的得2分； </w:t>
            </w:r>
          </w:p>
          <w:p w14:paraId="4D68F06F">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楷体" w:hAnsi="楷体" w:eastAsia="楷体" w:cs="楷体"/>
                <w:kern w:val="0"/>
                <w:sz w:val="24"/>
                <w:szCs w:val="24"/>
                <w:highlight w:val="none"/>
                <w:lang w:val="en-US" w:eastAsia="zh-CN"/>
              </w:rPr>
            </w:pPr>
            <w:r>
              <w:rPr>
                <w:rFonts w:hint="eastAsia" w:ascii="楷体" w:hAnsi="楷体" w:eastAsia="楷体" w:cs="楷体"/>
                <w:kern w:val="0"/>
                <w:sz w:val="24"/>
                <w:szCs w:val="24"/>
                <w:highlight w:val="none"/>
                <w:lang w:val="en-US" w:eastAsia="zh-CN"/>
              </w:rPr>
              <w:t xml:space="preserve">5.总体目标不够清晰，工作流程不够明确，基本符合国家及省市相关规定的得1分； </w:t>
            </w:r>
          </w:p>
          <w:p w14:paraId="063B3000">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楷体" w:hAnsi="楷体" w:eastAsia="楷体" w:cs="楷体"/>
                <w:b/>
                <w:bCs/>
                <w:kern w:val="0"/>
                <w:sz w:val="24"/>
                <w:szCs w:val="24"/>
                <w:highlight w:val="none"/>
                <w:lang w:val="en-US" w:eastAsia="zh-CN"/>
              </w:rPr>
            </w:pPr>
            <w:r>
              <w:rPr>
                <w:rFonts w:hint="eastAsia" w:ascii="楷体" w:hAnsi="楷体" w:eastAsia="楷体" w:cs="楷体"/>
                <w:kern w:val="0"/>
                <w:sz w:val="24"/>
                <w:szCs w:val="24"/>
                <w:highlight w:val="none"/>
                <w:lang w:val="en-US" w:eastAsia="zh-CN"/>
              </w:rPr>
              <w:t>6.未提供或工作流程不符合规定的得0分。</w:t>
            </w:r>
          </w:p>
        </w:tc>
        <w:tc>
          <w:tcPr>
            <w:tcW w:w="585" w:type="pct"/>
            <w:noWrap w:val="0"/>
            <w:vAlign w:val="center"/>
          </w:tcPr>
          <w:p w14:paraId="3C0E0A96">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楷体" w:hAnsi="楷体" w:eastAsia="楷体" w:cs="楷体"/>
                <w:sz w:val="24"/>
                <w:szCs w:val="24"/>
                <w:highlight w:val="none"/>
                <w:lang w:val="en-US" w:eastAsia="zh-CN"/>
              </w:rPr>
            </w:pPr>
            <w:r>
              <w:rPr>
                <w:rFonts w:hint="eastAsia" w:ascii="楷体" w:hAnsi="楷体" w:eastAsia="楷体" w:cs="楷体"/>
                <w:sz w:val="24"/>
                <w:szCs w:val="24"/>
                <w:highlight w:val="none"/>
                <w:lang w:val="en-US" w:eastAsia="zh-CN"/>
              </w:rPr>
              <w:t>5分</w:t>
            </w:r>
          </w:p>
        </w:tc>
      </w:tr>
      <w:tr w14:paraId="1AE1F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34" w:type="pct"/>
            <w:vMerge w:val="continue"/>
            <w:noWrap w:val="0"/>
            <w:vAlign w:val="center"/>
          </w:tcPr>
          <w:p w14:paraId="183EF2C6">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楷体" w:hAnsi="楷体" w:eastAsia="楷体" w:cs="楷体"/>
                <w:sz w:val="24"/>
                <w:szCs w:val="24"/>
                <w:highlight w:val="none"/>
                <w:lang w:val="en-US" w:eastAsia="zh-CN"/>
              </w:rPr>
            </w:pPr>
          </w:p>
        </w:tc>
        <w:tc>
          <w:tcPr>
            <w:tcW w:w="478" w:type="pct"/>
            <w:vMerge w:val="continue"/>
            <w:noWrap w:val="0"/>
            <w:vAlign w:val="center"/>
          </w:tcPr>
          <w:p w14:paraId="4BDDF33B">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楷体" w:hAnsi="楷体" w:eastAsia="楷体" w:cs="楷体"/>
                <w:sz w:val="24"/>
                <w:szCs w:val="24"/>
                <w:highlight w:val="none"/>
                <w:lang w:val="en-US" w:eastAsia="zh-CN"/>
              </w:rPr>
            </w:pPr>
          </w:p>
        </w:tc>
        <w:tc>
          <w:tcPr>
            <w:tcW w:w="3401" w:type="pct"/>
            <w:noWrap w:val="0"/>
            <w:vAlign w:val="center"/>
          </w:tcPr>
          <w:p w14:paraId="643DAB06">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楷体" w:hAnsi="楷体" w:eastAsia="楷体" w:cs="楷体"/>
                <w:b/>
                <w:bCs/>
                <w:kern w:val="0"/>
                <w:sz w:val="24"/>
                <w:szCs w:val="24"/>
                <w:highlight w:val="none"/>
                <w:lang w:val="en-US" w:eastAsia="zh-CN"/>
              </w:rPr>
            </w:pPr>
            <w:r>
              <w:rPr>
                <w:rFonts w:hint="eastAsia" w:ascii="楷体" w:hAnsi="楷体" w:eastAsia="楷体" w:cs="楷体"/>
                <w:b/>
                <w:bCs/>
                <w:kern w:val="0"/>
                <w:sz w:val="24"/>
                <w:szCs w:val="24"/>
                <w:highlight w:val="none"/>
                <w:lang w:val="en-US" w:eastAsia="zh-CN"/>
              </w:rPr>
              <w:t>项目实施方案：</w:t>
            </w:r>
          </w:p>
          <w:p w14:paraId="4109571A">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楷体" w:hAnsi="楷体" w:eastAsia="楷体" w:cs="楷体"/>
                <w:b/>
                <w:bCs/>
                <w:kern w:val="0"/>
                <w:sz w:val="24"/>
                <w:szCs w:val="24"/>
                <w:highlight w:val="none"/>
                <w:lang w:val="en-US" w:eastAsia="zh-CN"/>
              </w:rPr>
            </w:pPr>
            <w:bookmarkStart w:id="163" w:name="OLE_LINK89"/>
            <w:r>
              <w:rPr>
                <w:rFonts w:hint="eastAsia" w:ascii="楷体" w:hAnsi="楷体" w:eastAsia="楷体" w:cs="楷体"/>
                <w:b/>
                <w:bCs/>
                <w:kern w:val="0"/>
                <w:sz w:val="24"/>
                <w:szCs w:val="24"/>
                <w:highlight w:val="none"/>
                <w:lang w:val="en-US" w:eastAsia="zh-CN"/>
              </w:rPr>
              <w:t>区间分值：0-18分</w:t>
            </w:r>
          </w:p>
          <w:p w14:paraId="378D7D47">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楷体" w:hAnsi="楷体" w:eastAsia="楷体" w:cs="楷体"/>
                <w:kern w:val="0"/>
                <w:sz w:val="24"/>
                <w:szCs w:val="24"/>
                <w:highlight w:val="none"/>
                <w:lang w:val="en-US" w:eastAsia="zh-CN"/>
              </w:rPr>
            </w:pPr>
            <w:r>
              <w:rPr>
                <w:rFonts w:hint="eastAsia" w:ascii="楷体" w:hAnsi="楷体" w:eastAsia="楷体" w:cs="楷体"/>
                <w:kern w:val="0"/>
                <w:sz w:val="24"/>
                <w:szCs w:val="24"/>
                <w:highlight w:val="none"/>
                <w:lang w:val="en-US" w:eastAsia="zh-CN"/>
              </w:rPr>
              <w:t>供应商提供针对本项目的实施方案。</w:t>
            </w:r>
          </w:p>
          <w:p w14:paraId="2E81C7AE">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楷体" w:hAnsi="楷体" w:eastAsia="楷体" w:cs="楷体"/>
                <w:b/>
                <w:bCs/>
                <w:kern w:val="0"/>
                <w:sz w:val="24"/>
                <w:szCs w:val="24"/>
                <w:highlight w:val="none"/>
                <w:lang w:val="en-US" w:eastAsia="zh-CN"/>
              </w:rPr>
            </w:pPr>
            <w:r>
              <w:rPr>
                <w:rFonts w:hint="eastAsia" w:ascii="楷体" w:hAnsi="楷体" w:eastAsia="楷体" w:cs="楷体"/>
                <w:b/>
                <w:bCs/>
                <w:kern w:val="0"/>
                <w:sz w:val="24"/>
                <w:szCs w:val="24"/>
                <w:highlight w:val="none"/>
                <w:lang w:val="en-US" w:eastAsia="zh-CN"/>
              </w:rPr>
              <w:t>评审标准细化内容：</w:t>
            </w:r>
          </w:p>
          <w:p w14:paraId="6CB034D2">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楷体" w:hAnsi="楷体" w:eastAsia="楷体" w:cs="楷体"/>
                <w:kern w:val="0"/>
                <w:sz w:val="24"/>
                <w:szCs w:val="24"/>
                <w:highlight w:val="none"/>
                <w:lang w:val="en-US" w:eastAsia="zh-CN"/>
              </w:rPr>
            </w:pPr>
            <w:r>
              <w:rPr>
                <w:rFonts w:hint="eastAsia" w:ascii="楷体" w:hAnsi="楷体" w:eastAsia="楷体" w:cs="楷体"/>
                <w:kern w:val="0"/>
                <w:sz w:val="24"/>
                <w:szCs w:val="24"/>
                <w:highlight w:val="none"/>
                <w:lang w:val="en-US" w:eastAsia="zh-CN"/>
              </w:rPr>
              <w:t>①工作流程②车辆管理③实验室管理制度④进度计划安排⑤人员组织管理⑥应对突发状况的预防处理措施等方面。</w:t>
            </w:r>
          </w:p>
          <w:p w14:paraId="18023F5C">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楷体" w:hAnsi="楷体" w:eastAsia="楷体" w:cs="楷体"/>
                <w:b/>
                <w:bCs/>
                <w:kern w:val="0"/>
                <w:sz w:val="24"/>
                <w:szCs w:val="24"/>
                <w:highlight w:val="none"/>
                <w:lang w:val="en-US" w:eastAsia="zh-CN"/>
              </w:rPr>
            </w:pPr>
            <w:r>
              <w:rPr>
                <w:rFonts w:hint="eastAsia" w:ascii="楷体" w:hAnsi="楷体" w:eastAsia="楷体" w:cs="楷体"/>
                <w:b/>
                <w:bCs/>
                <w:kern w:val="0"/>
                <w:sz w:val="24"/>
                <w:szCs w:val="24"/>
                <w:highlight w:val="none"/>
                <w:lang w:val="en-US" w:eastAsia="zh-CN"/>
              </w:rPr>
              <w:t>评审标准：</w:t>
            </w:r>
          </w:p>
          <w:p w14:paraId="1B58890D">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楷体" w:hAnsi="楷体" w:eastAsia="楷体" w:cs="楷体"/>
                <w:kern w:val="0"/>
                <w:sz w:val="24"/>
                <w:szCs w:val="24"/>
                <w:highlight w:val="none"/>
                <w:lang w:val="en-US" w:eastAsia="zh-CN"/>
              </w:rPr>
            </w:pPr>
            <w:r>
              <w:rPr>
                <w:rFonts w:hint="eastAsia" w:ascii="楷体" w:hAnsi="楷体" w:eastAsia="楷体" w:cs="楷体"/>
                <w:kern w:val="0"/>
                <w:sz w:val="24"/>
                <w:szCs w:val="24"/>
                <w:highlight w:val="none"/>
                <w:lang w:val="en-US" w:eastAsia="zh-CN"/>
              </w:rPr>
              <w:t>1.完整性：项目实施方案分析详细全面，符合项目采购要求；</w:t>
            </w:r>
          </w:p>
          <w:p w14:paraId="019BC005">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楷体" w:hAnsi="楷体" w:eastAsia="楷体" w:cs="楷体"/>
                <w:kern w:val="0"/>
                <w:sz w:val="24"/>
                <w:szCs w:val="24"/>
                <w:highlight w:val="none"/>
                <w:lang w:val="en-US" w:eastAsia="zh-CN"/>
              </w:rPr>
            </w:pPr>
            <w:r>
              <w:rPr>
                <w:rFonts w:hint="eastAsia" w:ascii="楷体" w:hAnsi="楷体" w:eastAsia="楷体" w:cs="楷体"/>
                <w:kern w:val="0"/>
                <w:sz w:val="24"/>
                <w:szCs w:val="24"/>
                <w:highlight w:val="none"/>
                <w:lang w:val="en-US" w:eastAsia="zh-CN"/>
              </w:rPr>
              <w:t>2.可实施性：项目实施方案切合本项目实际情况，方案全面、实施步骤清晰、合理；</w:t>
            </w:r>
          </w:p>
          <w:p w14:paraId="48520C3B">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楷体" w:hAnsi="楷体" w:eastAsia="楷体" w:cs="楷体"/>
                <w:kern w:val="0"/>
                <w:sz w:val="24"/>
                <w:szCs w:val="24"/>
                <w:highlight w:val="none"/>
                <w:lang w:val="en-US" w:eastAsia="zh-CN"/>
              </w:rPr>
            </w:pPr>
            <w:r>
              <w:rPr>
                <w:rFonts w:hint="eastAsia" w:ascii="楷体" w:hAnsi="楷体" w:eastAsia="楷体" w:cs="楷体"/>
                <w:kern w:val="0"/>
                <w:sz w:val="24"/>
                <w:szCs w:val="24"/>
                <w:highlight w:val="none"/>
                <w:lang w:val="en-US" w:eastAsia="zh-CN"/>
              </w:rPr>
              <w:t>3.针对性：项目实施方案能够紧扣项目实际情况，内容科学合理。</w:t>
            </w:r>
          </w:p>
          <w:p w14:paraId="1B5FE0DF">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楷体" w:hAnsi="楷体" w:eastAsia="楷体" w:cs="楷体"/>
                <w:b/>
                <w:bCs/>
                <w:kern w:val="0"/>
                <w:sz w:val="24"/>
                <w:szCs w:val="24"/>
                <w:highlight w:val="none"/>
                <w:lang w:val="en-US" w:eastAsia="zh-CN"/>
              </w:rPr>
            </w:pPr>
            <w:r>
              <w:rPr>
                <w:rFonts w:hint="eastAsia" w:ascii="楷体" w:hAnsi="楷体" w:eastAsia="楷体" w:cs="楷体"/>
                <w:b/>
                <w:bCs/>
                <w:kern w:val="0"/>
                <w:sz w:val="24"/>
                <w:szCs w:val="24"/>
                <w:highlight w:val="none"/>
                <w:lang w:val="en-US" w:eastAsia="zh-CN"/>
              </w:rPr>
              <w:t>评审标准量化内容：</w:t>
            </w:r>
          </w:p>
          <w:p w14:paraId="72F7E333">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楷体" w:hAnsi="楷体" w:eastAsia="楷体" w:cs="楷体"/>
                <w:kern w:val="0"/>
                <w:sz w:val="24"/>
                <w:szCs w:val="24"/>
                <w:highlight w:val="none"/>
                <w:lang w:val="en-US" w:eastAsia="zh-CN"/>
              </w:rPr>
            </w:pPr>
            <w:r>
              <w:rPr>
                <w:rFonts w:hint="eastAsia" w:ascii="楷体" w:hAnsi="楷体" w:eastAsia="楷体" w:cs="楷体"/>
                <w:kern w:val="0"/>
                <w:sz w:val="24"/>
                <w:szCs w:val="24"/>
                <w:highlight w:val="none"/>
                <w:lang w:val="en-US" w:eastAsia="zh-CN"/>
              </w:rPr>
              <w:t>1.每个单项方案内容完整、思路明晰合理、科学、实用、针对性强得3分；</w:t>
            </w:r>
          </w:p>
          <w:p w14:paraId="16B5CED7">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楷体" w:hAnsi="楷体" w:eastAsia="楷体" w:cs="楷体"/>
                <w:kern w:val="0"/>
                <w:sz w:val="24"/>
                <w:szCs w:val="24"/>
                <w:highlight w:val="none"/>
                <w:lang w:val="en-US" w:eastAsia="zh-CN"/>
              </w:rPr>
            </w:pPr>
            <w:r>
              <w:rPr>
                <w:rFonts w:hint="eastAsia" w:ascii="楷体" w:hAnsi="楷体" w:eastAsia="楷体" w:cs="楷体"/>
                <w:kern w:val="0"/>
                <w:sz w:val="24"/>
                <w:szCs w:val="24"/>
                <w:highlight w:val="none"/>
                <w:lang w:val="en-US" w:eastAsia="zh-CN"/>
              </w:rPr>
              <w:t>2.每个单项方案内容相对完整、思路相对明晰合理、科学、实用、针对性相对合理得2分；</w:t>
            </w:r>
          </w:p>
          <w:p w14:paraId="23D64626">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楷体" w:hAnsi="楷体" w:eastAsia="楷体" w:cs="楷体"/>
                <w:kern w:val="0"/>
                <w:sz w:val="24"/>
                <w:szCs w:val="24"/>
                <w:highlight w:val="none"/>
                <w:lang w:val="en-US" w:eastAsia="zh-CN"/>
              </w:rPr>
            </w:pPr>
            <w:r>
              <w:rPr>
                <w:rFonts w:hint="eastAsia" w:ascii="楷体" w:hAnsi="楷体" w:eastAsia="楷体" w:cs="楷体"/>
                <w:kern w:val="0"/>
                <w:sz w:val="24"/>
                <w:szCs w:val="24"/>
                <w:highlight w:val="none"/>
                <w:lang w:val="en-US" w:eastAsia="zh-CN"/>
              </w:rPr>
              <w:t>3.每个单项方案内容不够完整、思路不够明晰合理、针对性相对差弱得1分；</w:t>
            </w:r>
          </w:p>
          <w:p w14:paraId="39DA900C">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楷体" w:hAnsi="楷体" w:eastAsia="楷体" w:cs="楷体"/>
                <w:b/>
                <w:bCs/>
                <w:kern w:val="0"/>
                <w:sz w:val="24"/>
                <w:szCs w:val="24"/>
                <w:highlight w:val="none"/>
                <w:lang w:val="en-US" w:eastAsia="zh-CN"/>
              </w:rPr>
            </w:pPr>
            <w:r>
              <w:rPr>
                <w:rFonts w:hint="eastAsia" w:ascii="楷体" w:hAnsi="楷体" w:eastAsia="楷体" w:cs="楷体"/>
                <w:kern w:val="0"/>
                <w:sz w:val="24"/>
                <w:szCs w:val="24"/>
                <w:highlight w:val="none"/>
                <w:lang w:val="en-US" w:eastAsia="zh-CN"/>
              </w:rPr>
              <w:t>4.未提供相关内容则对应单项方案不得分。</w:t>
            </w:r>
            <w:bookmarkEnd w:id="163"/>
          </w:p>
        </w:tc>
        <w:tc>
          <w:tcPr>
            <w:tcW w:w="585" w:type="pct"/>
            <w:noWrap w:val="0"/>
            <w:vAlign w:val="center"/>
          </w:tcPr>
          <w:p w14:paraId="31EB3F3C">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楷体" w:hAnsi="楷体" w:eastAsia="楷体" w:cs="楷体"/>
                <w:sz w:val="24"/>
                <w:szCs w:val="24"/>
                <w:highlight w:val="none"/>
                <w:lang w:val="en-US" w:eastAsia="zh-CN"/>
              </w:rPr>
            </w:pPr>
            <w:r>
              <w:rPr>
                <w:rFonts w:hint="eastAsia" w:ascii="楷体" w:hAnsi="楷体" w:eastAsia="楷体" w:cs="楷体"/>
                <w:sz w:val="24"/>
                <w:szCs w:val="24"/>
                <w:highlight w:val="none"/>
                <w:lang w:val="en-US" w:eastAsia="zh-CN"/>
              </w:rPr>
              <w:t>18分</w:t>
            </w:r>
          </w:p>
        </w:tc>
      </w:tr>
      <w:tr w14:paraId="25161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34" w:type="pct"/>
            <w:vMerge w:val="continue"/>
            <w:noWrap w:val="0"/>
            <w:vAlign w:val="center"/>
          </w:tcPr>
          <w:p w14:paraId="7853FD6D">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楷体" w:hAnsi="楷体" w:eastAsia="楷体" w:cs="楷体"/>
                <w:sz w:val="24"/>
                <w:szCs w:val="24"/>
                <w:highlight w:val="none"/>
                <w:lang w:val="en-US" w:eastAsia="zh-CN"/>
              </w:rPr>
            </w:pPr>
          </w:p>
        </w:tc>
        <w:tc>
          <w:tcPr>
            <w:tcW w:w="478" w:type="pct"/>
            <w:vMerge w:val="continue"/>
            <w:noWrap w:val="0"/>
            <w:vAlign w:val="center"/>
          </w:tcPr>
          <w:p w14:paraId="70B41C03">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楷体" w:hAnsi="楷体" w:eastAsia="楷体" w:cs="楷体"/>
                <w:sz w:val="24"/>
                <w:szCs w:val="24"/>
                <w:highlight w:val="none"/>
                <w:lang w:val="en-US" w:eastAsia="zh-CN"/>
              </w:rPr>
            </w:pPr>
          </w:p>
        </w:tc>
        <w:tc>
          <w:tcPr>
            <w:tcW w:w="3401" w:type="pct"/>
            <w:noWrap w:val="0"/>
            <w:vAlign w:val="center"/>
          </w:tcPr>
          <w:p w14:paraId="1E240634">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楷体" w:hAnsi="楷体" w:eastAsia="楷体" w:cs="楷体"/>
                <w:b/>
                <w:bCs/>
                <w:kern w:val="0"/>
                <w:sz w:val="24"/>
                <w:szCs w:val="24"/>
                <w:highlight w:val="none"/>
                <w:lang w:val="en-US" w:eastAsia="zh-CN"/>
              </w:rPr>
            </w:pPr>
            <w:r>
              <w:rPr>
                <w:rFonts w:hint="eastAsia" w:ascii="楷体" w:hAnsi="楷体" w:eastAsia="楷体" w:cs="楷体"/>
                <w:b/>
                <w:bCs/>
                <w:kern w:val="0"/>
                <w:sz w:val="24"/>
                <w:szCs w:val="24"/>
                <w:highlight w:val="none"/>
                <w:lang w:val="en-US" w:eastAsia="zh-CN"/>
              </w:rPr>
              <w:t>检测方案：</w:t>
            </w:r>
          </w:p>
          <w:p w14:paraId="7F5A120C">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楷体" w:hAnsi="楷体" w:eastAsia="楷体" w:cs="楷体"/>
                <w:b/>
                <w:bCs/>
                <w:kern w:val="0"/>
                <w:sz w:val="24"/>
                <w:szCs w:val="24"/>
                <w:highlight w:val="none"/>
                <w:lang w:val="en-US" w:eastAsia="zh-CN"/>
              </w:rPr>
            </w:pPr>
            <w:bookmarkStart w:id="164" w:name="OLE_LINK90"/>
            <w:r>
              <w:rPr>
                <w:rFonts w:hint="eastAsia" w:ascii="楷体" w:hAnsi="楷体" w:eastAsia="楷体" w:cs="楷体"/>
                <w:b/>
                <w:bCs/>
                <w:kern w:val="0"/>
                <w:sz w:val="24"/>
                <w:szCs w:val="24"/>
                <w:highlight w:val="none"/>
                <w:lang w:val="en-US" w:eastAsia="zh-CN"/>
              </w:rPr>
              <w:t>区间分值：0-18分</w:t>
            </w:r>
          </w:p>
          <w:p w14:paraId="283457D7">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楷体" w:hAnsi="楷体" w:eastAsia="楷体" w:cs="楷体"/>
                <w:kern w:val="0"/>
                <w:sz w:val="24"/>
                <w:szCs w:val="24"/>
                <w:highlight w:val="none"/>
                <w:lang w:val="en-US" w:eastAsia="zh-CN"/>
              </w:rPr>
            </w:pPr>
            <w:r>
              <w:rPr>
                <w:rFonts w:hint="eastAsia" w:ascii="楷体" w:hAnsi="楷体" w:eastAsia="楷体" w:cs="楷体"/>
                <w:kern w:val="0"/>
                <w:sz w:val="24"/>
                <w:szCs w:val="24"/>
                <w:highlight w:val="none"/>
                <w:lang w:val="en-US" w:eastAsia="zh-CN"/>
              </w:rPr>
              <w:t>供应商提供针对本项目的检测方案。</w:t>
            </w:r>
          </w:p>
          <w:p w14:paraId="590199C2">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楷体" w:hAnsi="楷体" w:eastAsia="楷体" w:cs="楷体"/>
                <w:b/>
                <w:bCs/>
                <w:kern w:val="0"/>
                <w:sz w:val="24"/>
                <w:szCs w:val="24"/>
                <w:highlight w:val="none"/>
                <w:lang w:val="en-US" w:eastAsia="zh-CN"/>
              </w:rPr>
            </w:pPr>
            <w:r>
              <w:rPr>
                <w:rFonts w:hint="eastAsia" w:ascii="楷体" w:hAnsi="楷体" w:eastAsia="楷体" w:cs="楷体"/>
                <w:b/>
                <w:bCs/>
                <w:kern w:val="0"/>
                <w:sz w:val="24"/>
                <w:szCs w:val="24"/>
                <w:highlight w:val="none"/>
                <w:lang w:val="en-US" w:eastAsia="zh-CN"/>
              </w:rPr>
              <w:t>评审标准细化内容：</w:t>
            </w:r>
          </w:p>
          <w:p w14:paraId="5A480B34">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楷体" w:hAnsi="楷体" w:eastAsia="楷体" w:cs="楷体"/>
                <w:kern w:val="0"/>
                <w:sz w:val="24"/>
                <w:szCs w:val="24"/>
                <w:highlight w:val="none"/>
                <w:lang w:val="en-US" w:eastAsia="zh-CN"/>
              </w:rPr>
            </w:pPr>
            <w:r>
              <w:rPr>
                <w:rFonts w:hint="eastAsia" w:ascii="楷体" w:hAnsi="楷体" w:eastAsia="楷体" w:cs="楷体"/>
                <w:kern w:val="0"/>
                <w:sz w:val="24"/>
                <w:szCs w:val="24"/>
                <w:highlight w:val="none"/>
                <w:lang w:val="en-US" w:eastAsia="zh-CN"/>
              </w:rPr>
              <w:t>①检测规章制度②检验范围③检测内容④检测依据及措施⑤检测工作的重难点分析⑥样品采集⑦样品运输⑧样品管理⑨抽检分离等方面划安排。</w:t>
            </w:r>
          </w:p>
          <w:p w14:paraId="67BB65C7">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楷体" w:hAnsi="楷体" w:eastAsia="楷体" w:cs="楷体"/>
                <w:b/>
                <w:bCs/>
                <w:kern w:val="0"/>
                <w:sz w:val="24"/>
                <w:szCs w:val="24"/>
                <w:highlight w:val="none"/>
                <w:lang w:val="en-US" w:eastAsia="zh-CN"/>
              </w:rPr>
            </w:pPr>
            <w:r>
              <w:rPr>
                <w:rFonts w:hint="eastAsia" w:ascii="楷体" w:hAnsi="楷体" w:eastAsia="楷体" w:cs="楷体"/>
                <w:b/>
                <w:bCs/>
                <w:kern w:val="0"/>
                <w:sz w:val="24"/>
                <w:szCs w:val="24"/>
                <w:highlight w:val="none"/>
                <w:lang w:val="en-US" w:eastAsia="zh-CN"/>
              </w:rPr>
              <w:t>评审标准：</w:t>
            </w:r>
          </w:p>
          <w:p w14:paraId="7DB83F62">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楷体" w:hAnsi="楷体" w:eastAsia="楷体" w:cs="楷体"/>
                <w:kern w:val="0"/>
                <w:sz w:val="24"/>
                <w:szCs w:val="24"/>
                <w:highlight w:val="none"/>
                <w:lang w:val="en-US" w:eastAsia="zh-CN"/>
              </w:rPr>
            </w:pPr>
            <w:r>
              <w:rPr>
                <w:rFonts w:hint="eastAsia" w:ascii="楷体" w:hAnsi="楷体" w:eastAsia="楷体" w:cs="楷体"/>
                <w:kern w:val="0"/>
                <w:sz w:val="24"/>
                <w:szCs w:val="24"/>
                <w:highlight w:val="none"/>
                <w:lang w:val="en-US" w:eastAsia="zh-CN"/>
              </w:rPr>
              <w:t>1.完整性：检测方案分析详细全面，符合项目采购要求；</w:t>
            </w:r>
          </w:p>
          <w:p w14:paraId="26E82A69">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楷体" w:hAnsi="楷体" w:eastAsia="楷体" w:cs="楷体"/>
                <w:kern w:val="0"/>
                <w:sz w:val="24"/>
                <w:szCs w:val="24"/>
                <w:highlight w:val="none"/>
                <w:lang w:val="en-US" w:eastAsia="zh-CN"/>
              </w:rPr>
            </w:pPr>
            <w:r>
              <w:rPr>
                <w:rFonts w:hint="eastAsia" w:ascii="楷体" w:hAnsi="楷体" w:eastAsia="楷体" w:cs="楷体"/>
                <w:kern w:val="0"/>
                <w:sz w:val="24"/>
                <w:szCs w:val="24"/>
                <w:highlight w:val="none"/>
                <w:lang w:val="en-US" w:eastAsia="zh-CN"/>
              </w:rPr>
              <w:t>2.可实施性：检测方案切合本项目实际情况，方案全面、实施步骤清晰、合理；</w:t>
            </w:r>
          </w:p>
          <w:p w14:paraId="3D5E3981">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楷体" w:hAnsi="楷体" w:eastAsia="楷体" w:cs="楷体"/>
                <w:kern w:val="0"/>
                <w:sz w:val="24"/>
                <w:szCs w:val="24"/>
                <w:highlight w:val="none"/>
                <w:lang w:val="en-US" w:eastAsia="zh-CN"/>
              </w:rPr>
            </w:pPr>
            <w:r>
              <w:rPr>
                <w:rFonts w:hint="eastAsia" w:ascii="楷体" w:hAnsi="楷体" w:eastAsia="楷体" w:cs="楷体"/>
                <w:kern w:val="0"/>
                <w:sz w:val="24"/>
                <w:szCs w:val="24"/>
                <w:highlight w:val="none"/>
                <w:lang w:val="en-US" w:eastAsia="zh-CN"/>
              </w:rPr>
              <w:t>3.针对性：检测方案能够紧扣项目实际情况，内容科学合理。</w:t>
            </w:r>
          </w:p>
          <w:p w14:paraId="606F4886">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楷体" w:hAnsi="楷体" w:eastAsia="楷体" w:cs="楷体"/>
                <w:b/>
                <w:bCs/>
                <w:kern w:val="0"/>
                <w:sz w:val="24"/>
                <w:szCs w:val="24"/>
                <w:highlight w:val="none"/>
                <w:lang w:val="en-US" w:eastAsia="zh-CN"/>
              </w:rPr>
            </w:pPr>
            <w:r>
              <w:rPr>
                <w:rFonts w:hint="eastAsia" w:ascii="楷体" w:hAnsi="楷体" w:eastAsia="楷体" w:cs="楷体"/>
                <w:b/>
                <w:bCs/>
                <w:kern w:val="0"/>
                <w:sz w:val="24"/>
                <w:szCs w:val="24"/>
                <w:highlight w:val="none"/>
                <w:lang w:val="en-US" w:eastAsia="zh-CN"/>
              </w:rPr>
              <w:t>评审标准量化内容：</w:t>
            </w:r>
          </w:p>
          <w:p w14:paraId="0F3C758E">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楷体" w:hAnsi="楷体" w:eastAsia="楷体" w:cs="楷体"/>
                <w:kern w:val="0"/>
                <w:sz w:val="24"/>
                <w:szCs w:val="24"/>
                <w:highlight w:val="none"/>
                <w:lang w:val="en-US" w:eastAsia="zh-CN"/>
              </w:rPr>
            </w:pPr>
            <w:r>
              <w:rPr>
                <w:rFonts w:hint="eastAsia" w:ascii="楷体" w:hAnsi="楷体" w:eastAsia="楷体" w:cs="楷体"/>
                <w:kern w:val="0"/>
                <w:sz w:val="24"/>
                <w:szCs w:val="24"/>
                <w:highlight w:val="none"/>
                <w:lang w:val="en-US" w:eastAsia="zh-CN"/>
              </w:rPr>
              <w:t>1.每一项均有详细且针对性的说明计18分；</w:t>
            </w:r>
          </w:p>
          <w:p w14:paraId="34067862">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楷体" w:hAnsi="楷体" w:eastAsia="楷体" w:cs="楷体"/>
                <w:kern w:val="0"/>
                <w:sz w:val="24"/>
                <w:szCs w:val="24"/>
                <w:highlight w:val="none"/>
                <w:lang w:val="en-US" w:eastAsia="zh-CN"/>
              </w:rPr>
            </w:pPr>
            <w:r>
              <w:rPr>
                <w:rFonts w:hint="eastAsia" w:ascii="楷体" w:hAnsi="楷体" w:eastAsia="楷体" w:cs="楷体"/>
                <w:kern w:val="0"/>
                <w:sz w:val="24"/>
                <w:szCs w:val="24"/>
                <w:highlight w:val="none"/>
                <w:lang w:val="en-US" w:eastAsia="zh-CN"/>
              </w:rPr>
              <w:t>2.每缺项一个内容的描述扣2分；</w:t>
            </w:r>
          </w:p>
          <w:p w14:paraId="4268F6ED">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楷体" w:hAnsi="楷体" w:eastAsia="楷体" w:cs="楷体"/>
                <w:kern w:val="0"/>
                <w:sz w:val="24"/>
                <w:szCs w:val="24"/>
                <w:highlight w:val="none"/>
                <w:lang w:val="en-US" w:eastAsia="zh-CN"/>
              </w:rPr>
            </w:pPr>
            <w:r>
              <w:rPr>
                <w:rFonts w:hint="eastAsia" w:ascii="楷体" w:hAnsi="楷体" w:eastAsia="楷体" w:cs="楷体"/>
                <w:kern w:val="0"/>
                <w:sz w:val="24"/>
                <w:szCs w:val="24"/>
                <w:highlight w:val="none"/>
                <w:lang w:val="en-US" w:eastAsia="zh-CN"/>
              </w:rPr>
              <w:t>3.以上内容仅有描述但不够完善的，每有一项内容不完善扣1分；</w:t>
            </w:r>
          </w:p>
          <w:p w14:paraId="7E65D990">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楷体" w:hAnsi="楷体" w:eastAsia="楷体" w:cs="楷体"/>
                <w:b/>
                <w:bCs/>
                <w:kern w:val="0"/>
                <w:sz w:val="24"/>
                <w:szCs w:val="24"/>
                <w:highlight w:val="none"/>
                <w:lang w:val="en-US" w:eastAsia="zh-CN"/>
              </w:rPr>
            </w:pPr>
            <w:r>
              <w:rPr>
                <w:rFonts w:hint="eastAsia" w:ascii="楷体" w:hAnsi="楷体" w:eastAsia="楷体" w:cs="楷体"/>
                <w:kern w:val="0"/>
                <w:sz w:val="24"/>
                <w:szCs w:val="24"/>
                <w:highlight w:val="none"/>
                <w:lang w:val="en-US" w:eastAsia="zh-CN"/>
              </w:rPr>
              <w:t>4.未提供相关内容不得分。</w:t>
            </w:r>
            <w:bookmarkEnd w:id="164"/>
          </w:p>
        </w:tc>
        <w:tc>
          <w:tcPr>
            <w:tcW w:w="585" w:type="pct"/>
            <w:noWrap w:val="0"/>
            <w:vAlign w:val="center"/>
          </w:tcPr>
          <w:p w14:paraId="03FF23E1">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楷体" w:hAnsi="楷体" w:eastAsia="楷体" w:cs="楷体"/>
                <w:sz w:val="24"/>
                <w:szCs w:val="24"/>
                <w:highlight w:val="none"/>
                <w:lang w:val="en-US" w:eastAsia="zh-CN"/>
              </w:rPr>
            </w:pPr>
            <w:r>
              <w:rPr>
                <w:rFonts w:hint="eastAsia" w:ascii="楷体" w:hAnsi="楷体" w:eastAsia="楷体" w:cs="楷体"/>
                <w:sz w:val="24"/>
                <w:szCs w:val="24"/>
                <w:highlight w:val="none"/>
                <w:lang w:val="en-US" w:eastAsia="zh-CN"/>
              </w:rPr>
              <w:t>18分</w:t>
            </w:r>
          </w:p>
        </w:tc>
      </w:tr>
      <w:tr w14:paraId="22AAF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34" w:type="pct"/>
            <w:vMerge w:val="continue"/>
            <w:noWrap w:val="0"/>
            <w:vAlign w:val="center"/>
          </w:tcPr>
          <w:p w14:paraId="736823A9">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楷体" w:hAnsi="楷体" w:eastAsia="楷体" w:cs="楷体"/>
                <w:sz w:val="24"/>
                <w:szCs w:val="24"/>
                <w:highlight w:val="none"/>
                <w:lang w:val="en-US" w:eastAsia="zh-CN"/>
              </w:rPr>
            </w:pPr>
          </w:p>
        </w:tc>
        <w:tc>
          <w:tcPr>
            <w:tcW w:w="478" w:type="pct"/>
            <w:vMerge w:val="continue"/>
            <w:noWrap w:val="0"/>
            <w:vAlign w:val="center"/>
          </w:tcPr>
          <w:p w14:paraId="3ADE0C73">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楷体" w:hAnsi="楷体" w:eastAsia="楷体" w:cs="楷体"/>
                <w:sz w:val="24"/>
                <w:szCs w:val="24"/>
                <w:highlight w:val="none"/>
                <w:lang w:val="en-US" w:eastAsia="zh-CN"/>
              </w:rPr>
            </w:pPr>
          </w:p>
        </w:tc>
        <w:tc>
          <w:tcPr>
            <w:tcW w:w="3401" w:type="pct"/>
            <w:noWrap w:val="0"/>
            <w:vAlign w:val="center"/>
          </w:tcPr>
          <w:p w14:paraId="4777B5D4">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楷体" w:hAnsi="楷体" w:eastAsia="楷体" w:cs="楷体"/>
                <w:b/>
                <w:bCs/>
                <w:kern w:val="0"/>
                <w:sz w:val="24"/>
                <w:szCs w:val="24"/>
                <w:highlight w:val="none"/>
                <w:lang w:val="en-US" w:eastAsia="zh-CN"/>
              </w:rPr>
            </w:pPr>
            <w:r>
              <w:rPr>
                <w:rFonts w:hint="eastAsia" w:ascii="楷体" w:hAnsi="楷体" w:eastAsia="楷体" w:cs="楷体"/>
                <w:b/>
                <w:bCs/>
                <w:kern w:val="0"/>
                <w:sz w:val="24"/>
                <w:szCs w:val="24"/>
                <w:highlight w:val="none"/>
                <w:lang w:val="en-US" w:eastAsia="zh-CN"/>
              </w:rPr>
              <w:t>实验室场地：</w:t>
            </w:r>
          </w:p>
          <w:p w14:paraId="4DCC24DC">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楷体" w:hAnsi="楷体" w:eastAsia="楷体" w:cs="楷体"/>
                <w:b/>
                <w:bCs/>
                <w:kern w:val="0"/>
                <w:sz w:val="24"/>
                <w:szCs w:val="24"/>
                <w:highlight w:val="none"/>
                <w:lang w:val="en-US" w:eastAsia="zh-CN"/>
              </w:rPr>
            </w:pPr>
            <w:r>
              <w:rPr>
                <w:rFonts w:hint="eastAsia" w:ascii="楷体" w:hAnsi="楷体" w:eastAsia="楷体" w:cs="楷体"/>
                <w:b/>
                <w:bCs/>
                <w:kern w:val="0"/>
                <w:sz w:val="24"/>
                <w:szCs w:val="24"/>
                <w:highlight w:val="none"/>
                <w:lang w:val="en-US" w:eastAsia="zh-CN"/>
              </w:rPr>
              <w:t>区间分值：0-5分</w:t>
            </w:r>
          </w:p>
          <w:p w14:paraId="2654E90B">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楷体" w:hAnsi="楷体" w:eastAsia="楷体" w:cs="楷体"/>
                <w:b/>
                <w:bCs/>
                <w:kern w:val="0"/>
                <w:sz w:val="24"/>
                <w:szCs w:val="24"/>
                <w:highlight w:val="none"/>
                <w:lang w:val="en-US" w:eastAsia="zh-CN"/>
              </w:rPr>
            </w:pPr>
            <w:r>
              <w:rPr>
                <w:rFonts w:hint="eastAsia" w:ascii="楷体" w:hAnsi="楷体" w:eastAsia="楷体" w:cs="楷体"/>
                <w:b/>
                <w:bCs/>
                <w:kern w:val="0"/>
                <w:sz w:val="24"/>
                <w:szCs w:val="24"/>
                <w:highlight w:val="none"/>
                <w:lang w:val="en-US" w:eastAsia="zh-CN"/>
              </w:rPr>
              <w:t>评审标准细化及量化内容：</w:t>
            </w:r>
          </w:p>
          <w:p w14:paraId="28537AE1">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楷体" w:hAnsi="楷体" w:eastAsia="楷体" w:cs="楷体"/>
                <w:b/>
                <w:bCs/>
                <w:kern w:val="0"/>
                <w:sz w:val="24"/>
                <w:szCs w:val="24"/>
                <w:highlight w:val="none"/>
                <w:lang w:val="en-US" w:eastAsia="zh-CN"/>
              </w:rPr>
            </w:pPr>
            <w:r>
              <w:rPr>
                <w:rFonts w:hint="eastAsia" w:ascii="楷体" w:hAnsi="楷体" w:eastAsia="楷体" w:cs="楷体"/>
                <w:kern w:val="0"/>
                <w:sz w:val="24"/>
                <w:szCs w:val="24"/>
                <w:highlight w:val="none"/>
                <w:lang w:val="en-US" w:eastAsia="zh-CN"/>
              </w:rPr>
              <w:t>有满足检测工作需要的、独立的、固定的实验室场地，提供相应的证明材料，包括房产证或房屋租赁合同、资产划转文件等，需提供照片。得5分，缺少其中一项，则不得分。</w:t>
            </w:r>
          </w:p>
        </w:tc>
        <w:tc>
          <w:tcPr>
            <w:tcW w:w="585" w:type="pct"/>
            <w:noWrap w:val="0"/>
            <w:vAlign w:val="center"/>
          </w:tcPr>
          <w:p w14:paraId="7D040BA5">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楷体" w:hAnsi="楷体" w:eastAsia="楷体" w:cs="楷体"/>
                <w:sz w:val="24"/>
                <w:szCs w:val="24"/>
                <w:highlight w:val="none"/>
                <w:lang w:val="en-US" w:eastAsia="zh-CN"/>
              </w:rPr>
            </w:pPr>
            <w:r>
              <w:rPr>
                <w:rFonts w:hint="eastAsia" w:ascii="楷体" w:hAnsi="楷体" w:eastAsia="楷体" w:cs="楷体"/>
                <w:sz w:val="24"/>
                <w:szCs w:val="24"/>
                <w:highlight w:val="none"/>
                <w:lang w:val="en-US" w:eastAsia="zh-CN"/>
              </w:rPr>
              <w:t>5分</w:t>
            </w:r>
          </w:p>
        </w:tc>
      </w:tr>
      <w:tr w14:paraId="7C095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34" w:type="pct"/>
            <w:vMerge w:val="continue"/>
            <w:noWrap w:val="0"/>
            <w:vAlign w:val="center"/>
          </w:tcPr>
          <w:p w14:paraId="20B251CF">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楷体" w:hAnsi="楷体" w:eastAsia="楷体" w:cs="楷体"/>
                <w:sz w:val="24"/>
                <w:szCs w:val="24"/>
                <w:highlight w:val="none"/>
                <w:lang w:val="en-US" w:eastAsia="zh-CN"/>
              </w:rPr>
            </w:pPr>
          </w:p>
        </w:tc>
        <w:tc>
          <w:tcPr>
            <w:tcW w:w="478" w:type="pct"/>
            <w:vMerge w:val="continue"/>
            <w:noWrap w:val="0"/>
            <w:vAlign w:val="center"/>
          </w:tcPr>
          <w:p w14:paraId="291025B0">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楷体" w:hAnsi="楷体" w:eastAsia="楷体" w:cs="楷体"/>
                <w:sz w:val="24"/>
                <w:szCs w:val="24"/>
                <w:highlight w:val="none"/>
                <w:lang w:val="en-US" w:eastAsia="zh-CN"/>
              </w:rPr>
            </w:pPr>
          </w:p>
        </w:tc>
        <w:tc>
          <w:tcPr>
            <w:tcW w:w="3401" w:type="pct"/>
            <w:noWrap w:val="0"/>
            <w:vAlign w:val="center"/>
          </w:tcPr>
          <w:p w14:paraId="4DA7B78C">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楷体" w:hAnsi="楷体" w:eastAsia="楷体" w:cs="楷体"/>
                <w:kern w:val="0"/>
                <w:sz w:val="24"/>
                <w:szCs w:val="24"/>
                <w:highlight w:val="none"/>
                <w:lang w:val="en-US" w:eastAsia="zh-CN"/>
              </w:rPr>
            </w:pPr>
            <w:r>
              <w:rPr>
                <w:rFonts w:hint="eastAsia" w:ascii="楷体" w:hAnsi="楷体" w:eastAsia="楷体" w:cs="楷体"/>
                <w:b/>
                <w:bCs/>
                <w:kern w:val="0"/>
                <w:sz w:val="24"/>
                <w:szCs w:val="24"/>
                <w:highlight w:val="none"/>
                <w:lang w:val="en-US" w:eastAsia="zh-CN"/>
              </w:rPr>
              <w:t>服务质量保证措施：</w:t>
            </w:r>
            <w:r>
              <w:rPr>
                <w:rFonts w:hint="eastAsia" w:ascii="楷体" w:hAnsi="楷体" w:eastAsia="楷体" w:cs="楷体"/>
                <w:b/>
                <w:bCs/>
                <w:kern w:val="0"/>
                <w:sz w:val="24"/>
                <w:szCs w:val="24"/>
                <w:highlight w:val="none"/>
                <w:lang w:val="en-US" w:eastAsia="zh-CN"/>
              </w:rPr>
              <w:br w:type="textWrapping"/>
            </w:r>
            <w:bookmarkStart w:id="165" w:name="OLE_LINK91"/>
            <w:r>
              <w:rPr>
                <w:rFonts w:hint="eastAsia" w:ascii="楷体" w:hAnsi="楷体" w:eastAsia="楷体" w:cs="楷体"/>
                <w:b/>
                <w:bCs/>
                <w:kern w:val="0"/>
                <w:sz w:val="24"/>
                <w:szCs w:val="24"/>
                <w:highlight w:val="none"/>
                <w:lang w:val="en-US" w:eastAsia="zh-CN"/>
              </w:rPr>
              <w:t>区间分值：0-4分</w:t>
            </w:r>
          </w:p>
          <w:p w14:paraId="466D00FE">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楷体" w:hAnsi="楷体" w:eastAsia="楷体" w:cs="楷体"/>
                <w:kern w:val="0"/>
                <w:sz w:val="24"/>
                <w:szCs w:val="24"/>
                <w:highlight w:val="none"/>
                <w:lang w:val="en-US" w:eastAsia="zh-CN"/>
              </w:rPr>
            </w:pPr>
            <w:r>
              <w:rPr>
                <w:rFonts w:hint="eastAsia" w:ascii="楷体" w:hAnsi="楷体" w:eastAsia="楷体" w:cs="楷体"/>
                <w:kern w:val="0"/>
                <w:sz w:val="24"/>
                <w:szCs w:val="24"/>
                <w:highlight w:val="none"/>
                <w:lang w:val="en-US" w:eastAsia="zh-CN"/>
              </w:rPr>
              <w:t>结合本项目实际情况，供应商提供针对本项目的服务质量保证措施。</w:t>
            </w:r>
          </w:p>
          <w:p w14:paraId="0E08E9F0">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楷体" w:hAnsi="楷体" w:eastAsia="楷体" w:cs="楷体"/>
                <w:b/>
                <w:bCs/>
                <w:kern w:val="0"/>
                <w:sz w:val="24"/>
                <w:szCs w:val="24"/>
                <w:highlight w:val="none"/>
                <w:lang w:val="en-US" w:eastAsia="zh-CN"/>
              </w:rPr>
            </w:pPr>
            <w:r>
              <w:rPr>
                <w:rFonts w:hint="eastAsia" w:ascii="楷体" w:hAnsi="楷体" w:eastAsia="楷体" w:cs="楷体"/>
                <w:b/>
                <w:bCs/>
                <w:kern w:val="0"/>
                <w:sz w:val="24"/>
                <w:szCs w:val="24"/>
                <w:highlight w:val="none"/>
                <w:lang w:val="en-US" w:eastAsia="zh-CN"/>
              </w:rPr>
              <w:t>评审标准细化内容：</w:t>
            </w:r>
          </w:p>
          <w:p w14:paraId="4E171FE9">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楷体" w:hAnsi="楷体" w:eastAsia="楷体" w:cs="楷体"/>
                <w:kern w:val="0"/>
                <w:sz w:val="24"/>
                <w:szCs w:val="24"/>
                <w:highlight w:val="none"/>
                <w:lang w:val="en-US" w:eastAsia="zh-CN"/>
              </w:rPr>
            </w:pPr>
            <w:r>
              <w:rPr>
                <w:rFonts w:hint="eastAsia" w:ascii="楷体" w:hAnsi="楷体" w:eastAsia="楷体" w:cs="楷体"/>
                <w:kern w:val="0"/>
                <w:sz w:val="24"/>
                <w:szCs w:val="24"/>
                <w:highlight w:val="none"/>
                <w:lang w:val="en-US" w:eastAsia="zh-CN"/>
              </w:rPr>
              <w:t>①服务质量控制要点②具体服务质量保证措施。</w:t>
            </w:r>
          </w:p>
          <w:p w14:paraId="3AD952D8">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楷体" w:hAnsi="楷体" w:eastAsia="楷体" w:cs="楷体"/>
                <w:b/>
                <w:bCs/>
                <w:kern w:val="0"/>
                <w:sz w:val="24"/>
                <w:szCs w:val="24"/>
                <w:highlight w:val="none"/>
                <w:lang w:val="en-US" w:eastAsia="zh-CN"/>
              </w:rPr>
            </w:pPr>
            <w:r>
              <w:rPr>
                <w:rFonts w:hint="eastAsia" w:ascii="楷体" w:hAnsi="楷体" w:eastAsia="楷体" w:cs="楷体"/>
                <w:b/>
                <w:bCs/>
                <w:kern w:val="0"/>
                <w:sz w:val="24"/>
                <w:szCs w:val="24"/>
                <w:highlight w:val="none"/>
                <w:lang w:val="en-US" w:eastAsia="zh-CN"/>
              </w:rPr>
              <w:t>评审标准：</w:t>
            </w:r>
          </w:p>
          <w:p w14:paraId="1D63502C">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楷体" w:hAnsi="楷体" w:eastAsia="楷体" w:cs="楷体"/>
                <w:kern w:val="0"/>
                <w:sz w:val="24"/>
                <w:szCs w:val="24"/>
                <w:highlight w:val="none"/>
                <w:lang w:val="en-US" w:eastAsia="zh-CN"/>
              </w:rPr>
            </w:pPr>
            <w:r>
              <w:rPr>
                <w:rFonts w:hint="eastAsia" w:ascii="楷体" w:hAnsi="楷体" w:eastAsia="楷体" w:cs="楷体"/>
                <w:kern w:val="0"/>
                <w:sz w:val="24"/>
                <w:szCs w:val="24"/>
                <w:highlight w:val="none"/>
                <w:lang w:val="en-US" w:eastAsia="zh-CN"/>
              </w:rPr>
              <w:t>1.完整性：服务质量保证</w:t>
            </w:r>
          </w:p>
          <w:p w14:paraId="54B4AB26">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楷体" w:hAnsi="楷体" w:eastAsia="楷体" w:cs="楷体"/>
                <w:kern w:val="0"/>
                <w:sz w:val="24"/>
                <w:szCs w:val="24"/>
                <w:highlight w:val="none"/>
                <w:lang w:val="en-US" w:eastAsia="zh-CN"/>
              </w:rPr>
            </w:pPr>
            <w:r>
              <w:rPr>
                <w:rFonts w:hint="eastAsia" w:ascii="楷体" w:hAnsi="楷体" w:eastAsia="楷体" w:cs="楷体"/>
                <w:kern w:val="0"/>
                <w:sz w:val="24"/>
                <w:szCs w:val="24"/>
                <w:highlight w:val="none"/>
                <w:lang w:val="en-US" w:eastAsia="zh-CN"/>
              </w:rPr>
              <w:t>措施详细全面，符合项目采购要求；</w:t>
            </w:r>
          </w:p>
          <w:p w14:paraId="777468D8">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楷体" w:hAnsi="楷体" w:eastAsia="楷体" w:cs="楷体"/>
                <w:kern w:val="0"/>
                <w:sz w:val="24"/>
                <w:szCs w:val="24"/>
                <w:highlight w:val="none"/>
                <w:lang w:val="en-US" w:eastAsia="zh-CN"/>
              </w:rPr>
            </w:pPr>
            <w:r>
              <w:rPr>
                <w:rFonts w:hint="eastAsia" w:ascii="楷体" w:hAnsi="楷体" w:eastAsia="楷体" w:cs="楷体"/>
                <w:kern w:val="0"/>
                <w:sz w:val="24"/>
                <w:szCs w:val="24"/>
                <w:highlight w:val="none"/>
                <w:lang w:val="en-US" w:eastAsia="zh-CN"/>
              </w:rPr>
              <w:t>2.可实施性：服务质量保证措施切合本项目实际情况，方案全面、实施步骤清晰、合理；</w:t>
            </w:r>
          </w:p>
          <w:p w14:paraId="703B4D02">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楷体" w:hAnsi="楷体" w:eastAsia="楷体" w:cs="楷体"/>
                <w:kern w:val="0"/>
                <w:sz w:val="24"/>
                <w:szCs w:val="24"/>
                <w:highlight w:val="none"/>
                <w:lang w:val="en-US" w:eastAsia="zh-CN"/>
              </w:rPr>
            </w:pPr>
            <w:r>
              <w:rPr>
                <w:rFonts w:hint="eastAsia" w:ascii="楷体" w:hAnsi="楷体" w:eastAsia="楷体" w:cs="楷体"/>
                <w:kern w:val="0"/>
                <w:sz w:val="24"/>
                <w:szCs w:val="24"/>
                <w:highlight w:val="none"/>
                <w:lang w:val="en-US" w:eastAsia="zh-CN"/>
              </w:rPr>
              <w:t>3.针对性：服务质量保证措施能够紧扣项目实际情况，内容科学合理。</w:t>
            </w:r>
          </w:p>
          <w:p w14:paraId="1FF209A5">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楷体" w:hAnsi="楷体" w:eastAsia="楷体" w:cs="楷体"/>
                <w:b/>
                <w:bCs/>
                <w:kern w:val="0"/>
                <w:sz w:val="24"/>
                <w:szCs w:val="24"/>
                <w:highlight w:val="none"/>
                <w:lang w:val="en-US" w:eastAsia="zh-CN"/>
              </w:rPr>
            </w:pPr>
            <w:r>
              <w:rPr>
                <w:rFonts w:hint="eastAsia" w:ascii="楷体" w:hAnsi="楷体" w:eastAsia="楷体" w:cs="楷体"/>
                <w:b/>
                <w:bCs/>
                <w:kern w:val="0"/>
                <w:sz w:val="24"/>
                <w:szCs w:val="24"/>
                <w:highlight w:val="none"/>
                <w:lang w:val="en-US" w:eastAsia="zh-CN"/>
              </w:rPr>
              <w:t>评审标准量化内容：</w:t>
            </w:r>
          </w:p>
          <w:p w14:paraId="3CDC6D15">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楷体" w:hAnsi="楷体" w:eastAsia="楷体" w:cs="楷体"/>
                <w:kern w:val="0"/>
                <w:sz w:val="24"/>
                <w:szCs w:val="24"/>
                <w:highlight w:val="none"/>
                <w:lang w:val="en-US" w:eastAsia="zh-CN"/>
              </w:rPr>
            </w:pPr>
            <w:r>
              <w:rPr>
                <w:rFonts w:hint="eastAsia" w:ascii="楷体" w:hAnsi="楷体" w:eastAsia="楷体" w:cs="楷体"/>
                <w:kern w:val="0"/>
                <w:sz w:val="24"/>
                <w:szCs w:val="24"/>
                <w:highlight w:val="none"/>
                <w:lang w:val="en-US" w:eastAsia="zh-CN"/>
              </w:rPr>
              <w:t>1.措施详细完整、可行性、针对性强，能高质量的确保项目服务质量，得4分；</w:t>
            </w:r>
          </w:p>
          <w:p w14:paraId="7EFB395F">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楷体" w:hAnsi="楷体" w:eastAsia="楷体" w:cs="楷体"/>
                <w:kern w:val="0"/>
                <w:sz w:val="24"/>
                <w:szCs w:val="24"/>
                <w:highlight w:val="none"/>
                <w:lang w:val="en-US" w:eastAsia="zh-CN"/>
              </w:rPr>
            </w:pPr>
            <w:r>
              <w:rPr>
                <w:rFonts w:hint="eastAsia" w:ascii="楷体" w:hAnsi="楷体" w:eastAsia="楷体" w:cs="楷体"/>
                <w:kern w:val="0"/>
                <w:sz w:val="24"/>
                <w:szCs w:val="24"/>
                <w:highlight w:val="none"/>
                <w:lang w:val="en-US" w:eastAsia="zh-CN"/>
              </w:rPr>
              <w:t>2.保障措施相对完整，有一定的可行性及针对性以保证项目质量，得3分；</w:t>
            </w:r>
          </w:p>
          <w:p w14:paraId="1C98949C">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楷体" w:hAnsi="楷体" w:eastAsia="楷体" w:cs="楷体"/>
                <w:kern w:val="0"/>
                <w:sz w:val="24"/>
                <w:szCs w:val="24"/>
                <w:highlight w:val="none"/>
                <w:lang w:val="en-US" w:eastAsia="zh-CN"/>
              </w:rPr>
            </w:pPr>
            <w:r>
              <w:rPr>
                <w:rFonts w:hint="eastAsia" w:ascii="楷体" w:hAnsi="楷体" w:eastAsia="楷体" w:cs="楷体"/>
                <w:kern w:val="0"/>
                <w:sz w:val="24"/>
                <w:szCs w:val="24"/>
                <w:highlight w:val="none"/>
                <w:lang w:val="en-US" w:eastAsia="zh-CN"/>
              </w:rPr>
              <w:t>3.保障措施简略、可行性存在不足，得2分；</w:t>
            </w:r>
          </w:p>
          <w:p w14:paraId="0F933305">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楷体" w:hAnsi="楷体" w:eastAsia="楷体" w:cs="楷体"/>
                <w:kern w:val="0"/>
                <w:sz w:val="24"/>
                <w:szCs w:val="24"/>
                <w:highlight w:val="none"/>
                <w:lang w:val="en-US" w:eastAsia="zh-CN"/>
              </w:rPr>
            </w:pPr>
            <w:r>
              <w:rPr>
                <w:rFonts w:hint="eastAsia" w:ascii="楷体" w:hAnsi="楷体" w:eastAsia="楷体" w:cs="楷体"/>
                <w:kern w:val="0"/>
                <w:sz w:val="24"/>
                <w:szCs w:val="24"/>
                <w:highlight w:val="none"/>
                <w:lang w:val="en-US" w:eastAsia="zh-CN"/>
              </w:rPr>
              <w:t>4.保障措施存在重大缺漏，几乎不存在可行性，得1分；</w:t>
            </w:r>
          </w:p>
          <w:p w14:paraId="1EFEE27F">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楷体" w:hAnsi="楷体" w:eastAsia="楷体" w:cs="楷体"/>
                <w:sz w:val="24"/>
                <w:szCs w:val="24"/>
                <w:highlight w:val="none"/>
                <w:lang w:val="en-US" w:eastAsia="zh-CN"/>
              </w:rPr>
            </w:pPr>
            <w:r>
              <w:rPr>
                <w:rFonts w:hint="eastAsia" w:ascii="楷体" w:hAnsi="楷体" w:eastAsia="楷体" w:cs="楷体"/>
                <w:kern w:val="0"/>
                <w:sz w:val="24"/>
                <w:szCs w:val="24"/>
                <w:highlight w:val="none"/>
                <w:lang w:val="en-US" w:eastAsia="zh-CN"/>
              </w:rPr>
              <w:t>5.未提供相关内容不得分。</w:t>
            </w:r>
            <w:bookmarkEnd w:id="165"/>
          </w:p>
        </w:tc>
        <w:tc>
          <w:tcPr>
            <w:tcW w:w="585" w:type="pct"/>
            <w:noWrap w:val="0"/>
            <w:vAlign w:val="center"/>
          </w:tcPr>
          <w:p w14:paraId="6C86E3AC">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楷体" w:hAnsi="楷体" w:eastAsia="楷体" w:cs="楷体"/>
                <w:sz w:val="24"/>
                <w:szCs w:val="24"/>
                <w:highlight w:val="none"/>
                <w:lang w:val="en-US" w:eastAsia="zh-CN"/>
              </w:rPr>
            </w:pPr>
            <w:r>
              <w:rPr>
                <w:rFonts w:hint="eastAsia" w:ascii="楷体" w:hAnsi="楷体" w:eastAsia="楷体" w:cs="楷体"/>
                <w:sz w:val="24"/>
                <w:szCs w:val="24"/>
                <w:highlight w:val="none"/>
                <w:lang w:val="en-US" w:eastAsia="zh-CN"/>
              </w:rPr>
              <w:t>4分</w:t>
            </w:r>
          </w:p>
        </w:tc>
      </w:tr>
      <w:tr w14:paraId="7F134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34" w:type="pct"/>
            <w:vMerge w:val="continue"/>
            <w:noWrap w:val="0"/>
            <w:vAlign w:val="center"/>
          </w:tcPr>
          <w:p w14:paraId="139A9AAE">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楷体" w:hAnsi="楷体" w:eastAsia="楷体" w:cs="楷体"/>
                <w:sz w:val="24"/>
                <w:szCs w:val="24"/>
                <w:highlight w:val="none"/>
                <w:lang w:val="en-US" w:eastAsia="zh-CN"/>
              </w:rPr>
            </w:pPr>
          </w:p>
        </w:tc>
        <w:tc>
          <w:tcPr>
            <w:tcW w:w="478" w:type="pct"/>
            <w:vMerge w:val="continue"/>
            <w:noWrap w:val="0"/>
            <w:vAlign w:val="center"/>
          </w:tcPr>
          <w:p w14:paraId="5AF4108E">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楷体" w:hAnsi="楷体" w:eastAsia="楷体" w:cs="楷体"/>
                <w:sz w:val="24"/>
                <w:szCs w:val="24"/>
                <w:highlight w:val="none"/>
                <w:lang w:val="en-US" w:eastAsia="zh-CN"/>
              </w:rPr>
            </w:pPr>
          </w:p>
        </w:tc>
        <w:tc>
          <w:tcPr>
            <w:tcW w:w="3401" w:type="pct"/>
            <w:noWrap w:val="0"/>
            <w:vAlign w:val="center"/>
          </w:tcPr>
          <w:p w14:paraId="4AC729FA">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楷体" w:hAnsi="楷体" w:eastAsia="楷体" w:cs="楷体"/>
                <w:b/>
                <w:bCs/>
                <w:kern w:val="0"/>
                <w:sz w:val="24"/>
                <w:szCs w:val="24"/>
                <w:highlight w:val="none"/>
                <w:lang w:val="en-US" w:eastAsia="zh-CN"/>
              </w:rPr>
            </w:pPr>
            <w:r>
              <w:rPr>
                <w:rFonts w:hint="eastAsia" w:ascii="楷体" w:hAnsi="楷体" w:eastAsia="楷体" w:cs="楷体"/>
                <w:b/>
                <w:bCs/>
                <w:kern w:val="0"/>
                <w:sz w:val="24"/>
                <w:szCs w:val="24"/>
                <w:highlight w:val="none"/>
                <w:lang w:val="en-US" w:eastAsia="zh-CN"/>
              </w:rPr>
              <w:t>拟投入本项目检测的相关设备：</w:t>
            </w:r>
          </w:p>
          <w:p w14:paraId="67E0989D">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楷体" w:hAnsi="楷体" w:eastAsia="楷体" w:cs="楷体"/>
                <w:b/>
                <w:bCs/>
                <w:kern w:val="0"/>
                <w:sz w:val="24"/>
                <w:szCs w:val="24"/>
                <w:highlight w:val="none"/>
                <w:lang w:val="en-US" w:eastAsia="zh-CN"/>
              </w:rPr>
            </w:pPr>
            <w:bookmarkStart w:id="166" w:name="OLE_LINK92"/>
            <w:r>
              <w:rPr>
                <w:rFonts w:hint="eastAsia" w:ascii="楷体" w:hAnsi="楷体" w:eastAsia="楷体" w:cs="楷体"/>
                <w:b/>
                <w:bCs/>
                <w:kern w:val="0"/>
                <w:sz w:val="24"/>
                <w:szCs w:val="24"/>
                <w:highlight w:val="none"/>
                <w:lang w:val="en-US" w:eastAsia="zh-CN"/>
              </w:rPr>
              <w:t>区间分值：0-6分</w:t>
            </w:r>
          </w:p>
          <w:p w14:paraId="78523BD3">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楷体" w:hAnsi="楷体" w:eastAsia="楷体" w:cs="楷体"/>
                <w:b/>
                <w:bCs/>
                <w:kern w:val="0"/>
                <w:sz w:val="24"/>
                <w:szCs w:val="24"/>
                <w:highlight w:val="none"/>
                <w:lang w:val="en-US" w:eastAsia="zh-CN"/>
              </w:rPr>
            </w:pPr>
            <w:r>
              <w:rPr>
                <w:rFonts w:hint="eastAsia" w:ascii="楷体" w:hAnsi="楷体" w:eastAsia="楷体" w:cs="楷体"/>
                <w:b/>
                <w:bCs/>
                <w:kern w:val="0"/>
                <w:sz w:val="24"/>
                <w:szCs w:val="24"/>
                <w:highlight w:val="none"/>
                <w:lang w:val="en-US" w:eastAsia="zh-CN"/>
              </w:rPr>
              <w:t>评审标准细化及量化内容：</w:t>
            </w:r>
          </w:p>
          <w:p w14:paraId="00E22E90">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楷体" w:hAnsi="楷体" w:eastAsia="楷体" w:cs="楷体"/>
                <w:kern w:val="0"/>
                <w:sz w:val="24"/>
                <w:szCs w:val="24"/>
                <w:highlight w:val="none"/>
                <w:lang w:val="en-US" w:eastAsia="zh-CN"/>
              </w:rPr>
            </w:pPr>
            <w:r>
              <w:rPr>
                <w:rFonts w:hint="eastAsia" w:ascii="楷体" w:hAnsi="楷体" w:eastAsia="楷体" w:cs="楷体"/>
                <w:kern w:val="0"/>
                <w:sz w:val="24"/>
                <w:szCs w:val="24"/>
                <w:highlight w:val="none"/>
                <w:lang w:val="en-US" w:eastAsia="zh-CN"/>
              </w:rPr>
              <w:t>从①检测设备数量②先进程度③检测能力进行评审，能够满足检测需求、数量充足、能够满足大批量样品的检测周期需要得6分； 每缺项一个内容的描述扣2分；以上内容仅有描述但不够完善的，每有一项扣1分；</w:t>
            </w:r>
          </w:p>
          <w:p w14:paraId="0AA67534">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楷体" w:hAnsi="楷体" w:eastAsia="楷体" w:cs="楷体"/>
                <w:b/>
                <w:bCs/>
                <w:kern w:val="0"/>
                <w:sz w:val="24"/>
                <w:szCs w:val="24"/>
                <w:highlight w:val="none"/>
                <w:lang w:val="en-US" w:eastAsia="zh-CN"/>
              </w:rPr>
            </w:pPr>
            <w:r>
              <w:rPr>
                <w:rFonts w:hint="eastAsia" w:ascii="楷体" w:hAnsi="楷体" w:eastAsia="楷体" w:cs="楷体"/>
                <w:kern w:val="0"/>
                <w:sz w:val="24"/>
                <w:szCs w:val="24"/>
                <w:highlight w:val="none"/>
                <w:lang w:val="en-US" w:eastAsia="zh-CN"/>
              </w:rPr>
              <w:t>注：以提供仪器设备的发票、设备图片及校准证书等证明材料复印件为准。未提供相关内容不得分。</w:t>
            </w:r>
            <w:bookmarkEnd w:id="166"/>
          </w:p>
        </w:tc>
        <w:tc>
          <w:tcPr>
            <w:tcW w:w="585" w:type="pct"/>
            <w:noWrap w:val="0"/>
            <w:vAlign w:val="center"/>
          </w:tcPr>
          <w:p w14:paraId="470A0762">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楷体" w:hAnsi="楷体" w:eastAsia="楷体" w:cs="楷体"/>
                <w:sz w:val="24"/>
                <w:szCs w:val="24"/>
                <w:highlight w:val="none"/>
                <w:lang w:val="en-US" w:eastAsia="zh-CN"/>
              </w:rPr>
            </w:pPr>
            <w:r>
              <w:rPr>
                <w:rFonts w:hint="eastAsia" w:ascii="楷体" w:hAnsi="楷体" w:eastAsia="楷体" w:cs="楷体"/>
                <w:sz w:val="24"/>
                <w:szCs w:val="24"/>
                <w:highlight w:val="none"/>
                <w:lang w:val="en-US" w:eastAsia="zh-CN"/>
              </w:rPr>
              <w:t>6分</w:t>
            </w:r>
          </w:p>
        </w:tc>
      </w:tr>
      <w:tr w14:paraId="199EA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34" w:type="pct"/>
            <w:vMerge w:val="continue"/>
            <w:noWrap w:val="0"/>
            <w:vAlign w:val="center"/>
          </w:tcPr>
          <w:p w14:paraId="532C330A">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楷体" w:hAnsi="楷体" w:eastAsia="楷体" w:cs="楷体"/>
                <w:sz w:val="24"/>
                <w:szCs w:val="24"/>
                <w:highlight w:val="none"/>
                <w:lang w:val="en-US" w:eastAsia="zh-CN"/>
              </w:rPr>
            </w:pPr>
          </w:p>
        </w:tc>
        <w:tc>
          <w:tcPr>
            <w:tcW w:w="478" w:type="pct"/>
            <w:vMerge w:val="continue"/>
            <w:noWrap w:val="0"/>
            <w:vAlign w:val="center"/>
          </w:tcPr>
          <w:p w14:paraId="030981E4">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楷体" w:hAnsi="楷体" w:eastAsia="楷体" w:cs="楷体"/>
                <w:sz w:val="24"/>
                <w:szCs w:val="24"/>
                <w:highlight w:val="none"/>
                <w:lang w:val="en-US" w:eastAsia="zh-CN"/>
              </w:rPr>
            </w:pPr>
          </w:p>
        </w:tc>
        <w:tc>
          <w:tcPr>
            <w:tcW w:w="3401" w:type="pct"/>
            <w:noWrap w:val="0"/>
            <w:vAlign w:val="center"/>
          </w:tcPr>
          <w:p w14:paraId="15FB6C42">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楷体" w:hAnsi="楷体" w:eastAsia="楷体" w:cs="楷体"/>
                <w:b/>
                <w:bCs/>
                <w:kern w:val="0"/>
                <w:sz w:val="24"/>
                <w:szCs w:val="24"/>
                <w:highlight w:val="none"/>
                <w:lang w:val="en-US" w:eastAsia="zh-CN"/>
              </w:rPr>
            </w:pPr>
            <w:bookmarkStart w:id="167" w:name="OLE_LINK93"/>
            <w:r>
              <w:rPr>
                <w:rFonts w:hint="eastAsia" w:ascii="楷体" w:hAnsi="楷体" w:eastAsia="楷体" w:cs="楷体"/>
                <w:b/>
                <w:bCs/>
                <w:kern w:val="0"/>
                <w:sz w:val="24"/>
                <w:szCs w:val="24"/>
                <w:highlight w:val="none"/>
                <w:lang w:val="en-US" w:eastAsia="zh-CN"/>
              </w:rPr>
              <w:t>车辆配备情况</w:t>
            </w:r>
            <w:bookmarkEnd w:id="167"/>
            <w:r>
              <w:rPr>
                <w:rFonts w:hint="eastAsia" w:ascii="楷体" w:hAnsi="楷体" w:eastAsia="楷体" w:cs="楷体"/>
                <w:b/>
                <w:bCs/>
                <w:kern w:val="0"/>
                <w:sz w:val="24"/>
                <w:szCs w:val="24"/>
                <w:highlight w:val="none"/>
                <w:lang w:val="en-US" w:eastAsia="zh-CN"/>
              </w:rPr>
              <w:t>：</w:t>
            </w:r>
          </w:p>
          <w:p w14:paraId="7CE591CA">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楷体" w:hAnsi="楷体" w:eastAsia="楷体" w:cs="楷体"/>
                <w:b/>
                <w:bCs/>
                <w:kern w:val="0"/>
                <w:sz w:val="24"/>
                <w:szCs w:val="24"/>
                <w:highlight w:val="none"/>
                <w:lang w:val="en-US" w:eastAsia="zh-CN"/>
              </w:rPr>
            </w:pPr>
            <w:r>
              <w:rPr>
                <w:rFonts w:hint="eastAsia" w:ascii="楷体" w:hAnsi="楷体" w:eastAsia="楷体" w:cs="楷体"/>
                <w:b/>
                <w:bCs/>
                <w:kern w:val="0"/>
                <w:sz w:val="24"/>
                <w:szCs w:val="24"/>
                <w:highlight w:val="none"/>
                <w:lang w:val="en-US" w:eastAsia="zh-CN"/>
              </w:rPr>
              <w:t>区间分值：0-5分</w:t>
            </w:r>
          </w:p>
          <w:p w14:paraId="454A96B4">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楷体" w:hAnsi="楷体" w:eastAsia="楷体" w:cs="楷体"/>
                <w:b/>
                <w:bCs/>
                <w:kern w:val="0"/>
                <w:sz w:val="24"/>
                <w:szCs w:val="24"/>
                <w:highlight w:val="none"/>
                <w:lang w:val="en-US" w:eastAsia="zh-CN"/>
              </w:rPr>
            </w:pPr>
            <w:r>
              <w:rPr>
                <w:rFonts w:hint="eastAsia" w:ascii="楷体" w:hAnsi="楷体" w:eastAsia="楷体" w:cs="楷体"/>
                <w:b/>
                <w:bCs/>
                <w:kern w:val="0"/>
                <w:sz w:val="24"/>
                <w:szCs w:val="24"/>
                <w:highlight w:val="none"/>
                <w:lang w:val="en-US" w:eastAsia="zh-CN"/>
              </w:rPr>
              <w:t>评审标准细化及量化内容：（采购包2、采购包3、采购包4）</w:t>
            </w:r>
          </w:p>
          <w:p w14:paraId="32524E21">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楷体" w:hAnsi="楷体" w:eastAsia="楷体" w:cs="楷体"/>
                <w:kern w:val="0"/>
                <w:sz w:val="24"/>
                <w:szCs w:val="24"/>
                <w:highlight w:val="none"/>
                <w:lang w:val="en-US" w:eastAsia="zh-CN"/>
              </w:rPr>
            </w:pPr>
            <w:r>
              <w:rPr>
                <w:rFonts w:hint="eastAsia" w:ascii="楷体" w:hAnsi="楷体" w:eastAsia="楷体" w:cs="楷体"/>
                <w:kern w:val="0"/>
                <w:sz w:val="24"/>
                <w:szCs w:val="24"/>
                <w:highlight w:val="none"/>
                <w:lang w:val="en-US" w:eastAsia="zh-CN"/>
              </w:rPr>
              <w:t>供应商拟投入本项目的专用采样车辆中，每具有一辆自有配送车辆得1分，每具有一辆租赁车辆得0.5分，本项满分为5分。</w:t>
            </w:r>
          </w:p>
          <w:p w14:paraId="5541F4E3">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楷体" w:hAnsi="楷体" w:eastAsia="楷体" w:cs="楷体"/>
                <w:kern w:val="0"/>
                <w:sz w:val="24"/>
                <w:szCs w:val="24"/>
                <w:highlight w:val="none"/>
                <w:lang w:val="en-US" w:eastAsia="zh-CN"/>
              </w:rPr>
            </w:pPr>
            <w:r>
              <w:rPr>
                <w:rFonts w:hint="eastAsia" w:ascii="楷体" w:hAnsi="楷体" w:eastAsia="楷体" w:cs="楷体"/>
                <w:kern w:val="0"/>
                <w:sz w:val="24"/>
                <w:szCs w:val="24"/>
                <w:highlight w:val="none"/>
                <w:lang w:val="en-US" w:eastAsia="zh-CN"/>
              </w:rPr>
              <w:t>注：自有车辆：需提供车辆行驶证复印件和车辆照片；租赁车辆：需提供车辆租赁合同复印件（租赁期限必须覆盖2025年），车辆行驶证复印件及车辆照片。</w:t>
            </w:r>
          </w:p>
          <w:p w14:paraId="0C07B7BB">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楷体" w:hAnsi="楷体" w:eastAsia="楷体" w:cs="楷体"/>
                <w:b/>
                <w:bCs/>
                <w:kern w:val="0"/>
                <w:sz w:val="24"/>
                <w:szCs w:val="24"/>
                <w:highlight w:val="none"/>
                <w:lang w:val="en-US" w:eastAsia="zh-CN"/>
              </w:rPr>
            </w:pPr>
            <w:r>
              <w:rPr>
                <w:rFonts w:hint="eastAsia" w:ascii="楷体" w:hAnsi="楷体" w:eastAsia="楷体" w:cs="楷体"/>
                <w:b/>
                <w:bCs/>
                <w:kern w:val="0"/>
                <w:sz w:val="24"/>
                <w:szCs w:val="24"/>
                <w:highlight w:val="none"/>
                <w:lang w:val="en-US" w:eastAsia="zh-CN"/>
              </w:rPr>
              <w:t>评审标准细化及量化内容：（采购包1）</w:t>
            </w:r>
          </w:p>
          <w:p w14:paraId="48417128">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楷体" w:hAnsi="楷体" w:eastAsia="楷体" w:cs="楷体"/>
                <w:kern w:val="0"/>
                <w:sz w:val="24"/>
                <w:szCs w:val="24"/>
                <w:highlight w:val="none"/>
                <w:lang w:val="en-US" w:eastAsia="zh-CN"/>
              </w:rPr>
            </w:pPr>
            <w:r>
              <w:rPr>
                <w:rFonts w:hint="eastAsia" w:ascii="楷体" w:hAnsi="楷体" w:eastAsia="楷体" w:cs="楷体"/>
                <w:kern w:val="0"/>
                <w:sz w:val="24"/>
                <w:szCs w:val="24"/>
                <w:highlight w:val="none"/>
                <w:lang w:val="en-US" w:eastAsia="zh-CN"/>
              </w:rPr>
              <w:t>【汽柴油快速筛查项目必须有专业快速筛查车辆（不含普通配送车辆）】，每自有一辆专业车用油品快速筛查车辆得2分，每租赁一辆专业车用油品快速筛查车辆得1分，本项满分为5分。</w:t>
            </w:r>
          </w:p>
          <w:p w14:paraId="2C81C1E6">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楷体" w:hAnsi="楷体" w:eastAsia="楷体" w:cs="楷体"/>
                <w:kern w:val="0"/>
                <w:sz w:val="24"/>
                <w:szCs w:val="24"/>
                <w:highlight w:val="none"/>
                <w:lang w:val="en-US" w:eastAsia="zh-CN"/>
              </w:rPr>
            </w:pPr>
            <w:r>
              <w:rPr>
                <w:rFonts w:hint="eastAsia" w:ascii="楷体" w:hAnsi="楷体" w:eastAsia="楷体" w:cs="楷体"/>
                <w:kern w:val="0"/>
                <w:sz w:val="24"/>
                <w:szCs w:val="24"/>
                <w:highlight w:val="none"/>
                <w:lang w:val="en-US" w:eastAsia="zh-CN"/>
              </w:rPr>
              <w:t>注：自有车辆：需提供车辆行驶证复印件和车辆照片；租赁车辆：需提供车辆租赁合同复印件（租赁期限必须覆盖2025年），车辆行驶证复印件及车辆照片。</w:t>
            </w:r>
          </w:p>
        </w:tc>
        <w:tc>
          <w:tcPr>
            <w:tcW w:w="585" w:type="pct"/>
            <w:noWrap w:val="0"/>
            <w:vAlign w:val="center"/>
          </w:tcPr>
          <w:p w14:paraId="1FE5F3B4">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楷体" w:hAnsi="楷体" w:eastAsia="楷体" w:cs="楷体"/>
                <w:sz w:val="24"/>
                <w:szCs w:val="24"/>
                <w:highlight w:val="none"/>
                <w:lang w:val="en-US" w:eastAsia="zh-CN"/>
              </w:rPr>
            </w:pPr>
            <w:r>
              <w:rPr>
                <w:rFonts w:hint="eastAsia" w:ascii="楷体" w:hAnsi="楷体" w:eastAsia="楷体" w:cs="楷体"/>
                <w:sz w:val="24"/>
                <w:szCs w:val="24"/>
                <w:highlight w:val="none"/>
                <w:lang w:val="en-US" w:eastAsia="zh-CN"/>
              </w:rPr>
              <w:t>5分</w:t>
            </w:r>
          </w:p>
        </w:tc>
      </w:tr>
      <w:tr w14:paraId="2C795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34" w:type="pct"/>
            <w:vMerge w:val="continue"/>
            <w:noWrap w:val="0"/>
            <w:vAlign w:val="center"/>
          </w:tcPr>
          <w:p w14:paraId="6B2F00D2">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楷体" w:hAnsi="楷体" w:eastAsia="楷体" w:cs="楷体"/>
                <w:sz w:val="24"/>
                <w:szCs w:val="24"/>
                <w:highlight w:val="none"/>
                <w:lang w:val="en-US" w:eastAsia="zh-CN"/>
              </w:rPr>
            </w:pPr>
          </w:p>
        </w:tc>
        <w:tc>
          <w:tcPr>
            <w:tcW w:w="478" w:type="pct"/>
            <w:vMerge w:val="continue"/>
            <w:noWrap w:val="0"/>
            <w:vAlign w:val="center"/>
          </w:tcPr>
          <w:p w14:paraId="39F69C83">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楷体" w:hAnsi="楷体" w:eastAsia="楷体" w:cs="楷体"/>
                <w:sz w:val="24"/>
                <w:szCs w:val="24"/>
                <w:highlight w:val="none"/>
                <w:lang w:val="en-US" w:eastAsia="zh-CN"/>
              </w:rPr>
            </w:pPr>
          </w:p>
        </w:tc>
        <w:tc>
          <w:tcPr>
            <w:tcW w:w="3401" w:type="pct"/>
            <w:noWrap w:val="0"/>
            <w:vAlign w:val="center"/>
          </w:tcPr>
          <w:p w14:paraId="614ADCB2">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楷体" w:hAnsi="楷体" w:eastAsia="楷体" w:cs="楷体"/>
                <w:b/>
                <w:bCs/>
                <w:kern w:val="0"/>
                <w:sz w:val="24"/>
                <w:szCs w:val="24"/>
                <w:highlight w:val="none"/>
                <w:lang w:val="en-US" w:eastAsia="zh-CN"/>
              </w:rPr>
            </w:pPr>
            <w:r>
              <w:rPr>
                <w:rFonts w:hint="eastAsia" w:ascii="楷体" w:hAnsi="楷体" w:eastAsia="楷体" w:cs="楷体"/>
                <w:b/>
                <w:bCs/>
                <w:kern w:val="0"/>
                <w:sz w:val="24"/>
                <w:szCs w:val="24"/>
                <w:highlight w:val="none"/>
                <w:lang w:val="en-US" w:eastAsia="zh-CN"/>
              </w:rPr>
              <w:t>拟投入本项目人员：</w:t>
            </w:r>
          </w:p>
          <w:p w14:paraId="7823F108">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楷体" w:hAnsi="楷体" w:eastAsia="楷体" w:cs="楷体"/>
                <w:b/>
                <w:bCs/>
                <w:kern w:val="0"/>
                <w:sz w:val="24"/>
                <w:szCs w:val="24"/>
                <w:highlight w:val="none"/>
                <w:lang w:val="en-US" w:eastAsia="zh-CN"/>
              </w:rPr>
            </w:pPr>
            <w:r>
              <w:rPr>
                <w:rFonts w:hint="eastAsia" w:ascii="楷体" w:hAnsi="楷体" w:eastAsia="楷体" w:cs="楷体"/>
                <w:b/>
                <w:bCs/>
                <w:kern w:val="0"/>
                <w:sz w:val="24"/>
                <w:szCs w:val="24"/>
                <w:highlight w:val="none"/>
                <w:lang w:val="en-US" w:eastAsia="zh-CN"/>
              </w:rPr>
              <w:t>区间分值：0-5分</w:t>
            </w:r>
          </w:p>
          <w:p w14:paraId="0E0D3EA4">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楷体" w:hAnsi="楷体" w:eastAsia="楷体" w:cs="楷体"/>
                <w:b/>
                <w:bCs/>
                <w:kern w:val="0"/>
                <w:sz w:val="24"/>
                <w:szCs w:val="24"/>
                <w:highlight w:val="none"/>
                <w:lang w:val="en-US" w:eastAsia="zh-CN"/>
              </w:rPr>
            </w:pPr>
            <w:r>
              <w:rPr>
                <w:rFonts w:hint="eastAsia" w:ascii="楷体" w:hAnsi="楷体" w:eastAsia="楷体" w:cs="楷体"/>
                <w:b/>
                <w:bCs/>
                <w:kern w:val="0"/>
                <w:sz w:val="24"/>
                <w:szCs w:val="24"/>
                <w:highlight w:val="none"/>
                <w:lang w:val="en-US" w:eastAsia="zh-CN"/>
              </w:rPr>
              <w:t>评审标准细化及量化内容：</w:t>
            </w:r>
          </w:p>
          <w:p w14:paraId="37FC7CC2">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楷体" w:hAnsi="楷体" w:eastAsia="楷体" w:cs="楷体"/>
                <w:b/>
                <w:bCs/>
                <w:kern w:val="0"/>
                <w:sz w:val="24"/>
                <w:szCs w:val="24"/>
                <w:highlight w:val="none"/>
                <w:lang w:val="en-US" w:eastAsia="zh-CN"/>
              </w:rPr>
            </w:pPr>
            <w:r>
              <w:rPr>
                <w:rFonts w:hint="eastAsia" w:ascii="楷体" w:hAnsi="楷体" w:eastAsia="楷体" w:cs="楷体"/>
                <w:b w:val="0"/>
                <w:bCs w:val="0"/>
                <w:kern w:val="0"/>
                <w:sz w:val="24"/>
                <w:szCs w:val="24"/>
                <w:highlight w:val="none"/>
                <w:lang w:val="en-US" w:eastAsia="zh-CN"/>
              </w:rPr>
              <w:t>根据供应商提供的拟派项目实施服务人员情况进行评审，实验室专业检测分析人员每提供1人得1分（提供相应证书复印件）；外业数据采集人员每提供 1人得1分（提供相应证书证明复印件），本项最高得5分。</w:t>
            </w:r>
          </w:p>
        </w:tc>
        <w:tc>
          <w:tcPr>
            <w:tcW w:w="585" w:type="pct"/>
            <w:noWrap w:val="0"/>
            <w:vAlign w:val="center"/>
          </w:tcPr>
          <w:p w14:paraId="03C6FA8A">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楷体" w:hAnsi="楷体" w:eastAsia="楷体" w:cs="楷体"/>
                <w:sz w:val="24"/>
                <w:szCs w:val="24"/>
                <w:highlight w:val="none"/>
                <w:lang w:val="en-US" w:eastAsia="zh-CN"/>
              </w:rPr>
            </w:pPr>
            <w:r>
              <w:rPr>
                <w:rFonts w:hint="eastAsia" w:ascii="楷体" w:hAnsi="楷体" w:eastAsia="楷体" w:cs="楷体"/>
                <w:sz w:val="24"/>
                <w:szCs w:val="24"/>
                <w:highlight w:val="none"/>
                <w:lang w:val="en-US" w:eastAsia="zh-CN"/>
              </w:rPr>
              <w:t>5分</w:t>
            </w:r>
          </w:p>
        </w:tc>
      </w:tr>
      <w:tr w14:paraId="2F84C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34" w:type="pct"/>
            <w:vMerge w:val="continue"/>
            <w:noWrap w:val="0"/>
            <w:vAlign w:val="center"/>
          </w:tcPr>
          <w:p w14:paraId="46F44D51">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楷体" w:hAnsi="楷体" w:eastAsia="楷体" w:cs="楷体"/>
                <w:sz w:val="24"/>
                <w:szCs w:val="24"/>
                <w:highlight w:val="none"/>
                <w:lang w:val="en-US" w:eastAsia="zh-CN"/>
              </w:rPr>
            </w:pPr>
          </w:p>
        </w:tc>
        <w:tc>
          <w:tcPr>
            <w:tcW w:w="478" w:type="pct"/>
            <w:vMerge w:val="continue"/>
            <w:noWrap w:val="0"/>
            <w:vAlign w:val="center"/>
          </w:tcPr>
          <w:p w14:paraId="4CBB5E23">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楷体" w:hAnsi="楷体" w:eastAsia="楷体" w:cs="楷体"/>
                <w:sz w:val="24"/>
                <w:szCs w:val="24"/>
                <w:highlight w:val="none"/>
                <w:lang w:val="en-US" w:eastAsia="zh-CN"/>
              </w:rPr>
            </w:pPr>
          </w:p>
        </w:tc>
        <w:tc>
          <w:tcPr>
            <w:tcW w:w="3401" w:type="pct"/>
            <w:shd w:val="clear" w:color="auto" w:fill="auto"/>
            <w:noWrap w:val="0"/>
            <w:vAlign w:val="top"/>
          </w:tcPr>
          <w:p w14:paraId="49F5DA97">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楷体" w:hAnsi="楷体" w:eastAsia="楷体" w:cs="楷体"/>
                <w:b/>
                <w:bCs/>
                <w:kern w:val="0"/>
                <w:sz w:val="24"/>
                <w:szCs w:val="24"/>
                <w:highlight w:val="none"/>
                <w:lang w:val="en-US" w:eastAsia="zh-CN"/>
              </w:rPr>
            </w:pPr>
            <w:r>
              <w:rPr>
                <w:rFonts w:hint="eastAsia" w:ascii="楷体" w:hAnsi="楷体" w:eastAsia="楷体" w:cs="楷体"/>
                <w:b/>
                <w:bCs/>
                <w:kern w:val="0"/>
                <w:sz w:val="24"/>
                <w:szCs w:val="24"/>
                <w:highlight w:val="none"/>
                <w:lang w:val="en-US" w:eastAsia="zh-CN"/>
              </w:rPr>
              <w:t>服务响应承诺：</w:t>
            </w:r>
          </w:p>
          <w:p w14:paraId="2179D808">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楷体" w:hAnsi="楷体" w:eastAsia="楷体" w:cs="楷体"/>
                <w:b/>
                <w:bCs/>
                <w:kern w:val="0"/>
                <w:sz w:val="24"/>
                <w:szCs w:val="24"/>
                <w:highlight w:val="none"/>
                <w:lang w:val="en-US" w:eastAsia="zh-CN"/>
              </w:rPr>
            </w:pPr>
            <w:r>
              <w:rPr>
                <w:rFonts w:hint="eastAsia" w:ascii="楷体" w:hAnsi="楷体" w:eastAsia="楷体" w:cs="楷体"/>
                <w:b/>
                <w:bCs/>
                <w:kern w:val="0"/>
                <w:sz w:val="24"/>
                <w:szCs w:val="24"/>
                <w:highlight w:val="none"/>
                <w:lang w:val="en-US" w:eastAsia="zh-CN"/>
              </w:rPr>
              <w:t>区间分值：0-4分</w:t>
            </w:r>
          </w:p>
          <w:p w14:paraId="07D06C90">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楷体" w:hAnsi="楷体" w:eastAsia="楷体" w:cs="楷体"/>
                <w:b/>
                <w:bCs/>
                <w:kern w:val="0"/>
                <w:sz w:val="24"/>
                <w:szCs w:val="24"/>
                <w:highlight w:val="none"/>
                <w:lang w:val="en-US" w:eastAsia="zh-CN"/>
              </w:rPr>
            </w:pPr>
            <w:r>
              <w:rPr>
                <w:rFonts w:hint="eastAsia" w:ascii="楷体" w:hAnsi="楷体" w:eastAsia="楷体" w:cs="楷体"/>
                <w:b/>
                <w:bCs/>
                <w:kern w:val="0"/>
                <w:sz w:val="24"/>
                <w:szCs w:val="24"/>
                <w:highlight w:val="none"/>
                <w:lang w:val="en-US" w:eastAsia="zh-CN"/>
              </w:rPr>
              <w:t>评审标准细化及量化内容：</w:t>
            </w:r>
          </w:p>
          <w:p w14:paraId="2F6A6A62">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highlight w:val="none"/>
                <w:lang w:val="en-US" w:eastAsia="zh-CN"/>
              </w:rPr>
            </w:pPr>
            <w:r>
              <w:rPr>
                <w:rFonts w:hint="eastAsia" w:ascii="楷体" w:hAnsi="楷体" w:eastAsia="楷体" w:cs="楷体"/>
                <w:b w:val="0"/>
                <w:bCs w:val="0"/>
                <w:kern w:val="0"/>
                <w:sz w:val="24"/>
                <w:szCs w:val="24"/>
                <w:highlight w:val="none"/>
                <w:lang w:val="en-US" w:eastAsia="zh-CN"/>
              </w:rPr>
              <w:t>承诺自接到采购人通知后 12小时内到达现场采样的，得4 分；承诺自接到采购人通知后24小时内到达现场采样的，得3 分；承诺自接到采购人通知后 36小时内到达现场采样的，得2 分；承诺自接到采购人通知后 48小时内到达现场采样的，得1 分（需提供满足快速响应的资料）。</w:t>
            </w:r>
          </w:p>
        </w:tc>
        <w:tc>
          <w:tcPr>
            <w:tcW w:w="585" w:type="pct"/>
            <w:noWrap w:val="0"/>
            <w:vAlign w:val="center"/>
          </w:tcPr>
          <w:p w14:paraId="5BF514C1">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楷体" w:hAnsi="楷体" w:eastAsia="楷体" w:cs="楷体"/>
                <w:sz w:val="24"/>
                <w:szCs w:val="24"/>
                <w:highlight w:val="none"/>
                <w:lang w:val="en-US" w:eastAsia="zh-CN"/>
              </w:rPr>
            </w:pPr>
            <w:r>
              <w:rPr>
                <w:rFonts w:hint="eastAsia" w:ascii="楷体" w:hAnsi="楷体" w:eastAsia="楷体" w:cs="楷体"/>
                <w:sz w:val="24"/>
                <w:szCs w:val="24"/>
                <w:highlight w:val="none"/>
                <w:lang w:val="en-US" w:eastAsia="zh-CN"/>
              </w:rPr>
              <w:t>4分</w:t>
            </w:r>
          </w:p>
        </w:tc>
      </w:tr>
      <w:tr w14:paraId="50AB5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34" w:type="pct"/>
            <w:vMerge w:val="continue"/>
            <w:noWrap w:val="0"/>
            <w:vAlign w:val="center"/>
          </w:tcPr>
          <w:p w14:paraId="24DB6E1B">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楷体" w:hAnsi="楷体" w:eastAsia="楷体" w:cs="楷体"/>
                <w:sz w:val="24"/>
                <w:szCs w:val="24"/>
                <w:highlight w:val="none"/>
                <w:lang w:val="en-US" w:eastAsia="zh-CN"/>
              </w:rPr>
            </w:pPr>
          </w:p>
        </w:tc>
        <w:tc>
          <w:tcPr>
            <w:tcW w:w="478" w:type="pct"/>
            <w:vMerge w:val="continue"/>
            <w:noWrap w:val="0"/>
            <w:vAlign w:val="center"/>
          </w:tcPr>
          <w:p w14:paraId="10B121C9">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楷体" w:hAnsi="楷体" w:eastAsia="楷体" w:cs="楷体"/>
                <w:sz w:val="24"/>
                <w:szCs w:val="24"/>
                <w:highlight w:val="none"/>
                <w:lang w:val="en-US" w:eastAsia="zh-CN"/>
              </w:rPr>
            </w:pPr>
          </w:p>
        </w:tc>
        <w:tc>
          <w:tcPr>
            <w:tcW w:w="3401" w:type="pct"/>
            <w:noWrap w:val="0"/>
            <w:vAlign w:val="center"/>
          </w:tcPr>
          <w:p w14:paraId="0C99B941">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楷体" w:hAnsi="楷体" w:eastAsia="楷体" w:cs="楷体"/>
                <w:b/>
                <w:bCs/>
                <w:kern w:val="0"/>
                <w:sz w:val="24"/>
                <w:szCs w:val="24"/>
                <w:highlight w:val="none"/>
                <w:lang w:val="en-US" w:eastAsia="zh-CN"/>
              </w:rPr>
            </w:pPr>
            <w:r>
              <w:rPr>
                <w:rFonts w:hint="eastAsia" w:ascii="楷体" w:hAnsi="楷体" w:eastAsia="楷体" w:cs="楷体"/>
                <w:b/>
                <w:bCs/>
                <w:kern w:val="0"/>
                <w:sz w:val="24"/>
                <w:szCs w:val="24"/>
                <w:highlight w:val="none"/>
                <w:lang w:val="en-US" w:eastAsia="zh-CN"/>
              </w:rPr>
              <w:t>安全保障措施：</w:t>
            </w:r>
          </w:p>
          <w:p w14:paraId="0A76F00F">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楷体" w:hAnsi="楷体" w:eastAsia="楷体" w:cs="楷体"/>
                <w:b/>
                <w:bCs/>
                <w:kern w:val="0"/>
                <w:sz w:val="24"/>
                <w:szCs w:val="24"/>
                <w:highlight w:val="none"/>
                <w:lang w:val="en-US" w:eastAsia="zh-CN"/>
              </w:rPr>
            </w:pPr>
            <w:bookmarkStart w:id="168" w:name="OLE_LINK95"/>
            <w:r>
              <w:rPr>
                <w:rFonts w:hint="eastAsia" w:ascii="楷体" w:hAnsi="楷体" w:eastAsia="楷体" w:cs="楷体"/>
                <w:b/>
                <w:bCs/>
                <w:kern w:val="0"/>
                <w:sz w:val="24"/>
                <w:szCs w:val="24"/>
                <w:highlight w:val="none"/>
                <w:lang w:val="en-US" w:eastAsia="zh-CN"/>
              </w:rPr>
              <w:t>区间分值：0-5分</w:t>
            </w:r>
          </w:p>
          <w:p w14:paraId="4F129DF2">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楷体" w:hAnsi="楷体" w:eastAsia="楷体" w:cs="楷体"/>
                <w:b w:val="0"/>
                <w:bCs w:val="0"/>
                <w:kern w:val="0"/>
                <w:sz w:val="24"/>
                <w:szCs w:val="24"/>
                <w:highlight w:val="none"/>
                <w:lang w:val="en-US" w:eastAsia="zh-CN"/>
              </w:rPr>
            </w:pPr>
            <w:r>
              <w:rPr>
                <w:rFonts w:hint="eastAsia" w:ascii="楷体" w:hAnsi="楷体" w:eastAsia="楷体" w:cs="楷体"/>
                <w:b w:val="0"/>
                <w:bCs w:val="0"/>
                <w:kern w:val="0"/>
                <w:sz w:val="24"/>
                <w:szCs w:val="24"/>
                <w:highlight w:val="none"/>
                <w:lang w:val="en-US" w:eastAsia="zh-CN"/>
              </w:rPr>
              <w:t>针对本项目实际，供应商提供安全保障措施。</w:t>
            </w:r>
          </w:p>
          <w:p w14:paraId="71521293">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楷体" w:hAnsi="楷体" w:eastAsia="楷体" w:cs="楷体"/>
                <w:b/>
                <w:bCs/>
                <w:kern w:val="0"/>
                <w:sz w:val="24"/>
                <w:szCs w:val="24"/>
                <w:highlight w:val="none"/>
                <w:lang w:val="en-US" w:eastAsia="zh-CN"/>
              </w:rPr>
            </w:pPr>
            <w:r>
              <w:rPr>
                <w:rFonts w:hint="eastAsia" w:ascii="楷体" w:hAnsi="楷体" w:eastAsia="楷体" w:cs="楷体"/>
                <w:b/>
                <w:bCs/>
                <w:kern w:val="0"/>
                <w:sz w:val="24"/>
                <w:szCs w:val="24"/>
                <w:highlight w:val="none"/>
                <w:lang w:val="en-US" w:eastAsia="zh-CN"/>
              </w:rPr>
              <w:t>评审标准细化内容：</w:t>
            </w:r>
          </w:p>
          <w:p w14:paraId="16596686">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楷体" w:hAnsi="楷体" w:eastAsia="楷体" w:cs="楷体"/>
                <w:b w:val="0"/>
                <w:bCs w:val="0"/>
                <w:kern w:val="0"/>
                <w:sz w:val="24"/>
                <w:szCs w:val="24"/>
                <w:highlight w:val="none"/>
                <w:lang w:val="en-US" w:eastAsia="zh-CN"/>
              </w:rPr>
            </w:pPr>
            <w:r>
              <w:rPr>
                <w:rFonts w:hint="eastAsia" w:ascii="楷体" w:hAnsi="楷体" w:eastAsia="楷体" w:cs="楷体"/>
                <w:b w:val="0"/>
                <w:bCs w:val="0"/>
                <w:kern w:val="0"/>
                <w:sz w:val="24"/>
                <w:szCs w:val="24"/>
                <w:highlight w:val="none"/>
                <w:lang w:val="en-US" w:eastAsia="zh-CN"/>
              </w:rPr>
              <w:t>①服务过程中样品安全保证措施②服务过程中人身安全保证措施。</w:t>
            </w:r>
          </w:p>
          <w:p w14:paraId="72EB3A4F">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楷体" w:hAnsi="楷体" w:eastAsia="楷体" w:cs="楷体"/>
                <w:b/>
                <w:bCs/>
                <w:kern w:val="0"/>
                <w:sz w:val="24"/>
                <w:szCs w:val="24"/>
                <w:highlight w:val="none"/>
                <w:lang w:val="en-US" w:eastAsia="zh-CN"/>
              </w:rPr>
            </w:pPr>
            <w:r>
              <w:rPr>
                <w:rFonts w:hint="eastAsia" w:ascii="楷体" w:hAnsi="楷体" w:eastAsia="楷体" w:cs="楷体"/>
                <w:b/>
                <w:bCs/>
                <w:kern w:val="0"/>
                <w:sz w:val="24"/>
                <w:szCs w:val="24"/>
                <w:highlight w:val="none"/>
                <w:lang w:val="en-US" w:eastAsia="zh-CN"/>
              </w:rPr>
              <w:t>评审标准：</w:t>
            </w:r>
          </w:p>
          <w:p w14:paraId="211476BE">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楷体" w:hAnsi="楷体" w:eastAsia="楷体" w:cs="楷体"/>
                <w:b w:val="0"/>
                <w:bCs w:val="0"/>
                <w:kern w:val="0"/>
                <w:sz w:val="24"/>
                <w:szCs w:val="24"/>
                <w:highlight w:val="none"/>
                <w:lang w:val="en-US" w:eastAsia="zh-CN"/>
              </w:rPr>
            </w:pPr>
            <w:r>
              <w:rPr>
                <w:rFonts w:hint="eastAsia" w:ascii="楷体" w:hAnsi="楷体" w:eastAsia="楷体" w:cs="楷体"/>
                <w:b w:val="0"/>
                <w:bCs w:val="0"/>
                <w:kern w:val="0"/>
                <w:sz w:val="24"/>
                <w:szCs w:val="24"/>
                <w:highlight w:val="none"/>
                <w:lang w:val="en-US" w:eastAsia="zh-CN"/>
              </w:rPr>
              <w:t>1.完整性：安全保障措施详细全面，符合项目采购要求；</w:t>
            </w:r>
          </w:p>
          <w:p w14:paraId="5946F1EC">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楷体" w:hAnsi="楷体" w:eastAsia="楷体" w:cs="楷体"/>
                <w:b w:val="0"/>
                <w:bCs w:val="0"/>
                <w:kern w:val="0"/>
                <w:sz w:val="24"/>
                <w:szCs w:val="24"/>
                <w:highlight w:val="none"/>
                <w:lang w:val="en-US" w:eastAsia="zh-CN"/>
              </w:rPr>
            </w:pPr>
            <w:r>
              <w:rPr>
                <w:rFonts w:hint="eastAsia" w:ascii="楷体" w:hAnsi="楷体" w:eastAsia="楷体" w:cs="楷体"/>
                <w:b w:val="0"/>
                <w:bCs w:val="0"/>
                <w:kern w:val="0"/>
                <w:sz w:val="24"/>
                <w:szCs w:val="24"/>
                <w:highlight w:val="none"/>
                <w:lang w:val="en-US" w:eastAsia="zh-CN"/>
              </w:rPr>
              <w:t>2.可实施性：安全保障措施切合本项目实际情况，方案全面、实施步骤清晰、合理；</w:t>
            </w:r>
          </w:p>
          <w:p w14:paraId="160DB6FB">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楷体" w:hAnsi="楷体" w:eastAsia="楷体" w:cs="楷体"/>
                <w:b w:val="0"/>
                <w:bCs w:val="0"/>
                <w:kern w:val="0"/>
                <w:sz w:val="24"/>
                <w:szCs w:val="24"/>
                <w:highlight w:val="none"/>
                <w:lang w:val="en-US" w:eastAsia="zh-CN"/>
              </w:rPr>
            </w:pPr>
            <w:r>
              <w:rPr>
                <w:rFonts w:hint="eastAsia" w:ascii="楷体" w:hAnsi="楷体" w:eastAsia="楷体" w:cs="楷体"/>
                <w:b w:val="0"/>
                <w:bCs w:val="0"/>
                <w:kern w:val="0"/>
                <w:sz w:val="24"/>
                <w:szCs w:val="24"/>
                <w:highlight w:val="none"/>
                <w:lang w:val="en-US" w:eastAsia="zh-CN"/>
              </w:rPr>
              <w:t>3.针对性：安全保障措施能够紧扣项目实际情况，内容科学合理。</w:t>
            </w:r>
          </w:p>
          <w:p w14:paraId="61D9A3B0">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楷体" w:hAnsi="楷体" w:eastAsia="楷体" w:cs="楷体"/>
                <w:b/>
                <w:bCs/>
                <w:kern w:val="0"/>
                <w:sz w:val="24"/>
                <w:szCs w:val="24"/>
                <w:highlight w:val="none"/>
                <w:lang w:val="en-US" w:eastAsia="zh-CN"/>
              </w:rPr>
            </w:pPr>
            <w:r>
              <w:rPr>
                <w:rFonts w:hint="eastAsia" w:ascii="楷体" w:hAnsi="楷体" w:eastAsia="楷体" w:cs="楷体"/>
                <w:b/>
                <w:bCs/>
                <w:kern w:val="0"/>
                <w:sz w:val="24"/>
                <w:szCs w:val="24"/>
                <w:highlight w:val="none"/>
                <w:lang w:val="en-US" w:eastAsia="zh-CN"/>
              </w:rPr>
              <w:t>评审标准量化内容：</w:t>
            </w:r>
          </w:p>
          <w:p w14:paraId="6155F71D">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楷体" w:hAnsi="楷体" w:eastAsia="楷体" w:cs="楷体"/>
                <w:b w:val="0"/>
                <w:bCs w:val="0"/>
                <w:kern w:val="0"/>
                <w:sz w:val="24"/>
                <w:szCs w:val="24"/>
                <w:highlight w:val="none"/>
                <w:lang w:val="en-US" w:eastAsia="zh-CN"/>
              </w:rPr>
            </w:pPr>
            <w:r>
              <w:rPr>
                <w:rFonts w:hint="eastAsia" w:ascii="楷体" w:hAnsi="楷体" w:eastAsia="楷体" w:cs="楷体"/>
                <w:b w:val="0"/>
                <w:bCs w:val="0"/>
                <w:kern w:val="0"/>
                <w:sz w:val="24"/>
                <w:szCs w:val="24"/>
                <w:highlight w:val="none"/>
                <w:lang w:val="en-US" w:eastAsia="zh-CN"/>
              </w:rPr>
              <w:t>1.措施完整、合理，可操作性强得5分；</w:t>
            </w:r>
          </w:p>
          <w:p w14:paraId="536EB48B">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楷体" w:hAnsi="楷体" w:eastAsia="楷体" w:cs="楷体"/>
                <w:b w:val="0"/>
                <w:bCs w:val="0"/>
                <w:kern w:val="0"/>
                <w:sz w:val="24"/>
                <w:szCs w:val="24"/>
                <w:highlight w:val="none"/>
                <w:lang w:val="en-US" w:eastAsia="zh-CN"/>
              </w:rPr>
            </w:pPr>
            <w:r>
              <w:rPr>
                <w:rFonts w:hint="eastAsia" w:ascii="楷体" w:hAnsi="楷体" w:eastAsia="楷体" w:cs="楷体"/>
                <w:b w:val="0"/>
                <w:bCs w:val="0"/>
                <w:kern w:val="0"/>
                <w:sz w:val="24"/>
                <w:szCs w:val="24"/>
                <w:highlight w:val="none"/>
                <w:lang w:val="en-US" w:eastAsia="zh-CN"/>
              </w:rPr>
              <w:t>2.措施比较完整，可操作性较强得4分；</w:t>
            </w:r>
          </w:p>
          <w:p w14:paraId="24345F72">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楷体" w:hAnsi="楷体" w:eastAsia="楷体" w:cs="楷体"/>
                <w:b w:val="0"/>
                <w:bCs w:val="0"/>
                <w:kern w:val="0"/>
                <w:sz w:val="24"/>
                <w:szCs w:val="24"/>
                <w:highlight w:val="none"/>
                <w:lang w:val="en-US" w:eastAsia="zh-CN"/>
              </w:rPr>
            </w:pPr>
            <w:r>
              <w:rPr>
                <w:rFonts w:hint="eastAsia" w:ascii="楷体" w:hAnsi="楷体" w:eastAsia="楷体" w:cs="楷体"/>
                <w:b w:val="0"/>
                <w:bCs w:val="0"/>
                <w:kern w:val="0"/>
                <w:sz w:val="24"/>
                <w:szCs w:val="24"/>
                <w:highlight w:val="none"/>
                <w:lang w:val="en-US" w:eastAsia="zh-CN"/>
              </w:rPr>
              <w:t>3.措施基本完整，有一定可操作性得3分；</w:t>
            </w:r>
          </w:p>
          <w:p w14:paraId="5BC9AA27">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楷体" w:hAnsi="楷体" w:eastAsia="楷体" w:cs="楷体"/>
                <w:b w:val="0"/>
                <w:bCs w:val="0"/>
                <w:kern w:val="0"/>
                <w:sz w:val="24"/>
                <w:szCs w:val="24"/>
                <w:highlight w:val="none"/>
                <w:lang w:val="en-US" w:eastAsia="zh-CN"/>
              </w:rPr>
            </w:pPr>
            <w:r>
              <w:rPr>
                <w:rFonts w:hint="eastAsia" w:ascii="楷体" w:hAnsi="楷体" w:eastAsia="楷体" w:cs="楷体"/>
                <w:b w:val="0"/>
                <w:bCs w:val="0"/>
                <w:kern w:val="0"/>
                <w:sz w:val="24"/>
                <w:szCs w:val="24"/>
                <w:highlight w:val="none"/>
                <w:lang w:val="en-US" w:eastAsia="zh-CN"/>
              </w:rPr>
              <w:t>4.措施简略，可操作性一般得2分；</w:t>
            </w:r>
          </w:p>
          <w:p w14:paraId="5BA84CE4">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楷体" w:hAnsi="楷体" w:eastAsia="楷体" w:cs="楷体"/>
                <w:b w:val="0"/>
                <w:bCs w:val="0"/>
                <w:kern w:val="0"/>
                <w:sz w:val="24"/>
                <w:szCs w:val="24"/>
                <w:highlight w:val="none"/>
                <w:lang w:val="en-US" w:eastAsia="zh-CN"/>
              </w:rPr>
            </w:pPr>
            <w:r>
              <w:rPr>
                <w:rFonts w:hint="eastAsia" w:ascii="楷体" w:hAnsi="楷体" w:eastAsia="楷体" w:cs="楷体"/>
                <w:b w:val="0"/>
                <w:bCs w:val="0"/>
                <w:kern w:val="0"/>
                <w:sz w:val="24"/>
                <w:szCs w:val="24"/>
                <w:highlight w:val="none"/>
                <w:lang w:val="en-US" w:eastAsia="zh-CN"/>
              </w:rPr>
              <w:t>5.措施不够完整，可操作性差得1分；</w:t>
            </w:r>
          </w:p>
          <w:p w14:paraId="1B22B0C8">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楷体" w:hAnsi="楷体" w:eastAsia="楷体" w:cs="楷体"/>
                <w:b/>
                <w:bCs/>
                <w:kern w:val="0"/>
                <w:sz w:val="24"/>
                <w:szCs w:val="24"/>
                <w:highlight w:val="none"/>
                <w:lang w:val="en-US" w:eastAsia="zh-CN"/>
              </w:rPr>
            </w:pPr>
            <w:r>
              <w:rPr>
                <w:rFonts w:hint="eastAsia" w:ascii="楷体" w:hAnsi="楷体" w:eastAsia="楷体" w:cs="楷体"/>
                <w:b w:val="0"/>
                <w:bCs w:val="0"/>
                <w:kern w:val="0"/>
                <w:sz w:val="24"/>
                <w:szCs w:val="24"/>
                <w:highlight w:val="none"/>
                <w:lang w:val="en-US" w:eastAsia="zh-CN"/>
              </w:rPr>
              <w:t>6.未提供相关内容不得分。</w:t>
            </w:r>
            <w:bookmarkEnd w:id="168"/>
          </w:p>
        </w:tc>
        <w:tc>
          <w:tcPr>
            <w:tcW w:w="585" w:type="pct"/>
            <w:noWrap w:val="0"/>
            <w:vAlign w:val="center"/>
          </w:tcPr>
          <w:p w14:paraId="5C53350E">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楷体" w:hAnsi="楷体" w:eastAsia="楷体" w:cs="楷体"/>
                <w:sz w:val="24"/>
                <w:szCs w:val="24"/>
                <w:highlight w:val="none"/>
                <w:lang w:val="en-US" w:eastAsia="zh-CN"/>
              </w:rPr>
            </w:pPr>
            <w:r>
              <w:rPr>
                <w:rFonts w:hint="eastAsia" w:ascii="楷体" w:hAnsi="楷体" w:eastAsia="楷体" w:cs="楷体"/>
                <w:sz w:val="24"/>
                <w:szCs w:val="24"/>
                <w:highlight w:val="none"/>
                <w:lang w:val="en-US" w:eastAsia="zh-CN"/>
              </w:rPr>
              <w:t>5分</w:t>
            </w:r>
          </w:p>
        </w:tc>
      </w:tr>
      <w:tr w14:paraId="106AD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34" w:type="pct"/>
            <w:vMerge w:val="continue"/>
            <w:noWrap w:val="0"/>
            <w:vAlign w:val="center"/>
          </w:tcPr>
          <w:p w14:paraId="25D3BC1D">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楷体" w:hAnsi="楷体" w:eastAsia="楷体" w:cs="楷体"/>
                <w:sz w:val="24"/>
                <w:szCs w:val="24"/>
                <w:highlight w:val="none"/>
                <w:lang w:val="en-US" w:eastAsia="zh-CN"/>
              </w:rPr>
            </w:pPr>
          </w:p>
        </w:tc>
        <w:tc>
          <w:tcPr>
            <w:tcW w:w="478" w:type="pct"/>
            <w:vMerge w:val="continue"/>
            <w:noWrap w:val="0"/>
            <w:vAlign w:val="center"/>
          </w:tcPr>
          <w:p w14:paraId="11827787">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楷体" w:hAnsi="楷体" w:eastAsia="楷体" w:cs="楷体"/>
                <w:sz w:val="24"/>
                <w:szCs w:val="24"/>
                <w:highlight w:val="none"/>
                <w:lang w:val="en-US" w:eastAsia="zh-CN"/>
              </w:rPr>
            </w:pPr>
          </w:p>
        </w:tc>
        <w:tc>
          <w:tcPr>
            <w:tcW w:w="3401" w:type="pct"/>
            <w:noWrap w:val="0"/>
            <w:vAlign w:val="center"/>
          </w:tcPr>
          <w:p w14:paraId="00E260A6">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楷体" w:hAnsi="楷体" w:eastAsia="楷体" w:cs="楷体"/>
                <w:b/>
                <w:bCs/>
                <w:kern w:val="0"/>
                <w:sz w:val="24"/>
                <w:szCs w:val="24"/>
                <w:highlight w:val="none"/>
                <w:lang w:val="en-US" w:eastAsia="zh-CN"/>
              </w:rPr>
            </w:pPr>
            <w:r>
              <w:rPr>
                <w:rFonts w:hint="eastAsia" w:ascii="楷体" w:hAnsi="楷体" w:eastAsia="楷体" w:cs="楷体"/>
                <w:b/>
                <w:bCs/>
                <w:kern w:val="0"/>
                <w:sz w:val="24"/>
                <w:szCs w:val="24"/>
                <w:highlight w:val="none"/>
                <w:lang w:val="en-US" w:eastAsia="zh-CN"/>
              </w:rPr>
              <w:t>合理化建议：</w:t>
            </w:r>
          </w:p>
          <w:p w14:paraId="061BB077">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楷体" w:hAnsi="楷体" w:eastAsia="楷体" w:cs="楷体"/>
                <w:b/>
                <w:bCs/>
                <w:kern w:val="0"/>
                <w:sz w:val="24"/>
                <w:szCs w:val="24"/>
                <w:highlight w:val="none"/>
                <w:lang w:val="en-US" w:eastAsia="zh-CN"/>
              </w:rPr>
            </w:pPr>
            <w:bookmarkStart w:id="169" w:name="OLE_LINK96"/>
            <w:r>
              <w:rPr>
                <w:rFonts w:hint="eastAsia" w:ascii="楷体" w:hAnsi="楷体" w:eastAsia="楷体" w:cs="楷体"/>
                <w:b/>
                <w:bCs/>
                <w:kern w:val="0"/>
                <w:sz w:val="24"/>
                <w:szCs w:val="24"/>
                <w:highlight w:val="none"/>
                <w:lang w:val="en-US" w:eastAsia="zh-CN"/>
              </w:rPr>
              <w:t>区间分值：0-5分</w:t>
            </w:r>
          </w:p>
          <w:p w14:paraId="247B0412">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楷体" w:hAnsi="楷体" w:eastAsia="楷体" w:cs="楷体"/>
                <w:b w:val="0"/>
                <w:bCs w:val="0"/>
                <w:kern w:val="0"/>
                <w:sz w:val="24"/>
                <w:szCs w:val="24"/>
                <w:highlight w:val="none"/>
                <w:lang w:val="en-US" w:eastAsia="zh-CN"/>
              </w:rPr>
            </w:pPr>
            <w:r>
              <w:rPr>
                <w:rFonts w:hint="eastAsia" w:ascii="楷体" w:hAnsi="楷体" w:eastAsia="楷体" w:cs="楷体"/>
                <w:b w:val="0"/>
                <w:bCs w:val="0"/>
                <w:kern w:val="0"/>
                <w:sz w:val="24"/>
                <w:szCs w:val="24"/>
                <w:highlight w:val="none"/>
                <w:lang w:val="en-US" w:eastAsia="zh-CN"/>
              </w:rPr>
              <w:t>针对本项目实际需求，供应商向项目组织部门提供实质性的合理化建议。</w:t>
            </w:r>
          </w:p>
          <w:p w14:paraId="269B4233">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楷体" w:hAnsi="楷体" w:eastAsia="楷体" w:cs="楷体"/>
                <w:b/>
                <w:bCs/>
                <w:kern w:val="0"/>
                <w:sz w:val="24"/>
                <w:szCs w:val="24"/>
                <w:highlight w:val="none"/>
                <w:lang w:val="en-US" w:eastAsia="zh-CN"/>
              </w:rPr>
            </w:pPr>
            <w:r>
              <w:rPr>
                <w:rFonts w:hint="eastAsia" w:ascii="楷体" w:hAnsi="楷体" w:eastAsia="楷体" w:cs="楷体"/>
                <w:b/>
                <w:bCs/>
                <w:kern w:val="0"/>
                <w:sz w:val="24"/>
                <w:szCs w:val="24"/>
                <w:highlight w:val="none"/>
                <w:lang w:val="en-US" w:eastAsia="zh-CN"/>
              </w:rPr>
              <w:t>评审标准细化内容：</w:t>
            </w:r>
          </w:p>
          <w:p w14:paraId="4EB8A3C8">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楷体" w:hAnsi="楷体" w:eastAsia="楷体" w:cs="楷体"/>
                <w:b w:val="0"/>
                <w:bCs w:val="0"/>
                <w:kern w:val="0"/>
                <w:sz w:val="24"/>
                <w:szCs w:val="24"/>
                <w:highlight w:val="none"/>
                <w:lang w:val="en-US" w:eastAsia="zh-CN"/>
              </w:rPr>
            </w:pPr>
            <w:r>
              <w:rPr>
                <w:rFonts w:hint="eastAsia" w:ascii="楷体" w:hAnsi="楷体" w:eastAsia="楷体" w:cs="楷体"/>
                <w:b w:val="0"/>
                <w:bCs w:val="0"/>
                <w:kern w:val="0"/>
                <w:sz w:val="24"/>
                <w:szCs w:val="24"/>
                <w:highlight w:val="none"/>
                <w:lang w:val="en-US" w:eastAsia="zh-CN"/>
              </w:rPr>
              <w:t>①服务需求分析②相关合理化建议。</w:t>
            </w:r>
          </w:p>
          <w:p w14:paraId="4AA0CDCB">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楷体" w:hAnsi="楷体" w:eastAsia="楷体" w:cs="楷体"/>
                <w:b/>
                <w:bCs/>
                <w:kern w:val="0"/>
                <w:sz w:val="24"/>
                <w:szCs w:val="24"/>
                <w:highlight w:val="none"/>
                <w:lang w:val="en-US" w:eastAsia="zh-CN"/>
              </w:rPr>
            </w:pPr>
            <w:r>
              <w:rPr>
                <w:rFonts w:hint="eastAsia" w:ascii="楷体" w:hAnsi="楷体" w:eastAsia="楷体" w:cs="楷体"/>
                <w:b/>
                <w:bCs/>
                <w:kern w:val="0"/>
                <w:sz w:val="24"/>
                <w:szCs w:val="24"/>
                <w:highlight w:val="none"/>
                <w:lang w:val="en-US" w:eastAsia="zh-CN"/>
              </w:rPr>
              <w:t>评审标准：</w:t>
            </w:r>
          </w:p>
          <w:p w14:paraId="04389A10">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楷体" w:hAnsi="楷体" w:eastAsia="楷体" w:cs="楷体"/>
                <w:b w:val="0"/>
                <w:bCs w:val="0"/>
                <w:kern w:val="0"/>
                <w:sz w:val="24"/>
                <w:szCs w:val="24"/>
                <w:highlight w:val="none"/>
                <w:lang w:val="en-US" w:eastAsia="zh-CN"/>
              </w:rPr>
            </w:pPr>
            <w:r>
              <w:rPr>
                <w:rFonts w:hint="eastAsia" w:ascii="楷体" w:hAnsi="楷体" w:eastAsia="楷体" w:cs="楷体"/>
                <w:b w:val="0"/>
                <w:bCs w:val="0"/>
                <w:kern w:val="0"/>
                <w:sz w:val="24"/>
                <w:szCs w:val="24"/>
                <w:highlight w:val="none"/>
                <w:lang w:val="en-US" w:eastAsia="zh-CN"/>
              </w:rPr>
              <w:t>1.完整性：合理化建议详细全面，符合项目采购要求；</w:t>
            </w:r>
          </w:p>
          <w:p w14:paraId="332536CC">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楷体" w:hAnsi="楷体" w:eastAsia="楷体" w:cs="楷体"/>
                <w:b w:val="0"/>
                <w:bCs w:val="0"/>
                <w:kern w:val="0"/>
                <w:sz w:val="24"/>
                <w:szCs w:val="24"/>
                <w:highlight w:val="none"/>
                <w:lang w:val="en-US" w:eastAsia="zh-CN"/>
              </w:rPr>
            </w:pPr>
            <w:r>
              <w:rPr>
                <w:rFonts w:hint="eastAsia" w:ascii="楷体" w:hAnsi="楷体" w:eastAsia="楷体" w:cs="楷体"/>
                <w:b w:val="0"/>
                <w:bCs w:val="0"/>
                <w:kern w:val="0"/>
                <w:sz w:val="24"/>
                <w:szCs w:val="24"/>
                <w:highlight w:val="none"/>
                <w:lang w:val="en-US" w:eastAsia="zh-CN"/>
              </w:rPr>
              <w:t>2.可实施性：合理化建议切合本项目实际情况，方案全面、实施步骤清晰、合理；</w:t>
            </w:r>
          </w:p>
          <w:p w14:paraId="6DB6826E">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楷体" w:hAnsi="楷体" w:eastAsia="楷体" w:cs="楷体"/>
                <w:b w:val="0"/>
                <w:bCs w:val="0"/>
                <w:kern w:val="0"/>
                <w:sz w:val="24"/>
                <w:szCs w:val="24"/>
                <w:highlight w:val="none"/>
                <w:lang w:val="en-US" w:eastAsia="zh-CN"/>
              </w:rPr>
            </w:pPr>
            <w:r>
              <w:rPr>
                <w:rFonts w:hint="eastAsia" w:ascii="楷体" w:hAnsi="楷体" w:eastAsia="楷体" w:cs="楷体"/>
                <w:b w:val="0"/>
                <w:bCs w:val="0"/>
                <w:kern w:val="0"/>
                <w:sz w:val="24"/>
                <w:szCs w:val="24"/>
                <w:highlight w:val="none"/>
                <w:lang w:val="en-US" w:eastAsia="zh-CN"/>
              </w:rPr>
              <w:t>3.针对性：合理化建议能够紧扣项目实际情况，内容科学合理。</w:t>
            </w:r>
          </w:p>
          <w:p w14:paraId="09D0DC52">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楷体" w:hAnsi="楷体" w:eastAsia="楷体" w:cs="楷体"/>
                <w:b/>
                <w:bCs/>
                <w:kern w:val="0"/>
                <w:sz w:val="24"/>
                <w:szCs w:val="24"/>
                <w:highlight w:val="none"/>
                <w:lang w:val="en-US" w:eastAsia="zh-CN"/>
              </w:rPr>
            </w:pPr>
            <w:r>
              <w:rPr>
                <w:rFonts w:hint="eastAsia" w:ascii="楷体" w:hAnsi="楷体" w:eastAsia="楷体" w:cs="楷体"/>
                <w:b/>
                <w:bCs/>
                <w:kern w:val="0"/>
                <w:sz w:val="24"/>
                <w:szCs w:val="24"/>
                <w:highlight w:val="none"/>
                <w:lang w:val="en-US" w:eastAsia="zh-CN"/>
              </w:rPr>
              <w:t>评审标准量化内容：</w:t>
            </w:r>
          </w:p>
          <w:p w14:paraId="51DBDF38">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楷体" w:hAnsi="楷体" w:eastAsia="楷体" w:cs="楷体"/>
                <w:b w:val="0"/>
                <w:bCs w:val="0"/>
                <w:kern w:val="0"/>
                <w:sz w:val="24"/>
                <w:szCs w:val="24"/>
                <w:highlight w:val="none"/>
                <w:lang w:val="en-US" w:eastAsia="zh-CN"/>
              </w:rPr>
            </w:pPr>
            <w:r>
              <w:rPr>
                <w:rFonts w:hint="eastAsia" w:ascii="楷体" w:hAnsi="楷体" w:eastAsia="楷体" w:cs="楷体"/>
                <w:b w:val="0"/>
                <w:bCs w:val="0"/>
                <w:kern w:val="0"/>
                <w:sz w:val="24"/>
                <w:szCs w:val="24"/>
                <w:highlight w:val="none"/>
                <w:lang w:val="en-US" w:eastAsia="zh-CN"/>
              </w:rPr>
              <w:t>1.建议内容科学可行，有针对性且内容丰富，得5 分；</w:t>
            </w:r>
          </w:p>
          <w:p w14:paraId="3620D811">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楷体" w:hAnsi="楷体" w:eastAsia="楷体" w:cs="楷体"/>
                <w:b w:val="0"/>
                <w:bCs w:val="0"/>
                <w:kern w:val="0"/>
                <w:sz w:val="24"/>
                <w:szCs w:val="24"/>
                <w:highlight w:val="none"/>
                <w:lang w:val="en-US" w:eastAsia="zh-CN"/>
              </w:rPr>
            </w:pPr>
            <w:r>
              <w:rPr>
                <w:rFonts w:hint="eastAsia" w:ascii="楷体" w:hAnsi="楷体" w:eastAsia="楷体" w:cs="楷体"/>
                <w:b w:val="0"/>
                <w:bCs w:val="0"/>
                <w:kern w:val="0"/>
                <w:sz w:val="24"/>
                <w:szCs w:val="24"/>
                <w:highlight w:val="none"/>
                <w:lang w:val="en-US" w:eastAsia="zh-CN"/>
              </w:rPr>
              <w:t xml:space="preserve">2.建议内容较为可行，针对性较强，得4分； </w:t>
            </w:r>
          </w:p>
          <w:p w14:paraId="38954170">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楷体" w:hAnsi="楷体" w:eastAsia="楷体" w:cs="楷体"/>
                <w:b w:val="0"/>
                <w:bCs w:val="0"/>
                <w:kern w:val="0"/>
                <w:sz w:val="24"/>
                <w:szCs w:val="24"/>
                <w:highlight w:val="none"/>
                <w:lang w:val="en-US" w:eastAsia="zh-CN"/>
              </w:rPr>
            </w:pPr>
            <w:r>
              <w:rPr>
                <w:rFonts w:hint="eastAsia" w:ascii="楷体" w:hAnsi="楷体" w:eastAsia="楷体" w:cs="楷体"/>
                <w:b w:val="0"/>
                <w:bCs w:val="0"/>
                <w:kern w:val="0"/>
                <w:sz w:val="24"/>
                <w:szCs w:val="24"/>
                <w:highlight w:val="none"/>
                <w:lang w:val="en-US" w:eastAsia="zh-CN"/>
              </w:rPr>
              <w:t>3.建议内容相对可行，针对性相对较强，得3分；4.建议内容基本可行，具有一定的针对性，得2分；5.建议内容存在漏洞，不具备针对性，得1分；</w:t>
            </w:r>
          </w:p>
          <w:p w14:paraId="2F74E83E">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楷体" w:hAnsi="楷体" w:eastAsia="楷体" w:cs="楷体"/>
                <w:b/>
                <w:bCs/>
                <w:kern w:val="0"/>
                <w:sz w:val="24"/>
                <w:szCs w:val="24"/>
                <w:highlight w:val="none"/>
                <w:lang w:val="en-US" w:eastAsia="zh-CN"/>
              </w:rPr>
            </w:pPr>
            <w:r>
              <w:rPr>
                <w:rFonts w:hint="eastAsia" w:ascii="楷体" w:hAnsi="楷体" w:eastAsia="楷体" w:cs="楷体"/>
                <w:b w:val="0"/>
                <w:bCs w:val="0"/>
                <w:kern w:val="0"/>
                <w:sz w:val="24"/>
                <w:szCs w:val="24"/>
                <w:highlight w:val="none"/>
                <w:lang w:val="en-US" w:eastAsia="zh-CN"/>
              </w:rPr>
              <w:t>6.未提供相关内容不得分。</w:t>
            </w:r>
            <w:bookmarkEnd w:id="169"/>
          </w:p>
        </w:tc>
        <w:tc>
          <w:tcPr>
            <w:tcW w:w="585" w:type="pct"/>
            <w:noWrap w:val="0"/>
            <w:vAlign w:val="center"/>
          </w:tcPr>
          <w:p w14:paraId="4FBD8C96">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楷体" w:hAnsi="楷体" w:eastAsia="楷体" w:cs="楷体"/>
                <w:sz w:val="24"/>
                <w:szCs w:val="24"/>
                <w:highlight w:val="none"/>
                <w:lang w:val="en-US" w:eastAsia="zh-CN"/>
              </w:rPr>
            </w:pPr>
            <w:r>
              <w:rPr>
                <w:rFonts w:hint="eastAsia" w:ascii="楷体" w:hAnsi="楷体" w:eastAsia="楷体" w:cs="楷体"/>
                <w:sz w:val="24"/>
                <w:szCs w:val="24"/>
                <w:highlight w:val="none"/>
                <w:lang w:val="en-US" w:eastAsia="zh-CN"/>
              </w:rPr>
              <w:t>5分</w:t>
            </w:r>
          </w:p>
        </w:tc>
      </w:tr>
      <w:tr w14:paraId="593AE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534" w:type="pct"/>
            <w:noWrap w:val="0"/>
            <w:vAlign w:val="center"/>
          </w:tcPr>
          <w:p w14:paraId="0E4B25F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楷体" w:hAnsi="楷体" w:eastAsia="楷体" w:cs="楷体"/>
                <w:sz w:val="24"/>
                <w:szCs w:val="24"/>
                <w:highlight w:val="none"/>
              </w:rPr>
            </w:pPr>
            <w:r>
              <w:rPr>
                <w:rFonts w:hint="eastAsia" w:ascii="楷体" w:hAnsi="楷体" w:eastAsia="楷体" w:cs="楷体"/>
                <w:sz w:val="24"/>
                <w:szCs w:val="24"/>
                <w:highlight w:val="none"/>
              </w:rPr>
              <w:t>说明</w:t>
            </w:r>
          </w:p>
        </w:tc>
        <w:tc>
          <w:tcPr>
            <w:tcW w:w="4465" w:type="pct"/>
            <w:gridSpan w:val="3"/>
            <w:noWrap w:val="0"/>
            <w:vAlign w:val="center"/>
          </w:tcPr>
          <w:p w14:paraId="7815234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楷体" w:hAnsi="楷体" w:eastAsia="楷体" w:cs="楷体"/>
                <w:sz w:val="24"/>
                <w:szCs w:val="24"/>
                <w:highlight w:val="none"/>
              </w:rPr>
            </w:pPr>
            <w:r>
              <w:rPr>
                <w:rFonts w:hint="eastAsia" w:ascii="楷体" w:hAnsi="楷体" w:eastAsia="楷体" w:cs="楷体"/>
                <w:sz w:val="24"/>
                <w:szCs w:val="24"/>
                <w:highlight w:val="none"/>
              </w:rPr>
              <w:t>1、磋商小组各成员独立打分。</w:t>
            </w:r>
          </w:p>
          <w:p w14:paraId="6BF1570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楷体" w:hAnsi="楷体" w:eastAsia="楷体" w:cs="楷体"/>
                <w:sz w:val="24"/>
                <w:szCs w:val="24"/>
                <w:highlight w:val="none"/>
              </w:rPr>
            </w:pPr>
            <w:r>
              <w:rPr>
                <w:rFonts w:hint="eastAsia" w:ascii="楷体" w:hAnsi="楷体" w:eastAsia="楷体" w:cs="楷体"/>
                <w:sz w:val="24"/>
                <w:szCs w:val="24"/>
                <w:highlight w:val="none"/>
              </w:rPr>
              <w:t>2、磋商小组各成员打分超过得分界限或未按本表规定赋分时，该评委的打分作废，不计入汇总分。</w:t>
            </w:r>
          </w:p>
          <w:p w14:paraId="7DF5AA96">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楷体" w:hAnsi="楷体" w:eastAsia="楷体" w:cs="楷体"/>
                <w:sz w:val="24"/>
                <w:szCs w:val="24"/>
                <w:highlight w:val="none"/>
                <w:lang w:val="en-US" w:eastAsia="zh-CN"/>
              </w:rPr>
            </w:pPr>
            <w:r>
              <w:rPr>
                <w:rFonts w:hint="eastAsia" w:ascii="楷体" w:hAnsi="楷体" w:eastAsia="楷体" w:cs="楷体"/>
                <w:sz w:val="24"/>
                <w:szCs w:val="24"/>
                <w:highlight w:val="none"/>
              </w:rPr>
              <w:t>3、若出现综合得分并列时，比较价格得分，此分项得分高者排序在前</w:t>
            </w:r>
            <w:r>
              <w:rPr>
                <w:rFonts w:hint="eastAsia" w:ascii="楷体" w:hAnsi="楷体" w:eastAsia="楷体" w:cs="楷体"/>
                <w:sz w:val="24"/>
                <w:szCs w:val="24"/>
                <w:highlight w:val="none"/>
                <w:lang w:eastAsia="zh-CN"/>
              </w:rPr>
              <w:t>。</w:t>
            </w:r>
            <w:r>
              <w:rPr>
                <w:rFonts w:hint="eastAsia" w:ascii="楷体" w:hAnsi="楷体" w:eastAsia="楷体" w:cs="楷体"/>
                <w:sz w:val="24"/>
                <w:szCs w:val="24"/>
                <w:highlight w:val="none"/>
                <w:lang w:val="en-US" w:eastAsia="zh-CN"/>
              </w:rPr>
              <w:t>价格得分仍相等的，按检测方案得分由高到低顺序排序，</w:t>
            </w:r>
          </w:p>
          <w:p w14:paraId="2BA2F24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楷体" w:hAnsi="楷体" w:eastAsia="楷体" w:cs="楷体"/>
                <w:sz w:val="24"/>
                <w:szCs w:val="24"/>
                <w:highlight w:val="none"/>
              </w:rPr>
            </w:pPr>
            <w:r>
              <w:rPr>
                <w:rFonts w:hint="eastAsia" w:ascii="楷体" w:hAnsi="楷体" w:eastAsia="楷体" w:cs="楷体"/>
                <w:sz w:val="24"/>
                <w:szCs w:val="24"/>
                <w:highlight w:val="none"/>
              </w:rPr>
              <w:t>4、各种计算采用插入法，数字均保留</w:t>
            </w:r>
            <w:r>
              <w:rPr>
                <w:rFonts w:hint="eastAsia" w:ascii="楷体" w:hAnsi="楷体" w:eastAsia="楷体" w:cs="楷体"/>
                <w:sz w:val="24"/>
                <w:szCs w:val="24"/>
                <w:highlight w:val="none"/>
                <w:lang w:eastAsia="zh-CN"/>
              </w:rPr>
              <w:t>两</w:t>
            </w:r>
            <w:r>
              <w:rPr>
                <w:rFonts w:hint="eastAsia" w:ascii="楷体" w:hAnsi="楷体" w:eastAsia="楷体" w:cs="楷体"/>
                <w:sz w:val="24"/>
                <w:szCs w:val="24"/>
                <w:highlight w:val="none"/>
              </w:rPr>
              <w:t>位小数，第</w:t>
            </w:r>
            <w:r>
              <w:rPr>
                <w:rFonts w:hint="eastAsia" w:ascii="楷体" w:hAnsi="楷体" w:eastAsia="楷体" w:cs="楷体"/>
                <w:sz w:val="24"/>
                <w:szCs w:val="24"/>
                <w:highlight w:val="none"/>
                <w:lang w:eastAsia="zh-CN"/>
              </w:rPr>
              <w:t>三</w:t>
            </w:r>
            <w:r>
              <w:rPr>
                <w:rFonts w:hint="eastAsia" w:ascii="楷体" w:hAnsi="楷体" w:eastAsia="楷体" w:cs="楷体"/>
                <w:sz w:val="24"/>
                <w:szCs w:val="24"/>
                <w:highlight w:val="none"/>
              </w:rPr>
              <w:t>位“四舍五入”。</w:t>
            </w:r>
          </w:p>
          <w:p w14:paraId="52601B2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楷体" w:hAnsi="楷体" w:eastAsia="楷体" w:cs="楷体"/>
                <w:sz w:val="24"/>
                <w:szCs w:val="24"/>
                <w:highlight w:val="none"/>
                <w:lang w:val="en-US" w:eastAsia="zh-CN"/>
              </w:rPr>
            </w:pPr>
            <w:r>
              <w:rPr>
                <w:rFonts w:hint="eastAsia" w:ascii="楷体" w:hAnsi="楷体" w:eastAsia="楷体" w:cs="楷体"/>
                <w:sz w:val="24"/>
                <w:szCs w:val="24"/>
                <w:highlight w:val="none"/>
              </w:rPr>
              <w:t>5、评标过程中，若出现特殊情况时，由磋商小组决定暂停评标，并提出具体处理意见。</w:t>
            </w:r>
          </w:p>
        </w:tc>
      </w:tr>
    </w:tbl>
    <w:p w14:paraId="4FC8EA81">
      <w:pPr>
        <w:pStyle w:val="10"/>
        <w:rPr>
          <w:rFonts w:hint="eastAsia" w:ascii="楷体" w:hAnsi="楷体" w:eastAsia="楷体" w:cs="楷体"/>
          <w:color w:val="auto"/>
          <w:highlight w:val="none"/>
        </w:rPr>
      </w:pPr>
    </w:p>
    <w:p w14:paraId="05A4122A">
      <w:pPr>
        <w:numPr>
          <w:ilvl w:val="0"/>
          <w:numId w:val="11"/>
        </w:numPr>
        <w:spacing w:line="360" w:lineRule="auto"/>
        <w:ind w:firstLine="482"/>
        <w:rPr>
          <w:rFonts w:hint="eastAsia" w:ascii="楷体" w:hAnsi="楷体" w:eastAsia="楷体" w:cs="楷体"/>
          <w:color w:val="auto"/>
          <w:szCs w:val="24"/>
          <w:highlight w:val="none"/>
        </w:rPr>
      </w:pPr>
      <w:r>
        <w:rPr>
          <w:rFonts w:hint="eastAsia" w:ascii="楷体" w:hAnsi="楷体" w:eastAsia="楷体" w:cs="楷体"/>
          <w:b/>
          <w:color w:val="auto"/>
          <w:szCs w:val="24"/>
          <w:highlight w:val="none"/>
        </w:rPr>
        <w:t>推荐成交供应商名单：</w:t>
      </w:r>
      <w:r>
        <w:rPr>
          <w:rFonts w:hint="eastAsia" w:ascii="楷体" w:hAnsi="楷体" w:eastAsia="楷体" w:cs="楷体"/>
          <w:color w:val="auto"/>
          <w:szCs w:val="24"/>
          <w:highlight w:val="none"/>
        </w:rPr>
        <w:t>评审结果按评审后得分由高到低顺序排列。得分相同的，按磋商报价</w:t>
      </w:r>
      <w:r>
        <w:rPr>
          <w:rFonts w:hint="eastAsia" w:ascii="楷体" w:hAnsi="楷体" w:eastAsia="楷体" w:cs="楷体"/>
          <w:color w:val="auto"/>
          <w:szCs w:val="24"/>
          <w:highlight w:val="none"/>
          <w:lang w:val="en-US" w:eastAsia="zh-CN"/>
        </w:rPr>
        <w:t>得分</w:t>
      </w:r>
      <w:r>
        <w:rPr>
          <w:rFonts w:hint="eastAsia" w:ascii="楷体" w:hAnsi="楷体" w:eastAsia="楷体" w:cs="楷体"/>
          <w:color w:val="auto"/>
          <w:szCs w:val="24"/>
          <w:highlight w:val="none"/>
        </w:rPr>
        <w:t>由</w:t>
      </w:r>
      <w:r>
        <w:rPr>
          <w:rFonts w:hint="eastAsia" w:ascii="楷体" w:hAnsi="楷体" w:eastAsia="楷体" w:cs="楷体"/>
          <w:color w:val="auto"/>
          <w:szCs w:val="24"/>
          <w:highlight w:val="none"/>
          <w:lang w:val="en-US" w:eastAsia="zh-CN"/>
        </w:rPr>
        <w:t>高</w:t>
      </w:r>
      <w:r>
        <w:rPr>
          <w:rFonts w:hint="eastAsia" w:ascii="楷体" w:hAnsi="楷体" w:eastAsia="楷体" w:cs="楷体"/>
          <w:color w:val="auto"/>
          <w:szCs w:val="24"/>
          <w:highlight w:val="none"/>
        </w:rPr>
        <w:t>到</w:t>
      </w:r>
      <w:r>
        <w:rPr>
          <w:rFonts w:hint="eastAsia" w:ascii="楷体" w:hAnsi="楷体" w:eastAsia="楷体" w:cs="楷体"/>
          <w:color w:val="auto"/>
          <w:szCs w:val="24"/>
          <w:highlight w:val="none"/>
          <w:lang w:val="en-US" w:eastAsia="zh-CN"/>
        </w:rPr>
        <w:t>低</w:t>
      </w:r>
      <w:r>
        <w:rPr>
          <w:rFonts w:hint="eastAsia" w:ascii="楷体" w:hAnsi="楷体" w:eastAsia="楷体" w:cs="楷体"/>
          <w:color w:val="auto"/>
          <w:szCs w:val="24"/>
          <w:highlight w:val="none"/>
        </w:rPr>
        <w:t>顺序排列。得分且磋商报价相同的</w:t>
      </w:r>
      <w:r>
        <w:rPr>
          <w:rFonts w:hint="eastAsia" w:ascii="楷体" w:hAnsi="楷体" w:eastAsia="楷体" w:cs="楷体"/>
          <w:color w:val="auto"/>
          <w:szCs w:val="24"/>
          <w:highlight w:val="none"/>
          <w:lang w:eastAsia="zh-CN"/>
        </w:rPr>
        <w:t>，按</w:t>
      </w:r>
      <w:r>
        <w:rPr>
          <w:rFonts w:hint="eastAsia" w:ascii="楷体" w:hAnsi="楷体" w:eastAsia="楷体" w:cs="楷体"/>
          <w:color w:val="auto"/>
          <w:szCs w:val="24"/>
          <w:highlight w:val="none"/>
          <w:lang w:val="en-US" w:eastAsia="zh-CN"/>
        </w:rPr>
        <w:t>检测</w:t>
      </w:r>
      <w:r>
        <w:rPr>
          <w:rFonts w:hint="eastAsia" w:ascii="楷体" w:hAnsi="楷体" w:eastAsia="楷体" w:cs="楷体"/>
          <w:color w:val="auto"/>
          <w:szCs w:val="24"/>
          <w:highlight w:val="none"/>
          <w:lang w:eastAsia="zh-CN"/>
        </w:rPr>
        <w:t>方案得分</w:t>
      </w:r>
      <w:r>
        <w:rPr>
          <w:rFonts w:hint="eastAsia" w:ascii="楷体" w:hAnsi="楷体" w:eastAsia="楷体" w:cs="楷体"/>
          <w:color w:val="auto"/>
          <w:szCs w:val="24"/>
          <w:highlight w:val="none"/>
        </w:rPr>
        <w:t>由高到低顺序排</w:t>
      </w:r>
      <w:r>
        <w:rPr>
          <w:rFonts w:hint="eastAsia" w:ascii="楷体" w:hAnsi="楷体" w:eastAsia="楷体" w:cs="楷体"/>
          <w:color w:val="auto"/>
          <w:szCs w:val="24"/>
          <w:highlight w:val="none"/>
          <w:lang w:val="en-US" w:eastAsia="zh-CN"/>
        </w:rPr>
        <w:t>序</w:t>
      </w:r>
      <w:r>
        <w:rPr>
          <w:rFonts w:hint="eastAsia" w:ascii="楷体" w:hAnsi="楷体" w:eastAsia="楷体" w:cs="楷体"/>
          <w:color w:val="auto"/>
          <w:szCs w:val="24"/>
          <w:highlight w:val="none"/>
        </w:rPr>
        <w:t>。</w:t>
      </w:r>
    </w:p>
    <w:p w14:paraId="3A3F933F">
      <w:pPr>
        <w:numPr>
          <w:ilvl w:val="0"/>
          <w:numId w:val="11"/>
        </w:numPr>
        <w:spacing w:line="360" w:lineRule="auto"/>
        <w:ind w:firstLine="482"/>
        <w:rPr>
          <w:rFonts w:hint="eastAsia" w:ascii="楷体" w:hAnsi="楷体" w:eastAsia="楷体" w:cs="楷体"/>
          <w:color w:val="auto"/>
          <w:szCs w:val="24"/>
          <w:highlight w:val="none"/>
        </w:rPr>
      </w:pPr>
      <w:r>
        <w:rPr>
          <w:rFonts w:hint="eastAsia" w:ascii="楷体" w:hAnsi="楷体" w:eastAsia="楷体" w:cs="楷体"/>
          <w:b/>
          <w:bCs/>
          <w:highlight w:val="none"/>
          <w:lang w:val="en-US" w:eastAsia="zh-CN"/>
        </w:rPr>
        <w:t>根据本项目监管机构出具的审批手续资料，本次招标每采购包符合实质性磋商响应条件的供应商最终为2家时，磋商评审继续进行并推荐第一、第二成交候选人；每采购包符合实质性磋商响应条件的供应商最终为1家时，变更为单一来源采购方式。</w:t>
      </w:r>
    </w:p>
    <w:p w14:paraId="037D3259">
      <w:pPr>
        <w:spacing w:line="360" w:lineRule="auto"/>
        <w:jc w:val="left"/>
        <w:rPr>
          <w:rFonts w:hint="eastAsia" w:ascii="楷体" w:hAnsi="楷体" w:eastAsia="楷体" w:cs="楷体"/>
          <w:b/>
          <w:color w:val="auto"/>
          <w:szCs w:val="24"/>
          <w:highlight w:val="none"/>
        </w:rPr>
      </w:pPr>
      <w:r>
        <w:rPr>
          <w:rFonts w:hint="eastAsia" w:ascii="楷体" w:hAnsi="楷体" w:eastAsia="楷体" w:cs="楷体"/>
          <w:b/>
          <w:color w:val="auto"/>
          <w:szCs w:val="24"/>
          <w:highlight w:val="none"/>
        </w:rPr>
        <w:t>三、需要落实的政府采购政策</w:t>
      </w:r>
    </w:p>
    <w:p w14:paraId="315791A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楷体" w:hAnsi="楷体" w:eastAsia="楷体" w:cs="楷体"/>
          <w:i w:val="0"/>
          <w:iCs w:val="0"/>
          <w:caps w:val="0"/>
          <w:color w:val="auto"/>
          <w:spacing w:val="0"/>
          <w:kern w:val="0"/>
          <w:sz w:val="24"/>
          <w:szCs w:val="24"/>
          <w:highlight w:val="none"/>
          <w:shd w:val="clear" w:color="auto" w:fill="FFFFFF"/>
          <w:lang w:val="en-US" w:eastAsia="zh-CN" w:bidi="ar"/>
        </w:rPr>
      </w:pPr>
      <w:r>
        <w:rPr>
          <w:rFonts w:hint="eastAsia" w:ascii="楷体" w:hAnsi="楷体" w:eastAsia="楷体" w:cs="楷体"/>
          <w:color w:val="auto"/>
          <w:szCs w:val="24"/>
          <w:highlight w:val="none"/>
        </w:rPr>
        <w:t>根据《陕西省财政厅关于政府采购有关问题的通知》（陕财办采资（2016）53号）对政府采购相关政策落实如下：</w:t>
      </w:r>
    </w:p>
    <w:p w14:paraId="046B2D2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楷体" w:hAnsi="楷体" w:eastAsia="楷体" w:cs="楷体"/>
          <w:i w:val="0"/>
          <w:iCs w:val="0"/>
          <w:caps w:val="0"/>
          <w:color w:val="auto"/>
          <w:spacing w:val="0"/>
          <w:kern w:val="0"/>
          <w:sz w:val="24"/>
          <w:szCs w:val="24"/>
          <w:highlight w:val="none"/>
          <w:shd w:val="clear" w:color="auto" w:fill="FFFFFF"/>
          <w:lang w:val="en-US" w:eastAsia="zh-CN" w:bidi="ar"/>
        </w:rPr>
      </w:pPr>
      <w:r>
        <w:rPr>
          <w:rFonts w:hint="eastAsia" w:ascii="楷体" w:hAnsi="楷体" w:eastAsia="楷体" w:cs="楷体"/>
          <w:i w:val="0"/>
          <w:iCs w:val="0"/>
          <w:caps w:val="0"/>
          <w:color w:val="auto"/>
          <w:spacing w:val="0"/>
          <w:kern w:val="0"/>
          <w:sz w:val="24"/>
          <w:szCs w:val="24"/>
          <w:highlight w:val="none"/>
          <w:shd w:val="clear" w:color="auto" w:fill="FFFFFF"/>
          <w:lang w:val="en-US" w:eastAsia="zh-CN" w:bidi="ar"/>
        </w:rPr>
        <w:t>1、《政府采购促进中小企业发展管理办法》（财库〔2020〕46号）；</w:t>
      </w:r>
    </w:p>
    <w:p w14:paraId="0418ACC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ighlight w:val="none"/>
          <w:lang w:val="en-US" w:eastAsia="zh-CN"/>
        </w:rPr>
      </w:pPr>
      <w:r>
        <w:rPr>
          <w:rFonts w:hint="eastAsia" w:ascii="楷体" w:hAnsi="楷体" w:eastAsia="楷体" w:cs="楷体"/>
          <w:i w:val="0"/>
          <w:iCs w:val="0"/>
          <w:caps w:val="0"/>
          <w:color w:val="auto"/>
          <w:spacing w:val="0"/>
          <w:kern w:val="0"/>
          <w:sz w:val="24"/>
          <w:szCs w:val="24"/>
          <w:highlight w:val="none"/>
          <w:shd w:val="clear" w:color="auto" w:fill="FFFFFF"/>
          <w:lang w:val="en-US" w:eastAsia="zh-CN" w:bidi="ar"/>
        </w:rPr>
        <w:t>符合本办法规定的参加政府采购活动的中小企业应当提供《中小企业声明函》（附件6），否则不得享受相关中小企业扶持政策。供应商提供的《中小企业声明函》必须真实，否则，按照有关规定予以处理。</w:t>
      </w:r>
    </w:p>
    <w:p w14:paraId="7BD9A9A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楷体" w:hAnsi="楷体" w:eastAsia="楷体" w:cs="楷体"/>
          <w:i w:val="0"/>
          <w:iCs w:val="0"/>
          <w:caps w:val="0"/>
          <w:color w:val="auto"/>
          <w:spacing w:val="0"/>
          <w:kern w:val="0"/>
          <w:sz w:val="24"/>
          <w:szCs w:val="24"/>
          <w:highlight w:val="none"/>
          <w:shd w:val="clear" w:color="auto" w:fill="FFFFFF"/>
          <w:lang w:val="en-US" w:eastAsia="zh-CN" w:bidi="ar"/>
        </w:rPr>
      </w:pPr>
      <w:r>
        <w:rPr>
          <w:rFonts w:hint="eastAsia" w:ascii="楷体" w:hAnsi="楷体" w:eastAsia="楷体" w:cs="楷体"/>
          <w:i w:val="0"/>
          <w:iCs w:val="0"/>
          <w:caps w:val="0"/>
          <w:color w:val="auto"/>
          <w:spacing w:val="0"/>
          <w:kern w:val="0"/>
          <w:sz w:val="24"/>
          <w:szCs w:val="24"/>
          <w:highlight w:val="none"/>
          <w:shd w:val="clear" w:color="auto" w:fill="FFFFFF"/>
          <w:lang w:val="en-US" w:eastAsia="zh-CN" w:bidi="ar"/>
        </w:rPr>
        <w:t>2、《关于进一步加大政府采购支持中小企业力度的通知》（财库〔2022〕19号）；</w:t>
      </w:r>
    </w:p>
    <w:p w14:paraId="2214F16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楷体" w:hAnsi="楷体" w:eastAsia="楷体" w:cs="楷体"/>
          <w:i w:val="0"/>
          <w:iCs w:val="0"/>
          <w:caps w:val="0"/>
          <w:color w:val="auto"/>
          <w:spacing w:val="0"/>
          <w:kern w:val="0"/>
          <w:sz w:val="24"/>
          <w:szCs w:val="24"/>
          <w:highlight w:val="none"/>
          <w:shd w:val="clear" w:color="auto" w:fill="FFFFFF"/>
          <w:lang w:val="en-US" w:eastAsia="zh-CN" w:bidi="ar"/>
        </w:rPr>
      </w:pPr>
      <w:r>
        <w:rPr>
          <w:rFonts w:hint="eastAsia" w:ascii="楷体" w:hAnsi="楷体" w:eastAsia="楷体" w:cs="楷体"/>
          <w:i w:val="0"/>
          <w:iCs w:val="0"/>
          <w:caps w:val="0"/>
          <w:color w:val="auto"/>
          <w:spacing w:val="0"/>
          <w:kern w:val="0"/>
          <w:sz w:val="24"/>
          <w:szCs w:val="24"/>
          <w:highlight w:val="none"/>
          <w:shd w:val="clear" w:color="auto" w:fill="FFFFFF"/>
          <w:lang w:val="en-US" w:eastAsia="zh-CN" w:bidi="ar"/>
        </w:rPr>
        <w:t>符合本办法的相关规定，磋商小组对小微企业（监狱企业视同小型、微型企业）报价给予10%的扣除，用扣除后的价格参与评审。</w:t>
      </w:r>
    </w:p>
    <w:p w14:paraId="0181017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楷体" w:hAnsi="楷体" w:eastAsia="楷体" w:cs="楷体"/>
          <w:i w:val="0"/>
          <w:iCs w:val="0"/>
          <w:caps w:val="0"/>
          <w:color w:val="auto"/>
          <w:spacing w:val="0"/>
          <w:kern w:val="0"/>
          <w:sz w:val="24"/>
          <w:szCs w:val="24"/>
          <w:highlight w:val="none"/>
          <w:shd w:val="clear" w:color="auto" w:fill="FFFFFF"/>
          <w:lang w:val="en-US" w:eastAsia="zh-CN" w:bidi="ar"/>
        </w:rPr>
      </w:pPr>
      <w:r>
        <w:rPr>
          <w:rFonts w:hint="eastAsia" w:ascii="楷体" w:hAnsi="楷体" w:eastAsia="楷体" w:cs="楷体"/>
          <w:i w:val="0"/>
          <w:iCs w:val="0"/>
          <w:caps w:val="0"/>
          <w:color w:val="auto"/>
          <w:spacing w:val="0"/>
          <w:kern w:val="0"/>
          <w:sz w:val="24"/>
          <w:szCs w:val="24"/>
          <w:highlight w:val="none"/>
          <w:shd w:val="clear" w:color="auto" w:fill="FFFFFF"/>
          <w:lang w:val="en-US" w:eastAsia="zh-CN" w:bidi="ar"/>
        </w:rPr>
        <w:t>接受大中型企业与小微企业组成联合体或者允许大中型企业向一家或者多家小微企业分包的采购项目，对于联合协议或者分包意向协议约定小微企业的合同份额占到合同总金额30%以上的，对联合体或者大中型企业的报价给予4%的扣除；组成联合体或者接受分包的小微企业与联合体内其他企业、分包企业之间存在直接控股、管理关系的，不享受价格扣除优惠政策。享受扶持政策获得政府采购合同的，小微企业不得将合同分包给大中型企业，中型企业不得将合同分包给大型企业。</w:t>
      </w:r>
    </w:p>
    <w:p w14:paraId="34699E3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楷体" w:hAnsi="楷体" w:eastAsia="楷体" w:cs="楷体"/>
          <w:i w:val="0"/>
          <w:iCs w:val="0"/>
          <w:caps w:val="0"/>
          <w:color w:val="auto"/>
          <w:spacing w:val="0"/>
          <w:kern w:val="0"/>
          <w:sz w:val="24"/>
          <w:szCs w:val="24"/>
          <w:highlight w:val="none"/>
          <w:shd w:val="clear" w:color="auto" w:fill="FFFFFF"/>
          <w:lang w:val="en-US" w:eastAsia="zh-CN" w:bidi="ar"/>
        </w:rPr>
      </w:pPr>
      <w:r>
        <w:rPr>
          <w:rFonts w:hint="eastAsia" w:ascii="楷体" w:hAnsi="楷体" w:eastAsia="楷体" w:cs="楷体"/>
          <w:i w:val="0"/>
          <w:iCs w:val="0"/>
          <w:caps w:val="0"/>
          <w:color w:val="auto"/>
          <w:spacing w:val="0"/>
          <w:kern w:val="0"/>
          <w:sz w:val="24"/>
          <w:szCs w:val="24"/>
          <w:highlight w:val="none"/>
          <w:shd w:val="clear" w:color="auto" w:fill="FFFFFF"/>
          <w:lang w:val="en-US" w:eastAsia="zh-CN" w:bidi="ar"/>
        </w:rPr>
        <w:t>3、《财政部 司法部关于政府采购支持监狱企业发展有关问题的通知》（财库〔2014〕68号）；</w:t>
      </w:r>
    </w:p>
    <w:p w14:paraId="6418EEC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楷体" w:hAnsi="楷体" w:eastAsia="楷体" w:cs="楷体"/>
          <w:i w:val="0"/>
          <w:iCs w:val="0"/>
          <w:caps w:val="0"/>
          <w:color w:val="auto"/>
          <w:spacing w:val="0"/>
          <w:kern w:val="0"/>
          <w:sz w:val="24"/>
          <w:szCs w:val="24"/>
          <w:highlight w:val="none"/>
          <w:shd w:val="clear" w:color="auto" w:fill="FFFFFF"/>
          <w:lang w:val="en-US" w:eastAsia="zh-CN" w:bidi="ar"/>
        </w:rPr>
      </w:pPr>
      <w:r>
        <w:rPr>
          <w:rFonts w:hint="eastAsia" w:ascii="楷体" w:hAnsi="楷体" w:eastAsia="楷体" w:cs="楷体"/>
          <w:i w:val="0"/>
          <w:iCs w:val="0"/>
          <w:caps w:val="0"/>
          <w:color w:val="auto"/>
          <w:spacing w:val="0"/>
          <w:kern w:val="0"/>
          <w:sz w:val="24"/>
          <w:szCs w:val="24"/>
          <w:highlight w:val="none"/>
          <w:shd w:val="clear" w:color="auto" w:fill="FFFFFF"/>
          <w:lang w:val="en-US" w:eastAsia="zh-CN" w:bidi="ar"/>
        </w:rPr>
        <w:t>在政府采购活动中，监狱企业视同小型、微型企业，享受政府采购促进中小企业发展的政府采购政策。监狱企业参加政府采购活动时，应当提供由省级以上监狱管理局、戒毒管理局（含新疆生产建设兵团）出具的属于监狱企业的证明文件</w:t>
      </w:r>
      <w:r>
        <w:rPr>
          <w:rFonts w:hint="eastAsia" w:ascii="楷体" w:hAnsi="楷体" w:eastAsia="楷体" w:cs="楷体"/>
          <w:color w:val="auto"/>
          <w:szCs w:val="24"/>
          <w:highlight w:val="none"/>
        </w:rPr>
        <w:t>（见附件</w:t>
      </w:r>
      <w:r>
        <w:rPr>
          <w:rFonts w:hint="eastAsia" w:ascii="楷体" w:hAnsi="楷体" w:eastAsia="楷体" w:cs="楷体"/>
          <w:color w:val="auto"/>
          <w:szCs w:val="24"/>
          <w:highlight w:val="none"/>
          <w:lang w:val="en-US" w:eastAsia="zh-CN"/>
        </w:rPr>
        <w:t>8</w:t>
      </w:r>
      <w:r>
        <w:rPr>
          <w:rFonts w:hint="eastAsia" w:ascii="楷体" w:hAnsi="楷体" w:eastAsia="楷体" w:cs="楷体"/>
          <w:color w:val="auto"/>
          <w:szCs w:val="24"/>
          <w:highlight w:val="none"/>
        </w:rPr>
        <w:t>）</w:t>
      </w:r>
      <w:r>
        <w:rPr>
          <w:rFonts w:hint="eastAsia" w:ascii="楷体" w:hAnsi="楷体" w:eastAsia="楷体" w:cs="楷体"/>
          <w:i w:val="0"/>
          <w:iCs w:val="0"/>
          <w:caps w:val="0"/>
          <w:color w:val="auto"/>
          <w:spacing w:val="0"/>
          <w:kern w:val="0"/>
          <w:sz w:val="24"/>
          <w:szCs w:val="24"/>
          <w:highlight w:val="none"/>
          <w:shd w:val="clear" w:color="auto" w:fill="FFFFFF"/>
          <w:lang w:val="en-US" w:eastAsia="zh-CN" w:bidi="ar"/>
        </w:rPr>
        <w:t>。磋商小组对监狱企业的价格给予10%的扣除，用扣除后的价格参与评审。</w:t>
      </w:r>
    </w:p>
    <w:p w14:paraId="46D81DA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楷体" w:hAnsi="楷体" w:eastAsia="楷体" w:cs="楷体"/>
          <w:i w:val="0"/>
          <w:iCs w:val="0"/>
          <w:caps w:val="0"/>
          <w:color w:val="auto"/>
          <w:spacing w:val="0"/>
          <w:kern w:val="0"/>
          <w:sz w:val="24"/>
          <w:szCs w:val="24"/>
          <w:highlight w:val="none"/>
          <w:shd w:val="clear" w:color="auto" w:fill="FFFFFF"/>
          <w:lang w:val="en-US" w:eastAsia="zh-CN" w:bidi="ar"/>
        </w:rPr>
      </w:pPr>
      <w:r>
        <w:rPr>
          <w:rFonts w:hint="eastAsia" w:ascii="楷体" w:hAnsi="楷体" w:eastAsia="楷体" w:cs="楷体"/>
          <w:i w:val="0"/>
          <w:iCs w:val="0"/>
          <w:caps w:val="0"/>
          <w:color w:val="auto"/>
          <w:spacing w:val="0"/>
          <w:kern w:val="0"/>
          <w:sz w:val="24"/>
          <w:szCs w:val="24"/>
          <w:highlight w:val="none"/>
          <w:shd w:val="clear" w:color="auto" w:fill="FFFFFF"/>
          <w:lang w:val="en-US" w:eastAsia="zh-CN" w:bidi="ar"/>
        </w:rPr>
        <w:t>4、《国务院办公厅关于建立政府强制采购节能产品制度的通知》（国办发〔2007〕51号）；</w:t>
      </w:r>
    </w:p>
    <w:p w14:paraId="568E08A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楷体" w:hAnsi="楷体" w:eastAsia="楷体" w:cs="楷体"/>
          <w:i w:val="0"/>
          <w:iCs w:val="0"/>
          <w:caps w:val="0"/>
          <w:color w:val="auto"/>
          <w:spacing w:val="0"/>
          <w:kern w:val="0"/>
          <w:sz w:val="24"/>
          <w:szCs w:val="24"/>
          <w:highlight w:val="none"/>
          <w:shd w:val="clear" w:color="auto" w:fill="FFFFFF"/>
          <w:lang w:val="en-US" w:eastAsia="zh-CN" w:bidi="ar"/>
        </w:rPr>
      </w:pPr>
      <w:r>
        <w:rPr>
          <w:rFonts w:hint="eastAsia" w:ascii="楷体" w:hAnsi="楷体" w:eastAsia="楷体" w:cs="楷体"/>
          <w:i w:val="0"/>
          <w:iCs w:val="0"/>
          <w:caps w:val="0"/>
          <w:color w:val="auto"/>
          <w:spacing w:val="0"/>
          <w:kern w:val="0"/>
          <w:sz w:val="24"/>
          <w:szCs w:val="24"/>
          <w:highlight w:val="none"/>
          <w:shd w:val="clear" w:color="auto" w:fill="FFFFFF"/>
          <w:lang w:val="en-US" w:eastAsia="zh-CN" w:bidi="ar"/>
        </w:rPr>
        <w:t>各级政府机构使用财政性资金进行政府采购活动时，在技术、服务等指标满足采购需求的前提下，要优先采购节能产品，对部分节能效果、性能等达到要求的产品，实行强制采购。</w:t>
      </w:r>
    </w:p>
    <w:p w14:paraId="3B2F71C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楷体" w:hAnsi="楷体" w:eastAsia="楷体" w:cs="楷体"/>
          <w:i w:val="0"/>
          <w:iCs w:val="0"/>
          <w:caps w:val="0"/>
          <w:color w:val="auto"/>
          <w:spacing w:val="0"/>
          <w:kern w:val="0"/>
          <w:sz w:val="24"/>
          <w:szCs w:val="24"/>
          <w:highlight w:val="none"/>
          <w:shd w:val="clear" w:color="auto" w:fill="FFFFFF"/>
          <w:lang w:val="en-US" w:eastAsia="zh-CN" w:bidi="ar"/>
        </w:rPr>
      </w:pPr>
      <w:r>
        <w:rPr>
          <w:rFonts w:hint="eastAsia" w:ascii="楷体" w:hAnsi="楷体" w:eastAsia="楷体" w:cs="楷体"/>
          <w:i w:val="0"/>
          <w:iCs w:val="0"/>
          <w:caps w:val="0"/>
          <w:color w:val="auto"/>
          <w:spacing w:val="0"/>
          <w:kern w:val="0"/>
          <w:sz w:val="24"/>
          <w:szCs w:val="24"/>
          <w:highlight w:val="none"/>
          <w:shd w:val="clear" w:color="auto" w:fill="FFFFFF"/>
          <w:lang w:val="en-US" w:eastAsia="zh-CN" w:bidi="ar"/>
        </w:rPr>
        <w:t>5、《财政部 民政部 中国残疾人联合会关于促进残疾人就业政府采购政策的通知》（财库〔2017〕141号）；</w:t>
      </w:r>
    </w:p>
    <w:p w14:paraId="04AC178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楷体" w:hAnsi="楷体" w:eastAsia="楷体" w:cs="楷体"/>
          <w:color w:val="auto"/>
          <w:szCs w:val="24"/>
          <w:highlight w:val="none"/>
        </w:rPr>
      </w:pPr>
      <w:r>
        <w:rPr>
          <w:rFonts w:hint="eastAsia" w:ascii="楷体" w:hAnsi="楷体" w:eastAsia="楷体" w:cs="楷体"/>
          <w:color w:val="auto"/>
          <w:szCs w:val="24"/>
          <w:highlight w:val="none"/>
        </w:rPr>
        <w:t>在政府采购活动中，残疾人福利性单位视同小型、微型企业，享受预留份额、评审中价格扣除等促进中小企业发展的政府采购政策。</w:t>
      </w:r>
    </w:p>
    <w:p w14:paraId="41E1A38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楷体" w:hAnsi="楷体" w:eastAsia="楷体" w:cs="楷体"/>
          <w:color w:val="auto"/>
          <w:szCs w:val="24"/>
          <w:highlight w:val="none"/>
        </w:rPr>
      </w:pPr>
      <w:r>
        <w:rPr>
          <w:rFonts w:hint="eastAsia" w:ascii="楷体" w:hAnsi="楷体" w:eastAsia="楷体" w:cs="楷体"/>
          <w:color w:val="auto"/>
          <w:szCs w:val="24"/>
          <w:highlight w:val="none"/>
        </w:rPr>
        <w:t>符合条件的残疾人福利性单位在参加政府采购活动时，应当提供本通知规定的《残疾人福利性单位声明函》（见附件</w:t>
      </w:r>
      <w:r>
        <w:rPr>
          <w:rFonts w:hint="eastAsia" w:ascii="楷体" w:hAnsi="楷体" w:eastAsia="楷体" w:cs="楷体"/>
          <w:color w:val="auto"/>
          <w:szCs w:val="24"/>
          <w:highlight w:val="none"/>
          <w:lang w:val="en-US" w:eastAsia="zh-CN"/>
        </w:rPr>
        <w:t>7</w:t>
      </w:r>
      <w:r>
        <w:rPr>
          <w:rFonts w:hint="eastAsia" w:ascii="楷体" w:hAnsi="楷体" w:eastAsia="楷体" w:cs="楷体"/>
          <w:color w:val="auto"/>
          <w:szCs w:val="24"/>
          <w:highlight w:val="none"/>
        </w:rPr>
        <w:t>），并对声明的真实性负责。</w:t>
      </w:r>
    </w:p>
    <w:p w14:paraId="47722D3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楷体" w:hAnsi="楷体" w:eastAsia="楷体" w:cs="楷体"/>
          <w:color w:val="auto"/>
          <w:szCs w:val="24"/>
          <w:highlight w:val="none"/>
        </w:rPr>
      </w:pPr>
      <w:r>
        <w:rPr>
          <w:rFonts w:hint="eastAsia" w:ascii="楷体" w:hAnsi="楷体" w:eastAsia="楷体" w:cs="楷体"/>
          <w:color w:val="auto"/>
          <w:szCs w:val="24"/>
          <w:highlight w:val="none"/>
          <w:lang w:eastAsia="zh-CN"/>
        </w:rPr>
        <w:t>磋商小组</w:t>
      </w:r>
      <w:r>
        <w:rPr>
          <w:rFonts w:hint="eastAsia" w:ascii="楷体" w:hAnsi="楷体" w:eastAsia="楷体" w:cs="楷体"/>
          <w:color w:val="auto"/>
          <w:szCs w:val="24"/>
          <w:highlight w:val="none"/>
        </w:rPr>
        <w:t>对供应商提供的残疾人福利性单位的证明文件进行核实后，根据相关规定，对残疾人福利性单位的价格给予</w:t>
      </w:r>
      <w:r>
        <w:rPr>
          <w:rFonts w:hint="eastAsia" w:ascii="楷体" w:hAnsi="楷体" w:eastAsia="楷体" w:cs="楷体"/>
          <w:color w:val="auto"/>
          <w:szCs w:val="24"/>
          <w:highlight w:val="none"/>
          <w:lang w:val="en-US" w:eastAsia="zh-CN"/>
        </w:rPr>
        <w:t>10</w:t>
      </w:r>
      <w:r>
        <w:rPr>
          <w:rFonts w:hint="eastAsia" w:ascii="楷体" w:hAnsi="楷体" w:eastAsia="楷体" w:cs="楷体"/>
          <w:color w:val="auto"/>
          <w:szCs w:val="24"/>
          <w:highlight w:val="none"/>
        </w:rPr>
        <w:t>%的扣除，用扣除后的价格参与评审。</w:t>
      </w:r>
    </w:p>
    <w:p w14:paraId="4A1F317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ighlight w:val="none"/>
          <w:lang w:val="en-US" w:eastAsia="zh-CN"/>
        </w:rPr>
      </w:pPr>
      <w:r>
        <w:rPr>
          <w:rFonts w:hint="eastAsia" w:ascii="楷体" w:hAnsi="楷体" w:eastAsia="楷体" w:cs="楷体"/>
          <w:color w:val="auto"/>
          <w:szCs w:val="24"/>
          <w:highlight w:val="none"/>
        </w:rPr>
        <w:t>在政府采购活动中，残疾人福利性单位视同小型、微型企业，享受预留份额、评审中价格扣除等促进中小企业发展的政府采购政策。向残疾人福利性单位采购的金额，计入面向中小企业采购的统计数据。残疾人福利性单位属于小型、微型企业的，不重复享受政策。</w:t>
      </w:r>
    </w:p>
    <w:p w14:paraId="3588020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楷体" w:hAnsi="楷体" w:eastAsia="楷体" w:cs="楷体"/>
          <w:i w:val="0"/>
          <w:iCs w:val="0"/>
          <w:caps w:val="0"/>
          <w:color w:val="auto"/>
          <w:spacing w:val="0"/>
          <w:kern w:val="0"/>
          <w:sz w:val="24"/>
          <w:szCs w:val="24"/>
          <w:highlight w:val="none"/>
          <w:shd w:val="clear" w:color="auto" w:fill="FFFFFF"/>
          <w:lang w:val="en-US" w:eastAsia="zh-CN" w:bidi="ar"/>
        </w:rPr>
      </w:pPr>
      <w:r>
        <w:rPr>
          <w:rFonts w:hint="eastAsia" w:ascii="楷体" w:hAnsi="楷体" w:eastAsia="楷体" w:cs="楷体"/>
          <w:i w:val="0"/>
          <w:iCs w:val="0"/>
          <w:caps w:val="0"/>
          <w:color w:val="auto"/>
          <w:spacing w:val="0"/>
          <w:kern w:val="0"/>
          <w:sz w:val="24"/>
          <w:szCs w:val="24"/>
          <w:highlight w:val="none"/>
          <w:shd w:val="clear" w:color="auto" w:fill="FFFFFF"/>
          <w:lang w:val="en-US" w:eastAsia="zh-CN" w:bidi="ar"/>
        </w:rPr>
        <w:t>6、《财政部 发展改革委 生态环境部 市场监管总局关于调整优化节能产品、环境标志产品政府采购执行机制的通知》（财库〔2019〕9号）；</w:t>
      </w:r>
    </w:p>
    <w:p w14:paraId="2BC035E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楷体" w:hAnsi="楷体" w:eastAsia="楷体" w:cs="楷体"/>
          <w:color w:val="auto"/>
          <w:szCs w:val="24"/>
          <w:highlight w:val="none"/>
        </w:rPr>
      </w:pPr>
      <w:r>
        <w:rPr>
          <w:rFonts w:hint="eastAsia" w:ascii="楷体" w:hAnsi="楷体" w:eastAsia="楷体" w:cs="楷体"/>
          <w:color w:val="auto"/>
          <w:szCs w:val="24"/>
          <w:highlight w:val="none"/>
        </w:rPr>
        <w:t>采购人拟采购的产品属于品目清单范围的，采购人及其委托的采购代理机构应当依据国家确定的认证机构出具的、处于有效期之内的节能产品、环境标志产品认证证书，对获得证书的产品实施政府优先采购或强制采购。</w:t>
      </w:r>
    </w:p>
    <w:p w14:paraId="76D8C01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highlight w:val="none"/>
          <w:lang w:val="en-US" w:eastAsia="zh-CN"/>
        </w:rPr>
      </w:pPr>
      <w:r>
        <w:rPr>
          <w:rFonts w:hint="eastAsia" w:ascii="楷体" w:hAnsi="楷体" w:eastAsia="楷体" w:cs="楷体"/>
          <w:color w:val="auto"/>
          <w:szCs w:val="24"/>
          <w:highlight w:val="none"/>
        </w:rPr>
        <w:t>供应商应提供有效证明材料（证明材料须加盖投标供应商红色公章）。（注：节能产品是指由财政部、国家发改委颁布的“节能产品政府采购清单”中的有效期内的产品</w:t>
      </w:r>
      <w:r>
        <w:rPr>
          <w:rFonts w:hint="eastAsia" w:ascii="楷体" w:hAnsi="楷体" w:eastAsia="楷体" w:cs="楷体"/>
          <w:color w:val="auto"/>
          <w:szCs w:val="24"/>
          <w:highlight w:val="none"/>
          <w:lang w:eastAsia="zh-CN"/>
        </w:rPr>
        <w:t>；环境标志产品是指由财政部、国家环境保护总局颁布的“环境标志产品政府采购清单”中的有效期内的产品</w:t>
      </w:r>
      <w:r>
        <w:rPr>
          <w:rFonts w:hint="eastAsia" w:ascii="楷体" w:hAnsi="楷体" w:eastAsia="楷体" w:cs="楷体"/>
          <w:color w:val="auto"/>
          <w:szCs w:val="24"/>
          <w:highlight w:val="none"/>
        </w:rPr>
        <w:t>）。</w:t>
      </w:r>
    </w:p>
    <w:p w14:paraId="13A3FB9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楷体" w:hAnsi="楷体" w:eastAsia="楷体" w:cs="楷体"/>
          <w:i w:val="0"/>
          <w:iCs w:val="0"/>
          <w:caps w:val="0"/>
          <w:color w:val="auto"/>
          <w:spacing w:val="0"/>
          <w:kern w:val="0"/>
          <w:sz w:val="24"/>
          <w:szCs w:val="24"/>
          <w:highlight w:val="none"/>
          <w:shd w:val="clear" w:color="auto" w:fill="FFFFFF"/>
          <w:lang w:val="en-US" w:eastAsia="zh-CN" w:bidi="ar"/>
        </w:rPr>
      </w:pPr>
      <w:r>
        <w:rPr>
          <w:rFonts w:hint="eastAsia" w:ascii="楷体" w:hAnsi="楷体" w:eastAsia="楷体" w:cs="楷体"/>
          <w:i w:val="0"/>
          <w:iCs w:val="0"/>
          <w:caps w:val="0"/>
          <w:color w:val="auto"/>
          <w:spacing w:val="0"/>
          <w:kern w:val="0"/>
          <w:sz w:val="24"/>
          <w:szCs w:val="24"/>
          <w:highlight w:val="none"/>
          <w:shd w:val="clear" w:color="auto" w:fill="FFFFFF"/>
          <w:lang w:val="en-US" w:eastAsia="zh-CN" w:bidi="ar"/>
        </w:rPr>
        <w:t>7、《关于印发环境标志产品政府采购品目清单的通知》（财库〔2019〕18号）；</w:t>
      </w:r>
    </w:p>
    <w:p w14:paraId="3104779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楷体" w:hAnsi="楷体" w:eastAsia="楷体" w:cs="楷体"/>
          <w:i w:val="0"/>
          <w:iCs w:val="0"/>
          <w:caps w:val="0"/>
          <w:color w:val="auto"/>
          <w:spacing w:val="0"/>
          <w:kern w:val="0"/>
          <w:sz w:val="24"/>
          <w:szCs w:val="24"/>
          <w:highlight w:val="none"/>
          <w:shd w:val="clear" w:color="auto" w:fill="FFFFFF"/>
          <w:lang w:val="en-US" w:eastAsia="zh-CN" w:bidi="ar"/>
        </w:rPr>
      </w:pPr>
      <w:r>
        <w:rPr>
          <w:rFonts w:hint="eastAsia" w:ascii="楷体" w:hAnsi="楷体" w:eastAsia="楷体" w:cs="楷体"/>
          <w:i w:val="0"/>
          <w:iCs w:val="0"/>
          <w:caps w:val="0"/>
          <w:color w:val="auto"/>
          <w:spacing w:val="0"/>
          <w:kern w:val="0"/>
          <w:sz w:val="24"/>
          <w:szCs w:val="24"/>
          <w:highlight w:val="none"/>
          <w:shd w:val="clear" w:color="auto" w:fill="FFFFFF"/>
          <w:lang w:val="en-US" w:eastAsia="zh-CN" w:bidi="ar"/>
        </w:rPr>
        <w:t>8、《关于印发节能产品政府采购品目清单的通知》（财库〔2019〕19号）；</w:t>
      </w:r>
    </w:p>
    <w:p w14:paraId="3FA6FAB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楷体" w:hAnsi="楷体" w:eastAsia="楷体" w:cs="楷体"/>
          <w:i w:val="0"/>
          <w:iCs w:val="0"/>
          <w:caps w:val="0"/>
          <w:color w:val="auto"/>
          <w:spacing w:val="0"/>
          <w:kern w:val="0"/>
          <w:sz w:val="24"/>
          <w:szCs w:val="24"/>
          <w:highlight w:val="none"/>
          <w:shd w:val="clear" w:color="auto" w:fill="FFFFFF"/>
          <w:lang w:val="en-US" w:eastAsia="zh-CN" w:bidi="ar"/>
        </w:rPr>
      </w:pPr>
      <w:r>
        <w:rPr>
          <w:rFonts w:hint="eastAsia" w:ascii="楷体" w:hAnsi="楷体" w:eastAsia="楷体" w:cs="楷体"/>
          <w:i w:val="0"/>
          <w:iCs w:val="0"/>
          <w:caps w:val="0"/>
          <w:color w:val="auto"/>
          <w:spacing w:val="0"/>
          <w:kern w:val="0"/>
          <w:sz w:val="24"/>
          <w:szCs w:val="24"/>
          <w:highlight w:val="none"/>
          <w:shd w:val="clear" w:color="auto" w:fill="FFFFFF"/>
          <w:lang w:val="en-US" w:eastAsia="zh-CN" w:bidi="ar"/>
        </w:rPr>
        <w:t>9、陕西省财政厅关于进一步加强政府绿色采购有关问题的通知--陕财办采〔2021〕29号；</w:t>
      </w:r>
    </w:p>
    <w:p w14:paraId="2BB134E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楷体" w:hAnsi="楷体" w:eastAsia="楷体" w:cs="楷体"/>
          <w:i w:val="0"/>
          <w:iCs w:val="0"/>
          <w:caps w:val="0"/>
          <w:color w:val="auto"/>
          <w:spacing w:val="0"/>
          <w:kern w:val="0"/>
          <w:sz w:val="24"/>
          <w:szCs w:val="24"/>
          <w:highlight w:val="none"/>
          <w:shd w:val="clear" w:color="auto" w:fill="FFFFFF"/>
          <w:lang w:val="en-US" w:eastAsia="zh-CN" w:bidi="ar"/>
        </w:rPr>
      </w:pPr>
      <w:r>
        <w:rPr>
          <w:rFonts w:hint="eastAsia" w:ascii="楷体" w:hAnsi="楷体" w:eastAsia="楷体" w:cs="楷体"/>
          <w:i w:val="0"/>
          <w:iCs w:val="0"/>
          <w:caps w:val="0"/>
          <w:color w:val="auto"/>
          <w:spacing w:val="0"/>
          <w:kern w:val="0"/>
          <w:sz w:val="24"/>
          <w:szCs w:val="24"/>
          <w:highlight w:val="none"/>
          <w:shd w:val="clear" w:color="auto" w:fill="FFFFFF"/>
          <w:lang w:val="en-US" w:eastAsia="zh-CN" w:bidi="ar"/>
        </w:rPr>
        <w:t>10、《财政部 农业农村部 国家乡村振兴局关于运用政府采购政策支持乡村产业振兴的通知》财库〔2021〕19号；</w:t>
      </w:r>
    </w:p>
    <w:p w14:paraId="68523AD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ighlight w:val="none"/>
          <w:lang w:val="en-US" w:eastAsia="zh-CN"/>
        </w:rPr>
      </w:pPr>
      <w:r>
        <w:rPr>
          <w:rFonts w:hint="eastAsia" w:ascii="楷体" w:hAnsi="楷体" w:eastAsia="楷体" w:cs="楷体"/>
          <w:color w:val="auto"/>
          <w:szCs w:val="24"/>
          <w:highlight w:val="none"/>
        </w:rPr>
        <w:t>自2021年起，各级预算单位应当按照不低于10%的比例预留年度食堂食材采购份额，通过脱贫地区农副产品网络销售平台（原贫困地区农副产品网络销售平台）采购脱贫地区农副产品。</w:t>
      </w:r>
    </w:p>
    <w:p w14:paraId="53F3EA0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楷体" w:hAnsi="楷体" w:eastAsia="楷体" w:cs="楷体"/>
          <w:i w:val="0"/>
          <w:iCs w:val="0"/>
          <w:caps w:val="0"/>
          <w:color w:val="auto"/>
          <w:spacing w:val="0"/>
          <w:kern w:val="0"/>
          <w:sz w:val="24"/>
          <w:szCs w:val="24"/>
          <w:highlight w:val="none"/>
          <w:shd w:val="clear" w:color="auto" w:fill="FFFFFF"/>
          <w:lang w:val="en-US" w:eastAsia="zh-CN" w:bidi="ar"/>
        </w:rPr>
      </w:pPr>
      <w:r>
        <w:rPr>
          <w:rFonts w:hint="eastAsia" w:ascii="楷体" w:hAnsi="楷体" w:eastAsia="楷体" w:cs="楷体"/>
          <w:i w:val="0"/>
          <w:iCs w:val="0"/>
          <w:caps w:val="0"/>
          <w:color w:val="auto"/>
          <w:spacing w:val="0"/>
          <w:kern w:val="0"/>
          <w:sz w:val="24"/>
          <w:szCs w:val="24"/>
          <w:highlight w:val="none"/>
          <w:shd w:val="clear" w:color="auto" w:fill="FFFFFF"/>
          <w:lang w:val="en-US" w:eastAsia="zh-CN" w:bidi="ar"/>
        </w:rPr>
        <w:t>11、《陕西省财政厅关于印发陕西省中小企业政府采购信用融资办法》（陕财办采〔2018〕23号）；</w:t>
      </w:r>
    </w:p>
    <w:p w14:paraId="09A2C4F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楷体" w:hAnsi="楷体" w:eastAsia="楷体" w:cs="楷体"/>
          <w:i w:val="0"/>
          <w:iCs w:val="0"/>
          <w:caps w:val="0"/>
          <w:color w:val="auto"/>
          <w:spacing w:val="0"/>
          <w:kern w:val="0"/>
          <w:sz w:val="24"/>
          <w:szCs w:val="24"/>
          <w:highlight w:val="none"/>
          <w:shd w:val="clear" w:color="auto" w:fill="FFFFFF"/>
          <w:lang w:val="en-US" w:eastAsia="zh-CN" w:bidi="ar"/>
        </w:rPr>
      </w:pPr>
      <w:r>
        <w:rPr>
          <w:rFonts w:hint="eastAsia" w:ascii="楷体" w:hAnsi="楷体" w:eastAsia="楷体" w:cs="楷体"/>
          <w:i w:val="0"/>
          <w:iCs w:val="0"/>
          <w:caps w:val="0"/>
          <w:color w:val="auto"/>
          <w:spacing w:val="0"/>
          <w:kern w:val="0"/>
          <w:sz w:val="24"/>
          <w:szCs w:val="24"/>
          <w:highlight w:val="none"/>
          <w:shd w:val="clear" w:color="auto" w:fill="FFFFFF"/>
          <w:lang w:val="en-US" w:eastAsia="zh-CN" w:bidi="ar"/>
        </w:rPr>
        <w:t>12、《陕西省财政厅关于加快推进我省中小企业政府采购信用融资工作的通知》（陕财办采〔2020〕15号）；</w:t>
      </w:r>
    </w:p>
    <w:p w14:paraId="22BFD06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楷体" w:hAnsi="楷体" w:eastAsia="楷体" w:cs="楷体"/>
          <w:color w:val="auto"/>
          <w:szCs w:val="24"/>
          <w:highlight w:val="none"/>
        </w:rPr>
      </w:pPr>
      <w:r>
        <w:rPr>
          <w:rFonts w:hint="eastAsia" w:ascii="楷体" w:hAnsi="楷体" w:eastAsia="楷体" w:cs="楷体"/>
          <w:highlight w:val="none"/>
          <w:lang w:val="en-US" w:eastAsia="zh-CN"/>
        </w:rPr>
        <w:t>13、</w:t>
      </w:r>
      <w:r>
        <w:rPr>
          <w:rFonts w:hint="eastAsia" w:ascii="楷体" w:hAnsi="楷体" w:eastAsia="楷体" w:cs="楷体"/>
          <w:highlight w:val="none"/>
        </w:rPr>
        <w:t>其他需要落实的政府采购政策（如有最新颁布的政府采购政策，按最新的文件执行）。</w:t>
      </w:r>
    </w:p>
    <w:p w14:paraId="1AD1D0EF">
      <w:pPr>
        <w:spacing w:line="360" w:lineRule="auto"/>
        <w:ind w:firstLine="482" w:firstLineChars="200"/>
        <w:jc w:val="left"/>
        <w:rPr>
          <w:rFonts w:hint="eastAsia" w:ascii="楷体" w:hAnsi="楷体" w:eastAsia="楷体" w:cs="楷体"/>
          <w:bCs/>
          <w:color w:val="auto"/>
          <w:szCs w:val="24"/>
          <w:highlight w:val="none"/>
          <w:lang w:val="zh-CN"/>
        </w:rPr>
      </w:pPr>
      <w:r>
        <w:rPr>
          <w:rFonts w:hint="eastAsia" w:ascii="楷体" w:hAnsi="楷体" w:eastAsia="楷体" w:cs="楷体"/>
          <w:b/>
          <w:bCs w:val="0"/>
          <w:color w:val="auto"/>
          <w:szCs w:val="24"/>
          <w:highlight w:val="none"/>
          <w:lang w:val="zh-CN"/>
        </w:rPr>
        <w:t>注：专门面向中小企业采购的项目不进行政策性扣减。</w:t>
      </w:r>
    </w:p>
    <w:p w14:paraId="25767C55">
      <w:pPr>
        <w:spacing w:line="360" w:lineRule="auto"/>
        <w:jc w:val="center"/>
        <w:outlineLvl w:val="0"/>
        <w:rPr>
          <w:rFonts w:hint="eastAsia" w:ascii="楷体" w:hAnsi="楷体" w:eastAsia="楷体" w:cs="楷体"/>
          <w:color w:val="auto"/>
          <w:sz w:val="36"/>
          <w:highlight w:val="none"/>
        </w:rPr>
      </w:pPr>
      <w:r>
        <w:rPr>
          <w:rFonts w:hint="eastAsia" w:ascii="楷体" w:hAnsi="楷体" w:eastAsia="楷体" w:cs="楷体"/>
          <w:bCs/>
          <w:color w:val="auto"/>
          <w:szCs w:val="36"/>
          <w:highlight w:val="none"/>
        </w:rPr>
        <w:br w:type="page"/>
      </w:r>
      <w:bookmarkStart w:id="170" w:name="_Toc3006"/>
      <w:bookmarkStart w:id="171" w:name="_Toc22892"/>
      <w:bookmarkStart w:id="172" w:name="_Toc25324"/>
      <w:bookmarkStart w:id="173" w:name="_Toc24924_WPSOffice_Level1"/>
      <w:bookmarkStart w:id="174" w:name="_Toc28564"/>
      <w:bookmarkStart w:id="175" w:name="_Toc20413_WPSOffice_Level1"/>
      <w:bookmarkStart w:id="176" w:name="_Toc20449"/>
      <w:bookmarkStart w:id="177" w:name="_Toc16453"/>
      <w:bookmarkStart w:id="178" w:name="_Toc17756"/>
      <w:bookmarkStart w:id="179" w:name="_Toc28332"/>
      <w:bookmarkStart w:id="180" w:name="_Toc23694"/>
      <w:bookmarkStart w:id="181" w:name="_Toc18014"/>
      <w:bookmarkStart w:id="182" w:name="_Toc18821"/>
      <w:bookmarkStart w:id="183" w:name="_Toc9551"/>
      <w:r>
        <w:rPr>
          <w:rFonts w:hint="eastAsia" w:ascii="楷体" w:hAnsi="楷体" w:eastAsia="楷体" w:cs="楷体"/>
          <w:b/>
          <w:bCs/>
          <w:color w:val="auto"/>
          <w:sz w:val="36"/>
          <w:highlight w:val="none"/>
        </w:rPr>
        <w:t>第六章  磋商响应文件格式</w:t>
      </w:r>
      <w:bookmarkEnd w:id="157"/>
      <w:bookmarkEnd w:id="158"/>
      <w:bookmarkEnd w:id="159"/>
      <w:bookmarkEnd w:id="160"/>
      <w:bookmarkEnd w:id="161"/>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p>
    <w:p w14:paraId="3616E9AF">
      <w:pPr>
        <w:spacing w:line="360" w:lineRule="auto"/>
        <w:jc w:val="center"/>
        <w:rPr>
          <w:rFonts w:hint="eastAsia" w:ascii="楷体" w:hAnsi="楷体" w:eastAsia="楷体" w:cs="楷体"/>
          <w:b/>
          <w:color w:val="auto"/>
          <w:sz w:val="32"/>
          <w:szCs w:val="32"/>
          <w:highlight w:val="none"/>
        </w:rPr>
      </w:pPr>
      <w:r>
        <w:rPr>
          <w:rFonts w:hint="eastAsia" w:ascii="楷体" w:hAnsi="楷体" w:eastAsia="楷体" w:cs="楷体"/>
          <w:b/>
          <w:color w:val="auto"/>
          <w:sz w:val="32"/>
          <w:szCs w:val="32"/>
          <w:highlight w:val="none"/>
        </w:rPr>
        <w:t>磋商响应文件编制说明</w:t>
      </w:r>
    </w:p>
    <w:p w14:paraId="5BED08A0">
      <w:pPr>
        <w:spacing w:line="360" w:lineRule="auto"/>
        <w:ind w:left="120" w:leftChars="50" w:firstLine="491" w:firstLineChars="205"/>
        <w:rPr>
          <w:rFonts w:hint="eastAsia" w:ascii="楷体" w:hAnsi="楷体" w:eastAsia="楷体" w:cs="楷体"/>
          <w:color w:val="auto"/>
          <w:szCs w:val="24"/>
          <w:highlight w:val="none"/>
        </w:rPr>
      </w:pPr>
      <w:r>
        <w:rPr>
          <w:rFonts w:hint="eastAsia" w:ascii="楷体" w:hAnsi="楷体" w:eastAsia="楷体" w:cs="楷体"/>
          <w:color w:val="auto"/>
          <w:szCs w:val="24"/>
          <w:highlight w:val="none"/>
        </w:rPr>
        <w:t>1、磋商文件中提供的磋商响应文件格式，起到样式作用，编制磋商响应文件前，请详细阅读磋商文件，理解文件中的每一项要求。</w:t>
      </w:r>
    </w:p>
    <w:p w14:paraId="60C21859">
      <w:pPr>
        <w:spacing w:line="360" w:lineRule="auto"/>
        <w:ind w:left="120" w:leftChars="50" w:firstLine="491" w:firstLineChars="205"/>
        <w:rPr>
          <w:rFonts w:hint="eastAsia" w:ascii="楷体" w:hAnsi="楷体" w:eastAsia="楷体" w:cs="楷体"/>
          <w:color w:val="auto"/>
          <w:szCs w:val="24"/>
          <w:highlight w:val="none"/>
        </w:rPr>
      </w:pPr>
      <w:r>
        <w:rPr>
          <w:rFonts w:hint="eastAsia" w:ascii="楷体" w:hAnsi="楷体" w:eastAsia="楷体" w:cs="楷体"/>
          <w:color w:val="auto"/>
          <w:szCs w:val="24"/>
          <w:highlight w:val="none"/>
        </w:rPr>
        <w:t>2、磋商响应文件的编制应按照样本格式提供的内容，做出逐一明确的答复；供应商认为有必要，还可以做其它补充说明。</w:t>
      </w:r>
    </w:p>
    <w:p w14:paraId="7520A369">
      <w:pPr>
        <w:rPr>
          <w:rFonts w:hint="eastAsia" w:ascii="楷体" w:hAnsi="楷体" w:eastAsia="楷体" w:cs="楷体"/>
          <w:color w:val="auto"/>
          <w:highlight w:val="none"/>
        </w:rPr>
      </w:pPr>
    </w:p>
    <w:p w14:paraId="64467B3D">
      <w:pPr>
        <w:rPr>
          <w:rFonts w:hint="eastAsia" w:ascii="楷体" w:hAnsi="楷体" w:eastAsia="楷体" w:cs="楷体"/>
          <w:color w:val="auto"/>
          <w:highlight w:val="none"/>
        </w:rPr>
      </w:pPr>
    </w:p>
    <w:p w14:paraId="35606843">
      <w:pPr>
        <w:rPr>
          <w:rFonts w:hint="default" w:ascii="楷体" w:hAnsi="楷体" w:eastAsia="楷体" w:cs="楷体"/>
          <w:b/>
          <w:bCs/>
          <w:color w:val="auto"/>
          <w:sz w:val="32"/>
          <w:szCs w:val="32"/>
          <w:highlight w:val="none"/>
          <w:lang w:val="en-US" w:eastAsia="zh-CN"/>
        </w:rPr>
      </w:pPr>
      <w:r>
        <w:rPr>
          <w:rFonts w:hint="eastAsia" w:ascii="楷体" w:hAnsi="楷体" w:eastAsia="楷体" w:cs="楷体"/>
          <w:b/>
          <w:bCs/>
          <w:color w:val="auto"/>
          <w:sz w:val="32"/>
          <w:szCs w:val="32"/>
          <w:highlight w:val="none"/>
        </w:rPr>
        <w:br w:type="page"/>
      </w:r>
      <w:r>
        <w:rPr>
          <w:rFonts w:hint="eastAsia" w:ascii="楷体" w:hAnsi="楷体" w:eastAsia="楷体" w:cs="楷体"/>
          <w:b/>
          <w:bCs/>
          <w:color w:val="auto"/>
          <w:sz w:val="32"/>
          <w:szCs w:val="32"/>
          <w:highlight w:val="none"/>
        </w:rPr>
        <w:t>项目编号：</w:t>
      </w:r>
      <w:r>
        <w:rPr>
          <w:rFonts w:hint="eastAsia" w:ascii="楷体" w:hAnsi="楷体" w:eastAsia="楷体" w:cs="楷体"/>
          <w:b/>
          <w:bCs/>
          <w:color w:val="auto"/>
          <w:sz w:val="32"/>
          <w:szCs w:val="32"/>
          <w:highlight w:val="none"/>
          <w:lang w:eastAsia="zh-CN"/>
        </w:rPr>
        <w:t>ZY2025-ZB-CS10</w:t>
      </w:r>
      <w:r>
        <w:rPr>
          <w:rFonts w:hint="eastAsia" w:ascii="楷体" w:hAnsi="楷体" w:eastAsia="楷体" w:cs="楷体"/>
          <w:b/>
          <w:bCs/>
          <w:color w:val="auto"/>
          <w:sz w:val="32"/>
          <w:szCs w:val="32"/>
          <w:highlight w:val="none"/>
          <w:lang w:val="en-US" w:eastAsia="zh-CN"/>
        </w:rPr>
        <w:t>71.1B3</w:t>
      </w:r>
    </w:p>
    <w:p w14:paraId="5F360296">
      <w:pPr>
        <w:ind w:firstLine="4343" w:firstLineChars="1352"/>
        <w:rPr>
          <w:rFonts w:hint="eastAsia" w:ascii="楷体" w:hAnsi="楷体" w:eastAsia="楷体" w:cs="楷体"/>
          <w:b/>
          <w:color w:val="auto"/>
          <w:sz w:val="32"/>
          <w:szCs w:val="32"/>
          <w:highlight w:val="none"/>
        </w:rPr>
      </w:pPr>
      <w:r>
        <w:rPr>
          <w:rFonts w:hint="eastAsia" w:ascii="楷体" w:hAnsi="楷体" w:eastAsia="楷体" w:cs="楷体"/>
          <w:b/>
          <w:bCs/>
          <w:color w:val="auto"/>
          <w:sz w:val="32"/>
          <w:szCs w:val="32"/>
          <w:highlight w:val="none"/>
        </w:rPr>
        <w:t xml:space="preserve">          </w:t>
      </w:r>
      <w:r>
        <w:rPr>
          <w:rFonts w:hint="eastAsia" w:ascii="楷体" w:hAnsi="楷体" w:eastAsia="楷体" w:cs="楷体"/>
          <w:b/>
          <w:color w:val="auto"/>
          <w:sz w:val="32"/>
          <w:szCs w:val="32"/>
          <w:highlight w:val="none"/>
        </w:rPr>
        <w:t>（正本/副本）</w:t>
      </w:r>
    </w:p>
    <w:p w14:paraId="4EC4B4EB">
      <w:pPr>
        <w:jc w:val="center"/>
        <w:rPr>
          <w:rFonts w:hint="eastAsia" w:ascii="楷体" w:hAnsi="楷体" w:eastAsia="楷体" w:cs="楷体"/>
          <w:b/>
          <w:color w:val="auto"/>
          <w:sz w:val="32"/>
          <w:szCs w:val="32"/>
          <w:highlight w:val="none"/>
        </w:rPr>
      </w:pPr>
    </w:p>
    <w:p w14:paraId="6918F554">
      <w:pPr>
        <w:jc w:val="center"/>
        <w:rPr>
          <w:rFonts w:hint="eastAsia" w:ascii="楷体" w:hAnsi="楷体" w:eastAsia="楷体" w:cs="楷体"/>
          <w:b/>
          <w:bCs/>
          <w:color w:val="auto"/>
          <w:kern w:val="2"/>
          <w:sz w:val="56"/>
          <w:szCs w:val="56"/>
          <w:highlight w:val="none"/>
        </w:rPr>
      </w:pPr>
    </w:p>
    <w:p w14:paraId="78A0F354">
      <w:pPr>
        <w:jc w:val="center"/>
        <w:rPr>
          <w:rFonts w:hint="eastAsia" w:ascii="楷体" w:hAnsi="楷体" w:eastAsia="楷体" w:cs="楷体"/>
          <w:b/>
          <w:color w:val="auto"/>
          <w:kern w:val="2"/>
          <w:sz w:val="72"/>
          <w:szCs w:val="72"/>
          <w:highlight w:val="none"/>
        </w:rPr>
      </w:pPr>
      <w:r>
        <w:rPr>
          <w:rFonts w:hint="eastAsia" w:ascii="楷体" w:hAnsi="楷体" w:eastAsia="楷体" w:cs="楷体"/>
          <w:b/>
          <w:color w:val="auto"/>
          <w:kern w:val="2"/>
          <w:sz w:val="72"/>
          <w:szCs w:val="72"/>
          <w:highlight w:val="none"/>
          <w:lang w:val="en-US" w:eastAsia="zh-CN"/>
        </w:rPr>
        <w:t>生态环境和安全相关产品质量监督抽查（四次）</w:t>
      </w:r>
    </w:p>
    <w:p w14:paraId="24B140A1">
      <w:pPr>
        <w:pStyle w:val="8"/>
        <w:rPr>
          <w:rFonts w:hint="eastAsia" w:ascii="楷体" w:hAnsi="楷体" w:eastAsia="楷体" w:cs="楷体"/>
          <w:color w:val="auto"/>
          <w:highlight w:val="none"/>
        </w:rPr>
      </w:pPr>
    </w:p>
    <w:p w14:paraId="2A2EFEE4">
      <w:pPr>
        <w:rPr>
          <w:rFonts w:hint="eastAsia" w:ascii="楷体" w:hAnsi="楷体" w:eastAsia="楷体" w:cs="楷体"/>
          <w:color w:val="auto"/>
          <w:highlight w:val="none"/>
        </w:rPr>
      </w:pPr>
    </w:p>
    <w:p w14:paraId="73F673D2">
      <w:pPr>
        <w:jc w:val="center"/>
        <w:rPr>
          <w:rFonts w:hint="eastAsia" w:ascii="楷体" w:hAnsi="楷体" w:eastAsia="楷体" w:cs="楷体"/>
          <w:b/>
          <w:color w:val="auto"/>
          <w:kern w:val="2"/>
          <w:sz w:val="72"/>
          <w:szCs w:val="72"/>
          <w:highlight w:val="none"/>
        </w:rPr>
      </w:pPr>
      <w:r>
        <w:rPr>
          <w:rFonts w:hint="eastAsia" w:ascii="楷体" w:hAnsi="楷体" w:eastAsia="楷体" w:cs="楷体"/>
          <w:b/>
          <w:color w:val="auto"/>
          <w:kern w:val="2"/>
          <w:sz w:val="72"/>
          <w:szCs w:val="72"/>
          <w:highlight w:val="none"/>
        </w:rPr>
        <w:t>磋商响应文件</w:t>
      </w:r>
    </w:p>
    <w:p w14:paraId="46909D64">
      <w:pPr>
        <w:jc w:val="center"/>
        <w:rPr>
          <w:rFonts w:hint="default" w:ascii="楷体" w:hAnsi="楷体" w:eastAsia="楷体" w:cs="楷体"/>
          <w:b/>
          <w:color w:val="auto"/>
          <w:sz w:val="36"/>
          <w:szCs w:val="36"/>
          <w:highlight w:val="none"/>
          <w:lang w:val="en-US" w:eastAsia="zh-CN"/>
        </w:rPr>
      </w:pPr>
      <w:r>
        <w:rPr>
          <w:rFonts w:hint="eastAsia" w:ascii="楷体" w:hAnsi="楷体" w:eastAsia="楷体" w:cs="楷体"/>
          <w:b/>
          <w:color w:val="auto"/>
          <w:sz w:val="36"/>
          <w:szCs w:val="36"/>
          <w:highlight w:val="none"/>
          <w:lang w:val="en-US" w:eastAsia="zh-CN"/>
        </w:rPr>
        <w:t>采购包</w:t>
      </w:r>
      <w:r>
        <w:rPr>
          <w:rFonts w:hint="eastAsia" w:ascii="楷体" w:hAnsi="楷体" w:eastAsia="楷体" w:cs="楷体"/>
          <w:b/>
          <w:color w:val="auto"/>
          <w:sz w:val="36"/>
          <w:szCs w:val="36"/>
          <w:highlight w:val="none"/>
          <w:u w:val="single"/>
          <w:lang w:val="en-US" w:eastAsia="zh-CN"/>
        </w:rPr>
        <w:t xml:space="preserve">   </w:t>
      </w:r>
    </w:p>
    <w:p w14:paraId="3254CA55">
      <w:pPr>
        <w:jc w:val="center"/>
        <w:rPr>
          <w:rFonts w:hint="eastAsia" w:ascii="楷体" w:hAnsi="楷体" w:eastAsia="楷体" w:cs="楷体"/>
          <w:b/>
          <w:color w:val="auto"/>
          <w:sz w:val="36"/>
          <w:szCs w:val="36"/>
          <w:highlight w:val="none"/>
        </w:rPr>
      </w:pPr>
    </w:p>
    <w:p w14:paraId="4B95BA08">
      <w:pPr>
        <w:jc w:val="center"/>
        <w:rPr>
          <w:rFonts w:hint="eastAsia" w:ascii="楷体" w:hAnsi="楷体" w:eastAsia="楷体" w:cs="楷体"/>
          <w:b/>
          <w:color w:val="auto"/>
          <w:sz w:val="36"/>
          <w:szCs w:val="36"/>
          <w:highlight w:val="none"/>
        </w:rPr>
      </w:pPr>
    </w:p>
    <w:p w14:paraId="1B998F1C">
      <w:pPr>
        <w:pStyle w:val="8"/>
        <w:rPr>
          <w:rFonts w:hint="eastAsia" w:ascii="楷体" w:hAnsi="楷体" w:eastAsia="楷体" w:cs="楷体"/>
          <w:color w:val="auto"/>
          <w:highlight w:val="none"/>
        </w:rPr>
      </w:pPr>
    </w:p>
    <w:p w14:paraId="1F12F690">
      <w:pPr>
        <w:pStyle w:val="7"/>
        <w:ind w:firstLine="0" w:firstLineChars="0"/>
        <w:rPr>
          <w:rFonts w:hint="eastAsia" w:ascii="楷体" w:hAnsi="楷体" w:eastAsia="楷体" w:cs="楷体"/>
          <w:b/>
          <w:color w:val="auto"/>
          <w:sz w:val="36"/>
          <w:szCs w:val="36"/>
          <w:highlight w:val="none"/>
        </w:rPr>
      </w:pPr>
    </w:p>
    <w:p w14:paraId="2BBAEC14">
      <w:pPr>
        <w:rPr>
          <w:rFonts w:hint="eastAsia" w:ascii="楷体" w:hAnsi="楷体" w:eastAsia="楷体" w:cs="楷体"/>
          <w:color w:val="auto"/>
          <w:highlight w:val="none"/>
        </w:rPr>
      </w:pPr>
    </w:p>
    <w:p w14:paraId="5A785795">
      <w:pPr>
        <w:pStyle w:val="21"/>
        <w:ind w:firstLine="480"/>
        <w:rPr>
          <w:rFonts w:hint="eastAsia" w:ascii="楷体" w:hAnsi="楷体" w:eastAsia="楷体" w:cs="楷体"/>
          <w:color w:val="auto"/>
          <w:highlight w:val="none"/>
        </w:rPr>
      </w:pPr>
    </w:p>
    <w:p w14:paraId="5DC02D4D">
      <w:pPr>
        <w:tabs>
          <w:tab w:val="center" w:pos="5346"/>
        </w:tabs>
        <w:spacing w:line="480" w:lineRule="auto"/>
        <w:ind w:left="1603" w:leftChars="534" w:hanging="321" w:hangingChars="100"/>
        <w:rPr>
          <w:rFonts w:hint="eastAsia" w:ascii="楷体" w:hAnsi="楷体" w:eastAsia="楷体" w:cs="楷体"/>
          <w:b/>
          <w:color w:val="auto"/>
          <w:sz w:val="32"/>
          <w:szCs w:val="32"/>
          <w:highlight w:val="none"/>
        </w:rPr>
      </w:pPr>
      <w:bookmarkStart w:id="184" w:name="_Toc344572156"/>
      <w:r>
        <w:rPr>
          <w:rFonts w:hint="eastAsia" w:ascii="楷体" w:hAnsi="楷体" w:eastAsia="楷体" w:cs="楷体"/>
          <w:b/>
          <w:color w:val="auto"/>
          <w:sz w:val="32"/>
          <w:szCs w:val="32"/>
          <w:highlight w:val="none"/>
        </w:rPr>
        <w:t>供应商名称（公章）：</w:t>
      </w:r>
    </w:p>
    <w:p w14:paraId="6925335F">
      <w:pPr>
        <w:tabs>
          <w:tab w:val="center" w:pos="5346"/>
        </w:tabs>
        <w:spacing w:line="480" w:lineRule="auto"/>
        <w:ind w:left="1603" w:leftChars="534" w:hanging="321" w:hangingChars="100"/>
        <w:rPr>
          <w:rFonts w:hint="eastAsia" w:ascii="楷体" w:hAnsi="楷体" w:eastAsia="楷体" w:cs="楷体"/>
          <w:b/>
          <w:color w:val="auto"/>
          <w:sz w:val="32"/>
          <w:szCs w:val="32"/>
          <w:highlight w:val="none"/>
        </w:rPr>
      </w:pPr>
      <w:r>
        <w:rPr>
          <w:rFonts w:hint="eastAsia" w:ascii="楷体" w:hAnsi="楷体" w:eastAsia="楷体" w:cs="楷体"/>
          <w:b/>
          <w:color w:val="auto"/>
          <w:sz w:val="32"/>
          <w:szCs w:val="32"/>
          <w:highlight w:val="none"/>
        </w:rPr>
        <w:t>法定代表人/被授权人（签字或盖章）：</w:t>
      </w:r>
    </w:p>
    <w:p w14:paraId="46981060">
      <w:pPr>
        <w:tabs>
          <w:tab w:val="center" w:pos="5346"/>
        </w:tabs>
        <w:spacing w:line="480" w:lineRule="auto"/>
        <w:ind w:left="1603" w:leftChars="534" w:hanging="321" w:hangingChars="100"/>
        <w:rPr>
          <w:rFonts w:hint="eastAsia" w:ascii="楷体" w:hAnsi="楷体" w:eastAsia="楷体" w:cs="楷体"/>
          <w:b/>
          <w:color w:val="auto"/>
          <w:sz w:val="32"/>
          <w:szCs w:val="32"/>
          <w:highlight w:val="none"/>
        </w:rPr>
      </w:pPr>
      <w:r>
        <w:rPr>
          <w:rFonts w:hint="eastAsia" w:ascii="楷体" w:hAnsi="楷体" w:eastAsia="楷体" w:cs="楷体"/>
          <w:b/>
          <w:color w:val="auto"/>
          <w:sz w:val="32"/>
          <w:szCs w:val="32"/>
          <w:highlight w:val="none"/>
        </w:rPr>
        <w:t>时间：20</w:t>
      </w:r>
      <w:r>
        <w:rPr>
          <w:rFonts w:hint="eastAsia" w:ascii="楷体" w:hAnsi="楷体" w:eastAsia="楷体" w:cs="楷体"/>
          <w:b/>
          <w:color w:val="auto"/>
          <w:sz w:val="32"/>
          <w:szCs w:val="32"/>
          <w:highlight w:val="none"/>
          <w:lang w:val="en-US" w:eastAsia="zh-CN"/>
        </w:rPr>
        <w:t>25</w:t>
      </w:r>
      <w:r>
        <w:rPr>
          <w:rFonts w:hint="eastAsia" w:ascii="楷体" w:hAnsi="楷体" w:eastAsia="楷体" w:cs="楷体"/>
          <w:b/>
          <w:color w:val="auto"/>
          <w:sz w:val="32"/>
          <w:szCs w:val="32"/>
          <w:highlight w:val="none"/>
        </w:rPr>
        <w:t>年</w:t>
      </w:r>
      <w:r>
        <w:rPr>
          <w:rFonts w:hint="eastAsia" w:ascii="楷体" w:hAnsi="楷体" w:eastAsia="楷体" w:cs="楷体"/>
          <w:b/>
          <w:color w:val="auto"/>
          <w:sz w:val="32"/>
          <w:szCs w:val="32"/>
          <w:highlight w:val="none"/>
          <w:u w:val="single"/>
        </w:rPr>
        <w:t xml:space="preserve">   </w:t>
      </w:r>
      <w:r>
        <w:rPr>
          <w:rFonts w:hint="eastAsia" w:ascii="楷体" w:hAnsi="楷体" w:eastAsia="楷体" w:cs="楷体"/>
          <w:b/>
          <w:color w:val="auto"/>
          <w:sz w:val="32"/>
          <w:szCs w:val="32"/>
          <w:highlight w:val="none"/>
        </w:rPr>
        <w:t>月</w:t>
      </w:r>
      <w:r>
        <w:rPr>
          <w:rFonts w:hint="eastAsia" w:ascii="楷体" w:hAnsi="楷体" w:eastAsia="楷体" w:cs="楷体"/>
          <w:b/>
          <w:color w:val="auto"/>
          <w:sz w:val="32"/>
          <w:szCs w:val="32"/>
          <w:highlight w:val="none"/>
          <w:u w:val="single"/>
        </w:rPr>
        <w:t xml:space="preserve">   </w:t>
      </w:r>
      <w:r>
        <w:rPr>
          <w:rFonts w:hint="eastAsia" w:ascii="楷体" w:hAnsi="楷体" w:eastAsia="楷体" w:cs="楷体"/>
          <w:b/>
          <w:color w:val="auto"/>
          <w:sz w:val="32"/>
          <w:szCs w:val="32"/>
          <w:highlight w:val="none"/>
        </w:rPr>
        <w:t>日</w:t>
      </w:r>
    </w:p>
    <w:p w14:paraId="5702D27F">
      <w:pPr>
        <w:jc w:val="center"/>
        <w:rPr>
          <w:rFonts w:hint="eastAsia" w:ascii="楷体" w:hAnsi="楷体" w:eastAsia="楷体" w:cs="楷体"/>
          <w:b/>
          <w:color w:val="auto"/>
          <w:sz w:val="44"/>
          <w:highlight w:val="none"/>
        </w:rPr>
      </w:pPr>
    </w:p>
    <w:p w14:paraId="7F730E58">
      <w:pPr>
        <w:jc w:val="center"/>
        <w:rPr>
          <w:rFonts w:hint="eastAsia" w:ascii="楷体" w:hAnsi="楷体" w:eastAsia="楷体" w:cs="楷体"/>
          <w:b/>
          <w:color w:val="auto"/>
          <w:sz w:val="44"/>
          <w:highlight w:val="none"/>
        </w:rPr>
      </w:pPr>
      <w:r>
        <w:rPr>
          <w:rFonts w:hint="eastAsia" w:ascii="楷体" w:hAnsi="楷体" w:eastAsia="楷体" w:cs="楷体"/>
          <w:b/>
          <w:color w:val="auto"/>
          <w:sz w:val="44"/>
          <w:highlight w:val="none"/>
        </w:rPr>
        <w:br w:type="page"/>
      </w:r>
      <w:r>
        <w:rPr>
          <w:rFonts w:hint="eastAsia" w:ascii="楷体" w:hAnsi="楷体" w:eastAsia="楷体" w:cs="楷体"/>
          <w:b/>
          <w:color w:val="auto"/>
          <w:sz w:val="44"/>
          <w:highlight w:val="none"/>
        </w:rPr>
        <w:t>目  录</w:t>
      </w:r>
    </w:p>
    <w:p w14:paraId="0B584FE0">
      <w:pPr>
        <w:jc w:val="center"/>
        <w:rPr>
          <w:rFonts w:hint="eastAsia" w:ascii="楷体" w:hAnsi="楷体" w:eastAsia="楷体" w:cs="楷体"/>
          <w:b/>
          <w:color w:val="auto"/>
          <w:sz w:val="44"/>
          <w:highlight w:val="none"/>
        </w:rPr>
      </w:pPr>
    </w:p>
    <w:p w14:paraId="0007C54E">
      <w:pPr>
        <w:pStyle w:val="7"/>
        <w:ind w:firstLine="0" w:firstLineChars="0"/>
        <w:jc w:val="center"/>
        <w:rPr>
          <w:rFonts w:hint="eastAsia" w:ascii="楷体" w:hAnsi="楷体" w:eastAsia="楷体" w:cs="楷体"/>
          <w:color w:val="auto"/>
          <w:sz w:val="28"/>
          <w:szCs w:val="28"/>
          <w:highlight w:val="none"/>
        </w:rPr>
      </w:pPr>
      <w:r>
        <w:rPr>
          <w:rFonts w:hint="eastAsia" w:ascii="楷体" w:hAnsi="楷体" w:eastAsia="楷体" w:cs="楷体"/>
          <w:color w:val="auto"/>
          <w:sz w:val="28"/>
          <w:szCs w:val="28"/>
          <w:highlight w:val="none"/>
        </w:rPr>
        <w:t>（格式自拟）</w:t>
      </w:r>
    </w:p>
    <w:p w14:paraId="0F50056A">
      <w:pPr>
        <w:tabs>
          <w:tab w:val="left" w:pos="1701"/>
        </w:tabs>
        <w:spacing w:line="480" w:lineRule="auto"/>
        <w:rPr>
          <w:rFonts w:hint="eastAsia" w:ascii="楷体" w:hAnsi="楷体" w:eastAsia="楷体" w:cs="楷体"/>
          <w:color w:val="auto"/>
          <w:spacing w:val="4"/>
          <w:sz w:val="28"/>
          <w:szCs w:val="28"/>
          <w:highlight w:val="none"/>
        </w:rPr>
      </w:pPr>
    </w:p>
    <w:p w14:paraId="2AC77562">
      <w:pPr>
        <w:pStyle w:val="7"/>
        <w:ind w:firstLine="0" w:firstLineChars="0"/>
        <w:rPr>
          <w:rFonts w:hint="eastAsia" w:ascii="楷体" w:hAnsi="楷体" w:eastAsia="楷体" w:cs="楷体"/>
          <w:color w:val="auto"/>
          <w:highlight w:val="none"/>
        </w:rPr>
      </w:pPr>
    </w:p>
    <w:p w14:paraId="38011485">
      <w:pPr>
        <w:pStyle w:val="7"/>
        <w:ind w:firstLine="0" w:firstLineChars="0"/>
        <w:rPr>
          <w:rFonts w:hint="eastAsia" w:ascii="楷体" w:hAnsi="楷体" w:eastAsia="楷体" w:cs="楷体"/>
          <w:color w:val="auto"/>
          <w:highlight w:val="none"/>
        </w:rPr>
      </w:pPr>
    </w:p>
    <w:p w14:paraId="6C943424">
      <w:pPr>
        <w:pStyle w:val="7"/>
        <w:ind w:firstLine="0" w:firstLineChars="0"/>
        <w:rPr>
          <w:rFonts w:hint="eastAsia" w:ascii="楷体" w:hAnsi="楷体" w:eastAsia="楷体" w:cs="楷体"/>
          <w:color w:val="auto"/>
          <w:highlight w:val="none"/>
        </w:rPr>
      </w:pPr>
    </w:p>
    <w:p w14:paraId="256277D8">
      <w:pPr>
        <w:pStyle w:val="7"/>
        <w:ind w:firstLine="0" w:firstLineChars="0"/>
        <w:rPr>
          <w:rFonts w:hint="eastAsia" w:ascii="楷体" w:hAnsi="楷体" w:eastAsia="楷体" w:cs="楷体"/>
          <w:color w:val="auto"/>
          <w:highlight w:val="none"/>
        </w:rPr>
      </w:pPr>
    </w:p>
    <w:p w14:paraId="3A4DE36F">
      <w:pPr>
        <w:pStyle w:val="7"/>
        <w:ind w:firstLine="0" w:firstLineChars="0"/>
        <w:rPr>
          <w:rFonts w:hint="eastAsia" w:ascii="楷体" w:hAnsi="楷体" w:eastAsia="楷体" w:cs="楷体"/>
          <w:color w:val="auto"/>
          <w:highlight w:val="none"/>
        </w:rPr>
      </w:pPr>
    </w:p>
    <w:p w14:paraId="37F510FF">
      <w:pPr>
        <w:pStyle w:val="7"/>
        <w:ind w:firstLine="0" w:firstLineChars="0"/>
        <w:rPr>
          <w:rFonts w:hint="eastAsia" w:ascii="楷体" w:hAnsi="楷体" w:eastAsia="楷体" w:cs="楷体"/>
          <w:color w:val="auto"/>
          <w:highlight w:val="none"/>
        </w:rPr>
      </w:pPr>
    </w:p>
    <w:p w14:paraId="45710FA9">
      <w:pPr>
        <w:pStyle w:val="7"/>
        <w:ind w:firstLine="0" w:firstLineChars="0"/>
        <w:rPr>
          <w:rFonts w:hint="eastAsia" w:ascii="楷体" w:hAnsi="楷体" w:eastAsia="楷体" w:cs="楷体"/>
          <w:color w:val="auto"/>
          <w:highlight w:val="none"/>
        </w:rPr>
      </w:pPr>
    </w:p>
    <w:p w14:paraId="2A233033">
      <w:pPr>
        <w:pStyle w:val="7"/>
        <w:ind w:firstLine="0" w:firstLineChars="0"/>
        <w:rPr>
          <w:rFonts w:hint="eastAsia" w:ascii="楷体" w:hAnsi="楷体" w:eastAsia="楷体" w:cs="楷体"/>
          <w:color w:val="auto"/>
          <w:highlight w:val="none"/>
        </w:rPr>
      </w:pPr>
    </w:p>
    <w:bookmarkEnd w:id="184"/>
    <w:p w14:paraId="4D54544A">
      <w:pPr>
        <w:spacing w:before="0" w:beforeLines="0" w:line="360" w:lineRule="auto"/>
        <w:jc w:val="center"/>
        <w:outlineLvl w:val="9"/>
        <w:rPr>
          <w:rFonts w:hint="eastAsia" w:ascii="楷体" w:hAnsi="楷体" w:eastAsia="楷体" w:cs="楷体"/>
          <w:color w:val="auto"/>
          <w:sz w:val="32"/>
          <w:szCs w:val="32"/>
          <w:highlight w:val="none"/>
        </w:rPr>
      </w:pPr>
      <w:bookmarkStart w:id="185" w:name="_Toc204524343"/>
      <w:r>
        <w:rPr>
          <w:rFonts w:hint="eastAsia" w:ascii="楷体" w:hAnsi="楷体" w:eastAsia="楷体" w:cs="楷体"/>
          <w:color w:val="auto"/>
          <w:sz w:val="32"/>
          <w:szCs w:val="32"/>
          <w:highlight w:val="none"/>
        </w:rPr>
        <w:br w:type="page"/>
      </w:r>
      <w:bookmarkEnd w:id="185"/>
      <w:bookmarkStart w:id="186" w:name="_Toc5371"/>
      <w:bookmarkStart w:id="187" w:name="_Toc23103"/>
      <w:bookmarkStart w:id="188" w:name="_Toc76"/>
      <w:bookmarkStart w:id="189" w:name="_Toc22362"/>
      <w:bookmarkStart w:id="190" w:name="_Toc28602"/>
      <w:bookmarkStart w:id="191" w:name="_Toc20735"/>
      <w:r>
        <w:rPr>
          <w:rFonts w:hint="eastAsia" w:ascii="楷体" w:hAnsi="楷体" w:eastAsia="楷体" w:cs="楷体"/>
          <w:b/>
          <w:bCs/>
          <w:color w:val="auto"/>
          <w:sz w:val="32"/>
          <w:szCs w:val="32"/>
          <w:highlight w:val="none"/>
        </w:rPr>
        <w:t>一、磋商响应函</w:t>
      </w:r>
      <w:bookmarkEnd w:id="186"/>
      <w:bookmarkEnd w:id="187"/>
      <w:bookmarkEnd w:id="188"/>
      <w:bookmarkEnd w:id="189"/>
      <w:bookmarkEnd w:id="190"/>
      <w:bookmarkEnd w:id="191"/>
    </w:p>
    <w:p w14:paraId="792098D0">
      <w:pPr>
        <w:spacing w:line="360" w:lineRule="auto"/>
        <w:jc w:val="left"/>
        <w:rPr>
          <w:rFonts w:hint="eastAsia" w:ascii="楷体" w:hAnsi="楷体" w:eastAsia="楷体" w:cs="楷体"/>
          <w:b/>
          <w:color w:val="auto"/>
          <w:highlight w:val="none"/>
        </w:rPr>
      </w:pPr>
      <w:r>
        <w:rPr>
          <w:rFonts w:hint="eastAsia" w:ascii="楷体" w:hAnsi="楷体" w:eastAsia="楷体" w:cs="楷体"/>
          <w:b/>
          <w:color w:val="auto"/>
          <w:spacing w:val="4"/>
          <w:szCs w:val="24"/>
          <w:highlight w:val="none"/>
        </w:rPr>
        <w:t>致：</w:t>
      </w:r>
      <w:r>
        <w:rPr>
          <w:rFonts w:hint="eastAsia" w:ascii="楷体" w:hAnsi="楷体" w:eastAsia="楷体" w:cs="楷体"/>
          <w:b/>
          <w:color w:val="auto"/>
          <w:spacing w:val="4"/>
          <w:szCs w:val="24"/>
          <w:highlight w:val="none"/>
          <w:lang w:val="en-US" w:eastAsia="zh-CN"/>
        </w:rPr>
        <w:t>西安市市场监督管理局</w:t>
      </w:r>
      <w:r>
        <w:rPr>
          <w:rFonts w:hint="eastAsia" w:ascii="楷体" w:hAnsi="楷体" w:eastAsia="楷体" w:cs="楷体"/>
          <w:b/>
          <w:color w:val="auto"/>
          <w:spacing w:val="4"/>
          <w:szCs w:val="24"/>
          <w:highlight w:val="none"/>
        </w:rPr>
        <w:t>/</w:t>
      </w:r>
      <w:r>
        <w:rPr>
          <w:rFonts w:hint="eastAsia" w:ascii="楷体" w:hAnsi="楷体" w:eastAsia="楷体" w:cs="楷体"/>
          <w:b/>
          <w:color w:val="auto"/>
          <w:spacing w:val="4"/>
          <w:szCs w:val="24"/>
          <w:highlight w:val="none"/>
          <w:lang w:eastAsia="zh-CN"/>
        </w:rPr>
        <w:t>陕西正翼项目管理咨询有限公司</w:t>
      </w:r>
      <w:r>
        <w:rPr>
          <w:rFonts w:hint="eastAsia" w:ascii="楷体" w:hAnsi="楷体" w:eastAsia="楷体" w:cs="楷体"/>
          <w:b/>
          <w:color w:val="auto"/>
          <w:spacing w:val="4"/>
          <w:szCs w:val="24"/>
          <w:highlight w:val="none"/>
        </w:rPr>
        <w:t xml:space="preserve"> </w:t>
      </w:r>
    </w:p>
    <w:p w14:paraId="76E8163B">
      <w:pPr>
        <w:spacing w:line="360" w:lineRule="auto"/>
        <w:ind w:firstLine="496" w:firstLineChars="200"/>
        <w:jc w:val="left"/>
        <w:rPr>
          <w:rFonts w:hint="eastAsia" w:ascii="楷体" w:hAnsi="楷体" w:eastAsia="楷体" w:cs="楷体"/>
          <w:color w:val="auto"/>
          <w:spacing w:val="4"/>
          <w:szCs w:val="24"/>
          <w:highlight w:val="none"/>
        </w:rPr>
      </w:pPr>
      <w:r>
        <w:rPr>
          <w:rFonts w:hint="eastAsia" w:ascii="楷体" w:hAnsi="楷体" w:eastAsia="楷体" w:cs="楷体"/>
          <w:color w:val="auto"/>
          <w:spacing w:val="4"/>
          <w:szCs w:val="24"/>
          <w:highlight w:val="none"/>
        </w:rPr>
        <w:t>根据贵方（</w:t>
      </w:r>
      <w:r>
        <w:rPr>
          <w:rFonts w:hint="eastAsia" w:ascii="楷体" w:hAnsi="楷体" w:eastAsia="楷体" w:cs="楷体"/>
          <w:color w:val="auto"/>
          <w:spacing w:val="4"/>
          <w:szCs w:val="24"/>
          <w:highlight w:val="none"/>
          <w:u w:val="single"/>
        </w:rPr>
        <w:t>项目名称：                  ）</w:t>
      </w:r>
      <w:r>
        <w:rPr>
          <w:rFonts w:hint="eastAsia" w:ascii="楷体" w:hAnsi="楷体" w:eastAsia="楷体" w:cs="楷体"/>
          <w:color w:val="auto"/>
          <w:spacing w:val="4"/>
          <w:szCs w:val="24"/>
          <w:highlight w:val="none"/>
        </w:rPr>
        <w:t>(项目编号：</w:t>
      </w:r>
      <w:r>
        <w:rPr>
          <w:rFonts w:hint="eastAsia" w:ascii="楷体" w:hAnsi="楷体" w:eastAsia="楷体" w:cs="楷体"/>
          <w:color w:val="auto"/>
          <w:spacing w:val="4"/>
          <w:szCs w:val="24"/>
          <w:highlight w:val="none"/>
          <w:u w:val="single"/>
        </w:rPr>
        <w:t xml:space="preserve">            </w:t>
      </w:r>
      <w:r>
        <w:rPr>
          <w:rFonts w:hint="eastAsia" w:ascii="楷体" w:hAnsi="楷体" w:eastAsia="楷体" w:cs="楷体"/>
          <w:color w:val="auto"/>
          <w:spacing w:val="4"/>
          <w:szCs w:val="24"/>
          <w:highlight w:val="none"/>
        </w:rPr>
        <w:t>）</w:t>
      </w:r>
      <w:r>
        <w:rPr>
          <w:rFonts w:hint="eastAsia" w:ascii="楷体" w:hAnsi="楷体" w:eastAsia="楷体" w:cs="楷体"/>
          <w:color w:val="auto"/>
          <w:spacing w:val="4"/>
          <w:szCs w:val="24"/>
          <w:highlight w:val="none"/>
          <w:lang w:val="en-US" w:eastAsia="zh-CN"/>
        </w:rPr>
        <w:t>采购包</w:t>
      </w:r>
      <w:r>
        <w:rPr>
          <w:rFonts w:hint="eastAsia" w:ascii="楷体" w:hAnsi="楷体" w:eastAsia="楷体" w:cs="楷体"/>
          <w:color w:val="auto"/>
          <w:spacing w:val="4"/>
          <w:szCs w:val="24"/>
          <w:highlight w:val="none"/>
          <w:u w:val="single"/>
          <w:lang w:val="en-US" w:eastAsia="zh-CN"/>
        </w:rPr>
        <w:t xml:space="preserve">   </w:t>
      </w:r>
      <w:r>
        <w:rPr>
          <w:rFonts w:hint="eastAsia" w:ascii="楷体" w:hAnsi="楷体" w:eastAsia="楷体" w:cs="楷体"/>
          <w:color w:val="auto"/>
          <w:spacing w:val="4"/>
          <w:szCs w:val="24"/>
          <w:highlight w:val="none"/>
        </w:rPr>
        <w:t>的磋商文件，签字代表</w:t>
      </w:r>
      <w:r>
        <w:rPr>
          <w:rFonts w:hint="eastAsia" w:ascii="楷体" w:hAnsi="楷体" w:eastAsia="楷体" w:cs="楷体"/>
          <w:color w:val="auto"/>
          <w:spacing w:val="4"/>
          <w:szCs w:val="24"/>
          <w:highlight w:val="none"/>
          <w:u w:val="single"/>
        </w:rPr>
        <w:t>（全名、职务</w:t>
      </w:r>
      <w:r>
        <w:rPr>
          <w:rFonts w:hint="eastAsia" w:ascii="楷体" w:hAnsi="楷体" w:eastAsia="楷体" w:cs="楷体"/>
          <w:color w:val="auto"/>
          <w:spacing w:val="4"/>
          <w:szCs w:val="24"/>
          <w:highlight w:val="none"/>
        </w:rPr>
        <w:t>）经正式授权并代表供应商</w:t>
      </w:r>
      <w:r>
        <w:rPr>
          <w:rFonts w:hint="eastAsia" w:ascii="楷体" w:hAnsi="楷体" w:eastAsia="楷体" w:cs="楷体"/>
          <w:color w:val="auto"/>
          <w:spacing w:val="4"/>
          <w:szCs w:val="24"/>
          <w:highlight w:val="none"/>
          <w:u w:val="single"/>
        </w:rPr>
        <w:t xml:space="preserve">  (供应商名称)</w:t>
      </w:r>
      <w:r>
        <w:rPr>
          <w:rFonts w:hint="eastAsia" w:ascii="楷体" w:hAnsi="楷体" w:eastAsia="楷体" w:cs="楷体"/>
          <w:color w:val="auto"/>
          <w:spacing w:val="4"/>
          <w:szCs w:val="24"/>
          <w:highlight w:val="none"/>
        </w:rPr>
        <w:t>提交磋商响应文件正本</w:t>
      </w:r>
      <w:r>
        <w:rPr>
          <w:rFonts w:hint="eastAsia" w:ascii="楷体" w:hAnsi="楷体" w:eastAsia="楷体" w:cs="楷体"/>
          <w:color w:val="auto"/>
          <w:spacing w:val="4"/>
          <w:szCs w:val="24"/>
          <w:highlight w:val="none"/>
          <w:u w:val="single"/>
        </w:rPr>
        <w:t xml:space="preserve">    </w:t>
      </w:r>
      <w:r>
        <w:rPr>
          <w:rFonts w:hint="eastAsia" w:ascii="楷体" w:hAnsi="楷体" w:eastAsia="楷体" w:cs="楷体"/>
          <w:color w:val="auto"/>
          <w:spacing w:val="4"/>
          <w:szCs w:val="24"/>
          <w:highlight w:val="none"/>
        </w:rPr>
        <w:t>份、副本</w:t>
      </w:r>
      <w:r>
        <w:rPr>
          <w:rFonts w:hint="eastAsia" w:ascii="楷体" w:hAnsi="楷体" w:eastAsia="楷体" w:cs="楷体"/>
          <w:color w:val="auto"/>
          <w:spacing w:val="4"/>
          <w:szCs w:val="24"/>
          <w:highlight w:val="none"/>
          <w:u w:val="single"/>
        </w:rPr>
        <w:t xml:space="preserve">    </w:t>
      </w:r>
      <w:r>
        <w:rPr>
          <w:rFonts w:hint="eastAsia" w:ascii="楷体" w:hAnsi="楷体" w:eastAsia="楷体" w:cs="楷体"/>
          <w:color w:val="auto"/>
          <w:spacing w:val="4"/>
          <w:szCs w:val="24"/>
          <w:highlight w:val="none"/>
        </w:rPr>
        <w:t>份</w:t>
      </w:r>
      <w:r>
        <w:rPr>
          <w:rFonts w:hint="eastAsia" w:ascii="楷体" w:hAnsi="楷体" w:eastAsia="楷体" w:cs="楷体"/>
          <w:color w:val="auto"/>
          <w:spacing w:val="4"/>
          <w:szCs w:val="24"/>
          <w:highlight w:val="none"/>
          <w:lang w:eastAsia="zh-CN"/>
        </w:rPr>
        <w:t>、</w:t>
      </w:r>
      <w:r>
        <w:rPr>
          <w:rFonts w:hint="eastAsia" w:ascii="楷体" w:hAnsi="楷体" w:eastAsia="楷体" w:cs="楷体"/>
          <w:color w:val="auto"/>
          <w:spacing w:val="4"/>
          <w:szCs w:val="24"/>
          <w:highlight w:val="none"/>
          <w:lang w:val="en-US" w:eastAsia="zh-CN"/>
        </w:rPr>
        <w:t>电子版</w:t>
      </w:r>
      <w:r>
        <w:rPr>
          <w:rFonts w:hint="eastAsia" w:ascii="楷体" w:hAnsi="楷体" w:eastAsia="楷体" w:cs="楷体"/>
          <w:color w:val="auto"/>
          <w:spacing w:val="4"/>
          <w:szCs w:val="24"/>
          <w:highlight w:val="none"/>
          <w:u w:val="single"/>
        </w:rPr>
        <w:t xml:space="preserve">    </w:t>
      </w:r>
      <w:r>
        <w:rPr>
          <w:rFonts w:hint="eastAsia" w:ascii="楷体" w:hAnsi="楷体" w:eastAsia="楷体" w:cs="楷体"/>
          <w:color w:val="auto"/>
          <w:spacing w:val="4"/>
          <w:szCs w:val="24"/>
          <w:highlight w:val="none"/>
        </w:rPr>
        <w:t>份。</w:t>
      </w:r>
    </w:p>
    <w:p w14:paraId="3A9FD581">
      <w:pPr>
        <w:spacing w:line="360" w:lineRule="auto"/>
        <w:jc w:val="left"/>
        <w:rPr>
          <w:rFonts w:hint="eastAsia" w:ascii="楷体" w:hAnsi="楷体" w:eastAsia="楷体" w:cs="楷体"/>
          <w:color w:val="auto"/>
          <w:spacing w:val="4"/>
          <w:szCs w:val="24"/>
          <w:highlight w:val="none"/>
        </w:rPr>
      </w:pPr>
      <w:r>
        <w:rPr>
          <w:rFonts w:hint="eastAsia" w:ascii="楷体" w:hAnsi="楷体" w:eastAsia="楷体" w:cs="楷体"/>
          <w:color w:val="auto"/>
          <w:spacing w:val="4"/>
          <w:szCs w:val="24"/>
          <w:highlight w:val="none"/>
        </w:rPr>
        <w:t>我方承诺如下：</w:t>
      </w:r>
    </w:p>
    <w:p w14:paraId="7770E194">
      <w:pPr>
        <w:tabs>
          <w:tab w:val="left" w:pos="2160"/>
        </w:tabs>
        <w:spacing w:line="360" w:lineRule="auto"/>
        <w:ind w:firstLine="496" w:firstLineChars="200"/>
        <w:jc w:val="left"/>
        <w:rPr>
          <w:rFonts w:hint="eastAsia" w:ascii="楷体" w:hAnsi="楷体" w:eastAsia="楷体" w:cs="楷体"/>
          <w:color w:val="auto"/>
          <w:spacing w:val="4"/>
          <w:szCs w:val="24"/>
          <w:highlight w:val="none"/>
          <w:lang w:eastAsia="zh-CN"/>
        </w:rPr>
      </w:pPr>
      <w:r>
        <w:rPr>
          <w:rFonts w:hint="eastAsia" w:ascii="楷体" w:hAnsi="楷体" w:eastAsia="楷体" w:cs="楷体"/>
          <w:color w:val="auto"/>
          <w:spacing w:val="4"/>
          <w:szCs w:val="24"/>
          <w:highlight w:val="none"/>
        </w:rPr>
        <w:t>1.磋商报价</w:t>
      </w:r>
      <w:r>
        <w:rPr>
          <w:rFonts w:hint="eastAsia" w:ascii="楷体" w:hAnsi="楷体" w:eastAsia="楷体" w:cs="楷体"/>
          <w:color w:val="auto"/>
          <w:spacing w:val="4"/>
          <w:szCs w:val="24"/>
          <w:highlight w:val="none"/>
          <w:lang w:eastAsia="zh-CN"/>
        </w:rPr>
        <w:t>（</w:t>
      </w:r>
      <w:r>
        <w:rPr>
          <w:rFonts w:hint="eastAsia" w:ascii="楷体" w:hAnsi="楷体" w:eastAsia="楷体" w:cs="楷体"/>
          <w:color w:val="auto"/>
          <w:spacing w:val="4"/>
          <w:szCs w:val="24"/>
          <w:highlight w:val="none"/>
          <w:lang w:val="en-US" w:eastAsia="zh-CN"/>
        </w:rPr>
        <w:t>大写</w:t>
      </w:r>
      <w:r>
        <w:rPr>
          <w:rFonts w:hint="eastAsia" w:ascii="楷体" w:hAnsi="楷体" w:eastAsia="楷体" w:cs="楷体"/>
          <w:color w:val="auto"/>
          <w:spacing w:val="4"/>
          <w:szCs w:val="24"/>
          <w:highlight w:val="none"/>
          <w:lang w:eastAsia="zh-CN"/>
        </w:rPr>
        <w:t>）：</w:t>
      </w:r>
      <w:r>
        <w:rPr>
          <w:rFonts w:hint="eastAsia" w:ascii="楷体" w:hAnsi="楷体" w:eastAsia="楷体" w:cs="楷体"/>
          <w:color w:val="auto"/>
          <w:spacing w:val="4"/>
          <w:szCs w:val="24"/>
          <w:highlight w:val="none"/>
          <w:u w:val="single"/>
          <w:lang w:val="en-US" w:eastAsia="zh-CN"/>
        </w:rPr>
        <w:t>人民币</w:t>
      </w:r>
      <w:r>
        <w:rPr>
          <w:rFonts w:hint="eastAsia" w:ascii="楷体" w:hAnsi="楷体" w:eastAsia="楷体" w:cs="楷体"/>
          <w:color w:val="auto"/>
          <w:spacing w:val="4"/>
          <w:szCs w:val="24"/>
          <w:highlight w:val="none"/>
          <w:u w:val="single"/>
        </w:rPr>
        <w:t xml:space="preserve">                </w:t>
      </w:r>
      <w:r>
        <w:rPr>
          <w:rFonts w:hint="eastAsia" w:ascii="楷体" w:hAnsi="楷体" w:eastAsia="楷体" w:cs="楷体"/>
          <w:color w:val="auto"/>
          <w:spacing w:val="4"/>
          <w:szCs w:val="24"/>
          <w:highlight w:val="none"/>
        </w:rPr>
        <w:t>（</w:t>
      </w:r>
      <w:r>
        <w:rPr>
          <w:rFonts w:hint="default" w:ascii="Arial" w:hAnsi="Arial" w:eastAsia="楷体" w:cs="Arial"/>
          <w:color w:val="auto"/>
          <w:spacing w:val="4"/>
          <w:szCs w:val="24"/>
          <w:highlight w:val="none"/>
        </w:rPr>
        <w:t>¥</w:t>
      </w:r>
      <w:r>
        <w:rPr>
          <w:rFonts w:hint="eastAsia" w:ascii="楷体" w:hAnsi="楷体" w:eastAsia="楷体" w:cs="楷体"/>
          <w:color w:val="auto"/>
          <w:spacing w:val="4"/>
          <w:szCs w:val="24"/>
          <w:highlight w:val="none"/>
          <w:u w:val="single"/>
        </w:rPr>
        <w:t xml:space="preserve">        </w:t>
      </w:r>
      <w:r>
        <w:rPr>
          <w:rFonts w:hint="eastAsia" w:ascii="楷体" w:hAnsi="楷体" w:eastAsia="楷体" w:cs="楷体"/>
          <w:color w:val="auto"/>
          <w:spacing w:val="4"/>
          <w:szCs w:val="24"/>
          <w:highlight w:val="none"/>
        </w:rPr>
        <w:t>元）。</w:t>
      </w:r>
      <w:r>
        <w:rPr>
          <w:rFonts w:hint="eastAsia" w:ascii="楷体" w:hAnsi="楷体" w:eastAsia="楷体" w:cs="楷体"/>
          <w:color w:val="auto"/>
          <w:spacing w:val="4"/>
          <w:szCs w:val="24"/>
          <w:highlight w:val="none"/>
          <w:lang w:eastAsia="zh-CN"/>
        </w:rPr>
        <w:t>（</w:t>
      </w:r>
      <w:r>
        <w:rPr>
          <w:rFonts w:hint="eastAsia" w:ascii="楷体" w:hAnsi="楷体" w:eastAsia="楷体" w:cs="楷体"/>
          <w:color w:val="auto"/>
          <w:spacing w:val="4"/>
          <w:szCs w:val="24"/>
          <w:highlight w:val="none"/>
          <w:lang w:val="en-US" w:eastAsia="zh-CN"/>
        </w:rPr>
        <w:t>磋商报价为各产品单批次检测费用总和）</w:t>
      </w:r>
    </w:p>
    <w:p w14:paraId="6AF3D7ED">
      <w:pPr>
        <w:tabs>
          <w:tab w:val="left" w:pos="2160"/>
        </w:tabs>
        <w:spacing w:line="360" w:lineRule="auto"/>
        <w:ind w:firstLine="496" w:firstLineChars="200"/>
        <w:jc w:val="left"/>
        <w:rPr>
          <w:rFonts w:hint="eastAsia" w:ascii="楷体" w:hAnsi="楷体" w:eastAsia="楷体" w:cs="楷体"/>
          <w:color w:val="auto"/>
          <w:spacing w:val="4"/>
          <w:szCs w:val="24"/>
          <w:highlight w:val="none"/>
        </w:rPr>
      </w:pPr>
      <w:r>
        <w:rPr>
          <w:rFonts w:hint="eastAsia" w:ascii="楷体" w:hAnsi="楷体" w:eastAsia="楷体" w:cs="楷体"/>
          <w:color w:val="auto"/>
          <w:spacing w:val="4"/>
          <w:szCs w:val="24"/>
          <w:highlight w:val="none"/>
        </w:rPr>
        <w:t>2.如果成交，我们根据磋商文件的规定，履行合同的责任和义务。</w:t>
      </w:r>
    </w:p>
    <w:p w14:paraId="1E1ECC7C">
      <w:pPr>
        <w:tabs>
          <w:tab w:val="left" w:pos="2160"/>
        </w:tabs>
        <w:spacing w:line="360" w:lineRule="auto"/>
        <w:ind w:firstLine="496" w:firstLineChars="200"/>
        <w:jc w:val="left"/>
        <w:rPr>
          <w:rFonts w:hint="eastAsia" w:ascii="楷体" w:hAnsi="楷体" w:eastAsia="楷体" w:cs="楷体"/>
          <w:color w:val="auto"/>
          <w:spacing w:val="4"/>
          <w:szCs w:val="24"/>
          <w:highlight w:val="none"/>
        </w:rPr>
      </w:pPr>
      <w:r>
        <w:rPr>
          <w:rFonts w:hint="eastAsia" w:ascii="楷体" w:hAnsi="楷体" w:eastAsia="楷体" w:cs="楷体"/>
          <w:color w:val="auto"/>
          <w:spacing w:val="4"/>
          <w:szCs w:val="24"/>
          <w:highlight w:val="none"/>
        </w:rPr>
        <w:t>3.我们已详细阅读和审核全部磋商文件（含修改部分）及有关附件，我们知道必须放弃提出含糊不清或误解的问题的权利。</w:t>
      </w:r>
    </w:p>
    <w:p w14:paraId="652BDCB1">
      <w:pPr>
        <w:tabs>
          <w:tab w:val="left" w:pos="2160"/>
        </w:tabs>
        <w:spacing w:line="360" w:lineRule="auto"/>
        <w:ind w:firstLine="496" w:firstLineChars="200"/>
        <w:jc w:val="left"/>
        <w:rPr>
          <w:rFonts w:hint="eastAsia" w:ascii="楷体" w:hAnsi="楷体" w:eastAsia="楷体" w:cs="楷体"/>
          <w:color w:val="auto"/>
          <w:spacing w:val="4"/>
          <w:szCs w:val="24"/>
          <w:highlight w:val="none"/>
        </w:rPr>
      </w:pPr>
      <w:r>
        <w:rPr>
          <w:rFonts w:hint="eastAsia" w:ascii="楷体" w:hAnsi="楷体" w:eastAsia="楷体" w:cs="楷体"/>
          <w:color w:val="auto"/>
          <w:spacing w:val="4"/>
          <w:szCs w:val="24"/>
          <w:highlight w:val="none"/>
        </w:rPr>
        <w:t>4.我们同意在磋商有效期内（自</w:t>
      </w:r>
      <w:r>
        <w:rPr>
          <w:rFonts w:hint="eastAsia" w:ascii="楷体" w:hAnsi="楷体" w:eastAsia="楷体" w:cs="楷体"/>
          <w:color w:val="auto"/>
          <w:szCs w:val="24"/>
          <w:highlight w:val="none"/>
        </w:rPr>
        <w:t>磋商响应文件</w:t>
      </w:r>
      <w:r>
        <w:rPr>
          <w:rFonts w:hint="eastAsia" w:ascii="楷体" w:hAnsi="楷体" w:eastAsia="楷体" w:cs="楷体"/>
          <w:color w:val="auto"/>
          <w:szCs w:val="24"/>
          <w:highlight w:val="none"/>
          <w:lang w:val="en-US" w:eastAsia="zh-CN"/>
        </w:rPr>
        <w:t>递交</w:t>
      </w:r>
      <w:r>
        <w:rPr>
          <w:rFonts w:hint="eastAsia" w:ascii="楷体" w:hAnsi="楷体" w:eastAsia="楷体" w:cs="楷体"/>
          <w:color w:val="auto"/>
          <w:szCs w:val="24"/>
          <w:highlight w:val="none"/>
        </w:rPr>
        <w:t>截止之日</w:t>
      </w:r>
      <w:r>
        <w:rPr>
          <w:rFonts w:hint="eastAsia" w:ascii="楷体" w:hAnsi="楷体" w:eastAsia="楷体" w:cs="楷体"/>
          <w:color w:val="auto"/>
          <w:spacing w:val="4"/>
          <w:szCs w:val="24"/>
          <w:highlight w:val="none"/>
        </w:rPr>
        <w:t>起</w:t>
      </w:r>
      <w:r>
        <w:rPr>
          <w:rFonts w:hint="eastAsia" w:ascii="楷体" w:hAnsi="楷体" w:eastAsia="楷体" w:cs="楷体"/>
          <w:color w:val="auto"/>
          <w:spacing w:val="4"/>
          <w:szCs w:val="24"/>
          <w:highlight w:val="none"/>
          <w:u w:val="single"/>
        </w:rPr>
        <w:t xml:space="preserve">     </w:t>
      </w:r>
      <w:r>
        <w:rPr>
          <w:rFonts w:hint="eastAsia" w:ascii="楷体" w:hAnsi="楷体" w:eastAsia="楷体" w:cs="楷体"/>
          <w:color w:val="auto"/>
          <w:spacing w:val="4"/>
          <w:szCs w:val="24"/>
          <w:highlight w:val="none"/>
        </w:rPr>
        <w:t>天），本磋商响应函对我方具有约束力。</w:t>
      </w:r>
    </w:p>
    <w:p w14:paraId="7BA01DC7">
      <w:pPr>
        <w:tabs>
          <w:tab w:val="left" w:pos="2160"/>
        </w:tabs>
        <w:spacing w:line="360" w:lineRule="auto"/>
        <w:ind w:firstLine="496" w:firstLineChars="200"/>
        <w:jc w:val="left"/>
        <w:rPr>
          <w:rFonts w:hint="eastAsia" w:ascii="楷体" w:hAnsi="楷体" w:eastAsia="楷体" w:cs="楷体"/>
          <w:color w:val="auto"/>
          <w:spacing w:val="4"/>
          <w:szCs w:val="24"/>
          <w:highlight w:val="none"/>
        </w:rPr>
      </w:pPr>
      <w:r>
        <w:rPr>
          <w:rFonts w:hint="eastAsia" w:ascii="楷体" w:hAnsi="楷体" w:eastAsia="楷体" w:cs="楷体"/>
          <w:color w:val="auto"/>
          <w:spacing w:val="4"/>
          <w:szCs w:val="24"/>
          <w:highlight w:val="none"/>
        </w:rPr>
        <w:t xml:space="preserve">5.同意提供贵方可能另外要求的与本磋商有关的任何证据和资料。 </w:t>
      </w:r>
    </w:p>
    <w:p w14:paraId="7A8FCA6F">
      <w:pPr>
        <w:tabs>
          <w:tab w:val="left" w:pos="2160"/>
        </w:tabs>
        <w:spacing w:line="360" w:lineRule="auto"/>
        <w:ind w:firstLine="496" w:firstLineChars="200"/>
        <w:jc w:val="left"/>
        <w:rPr>
          <w:rFonts w:hint="eastAsia" w:ascii="楷体" w:hAnsi="楷体" w:eastAsia="楷体" w:cs="楷体"/>
          <w:color w:val="auto"/>
          <w:spacing w:val="4"/>
          <w:szCs w:val="24"/>
          <w:highlight w:val="none"/>
        </w:rPr>
      </w:pPr>
      <w:r>
        <w:rPr>
          <w:rFonts w:hint="eastAsia" w:ascii="楷体" w:hAnsi="楷体" w:eastAsia="楷体" w:cs="楷体"/>
          <w:color w:val="auto"/>
          <w:spacing w:val="4"/>
          <w:szCs w:val="24"/>
          <w:highlight w:val="none"/>
        </w:rPr>
        <w:t>6.我们同意，如果成交，向</w:t>
      </w:r>
      <w:r>
        <w:rPr>
          <w:rFonts w:hint="eastAsia" w:ascii="楷体" w:hAnsi="楷体" w:eastAsia="楷体" w:cs="楷体"/>
          <w:color w:val="auto"/>
          <w:spacing w:val="4"/>
          <w:szCs w:val="24"/>
          <w:highlight w:val="none"/>
          <w:lang w:eastAsia="zh-CN"/>
        </w:rPr>
        <w:t>陕西正翼项目管理咨询有限公司</w:t>
      </w:r>
      <w:r>
        <w:rPr>
          <w:rFonts w:hint="eastAsia" w:ascii="楷体" w:hAnsi="楷体" w:eastAsia="楷体" w:cs="楷体"/>
          <w:color w:val="auto"/>
          <w:spacing w:val="4"/>
          <w:szCs w:val="24"/>
          <w:highlight w:val="none"/>
        </w:rPr>
        <w:t>交纳招标代理服务费。</w:t>
      </w:r>
    </w:p>
    <w:p w14:paraId="012B2642">
      <w:pPr>
        <w:tabs>
          <w:tab w:val="left" w:pos="2160"/>
        </w:tabs>
        <w:spacing w:line="360" w:lineRule="auto"/>
        <w:ind w:firstLine="496" w:firstLineChars="200"/>
        <w:jc w:val="left"/>
        <w:rPr>
          <w:rFonts w:hint="eastAsia" w:ascii="楷体" w:hAnsi="楷体" w:eastAsia="楷体" w:cs="楷体"/>
          <w:color w:val="auto"/>
          <w:spacing w:val="4"/>
          <w:szCs w:val="24"/>
          <w:highlight w:val="none"/>
        </w:rPr>
      </w:pPr>
      <w:r>
        <w:rPr>
          <w:rFonts w:hint="eastAsia" w:ascii="楷体" w:hAnsi="楷体" w:eastAsia="楷体" w:cs="楷体"/>
          <w:color w:val="auto"/>
          <w:spacing w:val="4"/>
          <w:szCs w:val="24"/>
          <w:highlight w:val="none"/>
        </w:rPr>
        <w:t>7.与本磋商有关的一切正式往来通讯为：</w:t>
      </w:r>
    </w:p>
    <w:p w14:paraId="11854CFB">
      <w:pPr>
        <w:tabs>
          <w:tab w:val="left" w:pos="2160"/>
        </w:tabs>
        <w:spacing w:line="360" w:lineRule="auto"/>
        <w:ind w:firstLine="496" w:firstLineChars="200"/>
        <w:jc w:val="left"/>
        <w:rPr>
          <w:rFonts w:hint="eastAsia" w:ascii="楷体" w:hAnsi="楷体" w:eastAsia="楷体" w:cs="楷体"/>
          <w:color w:val="auto"/>
          <w:spacing w:val="4"/>
          <w:szCs w:val="24"/>
          <w:highlight w:val="none"/>
        </w:rPr>
      </w:pPr>
    </w:p>
    <w:p w14:paraId="2BA739E2">
      <w:pPr>
        <w:spacing w:line="360" w:lineRule="auto"/>
        <w:ind w:firstLine="424" w:firstLineChars="171"/>
        <w:jc w:val="left"/>
        <w:rPr>
          <w:rFonts w:hint="eastAsia" w:ascii="楷体" w:hAnsi="楷体" w:eastAsia="楷体" w:cs="楷体"/>
          <w:color w:val="auto"/>
          <w:spacing w:val="4"/>
          <w:szCs w:val="24"/>
          <w:highlight w:val="none"/>
          <w:u w:val="single"/>
        </w:rPr>
      </w:pPr>
      <w:r>
        <w:rPr>
          <w:rFonts w:hint="eastAsia" w:ascii="楷体" w:hAnsi="楷体" w:eastAsia="楷体" w:cs="楷体"/>
          <w:color w:val="auto"/>
          <w:spacing w:val="4"/>
          <w:szCs w:val="24"/>
          <w:highlight w:val="none"/>
        </w:rPr>
        <w:t>联系地址：</w:t>
      </w:r>
      <w:r>
        <w:rPr>
          <w:rFonts w:hint="eastAsia" w:ascii="楷体" w:hAnsi="楷体" w:eastAsia="楷体" w:cs="楷体"/>
          <w:color w:val="auto"/>
          <w:spacing w:val="4"/>
          <w:szCs w:val="24"/>
          <w:highlight w:val="none"/>
          <w:u w:val="single"/>
        </w:rPr>
        <w:t xml:space="preserve">                           </w:t>
      </w:r>
    </w:p>
    <w:p w14:paraId="3E2CCC13">
      <w:pPr>
        <w:spacing w:line="360" w:lineRule="auto"/>
        <w:ind w:firstLine="424" w:firstLineChars="171"/>
        <w:jc w:val="left"/>
        <w:rPr>
          <w:rFonts w:hint="eastAsia" w:ascii="楷体" w:hAnsi="楷体" w:eastAsia="楷体" w:cs="楷体"/>
          <w:color w:val="auto"/>
          <w:spacing w:val="4"/>
          <w:szCs w:val="24"/>
          <w:highlight w:val="none"/>
          <w:u w:val="single"/>
        </w:rPr>
      </w:pPr>
      <w:r>
        <w:rPr>
          <w:rFonts w:hint="eastAsia" w:ascii="楷体" w:hAnsi="楷体" w:eastAsia="楷体" w:cs="楷体"/>
          <w:color w:val="auto"/>
          <w:spacing w:val="4"/>
          <w:szCs w:val="24"/>
          <w:highlight w:val="none"/>
        </w:rPr>
        <w:t>邮政编码：</w:t>
      </w:r>
      <w:r>
        <w:rPr>
          <w:rFonts w:hint="eastAsia" w:ascii="楷体" w:hAnsi="楷体" w:eastAsia="楷体" w:cs="楷体"/>
          <w:color w:val="auto"/>
          <w:spacing w:val="4"/>
          <w:szCs w:val="24"/>
          <w:highlight w:val="none"/>
          <w:u w:val="single"/>
        </w:rPr>
        <w:t xml:space="preserve">                           </w:t>
      </w:r>
    </w:p>
    <w:p w14:paraId="384140D1">
      <w:pPr>
        <w:spacing w:line="360" w:lineRule="auto"/>
        <w:ind w:firstLine="424" w:firstLineChars="171"/>
        <w:jc w:val="left"/>
        <w:rPr>
          <w:rFonts w:hint="eastAsia" w:ascii="楷体" w:hAnsi="楷体" w:eastAsia="楷体" w:cs="楷体"/>
          <w:color w:val="auto"/>
          <w:spacing w:val="4"/>
          <w:szCs w:val="24"/>
          <w:highlight w:val="none"/>
          <w:u w:val="single"/>
        </w:rPr>
      </w:pPr>
      <w:r>
        <w:rPr>
          <w:rFonts w:hint="eastAsia" w:ascii="楷体" w:hAnsi="楷体" w:eastAsia="楷体" w:cs="楷体"/>
          <w:color w:val="auto"/>
          <w:spacing w:val="4"/>
          <w:szCs w:val="24"/>
          <w:highlight w:val="none"/>
        </w:rPr>
        <w:t>电    话：</w:t>
      </w:r>
      <w:r>
        <w:rPr>
          <w:rFonts w:hint="eastAsia" w:ascii="楷体" w:hAnsi="楷体" w:eastAsia="楷体" w:cs="楷体"/>
          <w:color w:val="auto"/>
          <w:spacing w:val="4"/>
          <w:szCs w:val="24"/>
          <w:highlight w:val="none"/>
          <w:u w:val="single"/>
        </w:rPr>
        <w:t xml:space="preserve">                           </w:t>
      </w:r>
    </w:p>
    <w:p w14:paraId="69F8CA04">
      <w:pPr>
        <w:spacing w:line="360" w:lineRule="auto"/>
        <w:ind w:firstLine="424" w:firstLineChars="171"/>
        <w:jc w:val="left"/>
        <w:rPr>
          <w:rFonts w:hint="eastAsia" w:ascii="楷体" w:hAnsi="楷体" w:eastAsia="楷体" w:cs="楷体"/>
          <w:color w:val="auto"/>
          <w:spacing w:val="4"/>
          <w:szCs w:val="24"/>
          <w:highlight w:val="none"/>
          <w:u w:val="single"/>
        </w:rPr>
      </w:pPr>
      <w:r>
        <w:rPr>
          <w:rFonts w:hint="eastAsia" w:ascii="楷体" w:hAnsi="楷体" w:eastAsia="楷体" w:cs="楷体"/>
          <w:color w:val="auto"/>
          <w:spacing w:val="4"/>
          <w:szCs w:val="24"/>
          <w:highlight w:val="none"/>
        </w:rPr>
        <w:t>传    真：</w:t>
      </w:r>
      <w:r>
        <w:rPr>
          <w:rFonts w:hint="eastAsia" w:ascii="楷体" w:hAnsi="楷体" w:eastAsia="楷体" w:cs="楷体"/>
          <w:color w:val="auto"/>
          <w:spacing w:val="4"/>
          <w:szCs w:val="24"/>
          <w:highlight w:val="none"/>
          <w:u w:val="single"/>
        </w:rPr>
        <w:t xml:space="preserve">                           </w:t>
      </w:r>
    </w:p>
    <w:p w14:paraId="021E4944">
      <w:pPr>
        <w:spacing w:line="360" w:lineRule="auto"/>
        <w:ind w:firstLine="424" w:firstLineChars="171"/>
        <w:jc w:val="left"/>
        <w:rPr>
          <w:rFonts w:hint="eastAsia" w:ascii="楷体" w:hAnsi="楷体" w:eastAsia="楷体" w:cs="楷体"/>
          <w:color w:val="auto"/>
          <w:spacing w:val="4"/>
          <w:szCs w:val="24"/>
          <w:highlight w:val="none"/>
          <w:u w:val="single"/>
        </w:rPr>
      </w:pPr>
      <w:r>
        <w:rPr>
          <w:rFonts w:hint="eastAsia" w:ascii="楷体" w:hAnsi="楷体" w:eastAsia="楷体" w:cs="楷体"/>
          <w:color w:val="auto"/>
          <w:spacing w:val="4"/>
          <w:szCs w:val="24"/>
          <w:highlight w:val="none"/>
        </w:rPr>
        <w:t>供应商名称（公章）：</w:t>
      </w:r>
      <w:r>
        <w:rPr>
          <w:rFonts w:hint="eastAsia" w:ascii="楷体" w:hAnsi="楷体" w:eastAsia="楷体" w:cs="楷体"/>
          <w:color w:val="auto"/>
          <w:spacing w:val="4"/>
          <w:szCs w:val="24"/>
          <w:highlight w:val="none"/>
          <w:u w:val="single"/>
        </w:rPr>
        <w:t xml:space="preserve">                 </w:t>
      </w:r>
    </w:p>
    <w:p w14:paraId="235BB30C">
      <w:pPr>
        <w:spacing w:line="360" w:lineRule="auto"/>
        <w:ind w:firstLine="410" w:firstLineChars="171"/>
        <w:jc w:val="left"/>
        <w:rPr>
          <w:rFonts w:hint="eastAsia" w:ascii="楷体" w:hAnsi="楷体" w:eastAsia="楷体" w:cs="楷体"/>
          <w:color w:val="auto"/>
          <w:spacing w:val="4"/>
          <w:szCs w:val="24"/>
          <w:highlight w:val="none"/>
          <w:u w:val="single"/>
          <w:lang w:val="en-US" w:eastAsia="zh-CN"/>
        </w:rPr>
      </w:pPr>
      <w:r>
        <w:rPr>
          <w:rFonts w:hint="eastAsia" w:ascii="楷体" w:hAnsi="楷体" w:eastAsia="楷体" w:cs="楷体"/>
          <w:color w:val="auto"/>
          <w:szCs w:val="22"/>
          <w:highlight w:val="none"/>
        </w:rPr>
        <w:t>法定代表人/被授权人（签字或盖章）：</w:t>
      </w:r>
      <w:r>
        <w:rPr>
          <w:rFonts w:hint="eastAsia" w:ascii="楷体" w:hAnsi="楷体" w:eastAsia="楷体" w:cs="楷体"/>
          <w:color w:val="auto"/>
          <w:szCs w:val="22"/>
          <w:highlight w:val="none"/>
          <w:u w:val="single"/>
          <w:lang w:val="en-US" w:eastAsia="zh-CN"/>
        </w:rPr>
        <w:t xml:space="preserve">             </w:t>
      </w:r>
    </w:p>
    <w:p w14:paraId="6EBCD32C">
      <w:pPr>
        <w:spacing w:line="360" w:lineRule="auto"/>
        <w:ind w:firstLine="424" w:firstLineChars="171"/>
        <w:jc w:val="left"/>
        <w:rPr>
          <w:rFonts w:hint="eastAsia" w:ascii="楷体" w:hAnsi="楷体" w:eastAsia="楷体" w:cs="楷体"/>
          <w:color w:val="auto"/>
          <w:spacing w:val="4"/>
          <w:szCs w:val="24"/>
          <w:highlight w:val="none"/>
          <w:u w:val="single"/>
        </w:rPr>
      </w:pPr>
      <w:r>
        <w:rPr>
          <w:rFonts w:hint="eastAsia" w:ascii="楷体" w:hAnsi="楷体" w:eastAsia="楷体" w:cs="楷体"/>
          <w:color w:val="auto"/>
          <w:spacing w:val="4"/>
          <w:szCs w:val="24"/>
          <w:highlight w:val="none"/>
        </w:rPr>
        <w:t>日    期：</w:t>
      </w:r>
      <w:r>
        <w:rPr>
          <w:rFonts w:hint="eastAsia" w:ascii="楷体" w:hAnsi="楷体" w:eastAsia="楷体" w:cs="楷体"/>
          <w:color w:val="auto"/>
          <w:spacing w:val="4"/>
          <w:szCs w:val="24"/>
          <w:highlight w:val="none"/>
          <w:u w:val="single"/>
        </w:rPr>
        <w:t xml:space="preserve">                           </w:t>
      </w:r>
    </w:p>
    <w:p w14:paraId="23EED810">
      <w:pPr>
        <w:spacing w:line="420" w:lineRule="atLeast"/>
        <w:ind w:firstLine="576" w:firstLineChars="200"/>
        <w:jc w:val="left"/>
        <w:rPr>
          <w:rFonts w:hint="eastAsia" w:ascii="楷体" w:hAnsi="楷体" w:eastAsia="楷体" w:cs="楷体"/>
          <w:color w:val="auto"/>
          <w:spacing w:val="4"/>
          <w:sz w:val="28"/>
          <w:szCs w:val="28"/>
          <w:highlight w:val="none"/>
        </w:rPr>
      </w:pPr>
    </w:p>
    <w:p w14:paraId="4E5B446F">
      <w:pPr>
        <w:spacing w:before="0" w:beforeLines="0" w:line="360" w:lineRule="auto"/>
        <w:jc w:val="center"/>
        <w:outlineLvl w:val="9"/>
        <w:rPr>
          <w:rFonts w:hint="eastAsia" w:ascii="楷体" w:hAnsi="楷体" w:eastAsia="楷体" w:cs="楷体"/>
          <w:color w:val="auto"/>
          <w:sz w:val="32"/>
          <w:szCs w:val="32"/>
          <w:highlight w:val="none"/>
        </w:rPr>
      </w:pPr>
      <w:r>
        <w:rPr>
          <w:rFonts w:hint="eastAsia" w:ascii="楷体" w:hAnsi="楷体" w:eastAsia="楷体" w:cs="楷体"/>
          <w:color w:val="auto"/>
          <w:sz w:val="28"/>
          <w:szCs w:val="28"/>
          <w:highlight w:val="none"/>
        </w:rPr>
        <w:br w:type="page"/>
      </w:r>
      <w:bookmarkStart w:id="192" w:name="_Toc1430"/>
      <w:bookmarkStart w:id="193" w:name="_Toc363474028"/>
      <w:bookmarkStart w:id="194" w:name="_Toc20657"/>
      <w:bookmarkStart w:id="195" w:name="_Toc4115"/>
      <w:bookmarkStart w:id="196" w:name="_Toc17167"/>
      <w:bookmarkStart w:id="197" w:name="_Toc2744"/>
      <w:bookmarkStart w:id="198" w:name="_Toc403077649"/>
      <w:bookmarkStart w:id="199" w:name="_Toc8589"/>
      <w:bookmarkStart w:id="200" w:name="_Toc403077650"/>
      <w:bookmarkStart w:id="201" w:name="_Toc363474029"/>
      <w:bookmarkStart w:id="202" w:name="_Toc426457702"/>
      <w:bookmarkStart w:id="203" w:name="_Toc324414285"/>
      <w:r>
        <w:rPr>
          <w:rFonts w:hint="eastAsia" w:ascii="楷体" w:hAnsi="楷体" w:eastAsia="楷体" w:cs="楷体"/>
          <w:b/>
          <w:bCs/>
          <w:color w:val="auto"/>
          <w:sz w:val="32"/>
          <w:szCs w:val="32"/>
          <w:highlight w:val="none"/>
        </w:rPr>
        <w:t>二、法定代表人授权委托书</w:t>
      </w:r>
      <w:bookmarkEnd w:id="192"/>
      <w:bookmarkEnd w:id="193"/>
      <w:bookmarkEnd w:id="194"/>
      <w:bookmarkEnd w:id="195"/>
      <w:bookmarkEnd w:id="196"/>
      <w:bookmarkEnd w:id="197"/>
      <w:bookmarkEnd w:id="198"/>
      <w:bookmarkEnd w:id="199"/>
    </w:p>
    <w:p w14:paraId="524C7229">
      <w:pPr>
        <w:spacing w:line="360" w:lineRule="auto"/>
        <w:jc w:val="center"/>
        <w:rPr>
          <w:rFonts w:hint="eastAsia" w:ascii="楷体" w:hAnsi="楷体" w:eastAsia="楷体" w:cs="楷体"/>
          <w:b/>
          <w:bCs/>
          <w:color w:val="auto"/>
          <w:sz w:val="30"/>
          <w:szCs w:val="30"/>
          <w:highlight w:val="none"/>
        </w:rPr>
      </w:pPr>
      <w:r>
        <w:rPr>
          <w:rFonts w:hint="eastAsia" w:ascii="楷体" w:hAnsi="楷体" w:eastAsia="楷体" w:cs="楷体"/>
          <w:b/>
          <w:bCs/>
          <w:color w:val="auto"/>
          <w:sz w:val="30"/>
          <w:szCs w:val="30"/>
          <w:highlight w:val="none"/>
        </w:rPr>
        <w:t>2.1法定代表人身份证明书</w:t>
      </w:r>
    </w:p>
    <w:p w14:paraId="3EFBDD10">
      <w:pPr>
        <w:autoSpaceDE w:val="0"/>
        <w:autoSpaceDN w:val="0"/>
        <w:adjustRightInd w:val="0"/>
        <w:spacing w:line="360" w:lineRule="auto"/>
        <w:jc w:val="left"/>
        <w:rPr>
          <w:rFonts w:hint="eastAsia" w:ascii="楷体" w:hAnsi="楷体" w:eastAsia="楷体" w:cs="楷体"/>
          <w:color w:val="auto"/>
          <w:szCs w:val="24"/>
          <w:highlight w:val="none"/>
          <w:lang w:val="zh-CN"/>
        </w:rPr>
      </w:pPr>
      <w:r>
        <w:rPr>
          <w:rFonts w:hint="eastAsia" w:ascii="楷体" w:hAnsi="楷体" w:eastAsia="楷体" w:cs="楷体"/>
          <w:color w:val="auto"/>
          <w:szCs w:val="24"/>
          <w:highlight w:val="none"/>
          <w:lang w:val="zh-CN"/>
        </w:rPr>
        <w:t>陕西正翼项目管理咨询有限公司：</w:t>
      </w:r>
    </w:p>
    <w:p w14:paraId="6E825516">
      <w:pPr>
        <w:autoSpaceDE w:val="0"/>
        <w:autoSpaceDN w:val="0"/>
        <w:adjustRightInd w:val="0"/>
        <w:spacing w:line="360" w:lineRule="auto"/>
        <w:ind w:firstLine="480" w:firstLineChars="200"/>
        <w:jc w:val="left"/>
        <w:rPr>
          <w:rFonts w:hint="eastAsia" w:ascii="楷体" w:hAnsi="楷体" w:eastAsia="楷体" w:cs="楷体"/>
          <w:color w:val="auto"/>
          <w:szCs w:val="24"/>
          <w:highlight w:val="none"/>
          <w:lang w:val="zh-CN"/>
        </w:rPr>
      </w:pPr>
      <w:r>
        <w:rPr>
          <w:rFonts w:hint="eastAsia" w:ascii="楷体" w:hAnsi="楷体" w:eastAsia="楷体" w:cs="楷体"/>
          <w:color w:val="auto"/>
          <w:szCs w:val="24"/>
          <w:highlight w:val="none"/>
          <w:lang w:val="zh-CN"/>
        </w:rPr>
        <w:t>姓名：</w:t>
      </w:r>
      <w:r>
        <w:rPr>
          <w:rFonts w:hint="eastAsia" w:ascii="楷体" w:hAnsi="楷体" w:eastAsia="楷体" w:cs="楷体"/>
          <w:color w:val="auto"/>
          <w:szCs w:val="24"/>
          <w:highlight w:val="none"/>
          <w:u w:val="single"/>
          <w:lang w:val="zh-CN"/>
        </w:rPr>
        <w:t xml:space="preserve">      </w:t>
      </w:r>
      <w:r>
        <w:rPr>
          <w:rFonts w:hint="eastAsia" w:ascii="楷体" w:hAnsi="楷体" w:eastAsia="楷体" w:cs="楷体"/>
          <w:color w:val="auto"/>
          <w:szCs w:val="24"/>
          <w:highlight w:val="none"/>
          <w:lang w:val="zh-CN"/>
        </w:rPr>
        <w:t>性别：</w:t>
      </w:r>
      <w:r>
        <w:rPr>
          <w:rFonts w:hint="eastAsia" w:ascii="楷体" w:hAnsi="楷体" w:eastAsia="楷体" w:cs="楷体"/>
          <w:color w:val="auto"/>
          <w:szCs w:val="24"/>
          <w:highlight w:val="none"/>
          <w:u w:val="single"/>
          <w:lang w:val="zh-CN"/>
        </w:rPr>
        <w:t xml:space="preserve">      </w:t>
      </w:r>
      <w:r>
        <w:rPr>
          <w:rFonts w:hint="eastAsia" w:ascii="楷体" w:hAnsi="楷体" w:eastAsia="楷体" w:cs="楷体"/>
          <w:color w:val="auto"/>
          <w:szCs w:val="24"/>
          <w:highlight w:val="none"/>
          <w:lang w:val="zh-CN"/>
        </w:rPr>
        <w:t>年龄：</w:t>
      </w:r>
      <w:r>
        <w:rPr>
          <w:rFonts w:hint="eastAsia" w:ascii="楷体" w:hAnsi="楷体" w:eastAsia="楷体" w:cs="楷体"/>
          <w:color w:val="auto"/>
          <w:szCs w:val="24"/>
          <w:highlight w:val="none"/>
          <w:u w:val="single"/>
          <w:lang w:val="zh-CN"/>
        </w:rPr>
        <w:t xml:space="preserve">      </w:t>
      </w:r>
      <w:r>
        <w:rPr>
          <w:rFonts w:hint="eastAsia" w:ascii="楷体" w:hAnsi="楷体" w:eastAsia="楷体" w:cs="楷体"/>
          <w:color w:val="auto"/>
          <w:szCs w:val="24"/>
          <w:highlight w:val="none"/>
          <w:lang w:val="zh-CN"/>
        </w:rPr>
        <w:t>职务：</w:t>
      </w:r>
      <w:r>
        <w:rPr>
          <w:rFonts w:hint="eastAsia" w:ascii="楷体" w:hAnsi="楷体" w:eastAsia="楷体" w:cs="楷体"/>
          <w:color w:val="auto"/>
          <w:szCs w:val="24"/>
          <w:highlight w:val="none"/>
          <w:u w:val="single"/>
        </w:rPr>
        <w:t xml:space="preserve">        </w:t>
      </w:r>
      <w:r>
        <w:rPr>
          <w:rFonts w:hint="eastAsia" w:ascii="楷体" w:hAnsi="楷体" w:eastAsia="楷体" w:cs="楷体"/>
          <w:color w:val="auto"/>
          <w:szCs w:val="24"/>
          <w:highlight w:val="none"/>
          <w:lang w:val="zh-CN"/>
        </w:rPr>
        <w:t>系</w:t>
      </w:r>
      <w:r>
        <w:rPr>
          <w:rFonts w:hint="eastAsia" w:ascii="楷体" w:hAnsi="楷体" w:eastAsia="楷体" w:cs="楷体"/>
          <w:color w:val="auto"/>
          <w:szCs w:val="24"/>
          <w:highlight w:val="none"/>
          <w:u w:val="single"/>
          <w:lang w:val="zh-CN"/>
        </w:rPr>
        <w:t xml:space="preserve"> </w:t>
      </w:r>
      <w:r>
        <w:rPr>
          <w:rFonts w:hint="eastAsia" w:ascii="楷体" w:hAnsi="楷体" w:eastAsia="楷体" w:cs="楷体"/>
          <w:color w:val="auto"/>
          <w:szCs w:val="24"/>
          <w:highlight w:val="none"/>
          <w:u w:val="single"/>
        </w:rPr>
        <w:t xml:space="preserve">             </w:t>
      </w:r>
      <w:r>
        <w:rPr>
          <w:rFonts w:hint="eastAsia" w:ascii="楷体" w:hAnsi="楷体" w:eastAsia="楷体" w:cs="楷体"/>
          <w:color w:val="auto"/>
          <w:szCs w:val="24"/>
          <w:highlight w:val="none"/>
          <w:lang w:val="zh-CN"/>
        </w:rPr>
        <w:t>（供应商名称）的法定代表人（单位负责人）。</w:t>
      </w:r>
    </w:p>
    <w:p w14:paraId="2129D38C">
      <w:pPr>
        <w:autoSpaceDE w:val="0"/>
        <w:autoSpaceDN w:val="0"/>
        <w:adjustRightInd w:val="0"/>
        <w:spacing w:line="360" w:lineRule="auto"/>
        <w:ind w:firstLine="480" w:firstLineChars="200"/>
        <w:jc w:val="left"/>
        <w:rPr>
          <w:rFonts w:hint="eastAsia" w:ascii="楷体" w:hAnsi="楷体" w:eastAsia="楷体" w:cs="楷体"/>
          <w:color w:val="auto"/>
          <w:szCs w:val="24"/>
          <w:highlight w:val="none"/>
          <w:lang w:val="zh-CN"/>
        </w:rPr>
      </w:pPr>
      <w:r>
        <w:rPr>
          <w:rFonts w:hint="eastAsia" w:ascii="楷体" w:hAnsi="楷体" w:eastAsia="楷体" w:cs="楷体"/>
          <w:color w:val="auto"/>
          <w:szCs w:val="24"/>
          <w:highlight w:val="none"/>
          <w:lang w:val="zh-CN"/>
        </w:rPr>
        <w:t>特此证明。</w:t>
      </w:r>
    </w:p>
    <w:p w14:paraId="5B10FB25">
      <w:pPr>
        <w:autoSpaceDE w:val="0"/>
        <w:autoSpaceDN w:val="0"/>
        <w:adjustRightInd w:val="0"/>
        <w:spacing w:line="360" w:lineRule="auto"/>
        <w:jc w:val="left"/>
        <w:rPr>
          <w:rFonts w:hint="eastAsia" w:ascii="楷体" w:hAnsi="楷体" w:eastAsia="楷体" w:cs="楷体"/>
          <w:color w:val="auto"/>
          <w:szCs w:val="24"/>
          <w:highlight w:val="none"/>
          <w:lang w:val="zh-CN"/>
        </w:rPr>
      </w:pPr>
    </w:p>
    <w:p w14:paraId="27AFE05D">
      <w:pPr>
        <w:autoSpaceDE w:val="0"/>
        <w:autoSpaceDN w:val="0"/>
        <w:adjustRightInd w:val="0"/>
        <w:spacing w:line="360" w:lineRule="auto"/>
        <w:jc w:val="left"/>
        <w:rPr>
          <w:rFonts w:hint="eastAsia" w:ascii="楷体" w:hAnsi="楷体" w:eastAsia="楷体" w:cs="楷体"/>
          <w:color w:val="auto"/>
          <w:szCs w:val="24"/>
          <w:highlight w:val="none"/>
          <w:lang w:val="zh-CN"/>
        </w:rPr>
      </w:pPr>
      <w:r>
        <w:rPr>
          <w:rFonts w:hint="eastAsia" w:ascii="楷体" w:hAnsi="楷体" w:eastAsia="楷体" w:cs="楷体"/>
          <w:color w:val="auto"/>
          <w:szCs w:val="24"/>
          <w:highlight w:val="none"/>
          <w:lang w:val="zh-CN"/>
        </w:rPr>
        <w:t>附：法定代表人（单位负责人）身份证复印件。</w:t>
      </w:r>
    </w:p>
    <w:p w14:paraId="5E1BA6A8">
      <w:pPr>
        <w:autoSpaceDE w:val="0"/>
        <w:autoSpaceDN w:val="0"/>
        <w:adjustRightInd w:val="0"/>
        <w:spacing w:line="360" w:lineRule="auto"/>
        <w:jc w:val="left"/>
        <w:rPr>
          <w:rFonts w:hint="eastAsia" w:ascii="楷体" w:hAnsi="楷体" w:eastAsia="楷体" w:cs="楷体"/>
          <w:color w:val="auto"/>
          <w:szCs w:val="24"/>
          <w:highlight w:val="none"/>
          <w:lang w:val="zh-CN"/>
        </w:rPr>
      </w:pPr>
    </w:p>
    <w:p w14:paraId="5D4BACC8">
      <w:pPr>
        <w:autoSpaceDE w:val="0"/>
        <w:autoSpaceDN w:val="0"/>
        <w:adjustRightInd w:val="0"/>
        <w:spacing w:line="360" w:lineRule="auto"/>
        <w:jc w:val="left"/>
        <w:rPr>
          <w:rFonts w:hint="eastAsia" w:ascii="楷体" w:hAnsi="楷体" w:eastAsia="楷体" w:cs="楷体"/>
          <w:color w:val="auto"/>
          <w:szCs w:val="24"/>
          <w:highlight w:val="none"/>
          <w:lang w:val="zh-CN"/>
        </w:rPr>
      </w:pPr>
      <w:r>
        <w:rPr>
          <w:rFonts w:hint="eastAsia" w:ascii="楷体" w:hAnsi="楷体" w:eastAsia="楷体" w:cs="楷体"/>
          <w:color w:val="auto"/>
          <w:szCs w:val="24"/>
          <w:highlight w:val="none"/>
          <w:lang w:val="zh-CN"/>
        </w:rPr>
        <w:t>注：自然人参与磋商的此处只附身份证复印件。</w:t>
      </w:r>
    </w:p>
    <w:p w14:paraId="3FA203EB">
      <w:pPr>
        <w:spacing w:line="360" w:lineRule="auto"/>
        <w:jc w:val="center"/>
        <w:rPr>
          <w:rFonts w:hint="eastAsia" w:ascii="楷体" w:hAnsi="楷体" w:eastAsia="楷体" w:cs="楷体"/>
          <w:color w:val="auto"/>
          <w:highlight w:val="none"/>
        </w:rPr>
      </w:pPr>
    </w:p>
    <w:p w14:paraId="43205B9D">
      <w:pPr>
        <w:spacing w:line="360" w:lineRule="auto"/>
        <w:jc w:val="center"/>
        <w:rPr>
          <w:rFonts w:hint="eastAsia" w:ascii="楷体" w:hAnsi="楷体" w:eastAsia="楷体" w:cs="楷体"/>
          <w:color w:val="auto"/>
          <w:highlight w:val="none"/>
        </w:rPr>
      </w:pPr>
    </w:p>
    <w:p w14:paraId="7212B2D7">
      <w:pPr>
        <w:spacing w:line="360" w:lineRule="auto"/>
        <w:jc w:val="center"/>
        <w:rPr>
          <w:rFonts w:hint="eastAsia" w:ascii="楷体" w:hAnsi="楷体" w:eastAsia="楷体" w:cs="楷体"/>
          <w:color w:val="auto"/>
          <w:highlight w:val="none"/>
        </w:rPr>
      </w:pPr>
    </w:p>
    <w:p w14:paraId="7C831DDB">
      <w:pPr>
        <w:spacing w:line="360" w:lineRule="auto"/>
        <w:rPr>
          <w:rFonts w:hint="eastAsia" w:ascii="楷体" w:hAnsi="楷体" w:eastAsia="楷体" w:cs="楷体"/>
          <w:color w:val="auto"/>
          <w:spacing w:val="4"/>
          <w:szCs w:val="24"/>
          <w:highlight w:val="none"/>
        </w:rPr>
      </w:pPr>
    </w:p>
    <w:p w14:paraId="2B9A62EA">
      <w:pPr>
        <w:spacing w:line="360" w:lineRule="auto"/>
        <w:rPr>
          <w:rFonts w:hint="eastAsia" w:ascii="楷体" w:hAnsi="楷体" w:eastAsia="楷体" w:cs="楷体"/>
          <w:color w:val="auto"/>
          <w:spacing w:val="4"/>
          <w:szCs w:val="24"/>
          <w:highlight w:val="none"/>
        </w:rPr>
      </w:pPr>
      <w:r>
        <w:rPr>
          <w:rFonts w:hint="eastAsia" w:ascii="楷体" w:hAnsi="楷体" w:eastAsia="楷体" w:cs="楷体"/>
          <w:color w:val="auto"/>
          <w:spacing w:val="4"/>
          <w:szCs w:val="24"/>
          <w:highlight w:val="none"/>
        </w:rPr>
        <w:t xml:space="preserve">供应商名称（公章）:             </w:t>
      </w:r>
    </w:p>
    <w:p w14:paraId="4F9F7919">
      <w:pPr>
        <w:spacing w:line="360" w:lineRule="auto"/>
        <w:rPr>
          <w:rFonts w:hint="eastAsia" w:ascii="楷体" w:hAnsi="楷体" w:eastAsia="楷体" w:cs="楷体"/>
          <w:b/>
          <w:color w:val="auto"/>
          <w:spacing w:val="4"/>
          <w:szCs w:val="24"/>
          <w:highlight w:val="none"/>
        </w:rPr>
      </w:pPr>
      <w:r>
        <w:rPr>
          <w:rFonts w:hint="eastAsia" w:ascii="楷体" w:hAnsi="楷体" w:eastAsia="楷体" w:cs="楷体"/>
          <w:color w:val="auto"/>
          <w:spacing w:val="4"/>
          <w:szCs w:val="24"/>
          <w:highlight w:val="none"/>
        </w:rPr>
        <w:t>日期：</w:t>
      </w:r>
    </w:p>
    <w:p w14:paraId="5F6C625E">
      <w:pPr>
        <w:spacing w:line="360" w:lineRule="auto"/>
        <w:jc w:val="center"/>
        <w:rPr>
          <w:rFonts w:hint="eastAsia" w:ascii="楷体" w:hAnsi="楷体" w:eastAsia="楷体" w:cs="楷体"/>
          <w:b/>
          <w:color w:val="auto"/>
          <w:spacing w:val="4"/>
          <w:szCs w:val="24"/>
          <w:highlight w:val="none"/>
        </w:rPr>
      </w:pPr>
      <w:r>
        <w:rPr>
          <w:rFonts w:hint="eastAsia" w:ascii="楷体" w:hAnsi="楷体" w:eastAsia="楷体" w:cs="楷体"/>
          <w:b/>
          <w:color w:val="auto"/>
          <w:spacing w:val="4"/>
          <w:sz w:val="30"/>
          <w:szCs w:val="30"/>
          <w:highlight w:val="none"/>
        </w:rPr>
        <w:br w:type="page"/>
      </w:r>
      <w:r>
        <w:rPr>
          <w:rFonts w:hint="eastAsia" w:ascii="楷体" w:hAnsi="楷体" w:eastAsia="楷体" w:cs="楷体"/>
          <w:b/>
          <w:color w:val="auto"/>
          <w:spacing w:val="4"/>
          <w:sz w:val="30"/>
          <w:szCs w:val="30"/>
          <w:highlight w:val="none"/>
        </w:rPr>
        <w:t>2.2授权委托书</w:t>
      </w:r>
    </w:p>
    <w:p w14:paraId="47BA7FB1">
      <w:pPr>
        <w:spacing w:line="360" w:lineRule="auto"/>
        <w:jc w:val="left"/>
        <w:rPr>
          <w:rFonts w:hint="eastAsia" w:ascii="楷体" w:hAnsi="楷体" w:eastAsia="楷体" w:cs="楷体"/>
          <w:b/>
          <w:color w:val="auto"/>
          <w:highlight w:val="none"/>
          <w:lang w:eastAsia="zh-CN"/>
        </w:rPr>
      </w:pPr>
      <w:r>
        <w:rPr>
          <w:rFonts w:hint="eastAsia" w:ascii="楷体" w:hAnsi="楷体" w:eastAsia="楷体" w:cs="楷体"/>
          <w:b/>
          <w:color w:val="auto"/>
          <w:spacing w:val="4"/>
          <w:szCs w:val="24"/>
          <w:highlight w:val="none"/>
        </w:rPr>
        <w:t>致：</w:t>
      </w:r>
      <w:r>
        <w:rPr>
          <w:rFonts w:hint="eastAsia" w:ascii="楷体" w:hAnsi="楷体" w:eastAsia="楷体" w:cs="楷体"/>
          <w:b/>
          <w:color w:val="auto"/>
          <w:highlight w:val="none"/>
          <w:lang w:eastAsia="zh-CN"/>
        </w:rPr>
        <w:t>陕西正翼项目管理咨询有限公司</w:t>
      </w:r>
    </w:p>
    <w:p w14:paraId="5F8DE20B">
      <w:pPr>
        <w:spacing w:line="360" w:lineRule="auto"/>
        <w:ind w:firstLine="496" w:firstLineChars="200"/>
        <w:jc w:val="left"/>
        <w:rPr>
          <w:rFonts w:hint="eastAsia" w:ascii="楷体" w:hAnsi="楷体" w:eastAsia="楷体" w:cs="楷体"/>
          <w:color w:val="auto"/>
          <w:spacing w:val="4"/>
          <w:szCs w:val="24"/>
          <w:highlight w:val="none"/>
        </w:rPr>
      </w:pPr>
      <w:r>
        <w:rPr>
          <w:rFonts w:hint="eastAsia" w:ascii="楷体" w:hAnsi="楷体" w:eastAsia="楷体" w:cs="楷体"/>
          <w:color w:val="auto"/>
          <w:spacing w:val="4"/>
          <w:szCs w:val="24"/>
          <w:highlight w:val="none"/>
          <w:u w:val="single"/>
        </w:rPr>
        <w:t xml:space="preserve">    (供应商名称)    </w:t>
      </w:r>
      <w:r>
        <w:rPr>
          <w:rFonts w:hint="eastAsia" w:ascii="楷体" w:hAnsi="楷体" w:eastAsia="楷体" w:cs="楷体"/>
          <w:color w:val="auto"/>
          <w:spacing w:val="4"/>
          <w:szCs w:val="24"/>
          <w:highlight w:val="none"/>
        </w:rPr>
        <w:t>按中华人民共和国法律于</w:t>
      </w:r>
      <w:r>
        <w:rPr>
          <w:rFonts w:hint="eastAsia" w:ascii="楷体" w:hAnsi="楷体" w:eastAsia="楷体" w:cs="楷体"/>
          <w:color w:val="auto"/>
          <w:spacing w:val="4"/>
          <w:szCs w:val="24"/>
          <w:highlight w:val="none"/>
          <w:u w:val="single"/>
        </w:rPr>
        <w:t>（  年  月  日 ）</w:t>
      </w:r>
      <w:r>
        <w:rPr>
          <w:rFonts w:hint="eastAsia" w:ascii="楷体" w:hAnsi="楷体" w:eastAsia="楷体" w:cs="楷体"/>
          <w:color w:val="auto"/>
          <w:spacing w:val="4"/>
          <w:szCs w:val="24"/>
          <w:highlight w:val="none"/>
        </w:rPr>
        <w:t xml:space="preserve">成立。  </w:t>
      </w:r>
      <w:r>
        <w:rPr>
          <w:rFonts w:hint="eastAsia" w:ascii="楷体" w:hAnsi="楷体" w:eastAsia="楷体" w:cs="楷体"/>
          <w:color w:val="auto"/>
          <w:spacing w:val="4"/>
          <w:szCs w:val="24"/>
          <w:highlight w:val="none"/>
          <w:u w:val="single"/>
        </w:rPr>
        <w:t xml:space="preserve">(法定代表人姓名)  </w:t>
      </w:r>
      <w:r>
        <w:rPr>
          <w:rFonts w:hint="eastAsia" w:ascii="楷体" w:hAnsi="楷体" w:eastAsia="楷体" w:cs="楷体"/>
          <w:color w:val="auto"/>
          <w:spacing w:val="4"/>
          <w:szCs w:val="24"/>
          <w:highlight w:val="none"/>
        </w:rPr>
        <w:t>特授权</w:t>
      </w:r>
      <w:r>
        <w:rPr>
          <w:rFonts w:hint="eastAsia" w:ascii="楷体" w:hAnsi="楷体" w:eastAsia="楷体" w:cs="楷体"/>
          <w:color w:val="auto"/>
          <w:spacing w:val="4"/>
          <w:szCs w:val="24"/>
          <w:highlight w:val="none"/>
          <w:u w:val="single"/>
        </w:rPr>
        <w:t xml:space="preserve"> （被授权人姓名）  </w:t>
      </w:r>
      <w:r>
        <w:rPr>
          <w:rFonts w:hint="eastAsia" w:ascii="楷体" w:hAnsi="楷体" w:eastAsia="楷体" w:cs="楷体"/>
          <w:color w:val="auto"/>
          <w:spacing w:val="4"/>
          <w:szCs w:val="24"/>
          <w:highlight w:val="none"/>
        </w:rPr>
        <w:t>代表我公司全权办理针对本次</w:t>
      </w:r>
      <w:r>
        <w:rPr>
          <w:rFonts w:hint="eastAsia" w:ascii="楷体" w:hAnsi="楷体" w:eastAsia="楷体" w:cs="楷体"/>
          <w:color w:val="auto"/>
          <w:spacing w:val="4"/>
          <w:szCs w:val="24"/>
          <w:highlight w:val="none"/>
          <w:u w:val="single"/>
        </w:rPr>
        <w:t xml:space="preserve">     (项目名称）     </w:t>
      </w:r>
      <w:r>
        <w:rPr>
          <w:rFonts w:hint="eastAsia" w:ascii="楷体" w:hAnsi="楷体" w:eastAsia="楷体" w:cs="楷体"/>
          <w:color w:val="auto"/>
          <w:spacing w:val="4"/>
          <w:szCs w:val="24"/>
          <w:highlight w:val="none"/>
        </w:rPr>
        <w:t>（项目编号：</w:t>
      </w:r>
      <w:r>
        <w:rPr>
          <w:rFonts w:hint="eastAsia" w:ascii="楷体" w:hAnsi="楷体" w:eastAsia="楷体" w:cs="楷体"/>
          <w:color w:val="auto"/>
          <w:spacing w:val="4"/>
          <w:szCs w:val="24"/>
          <w:highlight w:val="none"/>
          <w:u w:val="single"/>
        </w:rPr>
        <w:t xml:space="preserve">    </w:t>
      </w:r>
      <w:r>
        <w:rPr>
          <w:rFonts w:hint="eastAsia" w:ascii="楷体" w:hAnsi="楷体" w:eastAsia="楷体" w:cs="楷体"/>
          <w:color w:val="auto"/>
          <w:spacing w:val="4"/>
          <w:szCs w:val="24"/>
          <w:highlight w:val="none"/>
        </w:rPr>
        <w:t>）</w:t>
      </w:r>
      <w:r>
        <w:rPr>
          <w:rFonts w:hint="eastAsia" w:ascii="楷体" w:hAnsi="楷体" w:eastAsia="楷体" w:cs="楷体"/>
          <w:color w:val="auto"/>
          <w:spacing w:val="4"/>
          <w:szCs w:val="24"/>
          <w:highlight w:val="none"/>
          <w:lang w:val="en-US" w:eastAsia="zh-CN"/>
        </w:rPr>
        <w:t>采购包</w:t>
      </w:r>
      <w:r>
        <w:rPr>
          <w:rFonts w:hint="eastAsia" w:ascii="楷体" w:hAnsi="楷体" w:eastAsia="楷体" w:cs="楷体"/>
          <w:color w:val="auto"/>
          <w:spacing w:val="4"/>
          <w:szCs w:val="24"/>
          <w:highlight w:val="none"/>
          <w:u w:val="single"/>
          <w:lang w:val="en-US" w:eastAsia="zh-CN"/>
        </w:rPr>
        <w:t xml:space="preserve">   </w:t>
      </w:r>
      <w:r>
        <w:rPr>
          <w:rFonts w:hint="eastAsia" w:ascii="楷体" w:hAnsi="楷体" w:eastAsia="楷体" w:cs="楷体"/>
          <w:color w:val="auto"/>
          <w:spacing w:val="4"/>
          <w:szCs w:val="24"/>
          <w:highlight w:val="none"/>
        </w:rPr>
        <w:t>的磋商、签约等具体工作，并签署全部有关的文件、协议及合同。</w:t>
      </w:r>
    </w:p>
    <w:p w14:paraId="42B3F747">
      <w:pPr>
        <w:spacing w:line="360" w:lineRule="auto"/>
        <w:ind w:firstLine="496" w:firstLineChars="200"/>
        <w:jc w:val="left"/>
        <w:rPr>
          <w:rFonts w:hint="eastAsia" w:ascii="楷体" w:hAnsi="楷体" w:eastAsia="楷体" w:cs="楷体"/>
          <w:color w:val="auto"/>
          <w:spacing w:val="4"/>
          <w:szCs w:val="24"/>
          <w:highlight w:val="none"/>
        </w:rPr>
      </w:pPr>
      <w:r>
        <w:rPr>
          <w:rFonts w:hint="eastAsia" w:ascii="楷体" w:hAnsi="楷体" w:eastAsia="楷体" w:cs="楷体"/>
          <w:color w:val="auto"/>
          <w:spacing w:val="4"/>
          <w:szCs w:val="24"/>
          <w:highlight w:val="none"/>
        </w:rPr>
        <w:t>我公司对被授权人的签名负全部责任。</w:t>
      </w:r>
    </w:p>
    <w:p w14:paraId="75195CB0">
      <w:pPr>
        <w:spacing w:line="360" w:lineRule="auto"/>
        <w:ind w:firstLine="480" w:firstLineChars="200"/>
        <w:jc w:val="left"/>
        <w:rPr>
          <w:rFonts w:hint="eastAsia" w:ascii="楷体" w:hAnsi="楷体" w:eastAsia="楷体" w:cs="楷体"/>
          <w:color w:val="auto"/>
          <w:szCs w:val="24"/>
          <w:highlight w:val="none"/>
        </w:rPr>
      </w:pPr>
      <w:r>
        <w:rPr>
          <w:rFonts w:hint="eastAsia" w:ascii="楷体" w:hAnsi="楷体" w:eastAsia="楷体" w:cs="楷体"/>
          <w:color w:val="auto"/>
          <w:szCs w:val="24"/>
          <w:highlight w:val="none"/>
        </w:rPr>
        <w:t>委托期限：自磋商响应文件递交截止之日起</w:t>
      </w:r>
      <w:r>
        <w:rPr>
          <w:rFonts w:hint="eastAsia" w:ascii="楷体" w:hAnsi="楷体" w:eastAsia="楷体" w:cs="楷体"/>
          <w:color w:val="auto"/>
          <w:szCs w:val="24"/>
          <w:highlight w:val="none"/>
          <w:u w:val="single"/>
        </w:rPr>
        <w:t xml:space="preserve"> </w:t>
      </w:r>
      <w:r>
        <w:rPr>
          <w:rFonts w:hint="eastAsia" w:ascii="楷体" w:hAnsi="楷体" w:eastAsia="楷体" w:cs="楷体"/>
          <w:color w:val="auto"/>
          <w:szCs w:val="24"/>
          <w:highlight w:val="none"/>
          <w:u w:val="single"/>
          <w:lang w:val="en-US" w:eastAsia="zh-CN"/>
        </w:rPr>
        <w:t xml:space="preserve">  </w:t>
      </w:r>
      <w:r>
        <w:rPr>
          <w:rFonts w:hint="eastAsia" w:ascii="楷体" w:hAnsi="楷体" w:eastAsia="楷体" w:cs="楷体"/>
          <w:color w:val="auto"/>
          <w:szCs w:val="24"/>
          <w:highlight w:val="none"/>
          <w:u w:val="single"/>
        </w:rPr>
        <w:t xml:space="preserve"> </w:t>
      </w:r>
      <w:r>
        <w:rPr>
          <w:rFonts w:hint="eastAsia" w:ascii="楷体" w:hAnsi="楷体" w:eastAsia="楷体" w:cs="楷体"/>
          <w:color w:val="auto"/>
          <w:szCs w:val="24"/>
          <w:highlight w:val="none"/>
        </w:rPr>
        <w:t>日历天</w:t>
      </w:r>
    </w:p>
    <w:p w14:paraId="47F3207F">
      <w:pPr>
        <w:spacing w:line="360" w:lineRule="auto"/>
        <w:ind w:firstLine="496" w:firstLineChars="200"/>
        <w:jc w:val="left"/>
        <w:rPr>
          <w:rFonts w:hint="eastAsia" w:ascii="楷体" w:hAnsi="楷体" w:eastAsia="楷体" w:cs="楷体"/>
          <w:color w:val="auto"/>
          <w:spacing w:val="4"/>
          <w:szCs w:val="24"/>
          <w:highlight w:val="none"/>
        </w:rPr>
      </w:pPr>
      <w:r>
        <w:rPr>
          <w:rFonts w:hint="eastAsia" w:ascii="楷体" w:hAnsi="楷体" w:eastAsia="楷体" w:cs="楷体"/>
          <w:color w:val="auto"/>
          <w:spacing w:val="4"/>
          <w:szCs w:val="24"/>
          <w:highlight w:val="none"/>
        </w:rPr>
        <w:t>本授权书于</w:t>
      </w:r>
      <w:r>
        <w:rPr>
          <w:rFonts w:hint="eastAsia" w:ascii="楷体" w:hAnsi="楷体" w:eastAsia="楷体" w:cs="楷体"/>
          <w:color w:val="auto"/>
          <w:spacing w:val="4"/>
          <w:szCs w:val="24"/>
          <w:highlight w:val="none"/>
          <w:u w:val="single"/>
        </w:rPr>
        <w:t xml:space="preserve">  </w:t>
      </w:r>
      <w:r>
        <w:rPr>
          <w:rFonts w:hint="eastAsia" w:ascii="楷体" w:hAnsi="楷体" w:eastAsia="楷体" w:cs="楷体"/>
          <w:color w:val="auto"/>
          <w:szCs w:val="24"/>
          <w:highlight w:val="none"/>
        </w:rPr>
        <w:t>年</w:t>
      </w:r>
      <w:r>
        <w:rPr>
          <w:rFonts w:hint="eastAsia" w:ascii="楷体" w:hAnsi="楷体" w:eastAsia="楷体" w:cs="楷体"/>
          <w:color w:val="auto"/>
          <w:szCs w:val="24"/>
          <w:highlight w:val="none"/>
          <w:u w:val="single"/>
        </w:rPr>
        <w:t xml:space="preserve">  </w:t>
      </w:r>
      <w:r>
        <w:rPr>
          <w:rFonts w:hint="eastAsia" w:ascii="楷体" w:hAnsi="楷体" w:eastAsia="楷体" w:cs="楷体"/>
          <w:color w:val="auto"/>
          <w:szCs w:val="24"/>
          <w:highlight w:val="none"/>
        </w:rPr>
        <w:t>月</w:t>
      </w:r>
      <w:r>
        <w:rPr>
          <w:rFonts w:hint="eastAsia" w:ascii="楷体" w:hAnsi="楷体" w:eastAsia="楷体" w:cs="楷体"/>
          <w:color w:val="auto"/>
          <w:szCs w:val="24"/>
          <w:highlight w:val="none"/>
          <w:u w:val="single"/>
        </w:rPr>
        <w:t xml:space="preserve">  </w:t>
      </w:r>
      <w:r>
        <w:rPr>
          <w:rFonts w:hint="eastAsia" w:ascii="楷体" w:hAnsi="楷体" w:eastAsia="楷体" w:cs="楷体"/>
          <w:color w:val="auto"/>
          <w:szCs w:val="24"/>
          <w:highlight w:val="none"/>
        </w:rPr>
        <w:t>日签</w:t>
      </w:r>
      <w:r>
        <w:rPr>
          <w:rFonts w:hint="eastAsia" w:ascii="楷体" w:hAnsi="楷体" w:eastAsia="楷体" w:cs="楷体"/>
          <w:color w:val="auto"/>
          <w:spacing w:val="4"/>
          <w:szCs w:val="24"/>
          <w:highlight w:val="none"/>
        </w:rPr>
        <w:t>字生效，特此证明。</w:t>
      </w:r>
    </w:p>
    <w:p w14:paraId="36307A2C">
      <w:pPr>
        <w:spacing w:line="360" w:lineRule="auto"/>
        <w:ind w:firstLine="496" w:firstLineChars="200"/>
        <w:jc w:val="left"/>
        <w:rPr>
          <w:rFonts w:hint="eastAsia" w:ascii="楷体" w:hAnsi="楷体" w:eastAsia="楷体" w:cs="楷体"/>
          <w:color w:val="auto"/>
          <w:spacing w:val="4"/>
          <w:szCs w:val="24"/>
          <w:highlight w:val="none"/>
        </w:rPr>
      </w:pPr>
    </w:p>
    <w:tbl>
      <w:tblPr>
        <w:tblStyle w:val="17"/>
        <w:tblW w:w="0" w:type="auto"/>
        <w:tblInd w:w="0" w:type="dxa"/>
        <w:tblLayout w:type="fixed"/>
        <w:tblCellMar>
          <w:top w:w="0" w:type="dxa"/>
          <w:left w:w="108" w:type="dxa"/>
          <w:bottom w:w="0" w:type="dxa"/>
          <w:right w:w="108" w:type="dxa"/>
        </w:tblCellMar>
      </w:tblPr>
      <w:tblGrid>
        <w:gridCol w:w="4839"/>
        <w:gridCol w:w="4200"/>
      </w:tblGrid>
      <w:tr w14:paraId="1BEEC5A6">
        <w:tblPrEx>
          <w:tblCellMar>
            <w:top w:w="0" w:type="dxa"/>
            <w:left w:w="108" w:type="dxa"/>
            <w:bottom w:w="0" w:type="dxa"/>
            <w:right w:w="108" w:type="dxa"/>
          </w:tblCellMar>
        </w:tblPrEx>
        <w:trPr>
          <w:trHeight w:val="600" w:hRule="atLeast"/>
        </w:trPr>
        <w:tc>
          <w:tcPr>
            <w:tcW w:w="4839" w:type="dxa"/>
            <w:noWrap w:val="0"/>
            <w:vAlign w:val="top"/>
          </w:tcPr>
          <w:p w14:paraId="686C186D">
            <w:pPr>
              <w:spacing w:line="360" w:lineRule="auto"/>
              <w:ind w:firstLine="124" w:firstLineChars="50"/>
              <w:jc w:val="left"/>
              <w:rPr>
                <w:rFonts w:hint="eastAsia" w:ascii="楷体" w:hAnsi="楷体" w:eastAsia="楷体" w:cs="楷体"/>
                <w:color w:val="auto"/>
                <w:highlight w:val="none"/>
              </w:rPr>
            </w:pPr>
            <w:r>
              <w:rPr>
                <w:rFonts w:hint="eastAsia" w:ascii="楷体" w:hAnsi="楷体" w:eastAsia="楷体" w:cs="楷体"/>
                <w:color w:val="auto"/>
                <w:spacing w:val="4"/>
                <w:szCs w:val="24"/>
                <w:highlight w:val="none"/>
              </w:rPr>
              <w:t>法定代表人（签字或盖章）：</w:t>
            </w:r>
          </w:p>
        </w:tc>
        <w:tc>
          <w:tcPr>
            <w:tcW w:w="4200" w:type="dxa"/>
            <w:noWrap w:val="0"/>
            <w:vAlign w:val="top"/>
          </w:tcPr>
          <w:p w14:paraId="69281D25">
            <w:pPr>
              <w:spacing w:line="360" w:lineRule="auto"/>
              <w:jc w:val="left"/>
              <w:rPr>
                <w:rFonts w:hint="eastAsia" w:ascii="楷体" w:hAnsi="楷体" w:eastAsia="楷体" w:cs="楷体"/>
                <w:color w:val="auto"/>
                <w:spacing w:val="4"/>
                <w:szCs w:val="24"/>
                <w:highlight w:val="none"/>
                <w:u w:val="single"/>
              </w:rPr>
            </w:pPr>
            <w:r>
              <w:rPr>
                <w:rFonts w:hint="eastAsia" w:ascii="楷体" w:hAnsi="楷体" w:eastAsia="楷体" w:cs="楷体"/>
                <w:color w:val="auto"/>
                <w:spacing w:val="4"/>
                <w:szCs w:val="24"/>
                <w:highlight w:val="none"/>
              </w:rPr>
              <w:t>被授权人（签字）：</w:t>
            </w:r>
          </w:p>
        </w:tc>
      </w:tr>
      <w:tr w14:paraId="3FB8E3D9">
        <w:tblPrEx>
          <w:tblCellMar>
            <w:top w:w="0" w:type="dxa"/>
            <w:left w:w="108" w:type="dxa"/>
            <w:bottom w:w="0" w:type="dxa"/>
            <w:right w:w="108" w:type="dxa"/>
          </w:tblCellMar>
        </w:tblPrEx>
        <w:trPr>
          <w:trHeight w:val="600" w:hRule="atLeast"/>
        </w:trPr>
        <w:tc>
          <w:tcPr>
            <w:tcW w:w="4839" w:type="dxa"/>
            <w:noWrap w:val="0"/>
            <w:vAlign w:val="top"/>
          </w:tcPr>
          <w:p w14:paraId="57B267EE">
            <w:pPr>
              <w:spacing w:line="360" w:lineRule="auto"/>
              <w:ind w:firstLine="124" w:firstLineChars="50"/>
              <w:jc w:val="left"/>
              <w:rPr>
                <w:rFonts w:hint="eastAsia" w:ascii="楷体" w:hAnsi="楷体" w:eastAsia="楷体" w:cs="楷体"/>
                <w:color w:val="auto"/>
                <w:highlight w:val="none"/>
              </w:rPr>
            </w:pPr>
            <w:r>
              <w:rPr>
                <w:rFonts w:hint="eastAsia" w:ascii="楷体" w:hAnsi="楷体" w:eastAsia="楷体" w:cs="楷体"/>
                <w:color w:val="auto"/>
                <w:spacing w:val="4"/>
                <w:szCs w:val="24"/>
                <w:highlight w:val="none"/>
              </w:rPr>
              <w:t>职务：</w:t>
            </w:r>
          </w:p>
        </w:tc>
        <w:tc>
          <w:tcPr>
            <w:tcW w:w="4200" w:type="dxa"/>
            <w:noWrap w:val="0"/>
            <w:vAlign w:val="top"/>
          </w:tcPr>
          <w:p w14:paraId="18B5DBB9">
            <w:pPr>
              <w:spacing w:line="360" w:lineRule="auto"/>
              <w:jc w:val="left"/>
              <w:rPr>
                <w:rFonts w:hint="eastAsia" w:ascii="楷体" w:hAnsi="楷体" w:eastAsia="楷体" w:cs="楷体"/>
                <w:color w:val="auto"/>
                <w:spacing w:val="4"/>
                <w:szCs w:val="24"/>
                <w:highlight w:val="none"/>
                <w:u w:val="single"/>
              </w:rPr>
            </w:pPr>
            <w:r>
              <w:rPr>
                <w:rFonts w:hint="eastAsia" w:ascii="楷体" w:hAnsi="楷体" w:eastAsia="楷体" w:cs="楷体"/>
                <w:color w:val="auto"/>
                <w:spacing w:val="4"/>
                <w:szCs w:val="24"/>
                <w:highlight w:val="none"/>
              </w:rPr>
              <w:t>职务：</w:t>
            </w:r>
          </w:p>
        </w:tc>
      </w:tr>
      <w:tr w14:paraId="02C4C0A2">
        <w:tblPrEx>
          <w:tblCellMar>
            <w:top w:w="0" w:type="dxa"/>
            <w:left w:w="108" w:type="dxa"/>
            <w:bottom w:w="0" w:type="dxa"/>
            <w:right w:w="108" w:type="dxa"/>
          </w:tblCellMar>
        </w:tblPrEx>
        <w:trPr>
          <w:trHeight w:val="600" w:hRule="atLeast"/>
        </w:trPr>
        <w:tc>
          <w:tcPr>
            <w:tcW w:w="4839" w:type="dxa"/>
            <w:noWrap w:val="0"/>
            <w:vAlign w:val="top"/>
          </w:tcPr>
          <w:p w14:paraId="66E4B8E4">
            <w:pPr>
              <w:spacing w:line="360" w:lineRule="auto"/>
              <w:ind w:firstLine="124" w:firstLineChars="50"/>
              <w:jc w:val="left"/>
              <w:rPr>
                <w:rFonts w:hint="eastAsia" w:ascii="楷体" w:hAnsi="楷体" w:eastAsia="楷体" w:cs="楷体"/>
                <w:color w:val="auto"/>
                <w:highlight w:val="none"/>
              </w:rPr>
            </w:pPr>
            <w:r>
              <w:rPr>
                <w:rFonts w:hint="eastAsia" w:ascii="楷体" w:hAnsi="楷体" w:eastAsia="楷体" w:cs="楷体"/>
                <w:color w:val="auto"/>
                <w:spacing w:val="4"/>
                <w:szCs w:val="24"/>
                <w:highlight w:val="none"/>
              </w:rPr>
              <w:t>身份证号：</w:t>
            </w:r>
          </w:p>
        </w:tc>
        <w:tc>
          <w:tcPr>
            <w:tcW w:w="4200" w:type="dxa"/>
            <w:noWrap w:val="0"/>
            <w:vAlign w:val="top"/>
          </w:tcPr>
          <w:p w14:paraId="313BA072">
            <w:pPr>
              <w:spacing w:line="360" w:lineRule="auto"/>
              <w:jc w:val="left"/>
              <w:rPr>
                <w:rFonts w:hint="eastAsia" w:ascii="楷体" w:hAnsi="楷体" w:eastAsia="楷体" w:cs="楷体"/>
                <w:color w:val="auto"/>
                <w:spacing w:val="4"/>
                <w:szCs w:val="24"/>
                <w:highlight w:val="none"/>
                <w:u w:val="single"/>
              </w:rPr>
            </w:pPr>
            <w:r>
              <w:rPr>
                <w:rFonts w:hint="eastAsia" w:ascii="楷体" w:hAnsi="楷体" w:eastAsia="楷体" w:cs="楷体"/>
                <w:color w:val="auto"/>
                <w:spacing w:val="4"/>
                <w:szCs w:val="24"/>
                <w:highlight w:val="none"/>
              </w:rPr>
              <w:t>身份证号：</w:t>
            </w:r>
          </w:p>
        </w:tc>
      </w:tr>
      <w:tr w14:paraId="0D88E8F0">
        <w:tblPrEx>
          <w:tblCellMar>
            <w:top w:w="0" w:type="dxa"/>
            <w:left w:w="108" w:type="dxa"/>
            <w:bottom w:w="0" w:type="dxa"/>
            <w:right w:w="108" w:type="dxa"/>
          </w:tblCellMar>
        </w:tblPrEx>
        <w:trPr>
          <w:trHeight w:val="600" w:hRule="atLeast"/>
        </w:trPr>
        <w:tc>
          <w:tcPr>
            <w:tcW w:w="4839" w:type="dxa"/>
            <w:noWrap w:val="0"/>
            <w:vAlign w:val="top"/>
          </w:tcPr>
          <w:p w14:paraId="3B4D2871">
            <w:pPr>
              <w:spacing w:line="360" w:lineRule="auto"/>
              <w:jc w:val="left"/>
              <w:rPr>
                <w:rFonts w:hint="eastAsia" w:ascii="楷体" w:hAnsi="楷体" w:eastAsia="楷体" w:cs="楷体"/>
                <w:color w:val="auto"/>
                <w:highlight w:val="none"/>
              </w:rPr>
            </w:pPr>
          </w:p>
        </w:tc>
        <w:tc>
          <w:tcPr>
            <w:tcW w:w="4200" w:type="dxa"/>
            <w:noWrap w:val="0"/>
            <w:vAlign w:val="top"/>
          </w:tcPr>
          <w:p w14:paraId="199FD3AB">
            <w:pPr>
              <w:spacing w:line="360" w:lineRule="auto"/>
              <w:jc w:val="left"/>
              <w:rPr>
                <w:rFonts w:hint="eastAsia" w:ascii="楷体" w:hAnsi="楷体" w:eastAsia="楷体" w:cs="楷体"/>
                <w:color w:val="auto"/>
                <w:spacing w:val="4"/>
                <w:szCs w:val="24"/>
                <w:highlight w:val="none"/>
                <w:u w:val="single"/>
              </w:rPr>
            </w:pPr>
            <w:r>
              <w:rPr>
                <w:rFonts w:hint="eastAsia" w:ascii="楷体" w:hAnsi="楷体" w:eastAsia="楷体" w:cs="楷体"/>
                <w:color w:val="auto"/>
                <w:spacing w:val="4"/>
                <w:szCs w:val="24"/>
                <w:highlight w:val="none"/>
              </w:rPr>
              <w:t>所在部门：</w:t>
            </w:r>
          </w:p>
        </w:tc>
      </w:tr>
      <w:tr w14:paraId="796B57DB">
        <w:tblPrEx>
          <w:tblCellMar>
            <w:top w:w="0" w:type="dxa"/>
            <w:left w:w="108" w:type="dxa"/>
            <w:bottom w:w="0" w:type="dxa"/>
            <w:right w:w="108" w:type="dxa"/>
          </w:tblCellMar>
        </w:tblPrEx>
        <w:trPr>
          <w:trHeight w:val="600" w:hRule="atLeast"/>
        </w:trPr>
        <w:tc>
          <w:tcPr>
            <w:tcW w:w="4839" w:type="dxa"/>
            <w:noWrap w:val="0"/>
            <w:vAlign w:val="top"/>
          </w:tcPr>
          <w:p w14:paraId="562E49B8">
            <w:pPr>
              <w:spacing w:line="360" w:lineRule="auto"/>
              <w:jc w:val="left"/>
              <w:rPr>
                <w:rFonts w:hint="eastAsia" w:ascii="楷体" w:hAnsi="楷体" w:eastAsia="楷体" w:cs="楷体"/>
                <w:color w:val="auto"/>
                <w:highlight w:val="none"/>
              </w:rPr>
            </w:pPr>
          </w:p>
        </w:tc>
        <w:tc>
          <w:tcPr>
            <w:tcW w:w="4200" w:type="dxa"/>
            <w:noWrap w:val="0"/>
            <w:vAlign w:val="top"/>
          </w:tcPr>
          <w:p w14:paraId="4BDD27FD">
            <w:pPr>
              <w:spacing w:line="360" w:lineRule="auto"/>
              <w:jc w:val="left"/>
              <w:rPr>
                <w:rFonts w:hint="eastAsia" w:ascii="楷体" w:hAnsi="楷体" w:eastAsia="楷体" w:cs="楷体"/>
                <w:color w:val="auto"/>
                <w:spacing w:val="4"/>
                <w:szCs w:val="24"/>
                <w:highlight w:val="none"/>
              </w:rPr>
            </w:pPr>
          </w:p>
        </w:tc>
      </w:tr>
    </w:tbl>
    <w:p w14:paraId="6F8BB8BA">
      <w:pPr>
        <w:spacing w:line="360" w:lineRule="auto"/>
        <w:rPr>
          <w:rFonts w:hint="eastAsia" w:ascii="楷体" w:hAnsi="楷体" w:eastAsia="楷体" w:cs="楷体"/>
          <w:color w:val="auto"/>
          <w:spacing w:val="4"/>
          <w:szCs w:val="24"/>
          <w:highlight w:val="none"/>
        </w:rPr>
      </w:pPr>
      <w:r>
        <w:rPr>
          <w:rFonts w:hint="eastAsia" w:ascii="楷体" w:hAnsi="楷体" w:eastAsia="楷体" w:cs="楷体"/>
          <w:color w:val="auto"/>
          <w:spacing w:val="4"/>
          <w:szCs w:val="24"/>
          <w:highlight w:val="none"/>
        </w:rPr>
        <w:t>附：法定代表人、被授权人二代身份证双面复印件</w:t>
      </w:r>
      <w:r>
        <w:rPr>
          <w:rFonts w:hint="eastAsia" w:ascii="楷体" w:hAnsi="楷体" w:eastAsia="楷体" w:cs="楷体"/>
          <w:color w:val="auto"/>
          <w:spacing w:val="4"/>
          <w:szCs w:val="24"/>
          <w:highlight w:val="none"/>
          <w:lang w:eastAsia="zh-CN"/>
        </w:rPr>
        <w:t>（</w:t>
      </w:r>
      <w:r>
        <w:rPr>
          <w:rFonts w:hint="eastAsia" w:ascii="楷体" w:hAnsi="楷体" w:eastAsia="楷体" w:cs="楷体"/>
          <w:i w:val="0"/>
          <w:iCs w:val="0"/>
          <w:caps w:val="0"/>
          <w:color w:val="auto"/>
          <w:spacing w:val="0"/>
          <w:sz w:val="24"/>
          <w:szCs w:val="24"/>
          <w:highlight w:val="none"/>
          <w:shd w:val="clear" w:color="auto" w:fill="FFFFFF"/>
        </w:rPr>
        <w:t>被授权人参加磋商时，须提供磋商前三个月的基本养老保险参保缴费证明）</w:t>
      </w:r>
    </w:p>
    <w:p w14:paraId="1FD61AD2">
      <w:pPr>
        <w:spacing w:line="360" w:lineRule="auto"/>
        <w:rPr>
          <w:rFonts w:hint="eastAsia" w:ascii="楷体" w:hAnsi="楷体" w:eastAsia="楷体" w:cs="楷体"/>
          <w:color w:val="auto"/>
          <w:spacing w:val="4"/>
          <w:szCs w:val="24"/>
          <w:highlight w:val="none"/>
        </w:rPr>
      </w:pPr>
      <w:r>
        <w:rPr>
          <w:rFonts w:hint="eastAsia" w:ascii="楷体" w:hAnsi="楷体" w:eastAsia="楷体" w:cs="楷体"/>
          <w:color w:val="auto"/>
          <w:spacing w:val="4"/>
          <w:szCs w:val="24"/>
          <w:highlight w:val="none"/>
        </w:rPr>
        <w:t>注：法定代表人直接参与磋商无需提供此页</w:t>
      </w:r>
    </w:p>
    <w:p w14:paraId="1AF20262">
      <w:pPr>
        <w:spacing w:line="360" w:lineRule="auto"/>
        <w:ind w:firstLine="510"/>
        <w:rPr>
          <w:rFonts w:hint="eastAsia" w:ascii="楷体" w:hAnsi="楷体" w:eastAsia="楷体" w:cs="楷体"/>
          <w:color w:val="auto"/>
          <w:spacing w:val="4"/>
          <w:szCs w:val="24"/>
          <w:highlight w:val="none"/>
        </w:rPr>
      </w:pPr>
    </w:p>
    <w:p w14:paraId="6D5A2B41">
      <w:pPr>
        <w:spacing w:line="360" w:lineRule="auto"/>
        <w:ind w:firstLine="510"/>
        <w:rPr>
          <w:rFonts w:hint="eastAsia" w:ascii="楷体" w:hAnsi="楷体" w:eastAsia="楷体" w:cs="楷体"/>
          <w:color w:val="auto"/>
          <w:spacing w:val="4"/>
          <w:szCs w:val="24"/>
          <w:highlight w:val="none"/>
        </w:rPr>
      </w:pPr>
    </w:p>
    <w:p w14:paraId="3BF43D13">
      <w:pPr>
        <w:spacing w:line="360" w:lineRule="auto"/>
        <w:ind w:firstLine="510"/>
        <w:rPr>
          <w:rFonts w:hint="eastAsia" w:ascii="楷体" w:hAnsi="楷体" w:eastAsia="楷体" w:cs="楷体"/>
          <w:color w:val="auto"/>
          <w:spacing w:val="4"/>
          <w:szCs w:val="24"/>
          <w:highlight w:val="none"/>
        </w:rPr>
      </w:pPr>
    </w:p>
    <w:p w14:paraId="0EDA9C7B">
      <w:pPr>
        <w:spacing w:line="360" w:lineRule="auto"/>
        <w:rPr>
          <w:rFonts w:hint="eastAsia" w:ascii="楷体" w:hAnsi="楷体" w:eastAsia="楷体" w:cs="楷体"/>
          <w:color w:val="auto"/>
          <w:spacing w:val="4"/>
          <w:szCs w:val="24"/>
          <w:highlight w:val="none"/>
          <w:u w:val="single"/>
        </w:rPr>
      </w:pPr>
      <w:r>
        <w:rPr>
          <w:rFonts w:hint="eastAsia" w:ascii="楷体" w:hAnsi="楷体" w:eastAsia="楷体" w:cs="楷体"/>
          <w:color w:val="auto"/>
          <w:spacing w:val="4"/>
          <w:szCs w:val="24"/>
          <w:highlight w:val="none"/>
        </w:rPr>
        <w:t xml:space="preserve">供应商名称（公章）:             </w:t>
      </w:r>
    </w:p>
    <w:p w14:paraId="28849A9D">
      <w:pPr>
        <w:spacing w:line="360" w:lineRule="auto"/>
        <w:rPr>
          <w:rFonts w:hint="eastAsia" w:ascii="楷体" w:hAnsi="楷体" w:eastAsia="楷体" w:cs="楷体"/>
          <w:color w:val="auto"/>
          <w:spacing w:val="4"/>
          <w:szCs w:val="24"/>
          <w:highlight w:val="none"/>
        </w:rPr>
      </w:pPr>
      <w:r>
        <w:rPr>
          <w:rFonts w:hint="eastAsia" w:ascii="楷体" w:hAnsi="楷体" w:eastAsia="楷体" w:cs="楷体"/>
          <w:color w:val="auto"/>
          <w:spacing w:val="4"/>
          <w:szCs w:val="24"/>
          <w:highlight w:val="none"/>
        </w:rPr>
        <w:t>法定代表人/被授权人（签字或盖章）：</w:t>
      </w:r>
    </w:p>
    <w:p w14:paraId="4BA45303">
      <w:pPr>
        <w:spacing w:line="360" w:lineRule="auto"/>
        <w:rPr>
          <w:rFonts w:hint="eastAsia" w:ascii="楷体" w:hAnsi="楷体" w:eastAsia="楷体" w:cs="楷体"/>
          <w:color w:val="auto"/>
          <w:spacing w:val="4"/>
          <w:szCs w:val="24"/>
          <w:highlight w:val="none"/>
        </w:rPr>
      </w:pPr>
      <w:r>
        <w:rPr>
          <w:rFonts w:hint="eastAsia" w:ascii="楷体" w:hAnsi="楷体" w:eastAsia="楷体" w:cs="楷体"/>
          <w:color w:val="auto"/>
          <w:spacing w:val="4"/>
          <w:szCs w:val="24"/>
          <w:highlight w:val="none"/>
        </w:rPr>
        <w:t xml:space="preserve">日期：                         </w:t>
      </w:r>
    </w:p>
    <w:p w14:paraId="08E1EA7E">
      <w:pPr>
        <w:spacing w:line="360" w:lineRule="auto"/>
        <w:rPr>
          <w:rFonts w:hint="eastAsia" w:ascii="楷体" w:hAnsi="楷体" w:eastAsia="楷体" w:cs="楷体"/>
          <w:color w:val="auto"/>
          <w:spacing w:val="4"/>
          <w:szCs w:val="24"/>
          <w:highlight w:val="none"/>
        </w:rPr>
      </w:pPr>
    </w:p>
    <w:p w14:paraId="0F95BF18">
      <w:pPr>
        <w:tabs>
          <w:tab w:val="left" w:pos="1440"/>
        </w:tabs>
        <w:spacing w:before="0" w:beforeLines="0"/>
        <w:jc w:val="center"/>
        <w:outlineLvl w:val="9"/>
        <w:rPr>
          <w:rFonts w:hint="eastAsia" w:ascii="楷体" w:hAnsi="楷体" w:eastAsia="楷体" w:cs="楷体"/>
          <w:color w:val="auto"/>
          <w:sz w:val="32"/>
          <w:szCs w:val="32"/>
          <w:highlight w:val="none"/>
        </w:rPr>
      </w:pPr>
      <w:r>
        <w:rPr>
          <w:rFonts w:hint="eastAsia" w:ascii="楷体" w:hAnsi="楷体" w:eastAsia="楷体" w:cs="楷体"/>
          <w:color w:val="auto"/>
          <w:sz w:val="32"/>
          <w:szCs w:val="32"/>
          <w:highlight w:val="none"/>
        </w:rPr>
        <w:br w:type="page"/>
      </w:r>
      <w:bookmarkEnd w:id="200"/>
      <w:bookmarkEnd w:id="201"/>
      <w:bookmarkEnd w:id="202"/>
      <w:bookmarkEnd w:id="203"/>
      <w:bookmarkStart w:id="204" w:name="_Toc16791"/>
      <w:bookmarkStart w:id="205" w:name="_Toc19026"/>
      <w:bookmarkStart w:id="206" w:name="_Toc23874"/>
      <w:bookmarkStart w:id="207" w:name="_Toc14249"/>
      <w:bookmarkStart w:id="208" w:name="_Toc8895"/>
      <w:bookmarkStart w:id="209" w:name="_Toc16989"/>
      <w:r>
        <w:rPr>
          <w:rFonts w:hint="eastAsia" w:ascii="楷体" w:hAnsi="楷体" w:eastAsia="楷体" w:cs="楷体"/>
          <w:b/>
          <w:bCs/>
          <w:color w:val="auto"/>
          <w:sz w:val="32"/>
          <w:szCs w:val="32"/>
          <w:highlight w:val="none"/>
        </w:rPr>
        <w:t>三、磋商报价表</w:t>
      </w:r>
      <w:bookmarkEnd w:id="204"/>
      <w:bookmarkEnd w:id="205"/>
      <w:bookmarkEnd w:id="206"/>
      <w:bookmarkEnd w:id="207"/>
      <w:bookmarkEnd w:id="208"/>
      <w:bookmarkEnd w:id="209"/>
    </w:p>
    <w:p w14:paraId="6C59E2C8">
      <w:pPr>
        <w:spacing w:line="360" w:lineRule="auto"/>
        <w:jc w:val="center"/>
        <w:rPr>
          <w:rFonts w:hint="eastAsia" w:ascii="楷体" w:hAnsi="楷体" w:eastAsia="楷体" w:cs="楷体"/>
          <w:b/>
          <w:color w:val="auto"/>
          <w:sz w:val="30"/>
          <w:szCs w:val="30"/>
          <w:highlight w:val="none"/>
        </w:rPr>
      </w:pPr>
      <w:r>
        <w:rPr>
          <w:rFonts w:hint="eastAsia" w:ascii="楷体" w:hAnsi="楷体" w:eastAsia="楷体" w:cs="楷体"/>
          <w:b/>
          <w:color w:val="auto"/>
          <w:sz w:val="30"/>
          <w:szCs w:val="30"/>
          <w:highlight w:val="none"/>
        </w:rPr>
        <w:t>3.1磋商一览表</w:t>
      </w:r>
    </w:p>
    <w:p w14:paraId="1CD85849">
      <w:pPr>
        <w:jc w:val="left"/>
        <w:rPr>
          <w:rFonts w:hint="eastAsia" w:ascii="楷体" w:hAnsi="楷体" w:eastAsia="楷体" w:cs="楷体"/>
          <w:b/>
          <w:color w:val="auto"/>
          <w:szCs w:val="24"/>
          <w:highlight w:val="none"/>
        </w:rPr>
      </w:pPr>
      <w:r>
        <w:rPr>
          <w:rFonts w:hint="eastAsia" w:ascii="楷体" w:hAnsi="楷体" w:eastAsia="楷体" w:cs="楷体"/>
          <w:b/>
          <w:color w:val="auto"/>
          <w:szCs w:val="24"/>
          <w:highlight w:val="none"/>
        </w:rPr>
        <w:t>项目名称：</w:t>
      </w:r>
    </w:p>
    <w:p w14:paraId="21058AA9">
      <w:pPr>
        <w:spacing w:line="360" w:lineRule="auto"/>
        <w:jc w:val="left"/>
        <w:rPr>
          <w:rFonts w:hint="eastAsia" w:ascii="楷体" w:hAnsi="楷体" w:eastAsia="楷体" w:cs="楷体"/>
          <w:b/>
          <w:color w:val="auto"/>
          <w:szCs w:val="24"/>
          <w:highlight w:val="none"/>
        </w:rPr>
      </w:pPr>
      <w:r>
        <w:rPr>
          <w:rFonts w:hint="eastAsia" w:ascii="楷体" w:hAnsi="楷体" w:eastAsia="楷体" w:cs="楷体"/>
          <w:b/>
          <w:color w:val="auto"/>
          <w:szCs w:val="24"/>
          <w:highlight w:val="none"/>
        </w:rPr>
        <w:t>项目编号：</w:t>
      </w:r>
    </w:p>
    <w:p w14:paraId="78B8CB65">
      <w:pPr>
        <w:spacing w:line="360" w:lineRule="auto"/>
        <w:jc w:val="left"/>
        <w:rPr>
          <w:rFonts w:hint="eastAsia" w:ascii="楷体" w:hAnsi="楷体" w:eastAsia="楷体" w:cs="楷体"/>
          <w:b/>
          <w:color w:val="auto"/>
          <w:szCs w:val="24"/>
          <w:highlight w:val="none"/>
        </w:rPr>
      </w:pPr>
      <w:r>
        <w:rPr>
          <w:rFonts w:hint="eastAsia" w:ascii="楷体" w:hAnsi="楷体" w:eastAsia="楷体" w:cs="楷体"/>
          <w:b/>
          <w:color w:val="auto"/>
          <w:szCs w:val="24"/>
          <w:highlight w:val="none"/>
          <w:lang w:val="en-US" w:eastAsia="zh-CN"/>
        </w:rPr>
        <w:t>采购包</w:t>
      </w:r>
      <w:r>
        <w:rPr>
          <w:rFonts w:hint="eastAsia" w:ascii="楷体" w:hAnsi="楷体" w:eastAsia="楷体" w:cs="楷体"/>
          <w:b/>
          <w:color w:val="auto"/>
          <w:szCs w:val="24"/>
          <w:highlight w:val="none"/>
          <w:u w:val="single"/>
          <w:lang w:val="en-US" w:eastAsia="zh-CN"/>
        </w:rPr>
        <w:t xml:space="preserve">   </w:t>
      </w:r>
      <w:r>
        <w:rPr>
          <w:rFonts w:hint="eastAsia" w:ascii="楷体" w:hAnsi="楷体" w:eastAsia="楷体" w:cs="楷体"/>
          <w:b/>
          <w:color w:val="auto"/>
          <w:szCs w:val="24"/>
          <w:highlight w:val="none"/>
          <w:lang w:val="en-US" w:eastAsia="zh-CN"/>
        </w:rPr>
        <w:t xml:space="preserve">    </w:t>
      </w:r>
      <w:r>
        <w:rPr>
          <w:rFonts w:hint="eastAsia" w:ascii="楷体" w:hAnsi="楷体" w:eastAsia="楷体" w:cs="楷体"/>
          <w:b/>
          <w:color w:val="auto"/>
          <w:szCs w:val="24"/>
          <w:highlight w:val="none"/>
        </w:rPr>
        <w:t xml:space="preserve">                                                </w:t>
      </w:r>
    </w:p>
    <w:tbl>
      <w:tblPr>
        <w:tblStyle w:val="17"/>
        <w:tblW w:w="84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04"/>
        <w:gridCol w:w="3135"/>
        <w:gridCol w:w="917"/>
        <w:gridCol w:w="917"/>
      </w:tblGrid>
      <w:tr w14:paraId="30F13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exact"/>
          <w:jc w:val="center"/>
        </w:trPr>
        <w:tc>
          <w:tcPr>
            <w:tcW w:w="3504" w:type="dxa"/>
            <w:noWrap w:val="0"/>
            <w:vAlign w:val="center"/>
          </w:tcPr>
          <w:p w14:paraId="0EA3DBA8">
            <w:pPr>
              <w:pageBreakBefore w:val="0"/>
              <w:overflowPunct/>
              <w:topLinePunct w:val="0"/>
              <w:bidi w:val="0"/>
              <w:snapToGrid/>
              <w:spacing w:line="360" w:lineRule="auto"/>
              <w:ind w:left="0" w:leftChars="0" w:right="0" w:rightChars="0"/>
              <w:jc w:val="center"/>
              <w:rPr>
                <w:rFonts w:hint="eastAsia" w:ascii="楷体" w:hAnsi="楷体" w:eastAsia="楷体" w:cs="楷体"/>
                <w:b/>
                <w:color w:val="auto"/>
                <w:highlight w:val="none"/>
                <w:lang w:val="en-US" w:eastAsia="zh-CN"/>
              </w:rPr>
            </w:pPr>
            <w:r>
              <w:rPr>
                <w:rFonts w:hint="eastAsia" w:ascii="楷体" w:hAnsi="楷体" w:eastAsia="楷体" w:cs="楷体"/>
                <w:b/>
                <w:sz w:val="21"/>
                <w:szCs w:val="21"/>
                <w:highlight w:val="none"/>
              </w:rPr>
              <w:t>磋商报价（元）</w:t>
            </w:r>
          </w:p>
        </w:tc>
        <w:tc>
          <w:tcPr>
            <w:tcW w:w="3135" w:type="dxa"/>
            <w:noWrap w:val="0"/>
            <w:vAlign w:val="center"/>
          </w:tcPr>
          <w:p w14:paraId="668A9E90">
            <w:pPr>
              <w:pageBreakBefore w:val="0"/>
              <w:overflowPunct/>
              <w:topLinePunct w:val="0"/>
              <w:bidi w:val="0"/>
              <w:snapToGrid/>
              <w:spacing w:line="360" w:lineRule="auto"/>
              <w:ind w:left="0" w:leftChars="0" w:right="0" w:rightChars="0"/>
              <w:jc w:val="center"/>
              <w:rPr>
                <w:rFonts w:hint="eastAsia" w:ascii="楷体" w:hAnsi="楷体" w:eastAsia="楷体" w:cs="楷体"/>
                <w:b/>
                <w:color w:val="auto"/>
                <w:highlight w:val="none"/>
                <w:lang w:val="en-US" w:eastAsia="zh-CN"/>
              </w:rPr>
            </w:pPr>
            <w:r>
              <w:rPr>
                <w:rFonts w:hint="eastAsia" w:ascii="楷体" w:hAnsi="楷体" w:eastAsia="楷体" w:cs="楷体"/>
                <w:b/>
                <w:sz w:val="21"/>
                <w:szCs w:val="21"/>
                <w:highlight w:val="none"/>
              </w:rPr>
              <w:t>项目负责人</w:t>
            </w:r>
          </w:p>
        </w:tc>
        <w:tc>
          <w:tcPr>
            <w:tcW w:w="917" w:type="dxa"/>
            <w:noWrap w:val="0"/>
            <w:vAlign w:val="center"/>
          </w:tcPr>
          <w:p w14:paraId="0955C9D4">
            <w:pPr>
              <w:pageBreakBefore w:val="0"/>
              <w:overflowPunct/>
              <w:topLinePunct w:val="0"/>
              <w:bidi w:val="0"/>
              <w:snapToGrid/>
              <w:spacing w:line="360" w:lineRule="auto"/>
              <w:ind w:left="0" w:leftChars="0" w:right="0" w:rightChars="0"/>
              <w:jc w:val="center"/>
              <w:rPr>
                <w:rFonts w:hint="eastAsia" w:ascii="楷体" w:hAnsi="楷体" w:eastAsia="楷体" w:cs="楷体"/>
                <w:b/>
                <w:color w:val="auto"/>
                <w:highlight w:val="none"/>
                <w:lang w:val="en-US" w:eastAsia="zh-CN"/>
              </w:rPr>
            </w:pPr>
            <w:r>
              <w:rPr>
                <w:rFonts w:hint="eastAsia" w:ascii="楷体" w:hAnsi="楷体" w:eastAsia="楷体" w:cs="楷体"/>
                <w:b/>
                <w:sz w:val="21"/>
                <w:szCs w:val="21"/>
                <w:highlight w:val="none"/>
              </w:rPr>
              <w:t>服务期</w:t>
            </w:r>
          </w:p>
        </w:tc>
        <w:tc>
          <w:tcPr>
            <w:tcW w:w="917" w:type="dxa"/>
            <w:noWrap w:val="0"/>
            <w:vAlign w:val="center"/>
          </w:tcPr>
          <w:p w14:paraId="4ED3EEFA">
            <w:pPr>
              <w:pageBreakBefore w:val="0"/>
              <w:overflowPunct/>
              <w:topLinePunct w:val="0"/>
              <w:bidi w:val="0"/>
              <w:snapToGrid/>
              <w:spacing w:line="360" w:lineRule="auto"/>
              <w:ind w:left="0" w:leftChars="0" w:right="0" w:rightChars="0"/>
              <w:jc w:val="center"/>
              <w:rPr>
                <w:rFonts w:hint="eastAsia" w:ascii="楷体" w:hAnsi="楷体" w:eastAsia="楷体" w:cs="楷体"/>
                <w:b/>
                <w:sz w:val="21"/>
                <w:szCs w:val="21"/>
                <w:highlight w:val="none"/>
                <w:lang w:val="en-US" w:eastAsia="zh-CN"/>
              </w:rPr>
            </w:pPr>
            <w:r>
              <w:rPr>
                <w:rFonts w:hint="eastAsia" w:ascii="楷体" w:hAnsi="楷体" w:eastAsia="楷体" w:cs="楷体"/>
                <w:b/>
                <w:sz w:val="21"/>
                <w:szCs w:val="21"/>
                <w:highlight w:val="none"/>
                <w:lang w:val="en-US" w:eastAsia="zh-CN"/>
              </w:rPr>
              <w:t>备注</w:t>
            </w:r>
          </w:p>
        </w:tc>
      </w:tr>
      <w:tr w14:paraId="5A70F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9" w:hRule="exact"/>
          <w:jc w:val="center"/>
        </w:trPr>
        <w:tc>
          <w:tcPr>
            <w:tcW w:w="3504" w:type="dxa"/>
            <w:noWrap w:val="0"/>
            <w:vAlign w:val="center"/>
          </w:tcPr>
          <w:p w14:paraId="65E5247B">
            <w:pPr>
              <w:pageBreakBefore w:val="0"/>
              <w:overflowPunct/>
              <w:topLinePunct w:val="0"/>
              <w:bidi w:val="0"/>
              <w:snapToGrid/>
              <w:spacing w:line="360" w:lineRule="auto"/>
              <w:ind w:left="0" w:leftChars="0" w:right="0" w:rightChars="0"/>
              <w:jc w:val="center"/>
              <w:rPr>
                <w:rFonts w:hint="eastAsia" w:ascii="楷体" w:hAnsi="楷体" w:eastAsia="楷体" w:cs="楷体"/>
                <w:color w:val="auto"/>
                <w:highlight w:val="none"/>
              </w:rPr>
            </w:pPr>
          </w:p>
        </w:tc>
        <w:tc>
          <w:tcPr>
            <w:tcW w:w="3135" w:type="dxa"/>
            <w:noWrap w:val="0"/>
            <w:vAlign w:val="center"/>
          </w:tcPr>
          <w:p w14:paraId="38CB3140">
            <w:pPr>
              <w:pageBreakBefore w:val="0"/>
              <w:widowControl/>
              <w:overflowPunct/>
              <w:topLinePunct w:val="0"/>
              <w:bidi w:val="0"/>
              <w:snapToGrid/>
              <w:spacing w:line="360" w:lineRule="auto"/>
              <w:ind w:left="0" w:leftChars="0" w:right="0" w:rightChars="0"/>
              <w:jc w:val="left"/>
              <w:rPr>
                <w:rFonts w:hint="eastAsia" w:ascii="楷体" w:hAnsi="楷体" w:eastAsia="楷体" w:cs="楷体"/>
                <w:color w:val="auto"/>
                <w:highlight w:val="none"/>
              </w:rPr>
            </w:pPr>
          </w:p>
        </w:tc>
        <w:tc>
          <w:tcPr>
            <w:tcW w:w="917" w:type="dxa"/>
            <w:noWrap w:val="0"/>
            <w:vAlign w:val="center"/>
          </w:tcPr>
          <w:p w14:paraId="30AAD7B5">
            <w:pPr>
              <w:pageBreakBefore w:val="0"/>
              <w:widowControl/>
              <w:overflowPunct/>
              <w:topLinePunct w:val="0"/>
              <w:bidi w:val="0"/>
              <w:snapToGrid/>
              <w:spacing w:line="360" w:lineRule="auto"/>
              <w:ind w:left="0" w:leftChars="0" w:right="0" w:rightChars="0"/>
              <w:jc w:val="left"/>
              <w:rPr>
                <w:rFonts w:hint="eastAsia" w:ascii="楷体" w:hAnsi="楷体" w:eastAsia="楷体" w:cs="楷体"/>
                <w:color w:val="auto"/>
                <w:highlight w:val="none"/>
              </w:rPr>
            </w:pPr>
          </w:p>
        </w:tc>
        <w:tc>
          <w:tcPr>
            <w:tcW w:w="917" w:type="dxa"/>
            <w:noWrap w:val="0"/>
            <w:vAlign w:val="center"/>
          </w:tcPr>
          <w:p w14:paraId="71EFFA6D">
            <w:pPr>
              <w:pageBreakBefore w:val="0"/>
              <w:widowControl/>
              <w:overflowPunct/>
              <w:topLinePunct w:val="0"/>
              <w:bidi w:val="0"/>
              <w:snapToGrid/>
              <w:spacing w:line="360" w:lineRule="auto"/>
              <w:ind w:left="0" w:leftChars="0" w:right="0" w:rightChars="0"/>
              <w:jc w:val="left"/>
              <w:rPr>
                <w:rFonts w:hint="eastAsia" w:ascii="楷体" w:hAnsi="楷体" w:eastAsia="楷体" w:cs="楷体"/>
                <w:color w:val="auto"/>
                <w:highlight w:val="none"/>
              </w:rPr>
            </w:pPr>
          </w:p>
        </w:tc>
      </w:tr>
      <w:tr w14:paraId="5475B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0" w:hRule="exact"/>
          <w:jc w:val="center"/>
        </w:trPr>
        <w:tc>
          <w:tcPr>
            <w:tcW w:w="8473" w:type="dxa"/>
            <w:gridSpan w:val="4"/>
            <w:noWrap w:val="0"/>
            <w:vAlign w:val="center"/>
          </w:tcPr>
          <w:p w14:paraId="18627F9C">
            <w:pPr>
              <w:pageBreakBefore w:val="0"/>
              <w:overflowPunct/>
              <w:topLinePunct w:val="0"/>
              <w:bidi w:val="0"/>
              <w:snapToGrid/>
              <w:spacing w:line="360" w:lineRule="auto"/>
              <w:ind w:left="0" w:leftChars="0" w:right="0" w:rightChars="0"/>
              <w:rPr>
                <w:rFonts w:hint="eastAsia" w:ascii="楷体" w:hAnsi="楷体" w:eastAsia="楷体" w:cs="楷体"/>
                <w:sz w:val="21"/>
                <w:szCs w:val="21"/>
                <w:highlight w:val="none"/>
              </w:rPr>
            </w:pPr>
            <w:r>
              <w:rPr>
                <w:rFonts w:hint="eastAsia" w:ascii="楷体" w:hAnsi="楷体" w:eastAsia="楷体" w:cs="楷体"/>
                <w:sz w:val="21"/>
                <w:szCs w:val="21"/>
                <w:highlight w:val="none"/>
              </w:rPr>
              <w:t>磋商报价（大写）：</w:t>
            </w:r>
            <w:r>
              <w:rPr>
                <w:rFonts w:hint="eastAsia" w:ascii="楷体" w:hAnsi="楷体" w:eastAsia="楷体" w:cs="楷体"/>
                <w:sz w:val="21"/>
                <w:szCs w:val="21"/>
                <w:highlight w:val="none"/>
                <w:u w:val="single"/>
                <w:lang w:val="en-US" w:eastAsia="zh-CN"/>
              </w:rPr>
              <w:t>人民币</w:t>
            </w:r>
            <w:r>
              <w:rPr>
                <w:rFonts w:hint="eastAsia" w:ascii="楷体" w:hAnsi="楷体" w:eastAsia="楷体" w:cs="楷体"/>
                <w:sz w:val="21"/>
                <w:szCs w:val="21"/>
                <w:highlight w:val="none"/>
                <w:u w:val="single"/>
              </w:rPr>
              <w:t xml:space="preserve">                        </w:t>
            </w:r>
            <w:r>
              <w:rPr>
                <w:rFonts w:hint="eastAsia" w:ascii="楷体" w:hAnsi="楷体" w:eastAsia="楷体" w:cs="楷体"/>
                <w:sz w:val="21"/>
                <w:szCs w:val="21"/>
                <w:highlight w:val="none"/>
              </w:rPr>
              <w:t>（小写：￥</w:t>
            </w:r>
            <w:r>
              <w:rPr>
                <w:rFonts w:hint="eastAsia" w:ascii="楷体" w:hAnsi="楷体" w:eastAsia="楷体" w:cs="楷体"/>
                <w:sz w:val="21"/>
                <w:szCs w:val="21"/>
                <w:highlight w:val="none"/>
                <w:u w:val="single"/>
              </w:rPr>
              <w:t xml:space="preserve">         </w:t>
            </w:r>
            <w:r>
              <w:rPr>
                <w:rFonts w:hint="eastAsia" w:ascii="楷体" w:hAnsi="楷体" w:eastAsia="楷体" w:cs="楷体"/>
                <w:sz w:val="21"/>
                <w:szCs w:val="21"/>
                <w:highlight w:val="none"/>
              </w:rPr>
              <w:t>元）</w:t>
            </w:r>
          </w:p>
        </w:tc>
      </w:tr>
      <w:tr w14:paraId="53B68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8" w:hRule="exact"/>
          <w:jc w:val="center"/>
        </w:trPr>
        <w:tc>
          <w:tcPr>
            <w:tcW w:w="8473" w:type="dxa"/>
            <w:gridSpan w:val="4"/>
            <w:noWrap w:val="0"/>
            <w:vAlign w:val="center"/>
          </w:tcPr>
          <w:p w14:paraId="0D7E39F6">
            <w:pPr>
              <w:pageBreakBefore w:val="0"/>
              <w:overflowPunct/>
              <w:topLinePunct w:val="0"/>
              <w:bidi w:val="0"/>
              <w:snapToGrid/>
              <w:spacing w:line="360" w:lineRule="auto"/>
              <w:ind w:left="0" w:right="0" w:rightChars="0"/>
              <w:jc w:val="left"/>
              <w:rPr>
                <w:rFonts w:hint="eastAsia" w:ascii="楷体" w:hAnsi="楷体" w:eastAsia="楷体" w:cs="楷体"/>
                <w:sz w:val="21"/>
                <w:szCs w:val="21"/>
                <w:highlight w:val="none"/>
                <w:lang w:val="en-US" w:eastAsia="zh-CN"/>
              </w:rPr>
            </w:pPr>
            <w:r>
              <w:rPr>
                <w:rFonts w:hint="eastAsia" w:ascii="楷体" w:hAnsi="楷体" w:eastAsia="楷体" w:cs="楷体"/>
                <w:sz w:val="21"/>
                <w:szCs w:val="21"/>
                <w:highlight w:val="none"/>
              </w:rPr>
              <w:t>备注：</w:t>
            </w:r>
            <w:r>
              <w:rPr>
                <w:rFonts w:hint="eastAsia" w:ascii="楷体" w:hAnsi="楷体" w:eastAsia="楷体" w:cs="楷体"/>
                <w:sz w:val="21"/>
                <w:szCs w:val="21"/>
                <w:highlight w:val="none"/>
                <w:lang w:val="en-US" w:eastAsia="zh-CN"/>
              </w:rPr>
              <w:t>1、磋商报价为各产品单批次检测费用总和；</w:t>
            </w:r>
          </w:p>
          <w:p w14:paraId="58327169">
            <w:pPr>
              <w:pageBreakBefore w:val="0"/>
              <w:numPr>
                <w:ilvl w:val="0"/>
                <w:numId w:val="12"/>
              </w:numPr>
              <w:overflowPunct/>
              <w:topLinePunct w:val="0"/>
              <w:bidi w:val="0"/>
              <w:snapToGrid/>
              <w:spacing w:line="360" w:lineRule="auto"/>
              <w:ind w:left="0" w:right="0" w:rightChars="0"/>
              <w:jc w:val="left"/>
              <w:rPr>
                <w:rFonts w:hint="eastAsia" w:ascii="楷体" w:hAnsi="楷体" w:eastAsia="楷体" w:cs="楷体"/>
                <w:sz w:val="21"/>
                <w:szCs w:val="21"/>
                <w:highlight w:val="none"/>
              </w:rPr>
            </w:pPr>
            <w:r>
              <w:rPr>
                <w:rFonts w:hint="eastAsia" w:ascii="楷体" w:hAnsi="楷体" w:eastAsia="楷体" w:cs="楷体"/>
                <w:sz w:val="21"/>
                <w:szCs w:val="21"/>
                <w:highlight w:val="none"/>
              </w:rPr>
              <w:t>表内报价内容以元为单位，保留小数点后两位</w:t>
            </w:r>
            <w:r>
              <w:rPr>
                <w:rFonts w:hint="eastAsia" w:ascii="楷体" w:hAnsi="楷体" w:eastAsia="楷体" w:cs="楷体"/>
                <w:sz w:val="21"/>
                <w:szCs w:val="21"/>
                <w:highlight w:val="none"/>
                <w:lang w:eastAsia="zh-CN"/>
              </w:rPr>
              <w:t>；</w:t>
            </w:r>
          </w:p>
          <w:p w14:paraId="209031AF">
            <w:pPr>
              <w:pageBreakBefore w:val="0"/>
              <w:numPr>
                <w:ilvl w:val="0"/>
                <w:numId w:val="12"/>
              </w:numPr>
              <w:overflowPunct/>
              <w:topLinePunct w:val="0"/>
              <w:bidi w:val="0"/>
              <w:snapToGrid/>
              <w:spacing w:line="360" w:lineRule="auto"/>
              <w:ind w:left="0" w:leftChars="0" w:right="0" w:rightChars="0"/>
              <w:jc w:val="left"/>
              <w:rPr>
                <w:rFonts w:hint="eastAsia" w:ascii="楷体" w:hAnsi="楷体" w:eastAsia="楷体" w:cs="楷体"/>
                <w:sz w:val="21"/>
                <w:szCs w:val="21"/>
                <w:highlight w:val="none"/>
                <w:lang w:val="en-US" w:eastAsia="zh-CN"/>
              </w:rPr>
            </w:pPr>
            <w:r>
              <w:rPr>
                <w:rFonts w:hint="eastAsia" w:ascii="楷体" w:hAnsi="楷体" w:eastAsia="楷体" w:cs="楷体"/>
                <w:sz w:val="21"/>
                <w:szCs w:val="21"/>
                <w:highlight w:val="none"/>
                <w:lang w:val="en-US" w:eastAsia="zh-CN"/>
              </w:rPr>
              <w:t>供应商的报价是供应商响应磋商项目要求的全部工作内容的价格体现，包括供应商完成本项目所需</w:t>
            </w:r>
            <w:r>
              <w:rPr>
                <w:rFonts w:hint="eastAsia" w:ascii="楷体" w:hAnsi="楷体" w:eastAsia="楷体" w:cs="楷体"/>
                <w:color w:val="auto"/>
                <w:spacing w:val="4"/>
                <w:szCs w:val="24"/>
                <w:highlight w:val="none"/>
                <w:lang w:val="en-US" w:eastAsia="zh-CN"/>
              </w:rPr>
              <w:t>的</w:t>
            </w:r>
            <w:r>
              <w:rPr>
                <w:rFonts w:hint="eastAsia" w:ascii="楷体" w:hAnsi="楷体" w:eastAsia="楷体" w:cs="楷体"/>
                <w:sz w:val="21"/>
                <w:szCs w:val="21"/>
                <w:highlight w:val="none"/>
                <w:lang w:val="en-US" w:eastAsia="zh-CN"/>
              </w:rPr>
              <w:t>一切费用（购样费、检验费等相关一切费用）。</w:t>
            </w:r>
          </w:p>
        </w:tc>
      </w:tr>
    </w:tbl>
    <w:p w14:paraId="0BF42E8E">
      <w:pPr>
        <w:pStyle w:val="7"/>
        <w:ind w:firstLine="480"/>
        <w:rPr>
          <w:rFonts w:hint="eastAsia" w:ascii="楷体" w:hAnsi="楷体" w:eastAsia="楷体" w:cs="楷体"/>
          <w:color w:val="auto"/>
          <w:sz w:val="24"/>
          <w:highlight w:val="none"/>
        </w:rPr>
      </w:pPr>
    </w:p>
    <w:p w14:paraId="27F949BF">
      <w:pPr>
        <w:pStyle w:val="7"/>
        <w:ind w:firstLine="0" w:firstLineChars="0"/>
        <w:rPr>
          <w:rFonts w:hint="eastAsia" w:ascii="楷体" w:hAnsi="楷体" w:eastAsia="楷体" w:cs="楷体"/>
          <w:color w:val="auto"/>
          <w:sz w:val="24"/>
          <w:highlight w:val="none"/>
        </w:rPr>
      </w:pPr>
    </w:p>
    <w:p w14:paraId="28E1E65A">
      <w:pPr>
        <w:spacing w:line="360" w:lineRule="auto"/>
        <w:jc w:val="left"/>
        <w:rPr>
          <w:rFonts w:hint="eastAsia" w:ascii="楷体" w:hAnsi="楷体" w:eastAsia="楷体" w:cs="楷体"/>
          <w:color w:val="auto"/>
          <w:szCs w:val="24"/>
          <w:highlight w:val="none"/>
        </w:rPr>
      </w:pPr>
      <w:r>
        <w:rPr>
          <w:rFonts w:hint="eastAsia" w:ascii="楷体" w:hAnsi="楷体" w:eastAsia="楷体" w:cs="楷体"/>
          <w:color w:val="auto"/>
          <w:szCs w:val="24"/>
          <w:highlight w:val="none"/>
        </w:rPr>
        <w:t>供应商名称（公章）：</w:t>
      </w:r>
    </w:p>
    <w:p w14:paraId="06F61185">
      <w:pPr>
        <w:spacing w:line="360" w:lineRule="auto"/>
        <w:jc w:val="left"/>
        <w:rPr>
          <w:rFonts w:hint="eastAsia" w:ascii="楷体" w:hAnsi="楷体" w:eastAsia="楷体" w:cs="楷体"/>
          <w:color w:val="auto"/>
          <w:szCs w:val="24"/>
          <w:highlight w:val="none"/>
        </w:rPr>
      </w:pPr>
      <w:r>
        <w:rPr>
          <w:rFonts w:hint="eastAsia" w:ascii="楷体" w:hAnsi="楷体" w:eastAsia="楷体" w:cs="楷体"/>
          <w:color w:val="auto"/>
          <w:szCs w:val="24"/>
          <w:highlight w:val="none"/>
        </w:rPr>
        <w:t>法定代表人/被授权人（</w:t>
      </w:r>
      <w:r>
        <w:rPr>
          <w:rFonts w:hint="eastAsia" w:ascii="楷体" w:hAnsi="楷体" w:eastAsia="楷体" w:cs="楷体"/>
          <w:color w:val="auto"/>
          <w:spacing w:val="4"/>
          <w:szCs w:val="24"/>
          <w:highlight w:val="none"/>
        </w:rPr>
        <w:t>签字或盖章</w:t>
      </w:r>
      <w:r>
        <w:rPr>
          <w:rFonts w:hint="eastAsia" w:ascii="楷体" w:hAnsi="楷体" w:eastAsia="楷体" w:cs="楷体"/>
          <w:color w:val="auto"/>
          <w:szCs w:val="24"/>
          <w:highlight w:val="none"/>
        </w:rPr>
        <w:t>）：</w:t>
      </w:r>
    </w:p>
    <w:p w14:paraId="06D32BA4">
      <w:pPr>
        <w:spacing w:line="360" w:lineRule="auto"/>
        <w:jc w:val="left"/>
        <w:rPr>
          <w:rFonts w:hint="eastAsia" w:ascii="楷体" w:hAnsi="楷体" w:eastAsia="楷体" w:cs="楷体"/>
          <w:color w:val="auto"/>
          <w:szCs w:val="24"/>
          <w:highlight w:val="none"/>
        </w:rPr>
      </w:pPr>
      <w:r>
        <w:rPr>
          <w:rFonts w:hint="eastAsia" w:ascii="楷体" w:hAnsi="楷体" w:eastAsia="楷体" w:cs="楷体"/>
          <w:color w:val="auto"/>
          <w:szCs w:val="24"/>
          <w:highlight w:val="none"/>
        </w:rPr>
        <w:t>日    期：</w:t>
      </w:r>
    </w:p>
    <w:p w14:paraId="69482EDE">
      <w:pPr>
        <w:spacing w:line="360" w:lineRule="auto"/>
        <w:jc w:val="center"/>
        <w:rPr>
          <w:rFonts w:hint="eastAsia" w:ascii="楷体" w:hAnsi="楷体" w:eastAsia="楷体" w:cs="楷体"/>
          <w:b/>
          <w:bCs/>
          <w:color w:val="auto"/>
          <w:sz w:val="32"/>
          <w:szCs w:val="32"/>
          <w:highlight w:val="none"/>
          <w:lang w:val="en-US" w:eastAsia="zh-CN"/>
        </w:rPr>
      </w:pPr>
    </w:p>
    <w:p w14:paraId="08E6B775">
      <w:pPr>
        <w:spacing w:line="360" w:lineRule="auto"/>
        <w:jc w:val="center"/>
        <w:rPr>
          <w:rFonts w:hint="eastAsia" w:ascii="楷体" w:hAnsi="楷体" w:eastAsia="楷体" w:cs="楷体"/>
          <w:b/>
          <w:bCs/>
          <w:color w:val="auto"/>
          <w:sz w:val="32"/>
          <w:szCs w:val="32"/>
          <w:highlight w:val="none"/>
          <w:lang w:val="en-US" w:eastAsia="zh-CN"/>
        </w:rPr>
      </w:pPr>
    </w:p>
    <w:p w14:paraId="34B0B61D">
      <w:pPr>
        <w:spacing w:line="360" w:lineRule="auto"/>
        <w:jc w:val="center"/>
        <w:rPr>
          <w:rFonts w:hint="eastAsia" w:ascii="楷体" w:hAnsi="楷体" w:eastAsia="楷体" w:cs="楷体"/>
          <w:b/>
          <w:bCs/>
          <w:color w:val="auto"/>
          <w:sz w:val="32"/>
          <w:szCs w:val="32"/>
          <w:highlight w:val="none"/>
          <w:lang w:val="en-US" w:eastAsia="zh-CN"/>
        </w:rPr>
      </w:pPr>
    </w:p>
    <w:p w14:paraId="717E6EA3">
      <w:pPr>
        <w:spacing w:line="360" w:lineRule="auto"/>
        <w:jc w:val="center"/>
        <w:rPr>
          <w:rFonts w:hint="eastAsia" w:ascii="楷体" w:hAnsi="楷体" w:eastAsia="楷体" w:cs="楷体"/>
          <w:b/>
          <w:bCs/>
          <w:color w:val="auto"/>
          <w:sz w:val="32"/>
          <w:szCs w:val="32"/>
          <w:highlight w:val="none"/>
          <w:lang w:val="en-US" w:eastAsia="zh-CN"/>
        </w:rPr>
      </w:pPr>
    </w:p>
    <w:p w14:paraId="5AE14685">
      <w:pPr>
        <w:spacing w:line="360" w:lineRule="auto"/>
        <w:jc w:val="center"/>
        <w:rPr>
          <w:rFonts w:hint="eastAsia" w:ascii="楷体" w:hAnsi="楷体" w:eastAsia="楷体" w:cs="楷体"/>
          <w:b/>
          <w:bCs/>
          <w:color w:val="auto"/>
          <w:sz w:val="32"/>
          <w:szCs w:val="32"/>
          <w:highlight w:val="none"/>
          <w:lang w:val="en-US" w:eastAsia="zh-CN"/>
        </w:rPr>
      </w:pPr>
    </w:p>
    <w:p w14:paraId="4EF337ED">
      <w:pPr>
        <w:spacing w:line="360" w:lineRule="auto"/>
        <w:jc w:val="center"/>
        <w:rPr>
          <w:rFonts w:hint="eastAsia" w:ascii="楷体" w:hAnsi="楷体" w:eastAsia="楷体" w:cs="楷体"/>
          <w:b/>
          <w:bCs/>
          <w:color w:val="auto"/>
          <w:sz w:val="32"/>
          <w:szCs w:val="32"/>
          <w:highlight w:val="none"/>
        </w:rPr>
      </w:pPr>
      <w:r>
        <w:rPr>
          <w:rFonts w:hint="eastAsia" w:ascii="楷体" w:hAnsi="楷体" w:eastAsia="楷体" w:cs="楷体"/>
          <w:b/>
          <w:bCs/>
          <w:color w:val="auto"/>
          <w:sz w:val="32"/>
          <w:szCs w:val="32"/>
          <w:highlight w:val="none"/>
          <w:lang w:val="en-US" w:eastAsia="zh-CN"/>
        </w:rPr>
        <w:br w:type="page"/>
      </w:r>
      <w:r>
        <w:rPr>
          <w:rFonts w:hint="eastAsia" w:ascii="楷体" w:hAnsi="楷体" w:eastAsia="楷体" w:cs="楷体"/>
          <w:b/>
          <w:bCs/>
          <w:color w:val="auto"/>
          <w:sz w:val="32"/>
          <w:szCs w:val="32"/>
          <w:highlight w:val="none"/>
          <w:lang w:val="en-US" w:eastAsia="zh-CN"/>
        </w:rPr>
        <w:t>3</w:t>
      </w:r>
      <w:r>
        <w:rPr>
          <w:rFonts w:hint="eastAsia" w:ascii="楷体" w:hAnsi="楷体" w:eastAsia="楷体" w:cs="楷体"/>
          <w:b/>
          <w:bCs/>
          <w:color w:val="auto"/>
          <w:sz w:val="32"/>
          <w:szCs w:val="32"/>
          <w:highlight w:val="none"/>
        </w:rPr>
        <w:t>.2分项报价表</w:t>
      </w:r>
    </w:p>
    <w:p w14:paraId="383DC4CF">
      <w:pPr>
        <w:spacing w:line="360" w:lineRule="auto"/>
        <w:jc w:val="center"/>
        <w:rPr>
          <w:rFonts w:hint="default" w:ascii="楷体" w:hAnsi="楷体" w:eastAsia="楷体" w:cs="楷体"/>
          <w:b/>
          <w:bCs/>
          <w:color w:val="auto"/>
          <w:sz w:val="32"/>
          <w:szCs w:val="32"/>
          <w:highlight w:val="none"/>
          <w:lang w:val="en-US" w:eastAsia="zh-CN"/>
        </w:rPr>
      </w:pPr>
      <w:r>
        <w:rPr>
          <w:rFonts w:hint="eastAsia" w:ascii="楷体" w:hAnsi="楷体" w:eastAsia="楷体" w:cs="楷体"/>
          <w:b/>
          <w:bCs/>
          <w:color w:val="auto"/>
          <w:sz w:val="32"/>
          <w:szCs w:val="32"/>
          <w:highlight w:val="none"/>
          <w:lang w:val="en-US" w:eastAsia="zh-CN"/>
        </w:rPr>
        <w:t>3.2.1分项报价表（一次）</w:t>
      </w:r>
    </w:p>
    <w:p w14:paraId="6CE77B9D">
      <w:pPr>
        <w:spacing w:line="360" w:lineRule="auto"/>
        <w:jc w:val="left"/>
        <w:rPr>
          <w:rFonts w:hint="eastAsia" w:ascii="楷体" w:hAnsi="楷体" w:eastAsia="楷体" w:cs="楷体"/>
          <w:color w:val="auto"/>
          <w:szCs w:val="24"/>
          <w:highlight w:val="none"/>
        </w:rPr>
      </w:pPr>
      <w:r>
        <w:rPr>
          <w:rFonts w:hint="eastAsia" w:ascii="宋体" w:hAnsi="宋体" w:eastAsia="宋体" w:cs="宋体"/>
          <w:b/>
          <w:sz w:val="21"/>
          <w:szCs w:val="21"/>
          <w:highlight w:val="none"/>
          <w:lang w:val="en-US" w:eastAsia="zh-CN"/>
        </w:rPr>
        <w:t>采购包1</w:t>
      </w:r>
      <w:r>
        <w:rPr>
          <w:rFonts w:hint="eastAsia" w:ascii="宋体" w:hAnsi="宋体" w:eastAsia="宋体" w:cs="宋体"/>
          <w:b/>
          <w:sz w:val="21"/>
          <w:szCs w:val="21"/>
          <w:highlight w:val="none"/>
        </w:rPr>
        <w:t xml:space="preserve"> </w:t>
      </w:r>
    </w:p>
    <w:tbl>
      <w:tblPr>
        <w:tblStyle w:val="18"/>
        <w:tblW w:w="9758" w:type="dxa"/>
        <w:tblInd w:w="-1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4"/>
        <w:gridCol w:w="2431"/>
        <w:gridCol w:w="4451"/>
        <w:gridCol w:w="1672"/>
      </w:tblGrid>
      <w:tr w14:paraId="37695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4" w:hRule="atLeast"/>
        </w:trPr>
        <w:tc>
          <w:tcPr>
            <w:tcW w:w="1204" w:type="dxa"/>
            <w:noWrap w:val="0"/>
            <w:vAlign w:val="center"/>
          </w:tcPr>
          <w:p w14:paraId="0208B5C4">
            <w:pPr>
              <w:pageBreakBefore w:val="0"/>
              <w:overflowPunct/>
              <w:topLinePunct w:val="0"/>
              <w:bidi w:val="0"/>
              <w:snapToGrid/>
              <w:spacing w:line="360" w:lineRule="auto"/>
              <w:ind w:left="0" w:right="0" w:rightChars="0"/>
              <w:jc w:val="center"/>
              <w:rPr>
                <w:rFonts w:hint="eastAsia" w:ascii="楷体" w:hAnsi="楷体" w:eastAsia="楷体" w:cs="楷体"/>
                <w:b w:val="0"/>
                <w:bCs/>
                <w:sz w:val="21"/>
                <w:szCs w:val="21"/>
                <w:highlight w:val="none"/>
                <w:lang w:val="en-US" w:eastAsia="zh-CN"/>
              </w:rPr>
            </w:pPr>
            <w:r>
              <w:rPr>
                <w:rFonts w:hint="eastAsia" w:ascii="楷体" w:hAnsi="楷体" w:eastAsia="楷体" w:cs="楷体"/>
                <w:b w:val="0"/>
                <w:bCs/>
                <w:sz w:val="21"/>
                <w:szCs w:val="21"/>
                <w:highlight w:val="none"/>
                <w:lang w:val="en-US" w:eastAsia="zh-CN"/>
              </w:rPr>
              <w:t>产品名称</w:t>
            </w:r>
          </w:p>
        </w:tc>
        <w:tc>
          <w:tcPr>
            <w:tcW w:w="2431" w:type="dxa"/>
            <w:noWrap w:val="0"/>
            <w:vAlign w:val="center"/>
          </w:tcPr>
          <w:p w14:paraId="61F863C8">
            <w:pPr>
              <w:pageBreakBefore w:val="0"/>
              <w:overflowPunct/>
              <w:topLinePunct w:val="0"/>
              <w:bidi w:val="0"/>
              <w:snapToGrid/>
              <w:spacing w:line="360" w:lineRule="auto"/>
              <w:ind w:left="0" w:right="0" w:rightChars="0"/>
              <w:jc w:val="center"/>
              <w:rPr>
                <w:rFonts w:hint="eastAsia" w:ascii="楷体" w:hAnsi="楷体" w:eastAsia="楷体" w:cs="楷体"/>
                <w:b w:val="0"/>
                <w:bCs/>
                <w:sz w:val="21"/>
                <w:szCs w:val="21"/>
                <w:highlight w:val="none"/>
                <w:lang w:val="en-US" w:eastAsia="zh-CN"/>
              </w:rPr>
            </w:pPr>
            <w:r>
              <w:rPr>
                <w:rFonts w:hint="eastAsia" w:ascii="楷体" w:hAnsi="楷体" w:eastAsia="楷体" w:cs="楷体"/>
                <w:b w:val="0"/>
                <w:bCs/>
                <w:sz w:val="21"/>
                <w:szCs w:val="21"/>
                <w:highlight w:val="none"/>
                <w:lang w:val="en-US" w:eastAsia="zh-CN"/>
              </w:rPr>
              <w:t>执行标准</w:t>
            </w:r>
          </w:p>
        </w:tc>
        <w:tc>
          <w:tcPr>
            <w:tcW w:w="4451" w:type="dxa"/>
            <w:noWrap w:val="0"/>
            <w:vAlign w:val="center"/>
          </w:tcPr>
          <w:p w14:paraId="06C17C9F">
            <w:pPr>
              <w:pageBreakBefore w:val="0"/>
              <w:overflowPunct/>
              <w:topLinePunct w:val="0"/>
              <w:bidi w:val="0"/>
              <w:snapToGrid/>
              <w:spacing w:line="360" w:lineRule="auto"/>
              <w:ind w:left="0" w:right="0" w:rightChars="0"/>
              <w:jc w:val="center"/>
              <w:rPr>
                <w:rFonts w:hint="eastAsia" w:ascii="楷体" w:hAnsi="楷体" w:eastAsia="楷体" w:cs="楷体"/>
                <w:b w:val="0"/>
                <w:bCs/>
                <w:sz w:val="21"/>
                <w:szCs w:val="21"/>
                <w:highlight w:val="none"/>
                <w:lang w:val="en-US" w:eastAsia="zh-CN"/>
              </w:rPr>
            </w:pPr>
            <w:r>
              <w:rPr>
                <w:rFonts w:hint="eastAsia" w:ascii="楷体" w:hAnsi="楷体" w:eastAsia="楷体" w:cs="楷体"/>
                <w:b w:val="0"/>
                <w:bCs/>
                <w:sz w:val="21"/>
                <w:szCs w:val="21"/>
                <w:highlight w:val="none"/>
                <w:lang w:val="en-US" w:eastAsia="zh-CN"/>
              </w:rPr>
              <w:t>检测项目分项报价</w:t>
            </w:r>
          </w:p>
        </w:tc>
        <w:tc>
          <w:tcPr>
            <w:tcW w:w="1672" w:type="dxa"/>
            <w:noWrap w:val="0"/>
            <w:vAlign w:val="center"/>
          </w:tcPr>
          <w:p w14:paraId="0D26237E">
            <w:pPr>
              <w:pageBreakBefore w:val="0"/>
              <w:overflowPunct/>
              <w:topLinePunct w:val="0"/>
              <w:bidi w:val="0"/>
              <w:snapToGrid/>
              <w:spacing w:line="360" w:lineRule="auto"/>
              <w:ind w:left="0" w:right="0" w:rightChars="0"/>
              <w:jc w:val="center"/>
              <w:rPr>
                <w:rFonts w:hint="eastAsia" w:ascii="楷体" w:hAnsi="楷体" w:eastAsia="楷体" w:cs="楷体"/>
                <w:b w:val="0"/>
                <w:bCs/>
                <w:sz w:val="21"/>
                <w:szCs w:val="21"/>
                <w:highlight w:val="none"/>
                <w:lang w:val="en-US" w:eastAsia="zh-CN"/>
              </w:rPr>
            </w:pPr>
            <w:r>
              <w:rPr>
                <w:rFonts w:hint="eastAsia" w:ascii="楷体" w:hAnsi="楷体" w:eastAsia="楷体" w:cs="楷体"/>
                <w:b w:val="0"/>
                <w:bCs/>
                <w:sz w:val="21"/>
                <w:szCs w:val="21"/>
                <w:highlight w:val="none"/>
                <w:lang w:val="en-US" w:eastAsia="zh-CN"/>
              </w:rPr>
              <w:t>各产品单批次检测费用总和</w:t>
            </w:r>
          </w:p>
        </w:tc>
      </w:tr>
      <w:tr w14:paraId="2DEA1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3" w:hRule="atLeast"/>
        </w:trPr>
        <w:tc>
          <w:tcPr>
            <w:tcW w:w="1204" w:type="dxa"/>
            <w:noWrap w:val="0"/>
            <w:vAlign w:val="center"/>
          </w:tcPr>
          <w:p w14:paraId="4026ED3E">
            <w:pPr>
              <w:pageBreakBefore w:val="0"/>
              <w:overflowPunct/>
              <w:topLinePunct w:val="0"/>
              <w:bidi w:val="0"/>
              <w:snapToGrid/>
              <w:spacing w:line="360" w:lineRule="auto"/>
              <w:ind w:left="0" w:right="0" w:rightChars="0"/>
              <w:jc w:val="center"/>
              <w:rPr>
                <w:rFonts w:hint="eastAsia" w:ascii="楷体" w:hAnsi="楷体" w:eastAsia="楷体" w:cs="楷体"/>
                <w:bCs/>
                <w:color w:val="auto"/>
                <w:sz w:val="21"/>
                <w:szCs w:val="21"/>
                <w:highlight w:val="none"/>
                <w:lang w:val="en-US" w:eastAsia="zh-CN"/>
              </w:rPr>
            </w:pPr>
            <w:r>
              <w:rPr>
                <w:rFonts w:hint="eastAsia" w:ascii="楷体" w:hAnsi="楷体" w:eastAsia="楷体" w:cs="楷体"/>
                <w:bCs/>
                <w:color w:val="auto"/>
                <w:sz w:val="21"/>
                <w:szCs w:val="21"/>
                <w:highlight w:val="none"/>
                <w:lang w:val="en-US" w:eastAsia="zh-CN"/>
              </w:rPr>
              <w:t>车用</w:t>
            </w:r>
          </w:p>
          <w:p w14:paraId="35D4D8E7">
            <w:pPr>
              <w:pageBreakBefore w:val="0"/>
              <w:overflowPunct/>
              <w:topLinePunct w:val="0"/>
              <w:bidi w:val="0"/>
              <w:snapToGrid/>
              <w:spacing w:line="360" w:lineRule="auto"/>
              <w:ind w:left="0" w:right="0" w:rightChars="0"/>
              <w:jc w:val="center"/>
              <w:rPr>
                <w:rFonts w:hint="eastAsia" w:ascii="楷体" w:hAnsi="楷体" w:eastAsia="楷体" w:cs="楷体"/>
                <w:b w:val="0"/>
                <w:bCs/>
                <w:sz w:val="21"/>
                <w:szCs w:val="21"/>
                <w:highlight w:val="none"/>
                <w:lang w:val="en-US" w:eastAsia="zh-CN"/>
              </w:rPr>
            </w:pPr>
            <w:r>
              <w:rPr>
                <w:rFonts w:hint="eastAsia" w:ascii="楷体" w:hAnsi="楷体" w:eastAsia="楷体" w:cs="楷体"/>
                <w:bCs/>
                <w:color w:val="auto"/>
                <w:sz w:val="21"/>
                <w:szCs w:val="21"/>
                <w:highlight w:val="none"/>
                <w:lang w:val="en-US" w:eastAsia="zh-CN"/>
              </w:rPr>
              <w:t>汽油</w:t>
            </w:r>
          </w:p>
        </w:tc>
        <w:tc>
          <w:tcPr>
            <w:tcW w:w="2431" w:type="dxa"/>
            <w:noWrap w:val="0"/>
            <w:vAlign w:val="center"/>
          </w:tcPr>
          <w:p w14:paraId="73CF44B4">
            <w:pPr>
              <w:pageBreakBefore w:val="0"/>
              <w:overflowPunct/>
              <w:topLinePunct w:val="0"/>
              <w:bidi w:val="0"/>
              <w:snapToGrid/>
              <w:spacing w:line="360" w:lineRule="auto"/>
              <w:ind w:left="0" w:right="0" w:rightChars="0"/>
              <w:jc w:val="left"/>
              <w:rPr>
                <w:rFonts w:hint="eastAsia" w:ascii="楷体" w:hAnsi="楷体" w:eastAsia="楷体" w:cs="楷体"/>
                <w:b w:val="0"/>
                <w:bCs/>
                <w:sz w:val="21"/>
                <w:szCs w:val="21"/>
                <w:highlight w:val="none"/>
                <w:lang w:val="en-US" w:eastAsia="zh-CN"/>
              </w:rPr>
            </w:pPr>
            <w:r>
              <w:rPr>
                <w:rFonts w:hint="eastAsia" w:ascii="楷体" w:hAnsi="楷体" w:eastAsia="楷体" w:cs="楷体"/>
                <w:bCs/>
                <w:color w:val="auto"/>
                <w:sz w:val="21"/>
                <w:szCs w:val="21"/>
                <w:highlight w:val="none"/>
              </w:rPr>
              <w:t xml:space="preserve">GB </w:t>
            </w:r>
            <w:r>
              <w:rPr>
                <w:rFonts w:hint="eastAsia" w:ascii="楷体" w:hAnsi="楷体" w:eastAsia="楷体" w:cs="楷体"/>
                <w:bCs/>
                <w:color w:val="auto"/>
                <w:sz w:val="21"/>
                <w:szCs w:val="21"/>
                <w:highlight w:val="none"/>
                <w:lang w:val="en-US" w:eastAsia="zh-CN"/>
              </w:rPr>
              <w:t>17930</w:t>
            </w:r>
            <w:r>
              <w:rPr>
                <w:rFonts w:hint="eastAsia" w:ascii="楷体" w:hAnsi="楷体" w:eastAsia="楷体" w:cs="楷体"/>
                <w:bCs/>
                <w:color w:val="auto"/>
                <w:sz w:val="21"/>
                <w:szCs w:val="21"/>
                <w:highlight w:val="none"/>
              </w:rPr>
              <w:t>—201</w:t>
            </w:r>
            <w:r>
              <w:rPr>
                <w:rFonts w:hint="eastAsia" w:ascii="楷体" w:hAnsi="楷体" w:eastAsia="楷体" w:cs="楷体"/>
                <w:bCs/>
                <w:color w:val="auto"/>
                <w:sz w:val="21"/>
                <w:szCs w:val="21"/>
                <w:highlight w:val="none"/>
                <w:lang w:val="en-US" w:eastAsia="zh-CN"/>
              </w:rPr>
              <w:t>6</w:t>
            </w:r>
            <w:r>
              <w:rPr>
                <w:rFonts w:hint="eastAsia" w:ascii="楷体" w:hAnsi="楷体" w:eastAsia="楷体" w:cs="楷体"/>
                <w:color w:val="auto"/>
                <w:sz w:val="21"/>
                <w:szCs w:val="21"/>
                <w:highlight w:val="none"/>
                <w:lang w:eastAsia="zh-CN"/>
              </w:rPr>
              <w:t>等</w:t>
            </w:r>
            <w:r>
              <w:rPr>
                <w:rFonts w:hint="eastAsia" w:ascii="楷体" w:hAnsi="楷体" w:eastAsia="楷体" w:cs="楷体"/>
                <w:color w:val="auto"/>
                <w:sz w:val="21"/>
                <w:szCs w:val="21"/>
                <w:highlight w:val="none"/>
              </w:rPr>
              <w:t>现行有效的企业标准、团体标准、地方标准及产品明示质量要求</w:t>
            </w:r>
          </w:p>
        </w:tc>
        <w:tc>
          <w:tcPr>
            <w:tcW w:w="4451" w:type="dxa"/>
            <w:noWrap w:val="0"/>
            <w:vAlign w:val="top"/>
          </w:tcPr>
          <w:p w14:paraId="17B5C82B">
            <w:pPr>
              <w:keepNext w:val="0"/>
              <w:keepLines w:val="0"/>
              <w:pageBreakBefore w:val="0"/>
              <w:widowControl w:val="0"/>
              <w:kinsoku/>
              <w:wordWrap/>
              <w:overflowPunct/>
              <w:topLinePunct w:val="0"/>
              <w:autoSpaceDE/>
              <w:autoSpaceDN/>
              <w:bidi w:val="0"/>
              <w:adjustRightInd/>
              <w:snapToGrid/>
              <w:spacing w:line="360" w:lineRule="auto"/>
              <w:ind w:left="0" w:right="0" w:rightChars="0"/>
              <w:jc w:val="left"/>
              <w:textAlignment w:val="auto"/>
              <w:rPr>
                <w:rFonts w:hint="eastAsia" w:ascii="楷体" w:hAnsi="楷体" w:eastAsia="楷体" w:cs="楷体"/>
                <w:b w:val="0"/>
                <w:bCs/>
                <w:sz w:val="21"/>
                <w:szCs w:val="21"/>
                <w:highlight w:val="none"/>
                <w:lang w:val="en-US" w:eastAsia="zh-CN"/>
              </w:rPr>
            </w:pPr>
            <w:r>
              <w:rPr>
                <w:rFonts w:hint="eastAsia" w:ascii="楷体" w:hAnsi="楷体" w:eastAsia="楷体" w:cs="楷体"/>
                <w:bCs/>
                <w:color w:val="auto"/>
                <w:sz w:val="21"/>
                <w:szCs w:val="21"/>
                <w:highlight w:val="none"/>
              </w:rPr>
              <w:t>研究法辛烷值</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rPr>
              <w:t>硫含量</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val="en-US" w:eastAsia="zh-CN"/>
              </w:rPr>
              <w:t>烯烃含量</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val="en-US" w:eastAsia="zh-CN"/>
              </w:rPr>
              <w:t>芳烃含量</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val="en-US" w:eastAsia="zh-CN"/>
              </w:rPr>
              <w:t>苯含量</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val="en-US" w:eastAsia="zh-CN"/>
              </w:rPr>
              <w:t>氧含量</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val="en-US" w:eastAsia="zh-CN"/>
              </w:rPr>
              <w:t>甲醇含量</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val="en-US" w:eastAsia="zh-CN"/>
              </w:rPr>
              <w:t>密度</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rPr>
              <w:t>蒸</w:t>
            </w:r>
            <w:r>
              <w:rPr>
                <w:rFonts w:hint="eastAsia" w:ascii="楷体" w:hAnsi="楷体" w:eastAsia="楷体" w:cs="楷体"/>
                <w:bCs/>
                <w:color w:val="auto"/>
                <w:sz w:val="21"/>
                <w:szCs w:val="21"/>
                <w:highlight w:val="none"/>
                <w:lang w:val="en-US" w:eastAsia="zh-CN"/>
              </w:rPr>
              <w:t>汽</w:t>
            </w:r>
            <w:r>
              <w:rPr>
                <w:rFonts w:hint="eastAsia" w:ascii="楷体" w:hAnsi="楷体" w:eastAsia="楷体" w:cs="楷体"/>
                <w:bCs/>
                <w:color w:val="auto"/>
                <w:sz w:val="21"/>
                <w:szCs w:val="21"/>
                <w:highlight w:val="none"/>
              </w:rPr>
              <w:t>压</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p>
        </w:tc>
        <w:tc>
          <w:tcPr>
            <w:tcW w:w="1672" w:type="dxa"/>
            <w:noWrap w:val="0"/>
            <w:vAlign w:val="center"/>
          </w:tcPr>
          <w:p w14:paraId="7A756029">
            <w:pPr>
              <w:keepNext w:val="0"/>
              <w:keepLines w:val="0"/>
              <w:pageBreakBefore w:val="0"/>
              <w:widowControl w:val="0"/>
              <w:kinsoku/>
              <w:wordWrap/>
              <w:overflowPunct/>
              <w:topLinePunct w:val="0"/>
              <w:autoSpaceDE/>
              <w:autoSpaceDN/>
              <w:bidi w:val="0"/>
              <w:adjustRightInd/>
              <w:snapToGrid/>
              <w:spacing w:line="360" w:lineRule="auto"/>
              <w:ind w:left="0" w:right="0" w:rightChars="0"/>
              <w:jc w:val="right"/>
              <w:textAlignment w:val="auto"/>
              <w:rPr>
                <w:rFonts w:hint="eastAsia" w:ascii="楷体" w:hAnsi="楷体" w:eastAsia="楷体" w:cs="楷体"/>
                <w:b w:val="0"/>
                <w:bCs/>
                <w:sz w:val="21"/>
                <w:szCs w:val="21"/>
                <w:highlight w:val="none"/>
                <w:lang w:val="en-US" w:eastAsia="zh-CN"/>
              </w:rPr>
            </w:pPr>
            <w:r>
              <w:rPr>
                <w:rFonts w:hint="eastAsia" w:ascii="楷体" w:hAnsi="楷体" w:eastAsia="楷体" w:cs="楷体"/>
                <w:b w:val="0"/>
                <w:bCs/>
                <w:sz w:val="21"/>
                <w:szCs w:val="21"/>
                <w:highlight w:val="none"/>
                <w:lang w:val="en-US" w:eastAsia="zh-CN"/>
              </w:rPr>
              <w:t>元</w:t>
            </w:r>
          </w:p>
        </w:tc>
      </w:tr>
      <w:tr w14:paraId="02CC0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2" w:hRule="atLeast"/>
        </w:trPr>
        <w:tc>
          <w:tcPr>
            <w:tcW w:w="1204" w:type="dxa"/>
            <w:noWrap w:val="0"/>
            <w:vAlign w:val="center"/>
          </w:tcPr>
          <w:p w14:paraId="63659FC8">
            <w:pPr>
              <w:pageBreakBefore w:val="0"/>
              <w:overflowPunct/>
              <w:topLinePunct w:val="0"/>
              <w:bidi w:val="0"/>
              <w:snapToGrid/>
              <w:spacing w:line="360" w:lineRule="auto"/>
              <w:ind w:left="0" w:right="0" w:rightChars="0"/>
              <w:jc w:val="center"/>
              <w:rPr>
                <w:rFonts w:hint="eastAsia" w:ascii="楷体" w:hAnsi="楷体" w:eastAsia="楷体" w:cs="楷体"/>
                <w:bCs/>
                <w:color w:val="auto"/>
                <w:sz w:val="21"/>
                <w:szCs w:val="21"/>
                <w:highlight w:val="none"/>
                <w:lang w:eastAsia="zh-CN"/>
              </w:rPr>
            </w:pPr>
            <w:r>
              <w:rPr>
                <w:rFonts w:hint="eastAsia" w:ascii="楷体" w:hAnsi="楷体" w:eastAsia="楷体" w:cs="楷体"/>
                <w:bCs/>
                <w:color w:val="auto"/>
                <w:sz w:val="21"/>
                <w:szCs w:val="21"/>
                <w:highlight w:val="none"/>
                <w:lang w:eastAsia="zh-CN"/>
              </w:rPr>
              <w:t>车用</w:t>
            </w:r>
          </w:p>
          <w:p w14:paraId="2E5EA868">
            <w:pPr>
              <w:pageBreakBefore w:val="0"/>
              <w:overflowPunct/>
              <w:topLinePunct w:val="0"/>
              <w:bidi w:val="0"/>
              <w:snapToGrid/>
              <w:spacing w:line="360" w:lineRule="auto"/>
              <w:ind w:left="0" w:right="0" w:rightChars="0"/>
              <w:jc w:val="center"/>
              <w:rPr>
                <w:rFonts w:hint="eastAsia" w:ascii="楷体" w:hAnsi="楷体" w:eastAsia="楷体" w:cs="楷体"/>
                <w:b w:val="0"/>
                <w:bCs/>
                <w:sz w:val="21"/>
                <w:szCs w:val="21"/>
                <w:highlight w:val="none"/>
                <w:lang w:val="en-US" w:eastAsia="zh-CN"/>
              </w:rPr>
            </w:pPr>
            <w:r>
              <w:rPr>
                <w:rFonts w:hint="eastAsia" w:ascii="楷体" w:hAnsi="楷体" w:eastAsia="楷体" w:cs="楷体"/>
                <w:bCs/>
                <w:color w:val="auto"/>
                <w:sz w:val="21"/>
                <w:szCs w:val="21"/>
                <w:highlight w:val="none"/>
                <w:lang w:eastAsia="zh-CN"/>
              </w:rPr>
              <w:t>柴油</w:t>
            </w:r>
          </w:p>
        </w:tc>
        <w:tc>
          <w:tcPr>
            <w:tcW w:w="2431" w:type="dxa"/>
            <w:noWrap w:val="0"/>
            <w:vAlign w:val="center"/>
          </w:tcPr>
          <w:p w14:paraId="76A296F7">
            <w:pPr>
              <w:pageBreakBefore w:val="0"/>
              <w:overflowPunct/>
              <w:topLinePunct w:val="0"/>
              <w:bidi w:val="0"/>
              <w:snapToGrid/>
              <w:spacing w:line="360" w:lineRule="auto"/>
              <w:ind w:left="0" w:right="0" w:rightChars="0"/>
              <w:jc w:val="left"/>
              <w:rPr>
                <w:rFonts w:hint="eastAsia" w:ascii="楷体" w:hAnsi="楷体" w:eastAsia="楷体" w:cs="楷体"/>
                <w:b w:val="0"/>
                <w:bCs/>
                <w:sz w:val="21"/>
                <w:szCs w:val="21"/>
                <w:highlight w:val="none"/>
                <w:lang w:val="en-US" w:eastAsia="zh-CN"/>
              </w:rPr>
            </w:pPr>
            <w:r>
              <w:rPr>
                <w:rFonts w:hint="eastAsia" w:ascii="楷体" w:hAnsi="楷体" w:eastAsia="楷体" w:cs="楷体"/>
                <w:bCs/>
                <w:color w:val="auto"/>
                <w:sz w:val="21"/>
                <w:szCs w:val="21"/>
                <w:highlight w:val="none"/>
              </w:rPr>
              <w:t>GB 1</w:t>
            </w:r>
            <w:r>
              <w:rPr>
                <w:rFonts w:hint="eastAsia" w:ascii="楷体" w:hAnsi="楷体" w:eastAsia="楷体" w:cs="楷体"/>
                <w:bCs/>
                <w:color w:val="auto"/>
                <w:sz w:val="21"/>
                <w:szCs w:val="21"/>
                <w:highlight w:val="none"/>
                <w:lang w:val="en-US" w:eastAsia="zh-CN"/>
              </w:rPr>
              <w:t>9147</w:t>
            </w:r>
            <w:r>
              <w:rPr>
                <w:rFonts w:hint="eastAsia" w:ascii="楷体" w:hAnsi="楷体" w:eastAsia="楷体" w:cs="楷体"/>
                <w:bCs/>
                <w:color w:val="auto"/>
                <w:sz w:val="21"/>
                <w:szCs w:val="21"/>
                <w:highlight w:val="none"/>
              </w:rPr>
              <w:t>-201</w:t>
            </w:r>
            <w:r>
              <w:rPr>
                <w:rFonts w:hint="eastAsia" w:ascii="楷体" w:hAnsi="楷体" w:eastAsia="楷体" w:cs="楷体"/>
                <w:bCs/>
                <w:color w:val="auto"/>
                <w:sz w:val="21"/>
                <w:szCs w:val="21"/>
                <w:highlight w:val="none"/>
                <w:lang w:val="en-US" w:eastAsia="zh-CN"/>
              </w:rPr>
              <w:t>6</w:t>
            </w:r>
            <w:r>
              <w:rPr>
                <w:rFonts w:hint="eastAsia" w:ascii="楷体" w:hAnsi="楷体" w:eastAsia="楷体" w:cs="楷体"/>
                <w:color w:val="auto"/>
                <w:sz w:val="21"/>
                <w:szCs w:val="21"/>
                <w:highlight w:val="none"/>
                <w:lang w:eastAsia="zh-CN"/>
              </w:rPr>
              <w:t>等</w:t>
            </w:r>
            <w:r>
              <w:rPr>
                <w:rFonts w:hint="eastAsia" w:ascii="楷体" w:hAnsi="楷体" w:eastAsia="楷体" w:cs="楷体"/>
                <w:color w:val="auto"/>
                <w:sz w:val="21"/>
                <w:szCs w:val="21"/>
                <w:highlight w:val="none"/>
              </w:rPr>
              <w:t>现行有效的企业标准、团体标准、地方标准及产品明示质量要求</w:t>
            </w:r>
          </w:p>
        </w:tc>
        <w:tc>
          <w:tcPr>
            <w:tcW w:w="4451" w:type="dxa"/>
            <w:noWrap w:val="0"/>
            <w:vAlign w:val="top"/>
          </w:tcPr>
          <w:p w14:paraId="6B61E336">
            <w:pPr>
              <w:keepNext w:val="0"/>
              <w:keepLines w:val="0"/>
              <w:pageBreakBefore w:val="0"/>
              <w:widowControl w:val="0"/>
              <w:kinsoku/>
              <w:wordWrap/>
              <w:overflowPunct/>
              <w:topLinePunct w:val="0"/>
              <w:autoSpaceDE/>
              <w:autoSpaceDN/>
              <w:bidi w:val="0"/>
              <w:adjustRightInd/>
              <w:snapToGrid/>
              <w:spacing w:line="360" w:lineRule="auto"/>
              <w:ind w:left="0" w:right="0" w:rightChars="0"/>
              <w:jc w:val="left"/>
              <w:textAlignment w:val="auto"/>
              <w:rPr>
                <w:rFonts w:hint="eastAsia" w:ascii="楷体" w:hAnsi="楷体" w:eastAsia="楷体" w:cs="楷体"/>
                <w:b w:val="0"/>
                <w:bCs/>
                <w:sz w:val="21"/>
                <w:szCs w:val="21"/>
                <w:highlight w:val="none"/>
                <w:lang w:val="en-US" w:eastAsia="zh-CN"/>
              </w:rPr>
            </w:pPr>
            <w:r>
              <w:rPr>
                <w:rFonts w:hint="eastAsia" w:ascii="楷体" w:hAnsi="楷体" w:eastAsia="楷体" w:cs="楷体"/>
                <w:bCs/>
                <w:color w:val="auto"/>
                <w:sz w:val="21"/>
                <w:szCs w:val="21"/>
                <w:highlight w:val="none"/>
                <w:lang w:val="en-US" w:eastAsia="zh-CN"/>
              </w:rPr>
              <w:t>十六烷值</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val="en-US" w:eastAsia="zh-CN"/>
              </w:rPr>
              <w:t>十六烷指数</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val="en-US" w:eastAsia="zh-CN"/>
              </w:rPr>
              <w:t>闪点（闭口）</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val="en-US" w:eastAsia="zh-CN"/>
              </w:rPr>
              <w:t>密度</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val="en-US" w:eastAsia="zh-CN"/>
              </w:rPr>
              <w:t>硫含量</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val="en-US" w:eastAsia="zh-CN"/>
              </w:rPr>
              <w:t>多环芳烃含量</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val="en-US" w:eastAsia="zh-CN"/>
              </w:rPr>
              <w:t>凝点</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val="en-US" w:eastAsia="zh-CN"/>
              </w:rPr>
              <w:t>冷滤点</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p>
        </w:tc>
        <w:tc>
          <w:tcPr>
            <w:tcW w:w="1672" w:type="dxa"/>
            <w:noWrap w:val="0"/>
            <w:vAlign w:val="center"/>
          </w:tcPr>
          <w:p w14:paraId="0AA93EBB">
            <w:pPr>
              <w:keepNext w:val="0"/>
              <w:keepLines w:val="0"/>
              <w:pageBreakBefore w:val="0"/>
              <w:widowControl w:val="0"/>
              <w:kinsoku/>
              <w:wordWrap/>
              <w:overflowPunct/>
              <w:topLinePunct w:val="0"/>
              <w:autoSpaceDE/>
              <w:autoSpaceDN/>
              <w:bidi w:val="0"/>
              <w:adjustRightInd/>
              <w:snapToGrid/>
              <w:spacing w:line="360" w:lineRule="auto"/>
              <w:ind w:left="0" w:right="0" w:rightChars="0"/>
              <w:jc w:val="right"/>
              <w:textAlignment w:val="auto"/>
              <w:rPr>
                <w:rFonts w:hint="eastAsia" w:ascii="楷体" w:hAnsi="楷体" w:eastAsia="楷体" w:cs="楷体"/>
                <w:b w:val="0"/>
                <w:bCs/>
                <w:sz w:val="21"/>
                <w:szCs w:val="21"/>
                <w:highlight w:val="none"/>
                <w:lang w:val="en-US" w:eastAsia="zh-CN"/>
              </w:rPr>
            </w:pPr>
            <w:r>
              <w:rPr>
                <w:rFonts w:hint="eastAsia" w:ascii="楷体" w:hAnsi="楷体" w:eastAsia="楷体" w:cs="楷体"/>
                <w:b w:val="0"/>
                <w:bCs/>
                <w:sz w:val="21"/>
                <w:szCs w:val="21"/>
                <w:highlight w:val="none"/>
                <w:lang w:val="en-US" w:eastAsia="zh-CN"/>
              </w:rPr>
              <w:t>元</w:t>
            </w:r>
          </w:p>
        </w:tc>
      </w:tr>
      <w:tr w14:paraId="7F732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5" w:hRule="atLeast"/>
        </w:trPr>
        <w:tc>
          <w:tcPr>
            <w:tcW w:w="9758" w:type="dxa"/>
            <w:gridSpan w:val="4"/>
            <w:noWrap w:val="0"/>
            <w:vAlign w:val="center"/>
          </w:tcPr>
          <w:p w14:paraId="32EB8F1A">
            <w:pPr>
              <w:keepNext w:val="0"/>
              <w:keepLines w:val="0"/>
              <w:pageBreakBefore w:val="0"/>
              <w:widowControl w:val="0"/>
              <w:kinsoku/>
              <w:wordWrap/>
              <w:overflowPunct/>
              <w:topLinePunct w:val="0"/>
              <w:autoSpaceDE/>
              <w:autoSpaceDN/>
              <w:bidi w:val="0"/>
              <w:adjustRightInd/>
              <w:snapToGrid/>
              <w:spacing w:line="360" w:lineRule="auto"/>
              <w:ind w:left="0" w:right="0" w:rightChars="0"/>
              <w:jc w:val="left"/>
              <w:textAlignment w:val="auto"/>
              <w:rPr>
                <w:rFonts w:hint="eastAsia" w:ascii="楷体" w:hAnsi="楷体" w:eastAsia="楷体" w:cs="楷体"/>
                <w:b w:val="0"/>
                <w:bCs/>
                <w:color w:val="auto"/>
                <w:sz w:val="21"/>
                <w:szCs w:val="21"/>
                <w:highlight w:val="none"/>
                <w:lang w:val="en-US" w:eastAsia="zh-CN"/>
              </w:rPr>
            </w:pPr>
            <w:r>
              <w:rPr>
                <w:rFonts w:hint="eastAsia" w:ascii="楷体" w:hAnsi="楷体" w:eastAsia="楷体" w:cs="楷体"/>
                <w:b w:val="0"/>
                <w:bCs/>
                <w:color w:val="auto"/>
                <w:sz w:val="21"/>
                <w:szCs w:val="21"/>
                <w:highlight w:val="none"/>
                <w:lang w:val="en-US" w:eastAsia="zh-CN"/>
              </w:rPr>
              <w:t>总报价（各产品单批次检测费用总和）：大写</w:t>
            </w:r>
            <w:r>
              <w:rPr>
                <w:rFonts w:hint="eastAsia" w:ascii="楷体" w:hAnsi="楷体" w:eastAsia="楷体" w:cs="楷体"/>
                <w:b w:val="0"/>
                <w:bCs/>
                <w:color w:val="auto"/>
                <w:sz w:val="21"/>
                <w:szCs w:val="21"/>
                <w:highlight w:val="none"/>
                <w:u w:val="single"/>
                <w:lang w:val="en-US" w:eastAsia="zh-CN"/>
              </w:rPr>
              <w:t xml:space="preserve">            </w:t>
            </w:r>
            <w:r>
              <w:rPr>
                <w:rFonts w:hint="eastAsia" w:ascii="楷体" w:hAnsi="楷体" w:eastAsia="楷体" w:cs="楷体"/>
                <w:b w:val="0"/>
                <w:bCs/>
                <w:color w:val="auto"/>
                <w:sz w:val="21"/>
                <w:szCs w:val="21"/>
                <w:highlight w:val="none"/>
                <w:lang w:val="en-US" w:eastAsia="zh-CN"/>
              </w:rPr>
              <w:t>（¥：</w:t>
            </w:r>
            <w:r>
              <w:rPr>
                <w:rFonts w:hint="eastAsia" w:ascii="楷体" w:hAnsi="楷体" w:eastAsia="楷体" w:cs="楷体"/>
                <w:b w:val="0"/>
                <w:bCs/>
                <w:color w:val="auto"/>
                <w:sz w:val="21"/>
                <w:szCs w:val="21"/>
                <w:highlight w:val="none"/>
                <w:u w:val="single"/>
                <w:lang w:val="en-US" w:eastAsia="zh-CN"/>
              </w:rPr>
              <w:t xml:space="preserve">       </w:t>
            </w:r>
            <w:r>
              <w:rPr>
                <w:rFonts w:hint="eastAsia" w:ascii="楷体" w:hAnsi="楷体" w:eastAsia="楷体" w:cs="楷体"/>
                <w:b w:val="0"/>
                <w:bCs/>
                <w:color w:val="auto"/>
                <w:sz w:val="21"/>
                <w:szCs w:val="21"/>
                <w:highlight w:val="none"/>
                <w:lang w:val="en-US" w:eastAsia="zh-CN"/>
              </w:rPr>
              <w:t>）</w:t>
            </w:r>
          </w:p>
          <w:p w14:paraId="126F422F">
            <w:pPr>
              <w:pStyle w:val="29"/>
              <w:jc w:val="both"/>
              <w:rPr>
                <w:rFonts w:hint="eastAsia" w:ascii="楷体" w:hAnsi="楷体" w:eastAsia="楷体" w:cs="楷体"/>
                <w:b w:val="0"/>
                <w:bCs/>
                <w:color w:val="auto"/>
                <w:sz w:val="21"/>
                <w:szCs w:val="21"/>
                <w:highlight w:val="none"/>
                <w:lang w:val="en-US" w:eastAsia="zh-CN"/>
              </w:rPr>
            </w:pPr>
          </w:p>
          <w:p w14:paraId="41D7E5CE">
            <w:pPr>
              <w:pStyle w:val="29"/>
              <w:spacing w:line="360" w:lineRule="auto"/>
              <w:jc w:val="both"/>
              <w:rPr>
                <w:rFonts w:hint="eastAsia" w:ascii="楷体" w:hAnsi="楷体" w:eastAsia="楷体" w:cs="楷体"/>
                <w:b/>
                <w:bCs w:val="0"/>
                <w:color w:val="auto"/>
                <w:sz w:val="21"/>
                <w:szCs w:val="21"/>
                <w:highlight w:val="none"/>
                <w:lang w:val="en-US" w:eastAsia="zh-CN"/>
              </w:rPr>
            </w:pPr>
            <w:r>
              <w:rPr>
                <w:rFonts w:hint="eastAsia" w:ascii="楷体" w:hAnsi="楷体" w:eastAsia="楷体" w:cs="楷体"/>
                <w:b/>
                <w:bCs w:val="0"/>
                <w:color w:val="auto"/>
                <w:sz w:val="21"/>
                <w:szCs w:val="21"/>
                <w:highlight w:val="none"/>
                <w:lang w:val="en-US" w:eastAsia="zh-CN"/>
              </w:rPr>
              <w:t>备注：1、磋商一览表所列报价须与分项报价表中“总报价（各产品单批次检测费用总和）”保持一致，否则供应商应承担一切不利后果；</w:t>
            </w:r>
          </w:p>
          <w:p w14:paraId="0D9BABEE">
            <w:pPr>
              <w:pStyle w:val="29"/>
              <w:spacing w:line="360" w:lineRule="auto"/>
              <w:jc w:val="both"/>
              <w:rPr>
                <w:rFonts w:hint="eastAsia" w:ascii="楷体" w:hAnsi="楷体" w:eastAsia="楷体" w:cs="楷体"/>
                <w:b/>
                <w:bCs w:val="0"/>
                <w:color w:val="auto"/>
                <w:sz w:val="21"/>
                <w:szCs w:val="21"/>
                <w:highlight w:val="none"/>
                <w:lang w:val="en-US" w:eastAsia="zh-CN"/>
              </w:rPr>
            </w:pPr>
            <w:r>
              <w:rPr>
                <w:rFonts w:hint="eastAsia" w:ascii="楷体" w:hAnsi="楷体" w:eastAsia="楷体" w:cs="楷体"/>
                <w:b/>
                <w:bCs w:val="0"/>
                <w:color w:val="auto"/>
                <w:sz w:val="21"/>
                <w:szCs w:val="21"/>
                <w:highlight w:val="none"/>
                <w:lang w:val="en-US" w:eastAsia="zh-CN"/>
              </w:rPr>
              <w:t>2、表内报价内容以元为单位，保留小数点后两位；</w:t>
            </w:r>
          </w:p>
          <w:p w14:paraId="48C66D8E">
            <w:pPr>
              <w:pStyle w:val="29"/>
              <w:spacing w:line="360" w:lineRule="auto"/>
              <w:jc w:val="both"/>
              <w:rPr>
                <w:rFonts w:hint="eastAsia" w:ascii="楷体" w:hAnsi="楷体" w:eastAsia="楷体" w:cs="楷体"/>
                <w:b/>
                <w:bCs w:val="0"/>
                <w:color w:val="auto"/>
                <w:sz w:val="21"/>
                <w:szCs w:val="21"/>
                <w:highlight w:val="none"/>
                <w:lang w:val="en-US" w:eastAsia="zh-CN"/>
              </w:rPr>
            </w:pPr>
            <w:r>
              <w:rPr>
                <w:rFonts w:hint="eastAsia" w:ascii="楷体" w:hAnsi="楷体" w:eastAsia="楷体" w:cs="楷体"/>
                <w:b/>
                <w:bCs w:val="0"/>
                <w:color w:val="auto"/>
                <w:sz w:val="21"/>
                <w:szCs w:val="21"/>
                <w:highlight w:val="none"/>
                <w:lang w:val="en-US" w:eastAsia="zh-CN"/>
              </w:rPr>
              <w:t>3、供应商的报价是供应商响应磋商项目要求的全部工作内容的价格体现，包括供应商完成本项目所需的一切费用（购样费、检验费等相关一切费用）。</w:t>
            </w:r>
          </w:p>
        </w:tc>
      </w:tr>
    </w:tbl>
    <w:p w14:paraId="15C8F8CD">
      <w:pPr>
        <w:spacing w:line="360" w:lineRule="auto"/>
        <w:jc w:val="left"/>
        <w:rPr>
          <w:rFonts w:hint="eastAsia" w:ascii="楷体" w:hAnsi="楷体" w:eastAsia="楷体" w:cs="楷体"/>
          <w:color w:val="auto"/>
          <w:szCs w:val="24"/>
          <w:highlight w:val="none"/>
        </w:rPr>
      </w:pPr>
    </w:p>
    <w:p w14:paraId="03AFD9DA">
      <w:pPr>
        <w:spacing w:line="360" w:lineRule="auto"/>
        <w:jc w:val="left"/>
        <w:rPr>
          <w:rFonts w:ascii="楷体" w:hAnsi="楷体" w:eastAsia="楷体" w:cs="楷体"/>
          <w:color w:val="auto"/>
          <w:szCs w:val="24"/>
          <w:highlight w:val="none"/>
        </w:rPr>
      </w:pPr>
      <w:r>
        <w:rPr>
          <w:rFonts w:hint="eastAsia" w:ascii="楷体" w:hAnsi="楷体" w:eastAsia="楷体" w:cs="楷体"/>
          <w:color w:val="auto"/>
          <w:szCs w:val="24"/>
          <w:highlight w:val="none"/>
        </w:rPr>
        <w:t>供应商名称（公章）：</w:t>
      </w:r>
    </w:p>
    <w:p w14:paraId="1D1ED58E">
      <w:pPr>
        <w:spacing w:line="360" w:lineRule="auto"/>
        <w:jc w:val="left"/>
        <w:rPr>
          <w:rFonts w:ascii="楷体" w:hAnsi="楷体" w:eastAsia="楷体" w:cs="楷体"/>
          <w:color w:val="auto"/>
          <w:szCs w:val="24"/>
          <w:highlight w:val="none"/>
        </w:rPr>
      </w:pPr>
      <w:r>
        <w:rPr>
          <w:rFonts w:hint="eastAsia" w:ascii="楷体" w:hAnsi="楷体" w:eastAsia="楷体" w:cs="楷体"/>
          <w:color w:val="auto"/>
          <w:szCs w:val="24"/>
          <w:highlight w:val="none"/>
        </w:rPr>
        <w:t>法定代表人/被授权人（</w:t>
      </w:r>
      <w:r>
        <w:rPr>
          <w:rFonts w:hint="eastAsia" w:ascii="楷体" w:hAnsi="楷体" w:eastAsia="楷体" w:cs="楷体"/>
          <w:color w:val="auto"/>
          <w:spacing w:val="4"/>
          <w:szCs w:val="24"/>
          <w:highlight w:val="none"/>
        </w:rPr>
        <w:t>签字或盖章</w:t>
      </w:r>
      <w:r>
        <w:rPr>
          <w:rFonts w:hint="eastAsia" w:ascii="楷体" w:hAnsi="楷体" w:eastAsia="楷体" w:cs="楷体"/>
          <w:color w:val="auto"/>
          <w:szCs w:val="24"/>
          <w:highlight w:val="none"/>
        </w:rPr>
        <w:t>）：</w:t>
      </w:r>
    </w:p>
    <w:p w14:paraId="1C8CAFC1">
      <w:pPr>
        <w:adjustRightInd w:val="0"/>
        <w:snapToGrid w:val="0"/>
        <w:spacing w:line="360" w:lineRule="auto"/>
        <w:jc w:val="both"/>
        <w:outlineLvl w:val="2"/>
        <w:rPr>
          <w:rFonts w:hint="eastAsia" w:ascii="楷体" w:hAnsi="楷体" w:eastAsia="楷体" w:cs="楷体"/>
          <w:color w:val="auto"/>
          <w:szCs w:val="24"/>
          <w:highlight w:val="none"/>
        </w:rPr>
      </w:pPr>
      <w:bookmarkStart w:id="210" w:name="_Toc27760"/>
      <w:bookmarkStart w:id="211" w:name="_Toc21391"/>
      <w:r>
        <w:rPr>
          <w:rFonts w:hint="eastAsia" w:ascii="楷体" w:hAnsi="楷体" w:eastAsia="楷体" w:cs="楷体"/>
          <w:color w:val="auto"/>
          <w:szCs w:val="24"/>
          <w:highlight w:val="none"/>
        </w:rPr>
        <w:t>日    期：</w:t>
      </w:r>
      <w:bookmarkEnd w:id="210"/>
      <w:bookmarkEnd w:id="211"/>
    </w:p>
    <w:p w14:paraId="7393950E">
      <w:pPr>
        <w:adjustRightInd w:val="0"/>
        <w:snapToGrid w:val="0"/>
        <w:spacing w:line="360" w:lineRule="auto"/>
        <w:jc w:val="both"/>
        <w:outlineLvl w:val="2"/>
        <w:rPr>
          <w:rFonts w:hint="eastAsia" w:ascii="楷体" w:hAnsi="楷体" w:eastAsia="楷体" w:cs="楷体"/>
          <w:color w:val="auto"/>
          <w:szCs w:val="24"/>
          <w:highlight w:val="none"/>
        </w:rPr>
      </w:pPr>
    </w:p>
    <w:p w14:paraId="7B097607">
      <w:pPr>
        <w:adjustRightInd w:val="0"/>
        <w:snapToGrid w:val="0"/>
        <w:spacing w:line="360" w:lineRule="auto"/>
        <w:jc w:val="both"/>
        <w:outlineLvl w:val="2"/>
        <w:rPr>
          <w:rFonts w:hint="eastAsia" w:ascii="楷体" w:hAnsi="楷体" w:eastAsia="楷体" w:cs="楷体"/>
          <w:color w:val="auto"/>
          <w:szCs w:val="24"/>
          <w:highlight w:val="none"/>
        </w:rPr>
      </w:pPr>
    </w:p>
    <w:p w14:paraId="4B228748">
      <w:pPr>
        <w:adjustRightInd w:val="0"/>
        <w:snapToGrid w:val="0"/>
        <w:spacing w:line="360" w:lineRule="auto"/>
        <w:jc w:val="both"/>
        <w:outlineLvl w:val="2"/>
        <w:rPr>
          <w:rFonts w:hint="eastAsia" w:ascii="楷体" w:hAnsi="楷体" w:eastAsia="楷体" w:cs="楷体"/>
          <w:color w:val="auto"/>
          <w:szCs w:val="24"/>
          <w:highlight w:val="none"/>
        </w:rPr>
      </w:pPr>
    </w:p>
    <w:p w14:paraId="58D85144">
      <w:pPr>
        <w:adjustRightInd w:val="0"/>
        <w:snapToGrid w:val="0"/>
        <w:spacing w:line="360" w:lineRule="auto"/>
        <w:jc w:val="both"/>
        <w:outlineLvl w:val="2"/>
        <w:rPr>
          <w:rFonts w:hint="eastAsia" w:ascii="楷体" w:hAnsi="楷体" w:eastAsia="楷体" w:cs="楷体"/>
          <w:color w:val="auto"/>
          <w:szCs w:val="24"/>
          <w:highlight w:val="none"/>
        </w:rPr>
      </w:pPr>
    </w:p>
    <w:p w14:paraId="67DCCEFC">
      <w:pPr>
        <w:adjustRightInd w:val="0"/>
        <w:snapToGrid w:val="0"/>
        <w:spacing w:line="360" w:lineRule="auto"/>
        <w:jc w:val="both"/>
        <w:outlineLvl w:val="2"/>
        <w:rPr>
          <w:rFonts w:hint="eastAsia" w:ascii="楷体" w:hAnsi="楷体" w:eastAsia="楷体" w:cs="楷体"/>
          <w:color w:val="auto"/>
          <w:szCs w:val="24"/>
          <w:highlight w:val="none"/>
        </w:rPr>
      </w:pPr>
    </w:p>
    <w:p w14:paraId="6BF12AAE">
      <w:pPr>
        <w:spacing w:line="360" w:lineRule="auto"/>
        <w:jc w:val="left"/>
        <w:rPr>
          <w:rFonts w:hint="eastAsia" w:ascii="楷体" w:hAnsi="楷体" w:eastAsia="楷体" w:cs="楷体"/>
          <w:color w:val="auto"/>
          <w:szCs w:val="24"/>
          <w:highlight w:val="none"/>
        </w:rPr>
      </w:pPr>
      <w:r>
        <w:rPr>
          <w:rFonts w:hint="eastAsia" w:ascii="宋体" w:hAnsi="宋体" w:eastAsia="宋体" w:cs="宋体"/>
          <w:b/>
          <w:sz w:val="21"/>
          <w:szCs w:val="21"/>
          <w:highlight w:val="none"/>
          <w:lang w:val="en-US" w:eastAsia="zh-CN"/>
        </w:rPr>
        <w:t>采购包</w:t>
      </w:r>
      <w:r>
        <w:rPr>
          <w:rFonts w:hint="eastAsia" w:hAnsi="宋体" w:cs="宋体"/>
          <w:b/>
          <w:sz w:val="21"/>
          <w:szCs w:val="21"/>
          <w:highlight w:val="none"/>
          <w:lang w:val="en-US" w:eastAsia="zh-CN"/>
        </w:rPr>
        <w:t>2</w:t>
      </w:r>
      <w:r>
        <w:rPr>
          <w:rFonts w:hint="eastAsia" w:ascii="宋体" w:hAnsi="宋体" w:eastAsia="宋体" w:cs="宋体"/>
          <w:b/>
          <w:sz w:val="21"/>
          <w:szCs w:val="21"/>
          <w:highlight w:val="none"/>
        </w:rPr>
        <w:t xml:space="preserve"> </w:t>
      </w:r>
    </w:p>
    <w:tbl>
      <w:tblPr>
        <w:tblStyle w:val="18"/>
        <w:tblW w:w="9758" w:type="dxa"/>
        <w:tblInd w:w="-1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4"/>
        <w:gridCol w:w="2431"/>
        <w:gridCol w:w="4451"/>
        <w:gridCol w:w="1672"/>
      </w:tblGrid>
      <w:tr w14:paraId="0DB9A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4" w:hRule="atLeast"/>
        </w:trPr>
        <w:tc>
          <w:tcPr>
            <w:tcW w:w="1204" w:type="dxa"/>
            <w:noWrap w:val="0"/>
            <w:vAlign w:val="center"/>
          </w:tcPr>
          <w:p w14:paraId="7293B691">
            <w:pPr>
              <w:pageBreakBefore w:val="0"/>
              <w:overflowPunct/>
              <w:topLinePunct w:val="0"/>
              <w:bidi w:val="0"/>
              <w:snapToGrid/>
              <w:spacing w:line="360" w:lineRule="auto"/>
              <w:ind w:left="0" w:right="0" w:rightChars="0"/>
              <w:jc w:val="center"/>
              <w:rPr>
                <w:rFonts w:hint="eastAsia" w:ascii="楷体" w:hAnsi="楷体" w:eastAsia="楷体" w:cs="楷体"/>
                <w:b w:val="0"/>
                <w:bCs/>
                <w:sz w:val="21"/>
                <w:szCs w:val="21"/>
                <w:highlight w:val="none"/>
                <w:lang w:val="en-US" w:eastAsia="zh-CN"/>
              </w:rPr>
            </w:pPr>
            <w:r>
              <w:rPr>
                <w:rFonts w:hint="eastAsia" w:ascii="楷体" w:hAnsi="楷体" w:eastAsia="楷体" w:cs="楷体"/>
                <w:b w:val="0"/>
                <w:bCs/>
                <w:sz w:val="21"/>
                <w:szCs w:val="21"/>
                <w:highlight w:val="none"/>
                <w:lang w:val="en-US" w:eastAsia="zh-CN"/>
              </w:rPr>
              <w:t>产品名称</w:t>
            </w:r>
          </w:p>
        </w:tc>
        <w:tc>
          <w:tcPr>
            <w:tcW w:w="2431" w:type="dxa"/>
            <w:noWrap w:val="0"/>
            <w:vAlign w:val="center"/>
          </w:tcPr>
          <w:p w14:paraId="4DFC0809">
            <w:pPr>
              <w:pageBreakBefore w:val="0"/>
              <w:overflowPunct/>
              <w:topLinePunct w:val="0"/>
              <w:bidi w:val="0"/>
              <w:snapToGrid/>
              <w:spacing w:line="360" w:lineRule="auto"/>
              <w:ind w:left="0" w:right="0" w:rightChars="0"/>
              <w:jc w:val="center"/>
              <w:rPr>
                <w:rFonts w:hint="eastAsia" w:ascii="楷体" w:hAnsi="楷体" w:eastAsia="楷体" w:cs="楷体"/>
                <w:b w:val="0"/>
                <w:bCs/>
                <w:sz w:val="21"/>
                <w:szCs w:val="21"/>
                <w:highlight w:val="none"/>
                <w:lang w:val="en-US" w:eastAsia="zh-CN"/>
              </w:rPr>
            </w:pPr>
            <w:r>
              <w:rPr>
                <w:rFonts w:hint="eastAsia" w:ascii="楷体" w:hAnsi="楷体" w:eastAsia="楷体" w:cs="楷体"/>
                <w:b w:val="0"/>
                <w:bCs/>
                <w:sz w:val="21"/>
                <w:szCs w:val="21"/>
                <w:highlight w:val="none"/>
                <w:lang w:val="en-US" w:eastAsia="zh-CN"/>
              </w:rPr>
              <w:t>执行标准</w:t>
            </w:r>
          </w:p>
        </w:tc>
        <w:tc>
          <w:tcPr>
            <w:tcW w:w="4451" w:type="dxa"/>
            <w:noWrap w:val="0"/>
            <w:vAlign w:val="center"/>
          </w:tcPr>
          <w:p w14:paraId="064482BC">
            <w:pPr>
              <w:pageBreakBefore w:val="0"/>
              <w:overflowPunct/>
              <w:topLinePunct w:val="0"/>
              <w:bidi w:val="0"/>
              <w:snapToGrid/>
              <w:spacing w:line="360" w:lineRule="auto"/>
              <w:ind w:left="0" w:right="0" w:rightChars="0"/>
              <w:jc w:val="center"/>
              <w:rPr>
                <w:rFonts w:hint="eastAsia" w:ascii="楷体" w:hAnsi="楷体" w:eastAsia="楷体" w:cs="楷体"/>
                <w:b w:val="0"/>
                <w:bCs/>
                <w:sz w:val="21"/>
                <w:szCs w:val="21"/>
                <w:highlight w:val="none"/>
                <w:lang w:val="en-US" w:eastAsia="zh-CN"/>
              </w:rPr>
            </w:pPr>
            <w:r>
              <w:rPr>
                <w:rFonts w:hint="eastAsia" w:ascii="楷体" w:hAnsi="楷体" w:eastAsia="楷体" w:cs="楷体"/>
                <w:b w:val="0"/>
                <w:bCs/>
                <w:sz w:val="21"/>
                <w:szCs w:val="21"/>
                <w:highlight w:val="none"/>
                <w:lang w:val="en-US" w:eastAsia="zh-CN"/>
              </w:rPr>
              <w:t>检测项目分项报价</w:t>
            </w:r>
          </w:p>
        </w:tc>
        <w:tc>
          <w:tcPr>
            <w:tcW w:w="1672" w:type="dxa"/>
            <w:noWrap w:val="0"/>
            <w:vAlign w:val="center"/>
          </w:tcPr>
          <w:p w14:paraId="3FD183EC">
            <w:pPr>
              <w:pageBreakBefore w:val="0"/>
              <w:overflowPunct/>
              <w:topLinePunct w:val="0"/>
              <w:bidi w:val="0"/>
              <w:snapToGrid/>
              <w:spacing w:line="360" w:lineRule="auto"/>
              <w:ind w:left="0" w:right="0" w:rightChars="0"/>
              <w:jc w:val="center"/>
              <w:rPr>
                <w:rFonts w:hint="eastAsia" w:ascii="楷体" w:hAnsi="楷体" w:eastAsia="楷体" w:cs="楷体"/>
                <w:b w:val="0"/>
                <w:bCs/>
                <w:sz w:val="21"/>
                <w:szCs w:val="21"/>
                <w:highlight w:val="none"/>
                <w:lang w:val="en-US" w:eastAsia="zh-CN"/>
              </w:rPr>
            </w:pPr>
            <w:r>
              <w:rPr>
                <w:rFonts w:hint="eastAsia" w:ascii="楷体" w:hAnsi="楷体" w:eastAsia="楷体" w:cs="楷体"/>
                <w:b w:val="0"/>
                <w:bCs/>
                <w:sz w:val="21"/>
                <w:szCs w:val="21"/>
                <w:highlight w:val="none"/>
                <w:lang w:val="en-US" w:eastAsia="zh-CN"/>
              </w:rPr>
              <w:t>各产品单批次检测费用总和</w:t>
            </w:r>
          </w:p>
        </w:tc>
      </w:tr>
      <w:tr w14:paraId="31F2E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3" w:hRule="atLeast"/>
        </w:trPr>
        <w:tc>
          <w:tcPr>
            <w:tcW w:w="1204" w:type="dxa"/>
            <w:noWrap w:val="0"/>
            <w:vAlign w:val="center"/>
          </w:tcPr>
          <w:p w14:paraId="43BA619C">
            <w:pPr>
              <w:pageBreakBefore w:val="0"/>
              <w:overflowPunct/>
              <w:topLinePunct w:val="0"/>
              <w:bidi w:val="0"/>
              <w:snapToGrid/>
              <w:spacing w:line="360" w:lineRule="auto"/>
              <w:ind w:left="0" w:right="0" w:rightChars="0"/>
              <w:jc w:val="center"/>
              <w:rPr>
                <w:rFonts w:hint="eastAsia" w:ascii="楷体" w:hAnsi="楷体" w:eastAsia="楷体" w:cs="楷体"/>
                <w:b w:val="0"/>
                <w:bCs/>
                <w:sz w:val="21"/>
                <w:szCs w:val="21"/>
                <w:highlight w:val="none"/>
                <w:lang w:val="en-US" w:eastAsia="zh-CN"/>
              </w:rPr>
            </w:pPr>
            <w:r>
              <w:rPr>
                <w:rFonts w:hint="eastAsia" w:ascii="楷体" w:hAnsi="楷体" w:eastAsia="楷体" w:cs="楷体"/>
                <w:bCs/>
                <w:color w:val="auto"/>
                <w:sz w:val="21"/>
                <w:szCs w:val="21"/>
                <w:highlight w:val="none"/>
              </w:rPr>
              <w:t>木器涂料</w:t>
            </w:r>
          </w:p>
        </w:tc>
        <w:tc>
          <w:tcPr>
            <w:tcW w:w="2431" w:type="dxa"/>
            <w:noWrap w:val="0"/>
            <w:vAlign w:val="center"/>
          </w:tcPr>
          <w:p w14:paraId="0A085E98">
            <w:pPr>
              <w:pageBreakBefore w:val="0"/>
              <w:overflowPunct/>
              <w:topLinePunct w:val="0"/>
              <w:bidi w:val="0"/>
              <w:snapToGrid/>
              <w:spacing w:line="360" w:lineRule="auto"/>
              <w:ind w:left="0" w:right="0" w:rightChars="0"/>
              <w:jc w:val="left"/>
              <w:rPr>
                <w:rFonts w:hint="eastAsia" w:ascii="楷体" w:hAnsi="楷体" w:eastAsia="楷体" w:cs="楷体"/>
                <w:bCs/>
                <w:color w:val="auto"/>
                <w:sz w:val="21"/>
                <w:szCs w:val="21"/>
                <w:highlight w:val="none"/>
                <w:lang w:eastAsia="zh-CN"/>
              </w:rPr>
            </w:pPr>
            <w:r>
              <w:rPr>
                <w:rFonts w:hint="eastAsia" w:ascii="楷体" w:hAnsi="楷体" w:eastAsia="楷体" w:cs="楷体"/>
                <w:bCs/>
                <w:color w:val="auto"/>
                <w:sz w:val="21"/>
                <w:szCs w:val="21"/>
                <w:highlight w:val="none"/>
                <w:lang w:eastAsia="zh-CN"/>
              </w:rPr>
              <w:t>GB 18581-2020</w:t>
            </w:r>
          </w:p>
          <w:p w14:paraId="543CF72A">
            <w:pPr>
              <w:pageBreakBefore w:val="0"/>
              <w:overflowPunct/>
              <w:topLinePunct w:val="0"/>
              <w:bidi w:val="0"/>
              <w:snapToGrid/>
              <w:spacing w:line="360" w:lineRule="auto"/>
              <w:ind w:left="0" w:right="0" w:rightChars="0"/>
              <w:jc w:val="left"/>
              <w:rPr>
                <w:rFonts w:hint="eastAsia" w:ascii="楷体" w:hAnsi="楷体" w:eastAsia="楷体" w:cs="楷体"/>
                <w:b w:val="0"/>
                <w:bCs/>
                <w:sz w:val="21"/>
                <w:szCs w:val="21"/>
                <w:highlight w:val="none"/>
                <w:lang w:val="en-US" w:eastAsia="zh-CN"/>
              </w:rPr>
            </w:pPr>
            <w:r>
              <w:rPr>
                <w:rFonts w:hint="eastAsia" w:ascii="楷体" w:hAnsi="楷体" w:eastAsia="楷体" w:cs="楷体"/>
                <w:bCs/>
                <w:color w:val="auto"/>
                <w:sz w:val="21"/>
                <w:szCs w:val="21"/>
                <w:highlight w:val="none"/>
                <w:lang w:eastAsia="zh-CN"/>
              </w:rPr>
              <w:t>GB/T 38597-2020 及现行有 效的企业标准、团体标准、 地方标准及产品明示质量</w:t>
            </w:r>
            <w:r>
              <w:rPr>
                <w:rFonts w:hint="eastAsia" w:ascii="楷体" w:hAnsi="楷体" w:eastAsia="楷体" w:cs="楷体"/>
                <w:bCs/>
                <w:color w:val="auto"/>
                <w:sz w:val="21"/>
                <w:szCs w:val="21"/>
                <w:highlight w:val="none"/>
              </w:rPr>
              <w:t>要求</w:t>
            </w:r>
          </w:p>
        </w:tc>
        <w:tc>
          <w:tcPr>
            <w:tcW w:w="4451" w:type="dxa"/>
            <w:noWrap w:val="0"/>
            <w:vAlign w:val="top"/>
          </w:tcPr>
          <w:p w14:paraId="11C41065">
            <w:pPr>
              <w:keepNext w:val="0"/>
              <w:keepLines w:val="0"/>
              <w:pageBreakBefore w:val="0"/>
              <w:widowControl w:val="0"/>
              <w:kinsoku/>
              <w:wordWrap/>
              <w:overflowPunct/>
              <w:topLinePunct w:val="0"/>
              <w:autoSpaceDE/>
              <w:autoSpaceDN/>
              <w:bidi w:val="0"/>
              <w:adjustRightInd/>
              <w:snapToGrid/>
              <w:spacing w:line="360" w:lineRule="auto"/>
              <w:ind w:left="0" w:right="0" w:rightChars="0"/>
              <w:jc w:val="left"/>
              <w:textAlignment w:val="auto"/>
              <w:rPr>
                <w:rFonts w:hint="eastAsia" w:ascii="楷体" w:hAnsi="楷体" w:eastAsia="楷体" w:cs="楷体"/>
                <w:b w:val="0"/>
                <w:bCs/>
                <w:sz w:val="21"/>
                <w:szCs w:val="21"/>
                <w:highlight w:val="none"/>
                <w:lang w:val="en-US" w:eastAsia="zh-CN"/>
              </w:rPr>
            </w:pPr>
            <w:r>
              <w:rPr>
                <w:rFonts w:hint="eastAsia" w:ascii="楷体" w:hAnsi="楷体" w:eastAsia="楷体" w:cs="楷体"/>
                <w:bCs/>
                <w:color w:val="auto"/>
                <w:sz w:val="21"/>
                <w:szCs w:val="21"/>
                <w:highlight w:val="none"/>
                <w:lang w:eastAsia="zh-CN"/>
              </w:rPr>
              <w:t>VOC 含量</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eastAsia="zh-CN"/>
              </w:rPr>
              <w:t>甲醛含量</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eastAsia="zh-CN"/>
              </w:rPr>
              <w:t>总铅含量</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eastAsia="zh-CN"/>
              </w:rPr>
              <w:t>可溶性重金属含量（镉、铬、汞）</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eastAsia="zh-CN"/>
              </w:rPr>
              <w:t>苯系物总和含量（水性）</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eastAsia="zh-CN"/>
              </w:rPr>
              <w:t>苯含量（溶剂型）</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eastAsia="zh-CN"/>
              </w:rPr>
              <w:t>甲苯与二甲苯（含乙苯）总和含量（溶剂型）</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eastAsia="zh-CN"/>
              </w:rPr>
              <w:t>乙二醇醚及醚酯总和含量</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u w:val="none"/>
                <w:lang w:val="en-US" w:eastAsia="zh-CN"/>
              </w:rPr>
              <w:t>元</w:t>
            </w:r>
            <w:r>
              <w:rPr>
                <w:rFonts w:hint="eastAsia" w:ascii="楷体" w:hAnsi="楷体" w:eastAsia="楷体" w:cs="楷体"/>
                <w:b w:val="0"/>
                <w:bCs/>
                <w:sz w:val="21"/>
                <w:szCs w:val="21"/>
                <w:highlight w:val="none"/>
                <w:lang w:val="en-US" w:eastAsia="zh-CN"/>
              </w:rPr>
              <w:t>。</w:t>
            </w:r>
          </w:p>
        </w:tc>
        <w:tc>
          <w:tcPr>
            <w:tcW w:w="1672" w:type="dxa"/>
            <w:noWrap w:val="0"/>
            <w:vAlign w:val="center"/>
          </w:tcPr>
          <w:p w14:paraId="6CAF8E07">
            <w:pPr>
              <w:keepNext w:val="0"/>
              <w:keepLines w:val="0"/>
              <w:pageBreakBefore w:val="0"/>
              <w:widowControl w:val="0"/>
              <w:kinsoku/>
              <w:wordWrap/>
              <w:overflowPunct/>
              <w:topLinePunct w:val="0"/>
              <w:autoSpaceDE/>
              <w:autoSpaceDN/>
              <w:bidi w:val="0"/>
              <w:adjustRightInd/>
              <w:snapToGrid/>
              <w:spacing w:line="360" w:lineRule="auto"/>
              <w:ind w:left="0" w:right="0" w:rightChars="0"/>
              <w:jc w:val="right"/>
              <w:textAlignment w:val="auto"/>
              <w:rPr>
                <w:rFonts w:hint="eastAsia" w:ascii="楷体" w:hAnsi="楷体" w:eastAsia="楷体" w:cs="楷体"/>
                <w:b w:val="0"/>
                <w:bCs/>
                <w:sz w:val="21"/>
                <w:szCs w:val="21"/>
                <w:highlight w:val="none"/>
                <w:lang w:val="en-US" w:eastAsia="zh-CN"/>
              </w:rPr>
            </w:pPr>
            <w:r>
              <w:rPr>
                <w:rFonts w:hint="eastAsia" w:ascii="楷体" w:hAnsi="楷体" w:eastAsia="楷体" w:cs="楷体"/>
                <w:b w:val="0"/>
                <w:bCs/>
                <w:sz w:val="21"/>
                <w:szCs w:val="21"/>
                <w:highlight w:val="none"/>
                <w:lang w:val="en-US" w:eastAsia="zh-CN"/>
              </w:rPr>
              <w:t>元</w:t>
            </w:r>
          </w:p>
        </w:tc>
      </w:tr>
      <w:tr w14:paraId="343A4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2" w:hRule="atLeast"/>
        </w:trPr>
        <w:tc>
          <w:tcPr>
            <w:tcW w:w="1204" w:type="dxa"/>
            <w:noWrap w:val="0"/>
            <w:vAlign w:val="center"/>
          </w:tcPr>
          <w:p w14:paraId="7C5D925E">
            <w:pPr>
              <w:pageBreakBefore w:val="0"/>
              <w:overflowPunct/>
              <w:topLinePunct w:val="0"/>
              <w:bidi w:val="0"/>
              <w:snapToGrid/>
              <w:spacing w:line="360" w:lineRule="auto"/>
              <w:ind w:left="0" w:right="0" w:rightChars="0"/>
              <w:jc w:val="center"/>
              <w:rPr>
                <w:rFonts w:hint="eastAsia" w:ascii="楷体" w:hAnsi="楷体" w:eastAsia="楷体" w:cs="楷体"/>
                <w:b w:val="0"/>
                <w:bCs/>
                <w:sz w:val="21"/>
                <w:szCs w:val="21"/>
                <w:highlight w:val="none"/>
                <w:lang w:val="en-US" w:eastAsia="zh-CN"/>
              </w:rPr>
            </w:pPr>
            <w:r>
              <w:rPr>
                <w:rFonts w:hint="eastAsia" w:ascii="楷体" w:hAnsi="楷体" w:eastAsia="楷体" w:cs="楷体"/>
                <w:bCs/>
                <w:color w:val="auto"/>
                <w:sz w:val="21"/>
                <w:szCs w:val="21"/>
                <w:highlight w:val="none"/>
              </w:rPr>
              <w:t>内墙涂料</w:t>
            </w:r>
          </w:p>
        </w:tc>
        <w:tc>
          <w:tcPr>
            <w:tcW w:w="2431" w:type="dxa"/>
            <w:noWrap w:val="0"/>
            <w:vAlign w:val="center"/>
          </w:tcPr>
          <w:p w14:paraId="7D179BB2">
            <w:pPr>
              <w:pageBreakBefore w:val="0"/>
              <w:overflowPunct/>
              <w:topLinePunct w:val="0"/>
              <w:bidi w:val="0"/>
              <w:snapToGrid/>
              <w:spacing w:line="360" w:lineRule="auto"/>
              <w:ind w:left="0" w:right="0" w:rightChars="0"/>
              <w:jc w:val="left"/>
              <w:rPr>
                <w:rFonts w:hint="eastAsia" w:ascii="楷体" w:hAnsi="楷体" w:eastAsia="楷体" w:cs="楷体"/>
                <w:bCs/>
                <w:color w:val="auto"/>
                <w:sz w:val="21"/>
                <w:szCs w:val="21"/>
                <w:highlight w:val="none"/>
                <w:lang w:eastAsia="zh-CN"/>
              </w:rPr>
            </w:pPr>
            <w:r>
              <w:rPr>
                <w:rFonts w:hint="eastAsia" w:ascii="楷体" w:hAnsi="楷体" w:eastAsia="楷体" w:cs="楷体"/>
                <w:bCs/>
                <w:color w:val="auto"/>
                <w:sz w:val="21"/>
                <w:szCs w:val="21"/>
                <w:highlight w:val="none"/>
                <w:lang w:eastAsia="zh-CN"/>
              </w:rPr>
              <w:t xml:space="preserve">GB 18582-2020  </w:t>
            </w:r>
          </w:p>
          <w:p w14:paraId="735BD80A">
            <w:pPr>
              <w:pageBreakBefore w:val="0"/>
              <w:overflowPunct/>
              <w:topLinePunct w:val="0"/>
              <w:bidi w:val="0"/>
              <w:snapToGrid/>
              <w:spacing w:line="360" w:lineRule="auto"/>
              <w:ind w:left="0" w:right="0" w:rightChars="0"/>
              <w:jc w:val="left"/>
              <w:rPr>
                <w:rFonts w:hint="eastAsia" w:ascii="楷体" w:hAnsi="楷体" w:eastAsia="楷体" w:cs="楷体"/>
                <w:bCs/>
                <w:color w:val="auto"/>
                <w:sz w:val="21"/>
                <w:szCs w:val="21"/>
                <w:highlight w:val="none"/>
                <w:lang w:val="en-US" w:eastAsia="zh-CN"/>
              </w:rPr>
            </w:pPr>
            <w:r>
              <w:rPr>
                <w:rFonts w:hint="eastAsia" w:ascii="楷体" w:hAnsi="楷体" w:eastAsia="楷体" w:cs="楷体"/>
                <w:bCs/>
                <w:color w:val="auto"/>
                <w:sz w:val="21"/>
                <w:szCs w:val="21"/>
                <w:highlight w:val="none"/>
                <w:lang w:eastAsia="zh-CN"/>
              </w:rPr>
              <w:t>GB/T</w:t>
            </w:r>
            <w:r>
              <w:rPr>
                <w:rFonts w:hint="eastAsia" w:ascii="楷体" w:hAnsi="楷体" w:eastAsia="楷体" w:cs="楷体"/>
                <w:bCs/>
                <w:color w:val="auto"/>
                <w:sz w:val="21"/>
                <w:szCs w:val="21"/>
                <w:highlight w:val="none"/>
                <w:lang w:val="en-US" w:eastAsia="zh-CN"/>
              </w:rPr>
              <w:t xml:space="preserve"> 9755-2024</w:t>
            </w:r>
          </w:p>
          <w:p w14:paraId="5782A045">
            <w:pPr>
              <w:pageBreakBefore w:val="0"/>
              <w:overflowPunct/>
              <w:topLinePunct w:val="0"/>
              <w:bidi w:val="0"/>
              <w:snapToGrid/>
              <w:spacing w:line="360" w:lineRule="auto"/>
              <w:ind w:left="0" w:right="0" w:rightChars="0"/>
              <w:jc w:val="left"/>
              <w:rPr>
                <w:rFonts w:hint="eastAsia" w:ascii="楷体" w:hAnsi="楷体" w:eastAsia="楷体" w:cs="楷体"/>
                <w:b w:val="0"/>
                <w:bCs/>
                <w:sz w:val="21"/>
                <w:szCs w:val="21"/>
                <w:highlight w:val="none"/>
                <w:lang w:val="en-US" w:eastAsia="zh-CN"/>
              </w:rPr>
            </w:pPr>
            <w:r>
              <w:rPr>
                <w:rFonts w:hint="eastAsia" w:ascii="楷体" w:hAnsi="楷体" w:eastAsia="楷体" w:cs="楷体"/>
                <w:bCs/>
                <w:color w:val="auto"/>
                <w:sz w:val="21"/>
                <w:szCs w:val="21"/>
                <w:highlight w:val="none"/>
                <w:lang w:eastAsia="zh-CN"/>
              </w:rPr>
              <w:t>GB/T 38597-2020等现行有 效的企业标准、团体标准、 地方标准及产品明示质量  要求</w:t>
            </w:r>
          </w:p>
        </w:tc>
        <w:tc>
          <w:tcPr>
            <w:tcW w:w="4451" w:type="dxa"/>
            <w:noWrap w:val="0"/>
            <w:vAlign w:val="top"/>
          </w:tcPr>
          <w:p w14:paraId="61489A6A">
            <w:pPr>
              <w:keepNext w:val="0"/>
              <w:keepLines w:val="0"/>
              <w:pageBreakBefore w:val="0"/>
              <w:widowControl w:val="0"/>
              <w:kinsoku/>
              <w:wordWrap/>
              <w:overflowPunct/>
              <w:topLinePunct w:val="0"/>
              <w:autoSpaceDE/>
              <w:autoSpaceDN/>
              <w:bidi w:val="0"/>
              <w:adjustRightInd/>
              <w:snapToGrid/>
              <w:spacing w:line="360" w:lineRule="auto"/>
              <w:ind w:left="0" w:right="0" w:rightChars="0"/>
              <w:jc w:val="left"/>
              <w:textAlignment w:val="auto"/>
              <w:rPr>
                <w:rFonts w:hint="eastAsia" w:ascii="楷体" w:hAnsi="楷体" w:eastAsia="楷体" w:cs="楷体"/>
                <w:b w:val="0"/>
                <w:bCs/>
                <w:sz w:val="21"/>
                <w:szCs w:val="21"/>
                <w:highlight w:val="none"/>
                <w:lang w:val="en-US" w:eastAsia="zh-CN"/>
              </w:rPr>
            </w:pPr>
            <w:r>
              <w:rPr>
                <w:rFonts w:hint="eastAsia" w:ascii="楷体" w:hAnsi="楷体" w:eastAsia="楷体" w:cs="楷体"/>
                <w:bCs/>
                <w:color w:val="auto"/>
                <w:sz w:val="21"/>
                <w:szCs w:val="21"/>
                <w:highlight w:val="none"/>
                <w:lang w:eastAsia="zh-CN"/>
              </w:rPr>
              <w:t>VOC 含量</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eastAsia="zh-CN"/>
              </w:rPr>
              <w:t>甲醛含量</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eastAsia="zh-CN"/>
              </w:rPr>
              <w:t>苯系物总和含量</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eastAsia="zh-CN"/>
              </w:rPr>
              <w:t>总铅含量</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eastAsia="zh-CN"/>
              </w:rPr>
              <w:t>可溶性重金属含量（镉、铬、汞）</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eastAsia="zh-CN"/>
              </w:rPr>
              <w:t>低温稳定性</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eastAsia="zh-CN"/>
              </w:rPr>
              <w:t>干燥时间</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eastAsia="zh-CN"/>
              </w:rPr>
              <w:t>对比率</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eastAsia="zh-CN"/>
              </w:rPr>
              <w:t>耐碱性</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eastAsia="zh-CN"/>
              </w:rPr>
              <w:t>耐洗刷性</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p>
        </w:tc>
        <w:tc>
          <w:tcPr>
            <w:tcW w:w="1672" w:type="dxa"/>
            <w:noWrap w:val="0"/>
            <w:vAlign w:val="center"/>
          </w:tcPr>
          <w:p w14:paraId="6135FEC1">
            <w:pPr>
              <w:keepNext w:val="0"/>
              <w:keepLines w:val="0"/>
              <w:pageBreakBefore w:val="0"/>
              <w:widowControl w:val="0"/>
              <w:kinsoku/>
              <w:wordWrap/>
              <w:overflowPunct/>
              <w:topLinePunct w:val="0"/>
              <w:autoSpaceDE/>
              <w:autoSpaceDN/>
              <w:bidi w:val="0"/>
              <w:adjustRightInd/>
              <w:snapToGrid/>
              <w:spacing w:line="360" w:lineRule="auto"/>
              <w:ind w:left="0" w:right="0" w:rightChars="0"/>
              <w:jc w:val="right"/>
              <w:textAlignment w:val="auto"/>
              <w:rPr>
                <w:rFonts w:hint="eastAsia" w:ascii="楷体" w:hAnsi="楷体" w:eastAsia="楷体" w:cs="楷体"/>
                <w:b w:val="0"/>
                <w:bCs/>
                <w:sz w:val="21"/>
                <w:szCs w:val="21"/>
                <w:highlight w:val="none"/>
                <w:lang w:val="en-US" w:eastAsia="zh-CN"/>
              </w:rPr>
            </w:pPr>
            <w:r>
              <w:rPr>
                <w:rFonts w:hint="eastAsia" w:ascii="楷体" w:hAnsi="楷体" w:eastAsia="楷体" w:cs="楷体"/>
                <w:b w:val="0"/>
                <w:bCs/>
                <w:sz w:val="21"/>
                <w:szCs w:val="21"/>
                <w:highlight w:val="none"/>
                <w:lang w:val="en-US" w:eastAsia="zh-CN"/>
              </w:rPr>
              <w:t>元</w:t>
            </w:r>
          </w:p>
        </w:tc>
      </w:tr>
      <w:tr w14:paraId="77FB4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2" w:hRule="atLeast"/>
        </w:trPr>
        <w:tc>
          <w:tcPr>
            <w:tcW w:w="1204" w:type="dxa"/>
            <w:noWrap w:val="0"/>
            <w:vAlign w:val="center"/>
          </w:tcPr>
          <w:p w14:paraId="5CE1901F">
            <w:pPr>
              <w:pageBreakBefore w:val="0"/>
              <w:overflowPunct/>
              <w:topLinePunct w:val="0"/>
              <w:bidi w:val="0"/>
              <w:snapToGrid/>
              <w:spacing w:line="360" w:lineRule="auto"/>
              <w:ind w:left="0" w:right="0" w:rightChars="0"/>
              <w:jc w:val="center"/>
              <w:rPr>
                <w:rFonts w:hint="eastAsia" w:ascii="楷体" w:hAnsi="楷体" w:eastAsia="楷体" w:cs="楷体"/>
                <w:b w:val="0"/>
                <w:bCs/>
                <w:sz w:val="21"/>
                <w:szCs w:val="21"/>
                <w:highlight w:val="none"/>
                <w:lang w:val="en-US" w:eastAsia="zh-CN"/>
              </w:rPr>
            </w:pPr>
            <w:r>
              <w:rPr>
                <w:rFonts w:hint="eastAsia" w:ascii="楷体" w:hAnsi="楷体" w:eastAsia="楷体" w:cs="楷体"/>
                <w:bCs/>
                <w:color w:val="auto"/>
                <w:sz w:val="21"/>
                <w:szCs w:val="21"/>
                <w:highlight w:val="none"/>
              </w:rPr>
              <w:t>外墙涂料</w:t>
            </w:r>
          </w:p>
        </w:tc>
        <w:tc>
          <w:tcPr>
            <w:tcW w:w="2431" w:type="dxa"/>
            <w:noWrap w:val="0"/>
            <w:vAlign w:val="center"/>
          </w:tcPr>
          <w:p w14:paraId="704AA165">
            <w:pPr>
              <w:pageBreakBefore w:val="0"/>
              <w:overflowPunct/>
              <w:topLinePunct w:val="0"/>
              <w:bidi w:val="0"/>
              <w:snapToGrid/>
              <w:spacing w:line="360" w:lineRule="auto"/>
              <w:ind w:left="0" w:right="0" w:rightChars="0"/>
              <w:jc w:val="left"/>
              <w:rPr>
                <w:rFonts w:hint="eastAsia" w:ascii="楷体" w:hAnsi="楷体" w:eastAsia="楷体" w:cs="楷体"/>
                <w:bCs/>
                <w:color w:val="auto"/>
                <w:sz w:val="21"/>
                <w:szCs w:val="21"/>
                <w:highlight w:val="none"/>
                <w:lang w:eastAsia="zh-CN"/>
              </w:rPr>
            </w:pPr>
            <w:r>
              <w:rPr>
                <w:rFonts w:hint="eastAsia" w:ascii="楷体" w:hAnsi="楷体" w:eastAsia="楷体" w:cs="楷体"/>
                <w:bCs/>
                <w:color w:val="auto"/>
                <w:sz w:val="21"/>
                <w:szCs w:val="21"/>
                <w:highlight w:val="none"/>
                <w:lang w:eastAsia="zh-CN"/>
              </w:rPr>
              <w:t xml:space="preserve">GB 18582-2020 </w:t>
            </w:r>
          </w:p>
          <w:p w14:paraId="43262D53">
            <w:pPr>
              <w:pageBreakBefore w:val="0"/>
              <w:overflowPunct/>
              <w:topLinePunct w:val="0"/>
              <w:bidi w:val="0"/>
              <w:snapToGrid/>
              <w:spacing w:line="360" w:lineRule="auto"/>
              <w:ind w:left="0" w:right="0" w:rightChars="0"/>
              <w:jc w:val="left"/>
              <w:rPr>
                <w:rFonts w:hint="eastAsia" w:ascii="楷体" w:hAnsi="楷体" w:eastAsia="楷体" w:cs="楷体"/>
                <w:bCs/>
                <w:color w:val="auto"/>
                <w:sz w:val="21"/>
                <w:szCs w:val="21"/>
                <w:highlight w:val="none"/>
                <w:lang w:val="en-US" w:eastAsia="zh-CN"/>
              </w:rPr>
            </w:pPr>
            <w:r>
              <w:rPr>
                <w:rFonts w:hint="eastAsia" w:ascii="楷体" w:hAnsi="楷体" w:eastAsia="楷体" w:cs="楷体"/>
                <w:bCs/>
                <w:color w:val="auto"/>
                <w:sz w:val="21"/>
                <w:szCs w:val="21"/>
                <w:highlight w:val="none"/>
                <w:lang w:eastAsia="zh-CN"/>
              </w:rPr>
              <w:t>GB/T 9755-20</w:t>
            </w:r>
            <w:r>
              <w:rPr>
                <w:rFonts w:hint="eastAsia" w:ascii="楷体" w:hAnsi="楷体" w:eastAsia="楷体" w:cs="楷体"/>
                <w:bCs/>
                <w:color w:val="auto"/>
                <w:sz w:val="21"/>
                <w:szCs w:val="21"/>
                <w:highlight w:val="none"/>
                <w:lang w:val="en-US" w:eastAsia="zh-CN"/>
              </w:rPr>
              <w:t>24</w:t>
            </w:r>
          </w:p>
          <w:p w14:paraId="7E7FCEA7">
            <w:pPr>
              <w:pageBreakBefore w:val="0"/>
              <w:overflowPunct/>
              <w:topLinePunct w:val="0"/>
              <w:bidi w:val="0"/>
              <w:snapToGrid/>
              <w:spacing w:line="360" w:lineRule="auto"/>
              <w:ind w:left="0" w:right="0" w:rightChars="0"/>
              <w:jc w:val="left"/>
              <w:rPr>
                <w:rFonts w:hint="eastAsia" w:ascii="楷体" w:hAnsi="楷体" w:eastAsia="楷体" w:cs="楷体"/>
                <w:b w:val="0"/>
                <w:bCs/>
                <w:sz w:val="21"/>
                <w:szCs w:val="21"/>
                <w:highlight w:val="none"/>
                <w:lang w:val="en-US" w:eastAsia="zh-CN"/>
              </w:rPr>
            </w:pPr>
            <w:r>
              <w:rPr>
                <w:rFonts w:hint="eastAsia" w:ascii="楷体" w:hAnsi="楷体" w:eastAsia="楷体" w:cs="楷体"/>
                <w:bCs/>
                <w:color w:val="auto"/>
                <w:sz w:val="21"/>
                <w:szCs w:val="21"/>
                <w:highlight w:val="none"/>
                <w:lang w:eastAsia="zh-CN"/>
              </w:rPr>
              <w:t>GB/T 38597-2020 等现行有 效的企业标准、团体标准、地方标准及产品明示质量要求</w:t>
            </w:r>
          </w:p>
        </w:tc>
        <w:tc>
          <w:tcPr>
            <w:tcW w:w="4451" w:type="dxa"/>
            <w:noWrap w:val="0"/>
            <w:vAlign w:val="top"/>
          </w:tcPr>
          <w:p w14:paraId="088F98E8">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left"/>
              <w:textAlignment w:val="auto"/>
              <w:rPr>
                <w:rFonts w:hint="eastAsia" w:ascii="楷体" w:hAnsi="楷体" w:eastAsia="楷体" w:cs="楷体"/>
                <w:bCs/>
                <w:color w:val="auto"/>
                <w:sz w:val="21"/>
                <w:szCs w:val="21"/>
                <w:highlight w:val="none"/>
                <w:lang w:val="en-US" w:eastAsia="zh-CN"/>
              </w:rPr>
            </w:pPr>
            <w:r>
              <w:rPr>
                <w:rFonts w:hint="eastAsia" w:ascii="楷体" w:hAnsi="楷体" w:eastAsia="楷体" w:cs="楷体"/>
                <w:bCs/>
                <w:color w:val="auto"/>
                <w:sz w:val="21"/>
                <w:szCs w:val="21"/>
                <w:highlight w:val="none"/>
                <w:lang w:eastAsia="zh-CN"/>
              </w:rPr>
              <w:t>VOC 含量</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eastAsia="zh-CN"/>
              </w:rPr>
              <w:t>甲醛含量</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eastAsia="zh-CN"/>
              </w:rPr>
              <w:t>苯系物总和含量</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eastAsia="zh-CN"/>
              </w:rPr>
              <w:t>总铅含量</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eastAsia="zh-CN"/>
              </w:rPr>
              <w:t>可溶性重金属含量（镉、铬、汞）</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eastAsia="zh-CN"/>
              </w:rPr>
              <w:t>低温稳定性</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val="en-US" w:eastAsia="zh-CN"/>
              </w:rPr>
              <w:t>耐水性</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eastAsia="zh-CN"/>
              </w:rPr>
              <w:t>耐碱性</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eastAsia="zh-CN"/>
              </w:rPr>
              <w:t>耐洗刷性</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eastAsia="zh-CN"/>
              </w:rPr>
              <w:t>对比率</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eastAsia="zh-CN"/>
              </w:rPr>
              <w:t>涂层耐温变性</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p>
        </w:tc>
        <w:tc>
          <w:tcPr>
            <w:tcW w:w="1672" w:type="dxa"/>
            <w:noWrap w:val="0"/>
            <w:vAlign w:val="center"/>
          </w:tcPr>
          <w:p w14:paraId="6C23FE7A">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right"/>
              <w:textAlignment w:val="auto"/>
              <w:rPr>
                <w:rFonts w:hint="eastAsia" w:ascii="楷体" w:hAnsi="楷体" w:eastAsia="楷体" w:cs="楷体"/>
                <w:b w:val="0"/>
                <w:bCs/>
                <w:sz w:val="21"/>
                <w:szCs w:val="21"/>
                <w:highlight w:val="none"/>
                <w:lang w:val="en-US" w:eastAsia="zh-CN"/>
              </w:rPr>
            </w:pPr>
            <w:r>
              <w:rPr>
                <w:rFonts w:hint="eastAsia" w:ascii="楷体" w:hAnsi="楷体" w:eastAsia="楷体" w:cs="楷体"/>
                <w:b w:val="0"/>
                <w:bCs/>
                <w:sz w:val="21"/>
                <w:szCs w:val="21"/>
                <w:highlight w:val="none"/>
                <w:lang w:val="en-US" w:eastAsia="zh-CN"/>
              </w:rPr>
              <w:t>元</w:t>
            </w:r>
          </w:p>
        </w:tc>
      </w:tr>
      <w:tr w14:paraId="4768A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2" w:hRule="atLeast"/>
        </w:trPr>
        <w:tc>
          <w:tcPr>
            <w:tcW w:w="1204" w:type="dxa"/>
            <w:noWrap w:val="0"/>
            <w:vAlign w:val="center"/>
          </w:tcPr>
          <w:p w14:paraId="70FEDDE0">
            <w:pPr>
              <w:pageBreakBefore w:val="0"/>
              <w:overflowPunct/>
              <w:topLinePunct w:val="0"/>
              <w:bidi w:val="0"/>
              <w:snapToGrid/>
              <w:spacing w:line="360" w:lineRule="auto"/>
              <w:ind w:left="0" w:right="0" w:rightChars="0"/>
              <w:jc w:val="center"/>
              <w:rPr>
                <w:rFonts w:hint="eastAsia" w:ascii="楷体" w:hAnsi="楷体" w:eastAsia="楷体" w:cs="楷体"/>
                <w:b w:val="0"/>
                <w:bCs/>
                <w:sz w:val="21"/>
                <w:szCs w:val="21"/>
                <w:highlight w:val="none"/>
                <w:lang w:val="en-US" w:eastAsia="zh-CN"/>
              </w:rPr>
            </w:pPr>
            <w:r>
              <w:rPr>
                <w:rFonts w:hint="eastAsia" w:ascii="楷体" w:hAnsi="楷体" w:eastAsia="楷体" w:cs="楷体"/>
                <w:bCs/>
                <w:color w:val="auto"/>
                <w:sz w:val="21"/>
                <w:szCs w:val="21"/>
                <w:highlight w:val="none"/>
              </w:rPr>
              <w:t>建筑质感涂料</w:t>
            </w:r>
          </w:p>
        </w:tc>
        <w:tc>
          <w:tcPr>
            <w:tcW w:w="2431" w:type="dxa"/>
            <w:noWrap w:val="0"/>
            <w:vAlign w:val="center"/>
          </w:tcPr>
          <w:p w14:paraId="385592E4">
            <w:pPr>
              <w:pageBreakBefore w:val="0"/>
              <w:overflowPunct/>
              <w:topLinePunct w:val="0"/>
              <w:bidi w:val="0"/>
              <w:snapToGrid/>
              <w:spacing w:line="360" w:lineRule="auto"/>
              <w:ind w:left="0" w:right="0" w:rightChars="0"/>
              <w:jc w:val="left"/>
              <w:rPr>
                <w:rFonts w:hint="eastAsia" w:ascii="楷体" w:hAnsi="楷体" w:eastAsia="楷体" w:cs="楷体"/>
                <w:bCs/>
                <w:color w:val="auto"/>
                <w:sz w:val="21"/>
                <w:szCs w:val="21"/>
                <w:highlight w:val="none"/>
                <w:lang w:eastAsia="zh-CN"/>
              </w:rPr>
            </w:pPr>
            <w:r>
              <w:rPr>
                <w:rFonts w:hint="eastAsia" w:ascii="楷体" w:hAnsi="楷体" w:eastAsia="楷体" w:cs="楷体"/>
                <w:bCs/>
                <w:color w:val="auto"/>
                <w:sz w:val="21"/>
                <w:szCs w:val="21"/>
                <w:highlight w:val="none"/>
                <w:lang w:eastAsia="zh-CN"/>
              </w:rPr>
              <w:t>GB 18582-2020</w:t>
            </w:r>
          </w:p>
          <w:p w14:paraId="28F508F7">
            <w:pPr>
              <w:pageBreakBefore w:val="0"/>
              <w:overflowPunct/>
              <w:topLinePunct w:val="0"/>
              <w:bidi w:val="0"/>
              <w:snapToGrid/>
              <w:spacing w:line="360" w:lineRule="auto"/>
              <w:ind w:left="0" w:right="0" w:rightChars="0"/>
              <w:jc w:val="left"/>
              <w:rPr>
                <w:rFonts w:hint="eastAsia" w:ascii="楷体" w:hAnsi="楷体" w:eastAsia="楷体" w:cs="楷体"/>
                <w:b w:val="0"/>
                <w:bCs/>
                <w:sz w:val="21"/>
                <w:szCs w:val="21"/>
                <w:highlight w:val="none"/>
                <w:lang w:val="en-US" w:eastAsia="zh-CN"/>
              </w:rPr>
            </w:pPr>
            <w:r>
              <w:rPr>
                <w:rFonts w:hint="eastAsia" w:ascii="楷体" w:hAnsi="楷体" w:eastAsia="楷体" w:cs="楷体"/>
                <w:bCs/>
                <w:color w:val="auto"/>
                <w:sz w:val="21"/>
                <w:szCs w:val="21"/>
                <w:highlight w:val="none"/>
                <w:lang w:eastAsia="zh-CN"/>
              </w:rPr>
              <w:t>GB/T 38597-2020 等现行有 效的企业标准、团体标准、 地方标准及产品明示质量要求</w:t>
            </w:r>
          </w:p>
        </w:tc>
        <w:tc>
          <w:tcPr>
            <w:tcW w:w="4451" w:type="dxa"/>
            <w:noWrap w:val="0"/>
            <w:vAlign w:val="top"/>
          </w:tcPr>
          <w:p w14:paraId="310B0F1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left"/>
              <w:textAlignment w:val="auto"/>
              <w:rPr>
                <w:rFonts w:hint="eastAsia" w:ascii="楷体" w:hAnsi="楷体" w:eastAsia="楷体" w:cs="楷体"/>
                <w:bCs/>
                <w:color w:val="auto"/>
                <w:sz w:val="21"/>
                <w:szCs w:val="21"/>
                <w:highlight w:val="none"/>
                <w:lang w:val="en-US" w:eastAsia="zh-CN"/>
              </w:rPr>
            </w:pPr>
            <w:r>
              <w:rPr>
                <w:rFonts w:hint="eastAsia" w:ascii="楷体" w:hAnsi="楷体" w:eastAsia="楷体" w:cs="楷体"/>
                <w:bCs/>
                <w:color w:val="auto"/>
                <w:sz w:val="21"/>
                <w:szCs w:val="21"/>
                <w:highlight w:val="none"/>
                <w:lang w:eastAsia="zh-CN"/>
              </w:rPr>
              <w:t>VOC 含量</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eastAsia="zh-CN"/>
              </w:rPr>
              <w:t>甲醛含量</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eastAsia="zh-CN"/>
              </w:rPr>
              <w:t>苯系物总和含量</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eastAsia="zh-CN"/>
              </w:rPr>
              <w:t>总铅含量</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eastAsia="zh-CN"/>
              </w:rPr>
              <w:t>可溶性重金属含量（镉、铬、汞）</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p>
        </w:tc>
        <w:tc>
          <w:tcPr>
            <w:tcW w:w="1672" w:type="dxa"/>
            <w:noWrap w:val="0"/>
            <w:vAlign w:val="center"/>
          </w:tcPr>
          <w:p w14:paraId="7B0275D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right"/>
              <w:textAlignment w:val="auto"/>
              <w:rPr>
                <w:rFonts w:hint="eastAsia" w:ascii="楷体" w:hAnsi="楷体" w:eastAsia="楷体" w:cs="楷体"/>
                <w:b w:val="0"/>
                <w:bCs/>
                <w:sz w:val="21"/>
                <w:szCs w:val="21"/>
                <w:highlight w:val="none"/>
                <w:lang w:val="en-US" w:eastAsia="zh-CN"/>
              </w:rPr>
            </w:pPr>
            <w:r>
              <w:rPr>
                <w:rFonts w:hint="eastAsia" w:ascii="楷体" w:hAnsi="楷体" w:eastAsia="楷体" w:cs="楷体"/>
                <w:b w:val="0"/>
                <w:bCs/>
                <w:sz w:val="21"/>
                <w:szCs w:val="21"/>
                <w:highlight w:val="none"/>
                <w:lang w:val="en-US" w:eastAsia="zh-CN"/>
              </w:rPr>
              <w:t>元</w:t>
            </w:r>
          </w:p>
        </w:tc>
      </w:tr>
      <w:tr w14:paraId="352C4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2" w:hRule="atLeast"/>
        </w:trPr>
        <w:tc>
          <w:tcPr>
            <w:tcW w:w="1204" w:type="dxa"/>
            <w:noWrap w:val="0"/>
            <w:vAlign w:val="center"/>
          </w:tcPr>
          <w:p w14:paraId="301EE1BB">
            <w:pPr>
              <w:pageBreakBefore w:val="0"/>
              <w:overflowPunct/>
              <w:topLinePunct w:val="0"/>
              <w:bidi w:val="0"/>
              <w:snapToGrid/>
              <w:spacing w:line="360" w:lineRule="auto"/>
              <w:ind w:left="0" w:right="0" w:rightChars="0"/>
              <w:jc w:val="center"/>
              <w:rPr>
                <w:rFonts w:hint="eastAsia" w:ascii="楷体" w:hAnsi="楷体" w:eastAsia="楷体" w:cs="楷体"/>
                <w:b w:val="0"/>
                <w:bCs/>
                <w:sz w:val="21"/>
                <w:szCs w:val="21"/>
                <w:highlight w:val="none"/>
                <w:lang w:val="en-US" w:eastAsia="zh-CN"/>
              </w:rPr>
            </w:pPr>
            <w:r>
              <w:rPr>
                <w:rFonts w:hint="eastAsia" w:ascii="楷体" w:hAnsi="楷体" w:eastAsia="楷体" w:cs="楷体"/>
                <w:bCs/>
                <w:color w:val="auto"/>
                <w:sz w:val="21"/>
                <w:szCs w:val="21"/>
                <w:highlight w:val="none"/>
              </w:rPr>
              <w:t>地坪涂料</w:t>
            </w:r>
          </w:p>
        </w:tc>
        <w:tc>
          <w:tcPr>
            <w:tcW w:w="2431" w:type="dxa"/>
            <w:noWrap w:val="0"/>
            <w:vAlign w:val="center"/>
          </w:tcPr>
          <w:p w14:paraId="159BDE57">
            <w:pPr>
              <w:pageBreakBefore w:val="0"/>
              <w:overflowPunct/>
              <w:topLinePunct w:val="0"/>
              <w:bidi w:val="0"/>
              <w:snapToGrid/>
              <w:spacing w:line="360" w:lineRule="auto"/>
              <w:ind w:left="0" w:right="0" w:rightChars="0"/>
              <w:jc w:val="left"/>
              <w:rPr>
                <w:rFonts w:hint="eastAsia" w:ascii="楷体" w:hAnsi="楷体" w:eastAsia="楷体" w:cs="楷体"/>
                <w:bCs/>
                <w:color w:val="auto"/>
                <w:sz w:val="21"/>
                <w:szCs w:val="21"/>
                <w:highlight w:val="none"/>
                <w:lang w:eastAsia="zh-CN"/>
              </w:rPr>
            </w:pPr>
            <w:r>
              <w:rPr>
                <w:rFonts w:hint="eastAsia" w:ascii="楷体" w:hAnsi="楷体" w:eastAsia="楷体" w:cs="楷体"/>
                <w:bCs/>
                <w:color w:val="auto"/>
                <w:sz w:val="21"/>
                <w:szCs w:val="21"/>
                <w:highlight w:val="none"/>
                <w:lang w:eastAsia="zh-CN"/>
              </w:rPr>
              <w:t>GB 38468-2019</w:t>
            </w:r>
          </w:p>
          <w:p w14:paraId="20519107">
            <w:pPr>
              <w:pageBreakBefore w:val="0"/>
              <w:overflowPunct/>
              <w:topLinePunct w:val="0"/>
              <w:bidi w:val="0"/>
              <w:snapToGrid/>
              <w:spacing w:line="360" w:lineRule="auto"/>
              <w:ind w:left="0" w:right="0" w:rightChars="0"/>
              <w:jc w:val="left"/>
              <w:rPr>
                <w:rFonts w:hint="eastAsia" w:ascii="楷体" w:hAnsi="楷体" w:eastAsia="楷体" w:cs="楷体"/>
                <w:bCs/>
                <w:color w:val="auto"/>
                <w:sz w:val="21"/>
                <w:szCs w:val="21"/>
                <w:highlight w:val="none"/>
                <w:lang w:eastAsia="zh-CN"/>
              </w:rPr>
            </w:pPr>
            <w:r>
              <w:rPr>
                <w:rFonts w:hint="eastAsia" w:ascii="楷体" w:hAnsi="楷体" w:eastAsia="楷体" w:cs="楷体"/>
                <w:bCs/>
                <w:color w:val="auto"/>
                <w:sz w:val="21"/>
                <w:szCs w:val="21"/>
                <w:highlight w:val="none"/>
                <w:lang w:eastAsia="zh-CN"/>
              </w:rPr>
              <w:t>GB/T 38597-2020</w:t>
            </w:r>
          </w:p>
          <w:p w14:paraId="4398FC47">
            <w:pPr>
              <w:pageBreakBefore w:val="0"/>
              <w:overflowPunct/>
              <w:topLinePunct w:val="0"/>
              <w:bidi w:val="0"/>
              <w:snapToGrid/>
              <w:spacing w:line="360" w:lineRule="auto"/>
              <w:ind w:left="0" w:right="0" w:rightChars="0"/>
              <w:jc w:val="left"/>
              <w:rPr>
                <w:rFonts w:hint="eastAsia" w:ascii="楷体" w:hAnsi="楷体" w:eastAsia="楷体" w:cs="楷体"/>
                <w:b w:val="0"/>
                <w:bCs/>
                <w:sz w:val="21"/>
                <w:szCs w:val="21"/>
                <w:highlight w:val="none"/>
                <w:lang w:val="en-US" w:eastAsia="zh-CN"/>
              </w:rPr>
            </w:pPr>
            <w:r>
              <w:rPr>
                <w:rFonts w:hint="eastAsia" w:ascii="楷体" w:hAnsi="楷体" w:eastAsia="楷体" w:cs="楷体"/>
                <w:bCs/>
                <w:color w:val="auto"/>
                <w:sz w:val="21"/>
                <w:szCs w:val="21"/>
                <w:highlight w:val="none"/>
                <w:lang w:eastAsia="zh-CN"/>
              </w:rPr>
              <w:t>等现行有效的企业标准、团体标准、地方标准及产品明示质量要求</w:t>
            </w:r>
          </w:p>
        </w:tc>
        <w:tc>
          <w:tcPr>
            <w:tcW w:w="4451" w:type="dxa"/>
            <w:noWrap w:val="0"/>
            <w:vAlign w:val="top"/>
          </w:tcPr>
          <w:p w14:paraId="260560C3">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left"/>
              <w:textAlignment w:val="auto"/>
              <w:rPr>
                <w:rFonts w:hint="eastAsia" w:ascii="楷体" w:hAnsi="楷体" w:eastAsia="楷体" w:cs="楷体"/>
                <w:bCs/>
                <w:color w:val="auto"/>
                <w:sz w:val="21"/>
                <w:szCs w:val="21"/>
                <w:highlight w:val="none"/>
                <w:lang w:val="en-US" w:eastAsia="zh-CN"/>
              </w:rPr>
            </w:pPr>
            <w:r>
              <w:rPr>
                <w:rFonts w:hint="eastAsia" w:ascii="楷体" w:hAnsi="楷体" w:eastAsia="楷体" w:cs="楷体"/>
                <w:bCs/>
                <w:color w:val="auto"/>
                <w:sz w:val="21"/>
                <w:szCs w:val="21"/>
                <w:highlight w:val="none"/>
                <w:lang w:eastAsia="zh-CN"/>
              </w:rPr>
              <w:t>挥发性有机化合物（VOC）含量</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eastAsia="zh-CN"/>
              </w:rPr>
              <w:t>苯、甲苯、乙苯和二甲苯总和（水性）</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eastAsia="zh-CN"/>
              </w:rPr>
              <w:t>苯（溶剂型、无溶剂型）</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eastAsia="zh-CN"/>
              </w:rPr>
              <w:t>甲苯、乙苯和二甲苯总和（溶剂型、无溶剂型）</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eastAsia="zh-CN"/>
              </w:rPr>
              <w:t>可溶性重金属含量（铅、镉、铬、汞）</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eastAsia="zh-CN"/>
              </w:rPr>
              <w:t>乙二醇醚及醚酯总和</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eastAsia="zh-CN"/>
              </w:rPr>
              <w:t>甲醛（水性）/游离甲醛</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p>
        </w:tc>
        <w:tc>
          <w:tcPr>
            <w:tcW w:w="1672" w:type="dxa"/>
            <w:noWrap w:val="0"/>
            <w:vAlign w:val="center"/>
          </w:tcPr>
          <w:p w14:paraId="0FD4BA9A">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right"/>
              <w:textAlignment w:val="auto"/>
              <w:rPr>
                <w:rFonts w:hint="eastAsia" w:ascii="楷体" w:hAnsi="楷体" w:eastAsia="楷体" w:cs="楷体"/>
                <w:b w:val="0"/>
                <w:bCs/>
                <w:sz w:val="21"/>
                <w:szCs w:val="21"/>
                <w:highlight w:val="none"/>
                <w:lang w:val="en-US" w:eastAsia="zh-CN"/>
              </w:rPr>
            </w:pPr>
            <w:r>
              <w:rPr>
                <w:rFonts w:hint="eastAsia" w:ascii="楷体" w:hAnsi="楷体" w:eastAsia="楷体" w:cs="楷体"/>
                <w:b w:val="0"/>
                <w:bCs/>
                <w:sz w:val="21"/>
                <w:szCs w:val="21"/>
                <w:highlight w:val="none"/>
                <w:lang w:val="en-US" w:eastAsia="zh-CN"/>
              </w:rPr>
              <w:t>元</w:t>
            </w:r>
          </w:p>
        </w:tc>
      </w:tr>
      <w:tr w14:paraId="31E0C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2" w:hRule="atLeast"/>
        </w:trPr>
        <w:tc>
          <w:tcPr>
            <w:tcW w:w="1204" w:type="dxa"/>
            <w:noWrap w:val="0"/>
            <w:vAlign w:val="center"/>
          </w:tcPr>
          <w:p w14:paraId="63746E98">
            <w:pPr>
              <w:pageBreakBefore w:val="0"/>
              <w:overflowPunct/>
              <w:topLinePunct w:val="0"/>
              <w:bidi w:val="0"/>
              <w:snapToGrid/>
              <w:spacing w:line="360" w:lineRule="auto"/>
              <w:ind w:left="0" w:right="0" w:rightChars="0"/>
              <w:jc w:val="center"/>
              <w:rPr>
                <w:rFonts w:hint="eastAsia" w:ascii="楷体" w:hAnsi="楷体" w:eastAsia="楷体" w:cs="楷体"/>
                <w:b w:val="0"/>
                <w:bCs/>
                <w:sz w:val="21"/>
                <w:szCs w:val="21"/>
                <w:highlight w:val="none"/>
                <w:lang w:val="en-US" w:eastAsia="zh-CN"/>
              </w:rPr>
            </w:pPr>
            <w:r>
              <w:rPr>
                <w:rFonts w:hint="eastAsia" w:ascii="楷体" w:hAnsi="楷体" w:eastAsia="楷体" w:cs="楷体"/>
                <w:bCs/>
                <w:color w:val="auto"/>
                <w:sz w:val="21"/>
                <w:szCs w:val="21"/>
                <w:highlight w:val="none"/>
              </w:rPr>
              <w:t>防水涂料</w:t>
            </w:r>
          </w:p>
        </w:tc>
        <w:tc>
          <w:tcPr>
            <w:tcW w:w="2431" w:type="dxa"/>
            <w:noWrap w:val="0"/>
            <w:vAlign w:val="center"/>
          </w:tcPr>
          <w:p w14:paraId="43BFF054">
            <w:pPr>
              <w:pageBreakBefore w:val="0"/>
              <w:overflowPunct/>
              <w:topLinePunct w:val="0"/>
              <w:bidi w:val="0"/>
              <w:snapToGrid/>
              <w:spacing w:line="360" w:lineRule="auto"/>
              <w:ind w:left="0" w:right="0" w:rightChars="0"/>
              <w:jc w:val="left"/>
              <w:rPr>
                <w:rFonts w:hint="eastAsia" w:ascii="楷体" w:hAnsi="楷体" w:eastAsia="楷体" w:cs="楷体"/>
                <w:bCs/>
                <w:color w:val="auto"/>
                <w:sz w:val="21"/>
                <w:szCs w:val="21"/>
                <w:highlight w:val="none"/>
                <w:lang w:eastAsia="zh-CN"/>
              </w:rPr>
            </w:pPr>
            <w:r>
              <w:rPr>
                <w:rFonts w:hint="eastAsia" w:ascii="楷体" w:hAnsi="楷体" w:eastAsia="楷体" w:cs="楷体"/>
                <w:bCs/>
                <w:color w:val="auto"/>
                <w:sz w:val="21"/>
                <w:szCs w:val="21"/>
                <w:highlight w:val="none"/>
                <w:lang w:eastAsia="zh-CN"/>
              </w:rPr>
              <w:t>JC 1066-2008</w:t>
            </w:r>
          </w:p>
          <w:p w14:paraId="270E6AF8">
            <w:pPr>
              <w:pageBreakBefore w:val="0"/>
              <w:overflowPunct/>
              <w:topLinePunct w:val="0"/>
              <w:bidi w:val="0"/>
              <w:snapToGrid/>
              <w:spacing w:line="360" w:lineRule="auto"/>
              <w:ind w:left="0" w:right="0" w:rightChars="0"/>
              <w:jc w:val="left"/>
              <w:rPr>
                <w:rFonts w:hint="eastAsia" w:ascii="楷体" w:hAnsi="楷体" w:eastAsia="楷体" w:cs="楷体"/>
                <w:bCs/>
                <w:color w:val="auto"/>
                <w:sz w:val="21"/>
                <w:szCs w:val="21"/>
                <w:highlight w:val="none"/>
                <w:lang w:eastAsia="zh-CN"/>
              </w:rPr>
            </w:pPr>
            <w:r>
              <w:rPr>
                <w:rFonts w:hint="eastAsia" w:ascii="楷体" w:hAnsi="楷体" w:eastAsia="楷体" w:cs="楷体"/>
                <w:bCs/>
                <w:color w:val="auto"/>
                <w:sz w:val="21"/>
                <w:szCs w:val="21"/>
                <w:highlight w:val="none"/>
                <w:lang w:eastAsia="zh-CN"/>
              </w:rPr>
              <w:t>GB/T 38597-2020</w:t>
            </w:r>
          </w:p>
          <w:p w14:paraId="185D3423">
            <w:pPr>
              <w:pageBreakBefore w:val="0"/>
              <w:overflowPunct/>
              <w:topLinePunct w:val="0"/>
              <w:bidi w:val="0"/>
              <w:snapToGrid/>
              <w:spacing w:line="360" w:lineRule="auto"/>
              <w:ind w:left="0" w:right="0" w:rightChars="0"/>
              <w:jc w:val="left"/>
              <w:rPr>
                <w:rFonts w:hint="eastAsia" w:ascii="楷体" w:hAnsi="楷体" w:eastAsia="楷体" w:cs="楷体"/>
                <w:b w:val="0"/>
                <w:bCs/>
                <w:sz w:val="21"/>
                <w:szCs w:val="21"/>
                <w:highlight w:val="none"/>
                <w:lang w:val="en-US" w:eastAsia="zh-CN"/>
              </w:rPr>
            </w:pPr>
            <w:r>
              <w:rPr>
                <w:rFonts w:hint="eastAsia" w:ascii="楷体" w:hAnsi="楷体" w:eastAsia="楷体" w:cs="楷体"/>
                <w:bCs/>
                <w:color w:val="auto"/>
                <w:sz w:val="21"/>
                <w:szCs w:val="21"/>
                <w:highlight w:val="none"/>
                <w:lang w:eastAsia="zh-CN"/>
              </w:rPr>
              <w:t>等现行有效的企业标准、团体标准、地方标准及产品明示质量要求</w:t>
            </w:r>
          </w:p>
        </w:tc>
        <w:tc>
          <w:tcPr>
            <w:tcW w:w="4451" w:type="dxa"/>
            <w:noWrap w:val="0"/>
            <w:vAlign w:val="top"/>
          </w:tcPr>
          <w:p w14:paraId="531AB156">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left"/>
              <w:textAlignment w:val="auto"/>
              <w:rPr>
                <w:rFonts w:hint="eastAsia" w:ascii="楷体" w:hAnsi="楷体" w:eastAsia="楷体" w:cs="楷体"/>
                <w:bCs/>
                <w:color w:val="auto"/>
                <w:sz w:val="21"/>
                <w:szCs w:val="21"/>
                <w:highlight w:val="none"/>
                <w:lang w:val="en-US" w:eastAsia="zh-CN"/>
              </w:rPr>
            </w:pPr>
            <w:r>
              <w:rPr>
                <w:rFonts w:hint="eastAsia" w:ascii="楷体" w:hAnsi="楷体" w:eastAsia="楷体" w:cs="楷体"/>
                <w:bCs/>
                <w:color w:val="auto"/>
                <w:sz w:val="21"/>
                <w:szCs w:val="21"/>
                <w:highlight w:val="none"/>
                <w:lang w:eastAsia="zh-CN"/>
              </w:rPr>
              <w:t>挥发性有机化合物（VOC）含量</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eastAsia="zh-CN"/>
              </w:rPr>
              <w:t>游离甲醛（水性）</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eastAsia="zh-CN"/>
              </w:rPr>
              <w:t>苯、甲苯、乙苯和二甲苯总和</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eastAsia="zh-CN"/>
              </w:rPr>
              <w:t>可溶性重金属（铅、铬、镉、汞）</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eastAsia="zh-CN"/>
              </w:rPr>
              <w:t>苯（反应型、溶剂型）</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eastAsia="zh-CN"/>
              </w:rPr>
              <w:t>甲苯+乙苯+二甲苯（反应型、溶剂型）</w:t>
            </w:r>
            <w:r>
              <w:rPr>
                <w:rFonts w:hint="eastAsia" w:ascii="楷体" w:hAnsi="楷体" w:eastAsia="楷体" w:cs="楷体"/>
                <w:b w:val="0"/>
                <w:bCs/>
                <w:sz w:val="21"/>
                <w:szCs w:val="21"/>
                <w:highlight w:val="none"/>
                <w:lang w:val="en-US" w:eastAsia="zh-CN"/>
              </w:rPr>
              <w:t>。</w:t>
            </w:r>
          </w:p>
        </w:tc>
        <w:tc>
          <w:tcPr>
            <w:tcW w:w="1672" w:type="dxa"/>
            <w:noWrap w:val="0"/>
            <w:vAlign w:val="center"/>
          </w:tcPr>
          <w:p w14:paraId="5B1D12B8">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right"/>
              <w:textAlignment w:val="auto"/>
              <w:rPr>
                <w:rFonts w:hint="eastAsia" w:ascii="楷体" w:hAnsi="楷体" w:eastAsia="楷体" w:cs="楷体"/>
                <w:b w:val="0"/>
                <w:bCs/>
                <w:sz w:val="21"/>
                <w:szCs w:val="21"/>
                <w:highlight w:val="none"/>
                <w:lang w:val="en-US" w:eastAsia="zh-CN"/>
              </w:rPr>
            </w:pPr>
            <w:r>
              <w:rPr>
                <w:rFonts w:hint="eastAsia" w:ascii="楷体" w:hAnsi="楷体" w:eastAsia="楷体" w:cs="楷体"/>
                <w:b w:val="0"/>
                <w:bCs/>
                <w:sz w:val="21"/>
                <w:szCs w:val="21"/>
                <w:highlight w:val="none"/>
                <w:lang w:val="en-US" w:eastAsia="zh-CN"/>
              </w:rPr>
              <w:t>元</w:t>
            </w:r>
          </w:p>
        </w:tc>
      </w:tr>
      <w:tr w14:paraId="7E376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2" w:hRule="atLeast"/>
        </w:trPr>
        <w:tc>
          <w:tcPr>
            <w:tcW w:w="1204" w:type="dxa"/>
            <w:noWrap w:val="0"/>
            <w:vAlign w:val="center"/>
          </w:tcPr>
          <w:p w14:paraId="2EA2F98F">
            <w:pPr>
              <w:pageBreakBefore w:val="0"/>
              <w:overflowPunct/>
              <w:topLinePunct w:val="0"/>
              <w:bidi w:val="0"/>
              <w:snapToGrid/>
              <w:spacing w:line="360" w:lineRule="auto"/>
              <w:ind w:left="0" w:right="0" w:rightChars="0"/>
              <w:jc w:val="center"/>
              <w:rPr>
                <w:rFonts w:hint="eastAsia" w:ascii="楷体" w:hAnsi="楷体" w:eastAsia="楷体" w:cs="楷体"/>
                <w:b w:val="0"/>
                <w:bCs/>
                <w:sz w:val="21"/>
                <w:szCs w:val="21"/>
                <w:highlight w:val="none"/>
                <w:lang w:val="en-US" w:eastAsia="zh-CN"/>
              </w:rPr>
            </w:pPr>
            <w:r>
              <w:rPr>
                <w:rFonts w:hint="eastAsia" w:ascii="楷体" w:hAnsi="楷体" w:eastAsia="楷体" w:cs="楷体"/>
                <w:bCs/>
                <w:color w:val="auto"/>
                <w:sz w:val="21"/>
                <w:szCs w:val="21"/>
                <w:highlight w:val="none"/>
              </w:rPr>
              <w:t>溶剂型工业涂料</w:t>
            </w:r>
          </w:p>
        </w:tc>
        <w:tc>
          <w:tcPr>
            <w:tcW w:w="2431" w:type="dxa"/>
            <w:noWrap w:val="0"/>
            <w:vAlign w:val="center"/>
          </w:tcPr>
          <w:p w14:paraId="7CE0CAB6">
            <w:pPr>
              <w:pageBreakBefore w:val="0"/>
              <w:overflowPunct/>
              <w:topLinePunct w:val="0"/>
              <w:bidi w:val="0"/>
              <w:snapToGrid/>
              <w:spacing w:line="360" w:lineRule="auto"/>
              <w:ind w:left="0" w:right="0" w:rightChars="0"/>
              <w:jc w:val="left"/>
              <w:rPr>
                <w:rFonts w:hint="eastAsia" w:ascii="楷体" w:hAnsi="楷体" w:eastAsia="楷体" w:cs="楷体"/>
                <w:bCs/>
                <w:color w:val="auto"/>
                <w:sz w:val="21"/>
                <w:szCs w:val="21"/>
                <w:highlight w:val="none"/>
                <w:lang w:eastAsia="zh-CN"/>
              </w:rPr>
            </w:pPr>
            <w:r>
              <w:rPr>
                <w:rFonts w:hint="eastAsia" w:ascii="楷体" w:hAnsi="楷体" w:eastAsia="楷体" w:cs="楷体"/>
                <w:bCs/>
                <w:color w:val="auto"/>
                <w:sz w:val="21"/>
                <w:szCs w:val="21"/>
                <w:highlight w:val="none"/>
                <w:lang w:eastAsia="zh-CN"/>
              </w:rPr>
              <w:t>GB 30981-2020</w:t>
            </w:r>
          </w:p>
          <w:p w14:paraId="55BA88B2">
            <w:pPr>
              <w:pageBreakBefore w:val="0"/>
              <w:overflowPunct/>
              <w:topLinePunct w:val="0"/>
              <w:bidi w:val="0"/>
              <w:snapToGrid/>
              <w:spacing w:line="360" w:lineRule="auto"/>
              <w:ind w:left="0" w:right="0" w:rightChars="0"/>
              <w:jc w:val="left"/>
              <w:rPr>
                <w:rFonts w:hint="eastAsia" w:ascii="楷体" w:hAnsi="楷体" w:eastAsia="楷体" w:cs="楷体"/>
                <w:b w:val="0"/>
                <w:bCs/>
                <w:sz w:val="21"/>
                <w:szCs w:val="21"/>
                <w:highlight w:val="none"/>
                <w:lang w:val="en-US" w:eastAsia="zh-CN"/>
              </w:rPr>
            </w:pPr>
            <w:r>
              <w:rPr>
                <w:rFonts w:hint="eastAsia" w:ascii="楷体" w:hAnsi="楷体" w:eastAsia="楷体" w:cs="楷体"/>
                <w:bCs/>
                <w:color w:val="auto"/>
                <w:sz w:val="21"/>
                <w:szCs w:val="21"/>
                <w:highlight w:val="none"/>
                <w:lang w:eastAsia="zh-CN"/>
              </w:rPr>
              <w:t>GB/T 38597-2020 等现行有效的企业标准、团体标准、地方标准及产品明示质量要求</w:t>
            </w:r>
          </w:p>
        </w:tc>
        <w:tc>
          <w:tcPr>
            <w:tcW w:w="4451" w:type="dxa"/>
            <w:noWrap w:val="0"/>
            <w:vAlign w:val="top"/>
          </w:tcPr>
          <w:p w14:paraId="4B4968E9">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left"/>
              <w:textAlignment w:val="auto"/>
              <w:rPr>
                <w:rFonts w:hint="eastAsia" w:ascii="楷体" w:hAnsi="楷体" w:eastAsia="楷体" w:cs="楷体"/>
                <w:bCs/>
                <w:color w:val="auto"/>
                <w:sz w:val="21"/>
                <w:szCs w:val="21"/>
                <w:highlight w:val="none"/>
                <w:lang w:val="en-US" w:eastAsia="zh-CN"/>
              </w:rPr>
            </w:pPr>
            <w:r>
              <w:rPr>
                <w:rFonts w:hint="eastAsia" w:ascii="楷体" w:hAnsi="楷体" w:eastAsia="楷体" w:cs="楷体"/>
                <w:bCs/>
                <w:color w:val="auto"/>
                <w:sz w:val="21"/>
                <w:szCs w:val="21"/>
                <w:highlight w:val="none"/>
                <w:lang w:eastAsia="zh-CN"/>
              </w:rPr>
              <w:t>VOC含量</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eastAsia="zh-CN"/>
              </w:rPr>
              <w:t>苯含量（溶剂型涂料）</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eastAsia="zh-CN"/>
              </w:rPr>
              <w:t>甲苯与二甲苯（含乙苯）总和含量（溶剂型涂料）</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eastAsia="zh-CN"/>
              </w:rPr>
              <w:t>乙二醇醚及醚酯总和含量</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eastAsia="zh-CN"/>
              </w:rPr>
              <w:t>重金属含量（铅、镉、六价铬、汞）</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p>
        </w:tc>
        <w:tc>
          <w:tcPr>
            <w:tcW w:w="1672" w:type="dxa"/>
            <w:noWrap w:val="0"/>
            <w:vAlign w:val="center"/>
          </w:tcPr>
          <w:p w14:paraId="58315481">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right"/>
              <w:textAlignment w:val="auto"/>
              <w:rPr>
                <w:rFonts w:hint="eastAsia" w:ascii="楷体" w:hAnsi="楷体" w:eastAsia="楷体" w:cs="楷体"/>
                <w:b w:val="0"/>
                <w:bCs/>
                <w:sz w:val="21"/>
                <w:szCs w:val="21"/>
                <w:highlight w:val="none"/>
                <w:lang w:val="en-US" w:eastAsia="zh-CN"/>
              </w:rPr>
            </w:pPr>
            <w:r>
              <w:rPr>
                <w:rFonts w:hint="eastAsia" w:ascii="楷体" w:hAnsi="楷体" w:eastAsia="楷体" w:cs="楷体"/>
                <w:b w:val="0"/>
                <w:bCs/>
                <w:sz w:val="21"/>
                <w:szCs w:val="21"/>
                <w:highlight w:val="none"/>
                <w:lang w:val="en-US" w:eastAsia="zh-CN"/>
              </w:rPr>
              <w:t>元</w:t>
            </w:r>
          </w:p>
        </w:tc>
      </w:tr>
      <w:tr w14:paraId="4DD4C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2" w:hRule="atLeast"/>
        </w:trPr>
        <w:tc>
          <w:tcPr>
            <w:tcW w:w="1204" w:type="dxa"/>
            <w:noWrap w:val="0"/>
            <w:vAlign w:val="center"/>
          </w:tcPr>
          <w:p w14:paraId="233BD187">
            <w:pPr>
              <w:pageBreakBefore w:val="0"/>
              <w:overflowPunct/>
              <w:topLinePunct w:val="0"/>
              <w:bidi w:val="0"/>
              <w:snapToGrid/>
              <w:spacing w:line="360" w:lineRule="auto"/>
              <w:ind w:left="0" w:right="0" w:rightChars="0"/>
              <w:jc w:val="center"/>
              <w:rPr>
                <w:rFonts w:hint="eastAsia" w:ascii="楷体" w:hAnsi="楷体" w:eastAsia="楷体" w:cs="楷体"/>
                <w:b w:val="0"/>
                <w:bCs/>
                <w:sz w:val="21"/>
                <w:szCs w:val="21"/>
                <w:highlight w:val="none"/>
                <w:lang w:val="en-US" w:eastAsia="zh-CN"/>
              </w:rPr>
            </w:pPr>
            <w:r>
              <w:rPr>
                <w:rFonts w:hint="eastAsia" w:ascii="楷体" w:hAnsi="楷体" w:eastAsia="楷体" w:cs="楷体"/>
                <w:bCs/>
                <w:color w:val="auto"/>
                <w:sz w:val="21"/>
                <w:szCs w:val="21"/>
                <w:highlight w:val="none"/>
              </w:rPr>
              <w:t>水性工业涂料</w:t>
            </w:r>
          </w:p>
        </w:tc>
        <w:tc>
          <w:tcPr>
            <w:tcW w:w="2431" w:type="dxa"/>
            <w:noWrap w:val="0"/>
            <w:vAlign w:val="center"/>
          </w:tcPr>
          <w:p w14:paraId="4B28D0FA">
            <w:pPr>
              <w:pageBreakBefore w:val="0"/>
              <w:overflowPunct/>
              <w:topLinePunct w:val="0"/>
              <w:bidi w:val="0"/>
              <w:snapToGrid/>
              <w:spacing w:line="360" w:lineRule="auto"/>
              <w:ind w:left="0" w:right="0" w:rightChars="0"/>
              <w:jc w:val="left"/>
              <w:rPr>
                <w:rFonts w:hint="eastAsia" w:ascii="楷体" w:hAnsi="楷体" w:eastAsia="楷体" w:cs="楷体"/>
                <w:bCs/>
                <w:color w:val="auto"/>
                <w:sz w:val="21"/>
                <w:szCs w:val="21"/>
                <w:highlight w:val="none"/>
                <w:lang w:eastAsia="zh-CN"/>
              </w:rPr>
            </w:pPr>
            <w:r>
              <w:rPr>
                <w:rFonts w:hint="eastAsia" w:ascii="楷体" w:hAnsi="楷体" w:eastAsia="楷体" w:cs="楷体"/>
                <w:bCs/>
                <w:color w:val="auto"/>
                <w:sz w:val="21"/>
                <w:szCs w:val="21"/>
                <w:highlight w:val="none"/>
                <w:lang w:eastAsia="zh-CN"/>
              </w:rPr>
              <w:t>GB 30981-2020</w:t>
            </w:r>
          </w:p>
          <w:p w14:paraId="7394F4D8">
            <w:pPr>
              <w:pageBreakBefore w:val="0"/>
              <w:overflowPunct/>
              <w:topLinePunct w:val="0"/>
              <w:bidi w:val="0"/>
              <w:snapToGrid/>
              <w:spacing w:line="360" w:lineRule="auto"/>
              <w:ind w:left="0" w:right="0" w:rightChars="0"/>
              <w:jc w:val="left"/>
              <w:rPr>
                <w:rFonts w:hint="eastAsia" w:ascii="楷体" w:hAnsi="楷体" w:eastAsia="楷体" w:cs="楷体"/>
                <w:b w:val="0"/>
                <w:bCs/>
                <w:sz w:val="21"/>
                <w:szCs w:val="21"/>
                <w:highlight w:val="none"/>
                <w:lang w:val="en-US" w:eastAsia="zh-CN"/>
              </w:rPr>
            </w:pPr>
            <w:r>
              <w:rPr>
                <w:rFonts w:hint="eastAsia" w:ascii="楷体" w:hAnsi="楷体" w:eastAsia="楷体" w:cs="楷体"/>
                <w:bCs/>
                <w:color w:val="auto"/>
                <w:sz w:val="21"/>
                <w:szCs w:val="21"/>
                <w:highlight w:val="none"/>
                <w:lang w:eastAsia="zh-CN"/>
              </w:rPr>
              <w:t>GB/T 38597-2020 等现行有效的企业标准、团体标准、地方标准及产品明示质量要求</w:t>
            </w:r>
          </w:p>
        </w:tc>
        <w:tc>
          <w:tcPr>
            <w:tcW w:w="4451" w:type="dxa"/>
            <w:noWrap w:val="0"/>
            <w:vAlign w:val="top"/>
          </w:tcPr>
          <w:p w14:paraId="4A1BE9C2">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left"/>
              <w:textAlignment w:val="auto"/>
              <w:rPr>
                <w:rFonts w:hint="eastAsia" w:ascii="楷体" w:hAnsi="楷体" w:eastAsia="楷体" w:cs="楷体"/>
                <w:bCs/>
                <w:color w:val="auto"/>
                <w:sz w:val="21"/>
                <w:szCs w:val="21"/>
                <w:highlight w:val="none"/>
                <w:lang w:val="en-US" w:eastAsia="zh-CN"/>
              </w:rPr>
            </w:pPr>
            <w:r>
              <w:rPr>
                <w:rFonts w:hint="eastAsia" w:ascii="楷体" w:hAnsi="楷体" w:eastAsia="楷体" w:cs="楷体"/>
                <w:bCs/>
                <w:color w:val="auto"/>
                <w:sz w:val="21"/>
                <w:szCs w:val="21"/>
                <w:highlight w:val="none"/>
                <w:lang w:eastAsia="zh-CN"/>
              </w:rPr>
              <w:t>VOC含量</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eastAsia="zh-CN"/>
              </w:rPr>
              <w:t>乙二醇醚及醚酯总和含量</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eastAsia="zh-CN"/>
              </w:rPr>
              <w:t>重金属含量（铅、镉、六价铬、汞）</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p>
        </w:tc>
        <w:tc>
          <w:tcPr>
            <w:tcW w:w="1672" w:type="dxa"/>
            <w:noWrap w:val="0"/>
            <w:vAlign w:val="center"/>
          </w:tcPr>
          <w:p w14:paraId="484C20EB">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right"/>
              <w:textAlignment w:val="auto"/>
              <w:rPr>
                <w:rFonts w:hint="eastAsia" w:ascii="楷体" w:hAnsi="楷体" w:eastAsia="楷体" w:cs="楷体"/>
                <w:b w:val="0"/>
                <w:bCs/>
                <w:sz w:val="21"/>
                <w:szCs w:val="21"/>
                <w:highlight w:val="none"/>
                <w:lang w:val="en-US" w:eastAsia="zh-CN"/>
              </w:rPr>
            </w:pPr>
            <w:r>
              <w:rPr>
                <w:rFonts w:hint="eastAsia" w:ascii="楷体" w:hAnsi="楷体" w:eastAsia="楷体" w:cs="楷体"/>
                <w:b w:val="0"/>
                <w:bCs/>
                <w:sz w:val="21"/>
                <w:szCs w:val="21"/>
                <w:highlight w:val="none"/>
                <w:lang w:val="en-US" w:eastAsia="zh-CN"/>
              </w:rPr>
              <w:t>元</w:t>
            </w:r>
          </w:p>
        </w:tc>
      </w:tr>
      <w:tr w14:paraId="2D7F4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2" w:hRule="atLeast"/>
        </w:trPr>
        <w:tc>
          <w:tcPr>
            <w:tcW w:w="1204" w:type="dxa"/>
            <w:noWrap w:val="0"/>
            <w:vAlign w:val="center"/>
          </w:tcPr>
          <w:p w14:paraId="15A77EC2">
            <w:pPr>
              <w:pageBreakBefore w:val="0"/>
              <w:overflowPunct/>
              <w:topLinePunct w:val="0"/>
              <w:bidi w:val="0"/>
              <w:snapToGrid/>
              <w:spacing w:line="360" w:lineRule="auto"/>
              <w:ind w:left="0" w:right="0" w:rightChars="0"/>
              <w:jc w:val="center"/>
              <w:rPr>
                <w:rFonts w:hint="eastAsia" w:ascii="楷体" w:hAnsi="楷体" w:eastAsia="楷体" w:cs="楷体"/>
                <w:b w:val="0"/>
                <w:bCs/>
                <w:sz w:val="21"/>
                <w:szCs w:val="21"/>
                <w:highlight w:val="none"/>
                <w:lang w:val="en-US" w:eastAsia="zh-CN"/>
              </w:rPr>
            </w:pPr>
            <w:r>
              <w:rPr>
                <w:rFonts w:hint="eastAsia" w:ascii="楷体" w:hAnsi="楷体" w:eastAsia="楷体" w:cs="楷体"/>
                <w:bCs/>
                <w:color w:val="auto"/>
                <w:sz w:val="21"/>
                <w:szCs w:val="21"/>
                <w:highlight w:val="none"/>
              </w:rPr>
              <w:t>胶粘剂</w:t>
            </w:r>
          </w:p>
        </w:tc>
        <w:tc>
          <w:tcPr>
            <w:tcW w:w="2431" w:type="dxa"/>
            <w:noWrap w:val="0"/>
            <w:vAlign w:val="center"/>
          </w:tcPr>
          <w:p w14:paraId="5218741B">
            <w:pPr>
              <w:pageBreakBefore w:val="0"/>
              <w:overflowPunct/>
              <w:topLinePunct w:val="0"/>
              <w:bidi w:val="0"/>
              <w:snapToGrid/>
              <w:spacing w:line="360" w:lineRule="auto"/>
              <w:ind w:left="0" w:right="0" w:rightChars="0"/>
              <w:jc w:val="left"/>
              <w:rPr>
                <w:rFonts w:hint="eastAsia" w:ascii="楷体" w:hAnsi="楷体" w:eastAsia="楷体" w:cs="楷体"/>
                <w:bCs/>
                <w:color w:val="auto"/>
                <w:sz w:val="21"/>
                <w:szCs w:val="21"/>
                <w:highlight w:val="none"/>
                <w:lang w:eastAsia="zh-CN"/>
              </w:rPr>
            </w:pPr>
            <w:r>
              <w:rPr>
                <w:rFonts w:hint="eastAsia" w:ascii="楷体" w:hAnsi="楷体" w:eastAsia="楷体" w:cs="楷体"/>
                <w:bCs/>
                <w:color w:val="auto"/>
                <w:sz w:val="21"/>
                <w:szCs w:val="21"/>
                <w:highlight w:val="none"/>
                <w:lang w:eastAsia="zh-CN"/>
              </w:rPr>
              <w:t xml:space="preserve">GB 33372-2020 </w:t>
            </w:r>
          </w:p>
          <w:p w14:paraId="67CBF554">
            <w:pPr>
              <w:pageBreakBefore w:val="0"/>
              <w:overflowPunct/>
              <w:topLinePunct w:val="0"/>
              <w:bidi w:val="0"/>
              <w:snapToGrid/>
              <w:spacing w:line="360" w:lineRule="auto"/>
              <w:ind w:left="0" w:right="0" w:rightChars="0"/>
              <w:jc w:val="left"/>
              <w:rPr>
                <w:rFonts w:hint="eastAsia" w:ascii="楷体" w:hAnsi="楷体" w:eastAsia="楷体" w:cs="楷体"/>
                <w:bCs/>
                <w:color w:val="auto"/>
                <w:sz w:val="21"/>
                <w:szCs w:val="21"/>
                <w:highlight w:val="none"/>
                <w:lang w:eastAsia="zh-CN"/>
              </w:rPr>
            </w:pPr>
            <w:r>
              <w:rPr>
                <w:rFonts w:hint="eastAsia" w:ascii="楷体" w:hAnsi="楷体" w:eastAsia="楷体" w:cs="楷体"/>
                <w:bCs/>
                <w:color w:val="auto"/>
                <w:sz w:val="21"/>
                <w:szCs w:val="21"/>
                <w:highlight w:val="none"/>
                <w:lang w:eastAsia="zh-CN"/>
              </w:rPr>
              <w:t xml:space="preserve">GB 18583-2008 </w:t>
            </w:r>
          </w:p>
          <w:p w14:paraId="4354D21E">
            <w:pPr>
              <w:pageBreakBefore w:val="0"/>
              <w:overflowPunct/>
              <w:topLinePunct w:val="0"/>
              <w:bidi w:val="0"/>
              <w:snapToGrid/>
              <w:spacing w:line="360" w:lineRule="auto"/>
              <w:ind w:left="0" w:right="0" w:rightChars="0"/>
              <w:jc w:val="left"/>
              <w:rPr>
                <w:rFonts w:hint="eastAsia" w:ascii="楷体" w:hAnsi="楷体" w:eastAsia="楷体" w:cs="楷体"/>
                <w:bCs/>
                <w:color w:val="auto"/>
                <w:sz w:val="21"/>
                <w:szCs w:val="21"/>
                <w:highlight w:val="none"/>
                <w:lang w:eastAsia="zh-CN"/>
              </w:rPr>
            </w:pPr>
            <w:r>
              <w:rPr>
                <w:rFonts w:hint="eastAsia" w:ascii="楷体" w:hAnsi="楷体" w:eastAsia="楷体" w:cs="楷体"/>
                <w:bCs/>
                <w:color w:val="auto"/>
                <w:sz w:val="21"/>
                <w:szCs w:val="21"/>
                <w:highlight w:val="none"/>
                <w:lang w:eastAsia="zh-CN"/>
              </w:rPr>
              <w:t>GB 30982-2014</w:t>
            </w:r>
          </w:p>
          <w:p w14:paraId="065B7315">
            <w:pPr>
              <w:pageBreakBefore w:val="0"/>
              <w:overflowPunct/>
              <w:topLinePunct w:val="0"/>
              <w:bidi w:val="0"/>
              <w:snapToGrid/>
              <w:spacing w:line="360" w:lineRule="auto"/>
              <w:ind w:left="0" w:right="0" w:rightChars="0"/>
              <w:jc w:val="left"/>
              <w:rPr>
                <w:rFonts w:hint="eastAsia" w:ascii="楷体" w:hAnsi="楷体" w:eastAsia="楷体" w:cs="楷体"/>
                <w:b w:val="0"/>
                <w:bCs/>
                <w:sz w:val="21"/>
                <w:szCs w:val="21"/>
                <w:highlight w:val="none"/>
                <w:lang w:val="en-US" w:eastAsia="zh-CN"/>
              </w:rPr>
            </w:pPr>
            <w:r>
              <w:rPr>
                <w:rFonts w:hint="eastAsia" w:ascii="楷体" w:hAnsi="楷体" w:eastAsia="楷体" w:cs="楷体"/>
                <w:bCs/>
                <w:color w:val="auto"/>
                <w:sz w:val="21"/>
                <w:szCs w:val="21"/>
                <w:highlight w:val="none"/>
                <w:lang w:eastAsia="zh-CN"/>
              </w:rPr>
              <w:t>等现行有效的企业标准、团体标准、地方标准及产品明示质量要求</w:t>
            </w:r>
          </w:p>
        </w:tc>
        <w:tc>
          <w:tcPr>
            <w:tcW w:w="4451" w:type="dxa"/>
            <w:noWrap w:val="0"/>
            <w:vAlign w:val="top"/>
          </w:tcPr>
          <w:p w14:paraId="744B46C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left"/>
              <w:textAlignment w:val="auto"/>
              <w:rPr>
                <w:rFonts w:hint="eastAsia" w:ascii="楷体" w:hAnsi="楷体" w:eastAsia="楷体" w:cs="楷体"/>
                <w:bCs/>
                <w:color w:val="auto"/>
                <w:sz w:val="21"/>
                <w:szCs w:val="21"/>
                <w:highlight w:val="none"/>
                <w:lang w:val="en-US" w:eastAsia="zh-CN"/>
              </w:rPr>
            </w:pPr>
            <w:r>
              <w:rPr>
                <w:rFonts w:hint="eastAsia" w:ascii="楷体" w:hAnsi="楷体" w:eastAsia="楷体" w:cs="楷体"/>
                <w:bCs/>
                <w:color w:val="auto"/>
                <w:sz w:val="21"/>
                <w:szCs w:val="21"/>
                <w:highlight w:val="none"/>
                <w:lang w:eastAsia="zh-CN"/>
              </w:rPr>
              <w:t>游离甲醛</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eastAsia="zh-CN"/>
              </w:rPr>
              <w:t>苯</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eastAsia="zh-CN"/>
              </w:rPr>
              <w:t>甲苯+二甲苯</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eastAsia="zh-CN"/>
              </w:rPr>
              <w:t>甲苯二异氰酸酯</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eastAsia="zh-CN"/>
              </w:rPr>
              <w:t>总挥发性有机物</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p>
        </w:tc>
        <w:tc>
          <w:tcPr>
            <w:tcW w:w="1672" w:type="dxa"/>
            <w:noWrap w:val="0"/>
            <w:vAlign w:val="center"/>
          </w:tcPr>
          <w:p w14:paraId="28285D93">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right"/>
              <w:textAlignment w:val="auto"/>
              <w:rPr>
                <w:rFonts w:hint="eastAsia" w:ascii="楷体" w:hAnsi="楷体" w:eastAsia="楷体" w:cs="楷体"/>
                <w:b w:val="0"/>
                <w:bCs/>
                <w:sz w:val="21"/>
                <w:szCs w:val="21"/>
                <w:highlight w:val="none"/>
                <w:lang w:val="en-US" w:eastAsia="zh-CN"/>
              </w:rPr>
            </w:pPr>
            <w:r>
              <w:rPr>
                <w:rFonts w:hint="eastAsia" w:ascii="楷体" w:hAnsi="楷体" w:eastAsia="楷体" w:cs="楷体"/>
                <w:b w:val="0"/>
                <w:bCs/>
                <w:sz w:val="21"/>
                <w:szCs w:val="21"/>
                <w:highlight w:val="none"/>
                <w:lang w:val="en-US" w:eastAsia="zh-CN"/>
              </w:rPr>
              <w:t>元</w:t>
            </w:r>
          </w:p>
        </w:tc>
      </w:tr>
      <w:tr w14:paraId="217F3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2" w:hRule="atLeast"/>
        </w:trPr>
        <w:tc>
          <w:tcPr>
            <w:tcW w:w="1204" w:type="dxa"/>
            <w:shd w:val="clear" w:color="auto" w:fill="auto"/>
            <w:noWrap w:val="0"/>
            <w:vAlign w:val="center"/>
          </w:tcPr>
          <w:p w14:paraId="1804978D">
            <w:pPr>
              <w:pageBreakBefore w:val="0"/>
              <w:overflowPunct/>
              <w:topLinePunct w:val="0"/>
              <w:bidi w:val="0"/>
              <w:snapToGrid/>
              <w:spacing w:line="360" w:lineRule="auto"/>
              <w:ind w:left="0" w:leftChars="0" w:right="0" w:rightChars="0"/>
              <w:jc w:val="left"/>
              <w:rPr>
                <w:rFonts w:hint="eastAsia" w:ascii="楷体" w:hAnsi="楷体" w:eastAsia="楷体" w:cs="楷体"/>
                <w:bCs/>
                <w:color w:val="auto"/>
                <w:kern w:val="2"/>
                <w:sz w:val="21"/>
                <w:szCs w:val="21"/>
                <w:highlight w:val="none"/>
                <w:lang w:val="en-US" w:eastAsia="zh-CN" w:bidi="ar-SA"/>
              </w:rPr>
            </w:pPr>
            <w:r>
              <w:rPr>
                <w:rFonts w:hint="eastAsia" w:ascii="楷体" w:hAnsi="楷体" w:eastAsia="楷体" w:cs="楷体"/>
                <w:bCs/>
                <w:color w:val="auto"/>
                <w:sz w:val="21"/>
                <w:szCs w:val="21"/>
                <w:highlight w:val="none"/>
              </w:rPr>
              <w:t>油墨</w:t>
            </w:r>
          </w:p>
        </w:tc>
        <w:tc>
          <w:tcPr>
            <w:tcW w:w="2431" w:type="dxa"/>
            <w:shd w:val="clear" w:color="auto" w:fill="auto"/>
            <w:noWrap w:val="0"/>
            <w:vAlign w:val="center"/>
          </w:tcPr>
          <w:p w14:paraId="565AB903">
            <w:pPr>
              <w:pageBreakBefore w:val="0"/>
              <w:overflowPunct/>
              <w:topLinePunct w:val="0"/>
              <w:bidi w:val="0"/>
              <w:snapToGrid/>
              <w:spacing w:line="360" w:lineRule="auto"/>
              <w:ind w:left="0" w:right="0" w:rightChars="0"/>
              <w:jc w:val="left"/>
              <w:rPr>
                <w:rFonts w:hint="eastAsia" w:ascii="楷体" w:hAnsi="楷体" w:eastAsia="楷体" w:cs="楷体"/>
                <w:bCs/>
                <w:color w:val="auto"/>
                <w:sz w:val="21"/>
                <w:szCs w:val="21"/>
                <w:highlight w:val="none"/>
                <w:lang w:eastAsia="zh-CN"/>
              </w:rPr>
            </w:pPr>
            <w:r>
              <w:rPr>
                <w:rFonts w:hint="eastAsia" w:ascii="楷体" w:hAnsi="楷体" w:eastAsia="楷体" w:cs="楷体"/>
                <w:bCs/>
                <w:color w:val="auto"/>
                <w:sz w:val="21"/>
                <w:szCs w:val="21"/>
                <w:highlight w:val="none"/>
                <w:lang w:eastAsia="zh-CN"/>
              </w:rPr>
              <w:t>GB 38507-2020</w:t>
            </w:r>
          </w:p>
          <w:p w14:paraId="26770DF9">
            <w:pPr>
              <w:pageBreakBefore w:val="0"/>
              <w:overflowPunct/>
              <w:topLinePunct w:val="0"/>
              <w:bidi w:val="0"/>
              <w:snapToGrid/>
              <w:spacing w:line="360" w:lineRule="auto"/>
              <w:ind w:left="0" w:right="0" w:rightChars="0"/>
              <w:jc w:val="left"/>
              <w:rPr>
                <w:rFonts w:hint="eastAsia" w:ascii="楷体" w:hAnsi="楷体" w:eastAsia="楷体" w:cs="楷体"/>
                <w:bCs/>
                <w:color w:val="auto"/>
                <w:sz w:val="21"/>
                <w:szCs w:val="21"/>
                <w:highlight w:val="none"/>
                <w:lang w:eastAsia="zh-CN"/>
              </w:rPr>
            </w:pPr>
            <w:r>
              <w:rPr>
                <w:rFonts w:hint="eastAsia" w:ascii="楷体" w:hAnsi="楷体" w:eastAsia="楷体" w:cs="楷体"/>
                <w:bCs/>
                <w:color w:val="auto"/>
                <w:sz w:val="21"/>
                <w:szCs w:val="21"/>
                <w:highlight w:val="none"/>
                <w:lang w:eastAsia="zh-CN"/>
              </w:rPr>
              <w:t>GB/T 26461-2011</w:t>
            </w:r>
          </w:p>
          <w:p w14:paraId="7D4570E6">
            <w:pPr>
              <w:pageBreakBefore w:val="0"/>
              <w:overflowPunct/>
              <w:topLinePunct w:val="0"/>
              <w:bidi w:val="0"/>
              <w:snapToGrid/>
              <w:spacing w:line="360" w:lineRule="auto"/>
              <w:ind w:left="0" w:leftChars="0" w:right="0" w:rightChars="0"/>
              <w:jc w:val="left"/>
              <w:rPr>
                <w:rFonts w:hint="eastAsia" w:ascii="楷体" w:hAnsi="楷体" w:eastAsia="楷体" w:cs="楷体"/>
                <w:bCs/>
                <w:color w:val="auto"/>
                <w:kern w:val="2"/>
                <w:sz w:val="21"/>
                <w:szCs w:val="21"/>
                <w:highlight w:val="none"/>
                <w:lang w:val="en-US" w:eastAsia="zh-CN" w:bidi="ar-SA"/>
              </w:rPr>
            </w:pPr>
            <w:r>
              <w:rPr>
                <w:rFonts w:hint="eastAsia" w:ascii="楷体" w:hAnsi="楷体" w:eastAsia="楷体" w:cs="楷体"/>
                <w:bCs/>
                <w:color w:val="auto"/>
                <w:sz w:val="21"/>
                <w:szCs w:val="21"/>
                <w:highlight w:val="none"/>
                <w:lang w:eastAsia="zh-CN"/>
              </w:rPr>
              <w:t>等现行有效的企业标准、团体标准、地方标准及产品明示质量要求</w:t>
            </w:r>
          </w:p>
        </w:tc>
        <w:tc>
          <w:tcPr>
            <w:tcW w:w="4451" w:type="dxa"/>
            <w:noWrap w:val="0"/>
            <w:vAlign w:val="top"/>
          </w:tcPr>
          <w:p w14:paraId="32E4EF78">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left"/>
              <w:textAlignment w:val="auto"/>
              <w:rPr>
                <w:rFonts w:hint="eastAsia" w:ascii="楷体" w:hAnsi="楷体" w:eastAsia="楷体" w:cs="楷体"/>
                <w:bCs/>
                <w:color w:val="auto"/>
                <w:sz w:val="21"/>
                <w:szCs w:val="21"/>
                <w:highlight w:val="none"/>
                <w:lang w:val="en-US" w:eastAsia="zh-CN"/>
              </w:rPr>
            </w:pPr>
            <w:r>
              <w:rPr>
                <w:rFonts w:hint="eastAsia" w:ascii="楷体" w:hAnsi="楷体" w:eastAsia="楷体" w:cs="楷体"/>
                <w:bCs/>
                <w:color w:val="auto"/>
                <w:sz w:val="21"/>
                <w:szCs w:val="21"/>
                <w:highlight w:val="none"/>
                <w:lang w:eastAsia="zh-CN"/>
              </w:rPr>
              <w:t>可挥发性有机化合物(VOCs)含量</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eastAsia="zh-CN"/>
              </w:rPr>
              <w:t>苯</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eastAsia="zh-CN"/>
              </w:rPr>
              <w:t>甲苯</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eastAsia="zh-CN"/>
              </w:rPr>
              <w:t>乙苯</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eastAsia="zh-CN"/>
              </w:rPr>
              <w:t>二甲苯</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eastAsia="zh-CN"/>
              </w:rPr>
              <w:t>颜色</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eastAsia="zh-CN"/>
              </w:rPr>
              <w:t>细度</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eastAsia="zh-CN"/>
              </w:rPr>
              <w:t>粘度</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eastAsia="zh-CN"/>
              </w:rPr>
              <w:t>着色力</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eastAsia="zh-CN"/>
              </w:rPr>
              <w:t>附着牢度</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eastAsia="zh-CN"/>
              </w:rPr>
              <w:t>耐光</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eastAsia="zh-CN"/>
              </w:rPr>
              <w:t>耐热性</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p>
        </w:tc>
        <w:tc>
          <w:tcPr>
            <w:tcW w:w="1672" w:type="dxa"/>
            <w:noWrap w:val="0"/>
            <w:vAlign w:val="center"/>
          </w:tcPr>
          <w:p w14:paraId="2467D0DD">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right"/>
              <w:textAlignment w:val="auto"/>
              <w:rPr>
                <w:rFonts w:hint="eastAsia" w:ascii="楷体" w:hAnsi="楷体" w:eastAsia="楷体" w:cs="楷体"/>
                <w:b w:val="0"/>
                <w:bCs/>
                <w:sz w:val="21"/>
                <w:szCs w:val="21"/>
                <w:highlight w:val="none"/>
                <w:lang w:val="en-US" w:eastAsia="zh-CN"/>
              </w:rPr>
            </w:pPr>
            <w:r>
              <w:rPr>
                <w:rFonts w:hint="eastAsia" w:ascii="楷体" w:hAnsi="楷体" w:eastAsia="楷体" w:cs="楷体"/>
                <w:b w:val="0"/>
                <w:bCs/>
                <w:sz w:val="21"/>
                <w:szCs w:val="21"/>
                <w:highlight w:val="none"/>
                <w:lang w:val="en-US" w:eastAsia="zh-CN"/>
              </w:rPr>
              <w:t>元</w:t>
            </w:r>
          </w:p>
        </w:tc>
      </w:tr>
      <w:tr w14:paraId="20652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2" w:hRule="atLeast"/>
        </w:trPr>
        <w:tc>
          <w:tcPr>
            <w:tcW w:w="1204" w:type="dxa"/>
            <w:shd w:val="clear" w:color="auto" w:fill="auto"/>
            <w:noWrap w:val="0"/>
            <w:vAlign w:val="center"/>
          </w:tcPr>
          <w:p w14:paraId="2AE3BC34">
            <w:pPr>
              <w:pageBreakBefore w:val="0"/>
              <w:overflowPunct/>
              <w:topLinePunct w:val="0"/>
              <w:bidi w:val="0"/>
              <w:snapToGrid/>
              <w:spacing w:line="360" w:lineRule="auto"/>
              <w:ind w:left="0" w:leftChars="0" w:right="0" w:rightChars="0"/>
              <w:jc w:val="left"/>
              <w:rPr>
                <w:rFonts w:hint="eastAsia" w:ascii="楷体" w:hAnsi="楷体" w:eastAsia="楷体" w:cs="楷体"/>
                <w:bCs/>
                <w:color w:val="auto"/>
                <w:kern w:val="2"/>
                <w:sz w:val="21"/>
                <w:szCs w:val="21"/>
                <w:highlight w:val="none"/>
                <w:lang w:val="en-US" w:eastAsia="zh-CN" w:bidi="ar-SA"/>
              </w:rPr>
            </w:pPr>
            <w:r>
              <w:rPr>
                <w:rFonts w:hint="eastAsia" w:ascii="楷体" w:hAnsi="楷体" w:eastAsia="楷体" w:cs="楷体"/>
                <w:bCs/>
                <w:color w:val="auto"/>
                <w:sz w:val="21"/>
                <w:szCs w:val="21"/>
                <w:highlight w:val="none"/>
                <w:lang w:eastAsia="zh-CN"/>
              </w:rPr>
              <w:t>清洗剂</w:t>
            </w:r>
          </w:p>
        </w:tc>
        <w:tc>
          <w:tcPr>
            <w:tcW w:w="2431" w:type="dxa"/>
            <w:shd w:val="clear" w:color="auto" w:fill="auto"/>
            <w:noWrap w:val="0"/>
            <w:vAlign w:val="center"/>
          </w:tcPr>
          <w:p w14:paraId="104CEC4C">
            <w:pPr>
              <w:pageBreakBefore w:val="0"/>
              <w:overflowPunct/>
              <w:topLinePunct w:val="0"/>
              <w:bidi w:val="0"/>
              <w:snapToGrid/>
              <w:spacing w:line="360" w:lineRule="auto"/>
              <w:ind w:left="0" w:right="0" w:rightChars="0"/>
              <w:jc w:val="left"/>
              <w:rPr>
                <w:rFonts w:hint="eastAsia" w:ascii="楷体" w:hAnsi="楷体" w:eastAsia="楷体" w:cs="楷体"/>
                <w:bCs/>
                <w:color w:val="auto"/>
                <w:sz w:val="21"/>
                <w:szCs w:val="21"/>
                <w:highlight w:val="none"/>
                <w:lang w:eastAsia="zh-CN"/>
              </w:rPr>
            </w:pPr>
            <w:r>
              <w:rPr>
                <w:rFonts w:hint="eastAsia" w:ascii="楷体" w:hAnsi="楷体" w:eastAsia="楷体" w:cs="楷体"/>
                <w:bCs/>
                <w:color w:val="auto"/>
                <w:sz w:val="21"/>
                <w:szCs w:val="21"/>
                <w:highlight w:val="none"/>
                <w:lang w:eastAsia="zh-CN"/>
              </w:rPr>
              <w:t>GB 38508-2020</w:t>
            </w:r>
          </w:p>
          <w:p w14:paraId="7C5C0D2C">
            <w:pPr>
              <w:pageBreakBefore w:val="0"/>
              <w:overflowPunct/>
              <w:topLinePunct w:val="0"/>
              <w:bidi w:val="0"/>
              <w:snapToGrid/>
              <w:spacing w:line="360" w:lineRule="auto"/>
              <w:ind w:left="0" w:leftChars="0" w:right="0" w:rightChars="0"/>
              <w:jc w:val="left"/>
              <w:rPr>
                <w:rFonts w:hint="eastAsia" w:ascii="楷体" w:hAnsi="楷体" w:eastAsia="楷体" w:cs="楷体"/>
                <w:bCs/>
                <w:color w:val="auto"/>
                <w:kern w:val="2"/>
                <w:sz w:val="21"/>
                <w:szCs w:val="21"/>
                <w:highlight w:val="none"/>
                <w:lang w:val="en-US" w:eastAsia="zh-CN" w:bidi="ar-SA"/>
              </w:rPr>
            </w:pPr>
            <w:r>
              <w:rPr>
                <w:rFonts w:hint="eastAsia" w:ascii="楷体" w:hAnsi="楷体" w:eastAsia="楷体" w:cs="楷体"/>
                <w:bCs/>
                <w:color w:val="auto"/>
                <w:sz w:val="21"/>
                <w:szCs w:val="21"/>
                <w:highlight w:val="none"/>
                <w:lang w:eastAsia="zh-CN"/>
              </w:rPr>
              <w:t>等现行有效的企业标准、团体标准、地方标准及产品明示质量要求</w:t>
            </w:r>
          </w:p>
        </w:tc>
        <w:tc>
          <w:tcPr>
            <w:tcW w:w="4451" w:type="dxa"/>
            <w:noWrap w:val="0"/>
            <w:vAlign w:val="top"/>
          </w:tcPr>
          <w:p w14:paraId="2BD9EFC0">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left"/>
              <w:textAlignment w:val="auto"/>
              <w:rPr>
                <w:rFonts w:hint="eastAsia" w:ascii="楷体" w:hAnsi="楷体" w:eastAsia="楷体" w:cs="楷体"/>
                <w:bCs/>
                <w:color w:val="auto"/>
                <w:sz w:val="21"/>
                <w:szCs w:val="21"/>
                <w:highlight w:val="none"/>
                <w:lang w:val="en-US" w:eastAsia="zh-CN"/>
              </w:rPr>
            </w:pPr>
            <w:r>
              <w:rPr>
                <w:rFonts w:hint="eastAsia" w:ascii="楷体" w:hAnsi="楷体" w:eastAsia="楷体" w:cs="楷体"/>
                <w:bCs/>
                <w:color w:val="auto"/>
                <w:sz w:val="21"/>
                <w:szCs w:val="21"/>
                <w:highlight w:val="none"/>
              </w:rPr>
              <w:t>VOC含量</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rPr>
              <w:t>甲醛</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rPr>
              <w:t>苯</w:t>
            </w:r>
            <w:r>
              <w:rPr>
                <w:rFonts w:hint="eastAsia" w:ascii="楷体" w:hAnsi="楷体" w:eastAsia="楷体" w:cs="楷体"/>
                <w:bCs/>
                <w:color w:val="auto"/>
                <w:sz w:val="21"/>
                <w:szCs w:val="21"/>
                <w:highlight w:val="none"/>
                <w:lang w:eastAsia="zh-CN"/>
              </w:rPr>
              <w:t>、</w:t>
            </w:r>
            <w:r>
              <w:rPr>
                <w:rFonts w:hint="eastAsia" w:ascii="楷体" w:hAnsi="楷体" w:eastAsia="楷体" w:cs="楷体"/>
                <w:bCs/>
                <w:color w:val="auto"/>
                <w:sz w:val="21"/>
                <w:szCs w:val="21"/>
                <w:highlight w:val="none"/>
              </w:rPr>
              <w:t>甲苯</w:t>
            </w:r>
            <w:r>
              <w:rPr>
                <w:rFonts w:hint="eastAsia" w:ascii="楷体" w:hAnsi="楷体" w:eastAsia="楷体" w:cs="楷体"/>
                <w:bCs/>
                <w:color w:val="auto"/>
                <w:sz w:val="21"/>
                <w:szCs w:val="21"/>
                <w:highlight w:val="none"/>
                <w:lang w:eastAsia="zh-CN"/>
              </w:rPr>
              <w:t>、</w:t>
            </w:r>
            <w:r>
              <w:rPr>
                <w:rFonts w:hint="eastAsia" w:ascii="楷体" w:hAnsi="楷体" w:eastAsia="楷体" w:cs="楷体"/>
                <w:bCs/>
                <w:color w:val="auto"/>
                <w:sz w:val="21"/>
                <w:szCs w:val="21"/>
                <w:highlight w:val="none"/>
              </w:rPr>
              <w:t>乙苯和二甲苯总和</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p>
        </w:tc>
        <w:tc>
          <w:tcPr>
            <w:tcW w:w="1672" w:type="dxa"/>
            <w:noWrap w:val="0"/>
            <w:vAlign w:val="center"/>
          </w:tcPr>
          <w:p w14:paraId="61CA6DBA">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right"/>
              <w:textAlignment w:val="auto"/>
              <w:rPr>
                <w:rFonts w:hint="eastAsia" w:ascii="楷体" w:hAnsi="楷体" w:eastAsia="楷体" w:cs="楷体"/>
                <w:b w:val="0"/>
                <w:bCs/>
                <w:sz w:val="21"/>
                <w:szCs w:val="21"/>
                <w:highlight w:val="none"/>
                <w:lang w:val="en-US" w:eastAsia="zh-CN"/>
              </w:rPr>
            </w:pPr>
            <w:r>
              <w:rPr>
                <w:rFonts w:hint="eastAsia" w:ascii="楷体" w:hAnsi="楷体" w:eastAsia="楷体" w:cs="楷体"/>
                <w:b w:val="0"/>
                <w:bCs/>
                <w:sz w:val="21"/>
                <w:szCs w:val="21"/>
                <w:highlight w:val="none"/>
                <w:lang w:val="en-US" w:eastAsia="zh-CN"/>
              </w:rPr>
              <w:t>元</w:t>
            </w:r>
          </w:p>
        </w:tc>
      </w:tr>
      <w:tr w14:paraId="68053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5" w:hRule="atLeast"/>
        </w:trPr>
        <w:tc>
          <w:tcPr>
            <w:tcW w:w="9758" w:type="dxa"/>
            <w:gridSpan w:val="4"/>
            <w:noWrap w:val="0"/>
            <w:vAlign w:val="center"/>
          </w:tcPr>
          <w:p w14:paraId="74B74E98">
            <w:pPr>
              <w:keepNext w:val="0"/>
              <w:keepLines w:val="0"/>
              <w:pageBreakBefore w:val="0"/>
              <w:widowControl w:val="0"/>
              <w:kinsoku/>
              <w:wordWrap/>
              <w:overflowPunct/>
              <w:topLinePunct w:val="0"/>
              <w:autoSpaceDE/>
              <w:autoSpaceDN/>
              <w:bidi w:val="0"/>
              <w:adjustRightInd/>
              <w:snapToGrid/>
              <w:spacing w:line="360" w:lineRule="auto"/>
              <w:ind w:left="0" w:right="0" w:rightChars="0"/>
              <w:jc w:val="left"/>
              <w:textAlignment w:val="auto"/>
              <w:rPr>
                <w:rFonts w:hint="eastAsia" w:ascii="楷体" w:hAnsi="楷体" w:eastAsia="楷体" w:cs="楷体"/>
                <w:b w:val="0"/>
                <w:bCs/>
                <w:color w:val="auto"/>
                <w:sz w:val="21"/>
                <w:szCs w:val="21"/>
                <w:highlight w:val="none"/>
                <w:lang w:val="en-US" w:eastAsia="zh-CN"/>
              </w:rPr>
            </w:pPr>
            <w:r>
              <w:rPr>
                <w:rFonts w:hint="eastAsia" w:ascii="楷体" w:hAnsi="楷体" w:eastAsia="楷体" w:cs="楷体"/>
                <w:b w:val="0"/>
                <w:bCs/>
                <w:color w:val="auto"/>
                <w:sz w:val="21"/>
                <w:szCs w:val="21"/>
                <w:highlight w:val="none"/>
                <w:lang w:val="en-US" w:eastAsia="zh-CN"/>
              </w:rPr>
              <w:t>总报价（各产品单批次检测费用总和）：大写</w:t>
            </w:r>
            <w:r>
              <w:rPr>
                <w:rFonts w:hint="eastAsia" w:ascii="楷体" w:hAnsi="楷体" w:eastAsia="楷体" w:cs="楷体"/>
                <w:b w:val="0"/>
                <w:bCs/>
                <w:color w:val="auto"/>
                <w:sz w:val="21"/>
                <w:szCs w:val="21"/>
                <w:highlight w:val="none"/>
                <w:u w:val="single"/>
                <w:lang w:val="en-US" w:eastAsia="zh-CN"/>
              </w:rPr>
              <w:t xml:space="preserve">            </w:t>
            </w:r>
            <w:r>
              <w:rPr>
                <w:rFonts w:hint="eastAsia" w:ascii="楷体" w:hAnsi="楷体" w:eastAsia="楷体" w:cs="楷体"/>
                <w:b w:val="0"/>
                <w:bCs/>
                <w:color w:val="auto"/>
                <w:sz w:val="21"/>
                <w:szCs w:val="21"/>
                <w:highlight w:val="none"/>
                <w:lang w:val="en-US" w:eastAsia="zh-CN"/>
              </w:rPr>
              <w:t>（¥：</w:t>
            </w:r>
            <w:r>
              <w:rPr>
                <w:rFonts w:hint="eastAsia" w:ascii="楷体" w:hAnsi="楷体" w:eastAsia="楷体" w:cs="楷体"/>
                <w:b w:val="0"/>
                <w:bCs/>
                <w:color w:val="auto"/>
                <w:sz w:val="21"/>
                <w:szCs w:val="21"/>
                <w:highlight w:val="none"/>
                <w:u w:val="single"/>
                <w:lang w:val="en-US" w:eastAsia="zh-CN"/>
              </w:rPr>
              <w:t xml:space="preserve">       </w:t>
            </w:r>
            <w:r>
              <w:rPr>
                <w:rFonts w:hint="eastAsia" w:ascii="楷体" w:hAnsi="楷体" w:eastAsia="楷体" w:cs="楷体"/>
                <w:b w:val="0"/>
                <w:bCs/>
                <w:color w:val="auto"/>
                <w:sz w:val="21"/>
                <w:szCs w:val="21"/>
                <w:highlight w:val="none"/>
                <w:lang w:val="en-US" w:eastAsia="zh-CN"/>
              </w:rPr>
              <w:t>）</w:t>
            </w:r>
          </w:p>
          <w:p w14:paraId="1E7BF04B">
            <w:pPr>
              <w:pStyle w:val="29"/>
              <w:jc w:val="both"/>
              <w:rPr>
                <w:rFonts w:hint="eastAsia" w:ascii="楷体" w:hAnsi="楷体" w:eastAsia="楷体" w:cs="楷体"/>
                <w:b w:val="0"/>
                <w:bCs/>
                <w:color w:val="auto"/>
                <w:sz w:val="21"/>
                <w:szCs w:val="21"/>
                <w:highlight w:val="none"/>
                <w:lang w:val="en-US" w:eastAsia="zh-CN"/>
              </w:rPr>
            </w:pPr>
          </w:p>
          <w:p w14:paraId="71F9D289">
            <w:pPr>
              <w:pStyle w:val="29"/>
              <w:spacing w:line="360" w:lineRule="auto"/>
              <w:jc w:val="both"/>
              <w:rPr>
                <w:rFonts w:hint="eastAsia" w:ascii="楷体" w:hAnsi="楷体" w:eastAsia="楷体" w:cs="楷体"/>
                <w:b/>
                <w:bCs w:val="0"/>
                <w:color w:val="auto"/>
                <w:sz w:val="21"/>
                <w:szCs w:val="21"/>
                <w:highlight w:val="none"/>
                <w:lang w:val="en-US" w:eastAsia="zh-CN"/>
              </w:rPr>
            </w:pPr>
            <w:r>
              <w:rPr>
                <w:rFonts w:hint="eastAsia" w:ascii="楷体" w:hAnsi="楷体" w:eastAsia="楷体" w:cs="楷体"/>
                <w:b/>
                <w:bCs w:val="0"/>
                <w:color w:val="auto"/>
                <w:sz w:val="21"/>
                <w:szCs w:val="21"/>
                <w:highlight w:val="none"/>
                <w:lang w:val="en-US" w:eastAsia="zh-CN"/>
              </w:rPr>
              <w:t>备注：1、磋商一览表所列报价须与分项报价表中“总报价（各产品单批次检测费用总和）”保持一致，否则供应商应承担一切不利后果；</w:t>
            </w:r>
          </w:p>
          <w:p w14:paraId="116A30BE">
            <w:pPr>
              <w:pStyle w:val="29"/>
              <w:spacing w:line="360" w:lineRule="auto"/>
              <w:jc w:val="both"/>
              <w:rPr>
                <w:rFonts w:hint="eastAsia" w:ascii="楷体" w:hAnsi="楷体" w:eastAsia="楷体" w:cs="楷体"/>
                <w:b/>
                <w:bCs w:val="0"/>
                <w:color w:val="auto"/>
                <w:sz w:val="21"/>
                <w:szCs w:val="21"/>
                <w:highlight w:val="none"/>
                <w:lang w:val="en-US" w:eastAsia="zh-CN"/>
              </w:rPr>
            </w:pPr>
            <w:r>
              <w:rPr>
                <w:rFonts w:hint="eastAsia" w:ascii="楷体" w:hAnsi="楷体" w:eastAsia="楷体" w:cs="楷体"/>
                <w:b/>
                <w:bCs w:val="0"/>
                <w:color w:val="auto"/>
                <w:sz w:val="21"/>
                <w:szCs w:val="21"/>
                <w:highlight w:val="none"/>
                <w:lang w:val="en-US" w:eastAsia="zh-CN"/>
              </w:rPr>
              <w:t>2、表内报价内容以元为单位，保留小数点后两位；</w:t>
            </w:r>
          </w:p>
          <w:p w14:paraId="6FFBD329">
            <w:pPr>
              <w:pStyle w:val="29"/>
              <w:spacing w:line="360" w:lineRule="auto"/>
              <w:jc w:val="both"/>
              <w:rPr>
                <w:rFonts w:hint="eastAsia" w:ascii="楷体" w:hAnsi="楷体" w:eastAsia="楷体" w:cs="楷体"/>
                <w:b/>
                <w:bCs w:val="0"/>
                <w:color w:val="auto"/>
                <w:sz w:val="21"/>
                <w:szCs w:val="21"/>
                <w:highlight w:val="none"/>
                <w:lang w:val="en-US" w:eastAsia="zh-CN"/>
              </w:rPr>
            </w:pPr>
            <w:r>
              <w:rPr>
                <w:rFonts w:hint="eastAsia" w:ascii="楷体" w:hAnsi="楷体" w:eastAsia="楷体" w:cs="楷体"/>
                <w:b/>
                <w:bCs w:val="0"/>
                <w:color w:val="auto"/>
                <w:sz w:val="21"/>
                <w:szCs w:val="21"/>
                <w:highlight w:val="none"/>
                <w:lang w:val="en-US" w:eastAsia="zh-CN"/>
              </w:rPr>
              <w:t>3、供应商的报价是供应商响应磋商项目要求的全部工作内容的价格体现，包括供应商完成本项目所需的一切费用（购样费、检验费等相关一切费用）。</w:t>
            </w:r>
          </w:p>
        </w:tc>
      </w:tr>
    </w:tbl>
    <w:p w14:paraId="6D8B692D">
      <w:pPr>
        <w:adjustRightInd w:val="0"/>
        <w:snapToGrid w:val="0"/>
        <w:spacing w:line="360" w:lineRule="auto"/>
        <w:jc w:val="both"/>
        <w:outlineLvl w:val="2"/>
        <w:rPr>
          <w:rFonts w:hint="eastAsia" w:ascii="楷体" w:hAnsi="楷体" w:eastAsia="楷体" w:cs="楷体"/>
          <w:color w:val="auto"/>
          <w:szCs w:val="24"/>
          <w:highlight w:val="none"/>
        </w:rPr>
      </w:pPr>
    </w:p>
    <w:p w14:paraId="0041B4ED">
      <w:pPr>
        <w:spacing w:line="360" w:lineRule="auto"/>
        <w:jc w:val="left"/>
        <w:rPr>
          <w:rFonts w:ascii="楷体" w:hAnsi="楷体" w:eastAsia="楷体" w:cs="楷体"/>
          <w:color w:val="auto"/>
          <w:szCs w:val="24"/>
          <w:highlight w:val="none"/>
        </w:rPr>
      </w:pPr>
      <w:r>
        <w:rPr>
          <w:rFonts w:hint="eastAsia" w:ascii="楷体" w:hAnsi="楷体" w:eastAsia="楷体" w:cs="楷体"/>
          <w:color w:val="auto"/>
          <w:szCs w:val="24"/>
          <w:highlight w:val="none"/>
        </w:rPr>
        <w:t>供应商名称（公章）：</w:t>
      </w:r>
    </w:p>
    <w:p w14:paraId="5E178D0B">
      <w:pPr>
        <w:spacing w:line="360" w:lineRule="auto"/>
        <w:jc w:val="left"/>
        <w:rPr>
          <w:rFonts w:ascii="楷体" w:hAnsi="楷体" w:eastAsia="楷体" w:cs="楷体"/>
          <w:color w:val="auto"/>
          <w:szCs w:val="24"/>
          <w:highlight w:val="none"/>
        </w:rPr>
      </w:pPr>
      <w:r>
        <w:rPr>
          <w:rFonts w:hint="eastAsia" w:ascii="楷体" w:hAnsi="楷体" w:eastAsia="楷体" w:cs="楷体"/>
          <w:color w:val="auto"/>
          <w:szCs w:val="24"/>
          <w:highlight w:val="none"/>
        </w:rPr>
        <w:t>法定代表人/被授权人（</w:t>
      </w:r>
      <w:r>
        <w:rPr>
          <w:rFonts w:hint="eastAsia" w:ascii="楷体" w:hAnsi="楷体" w:eastAsia="楷体" w:cs="楷体"/>
          <w:color w:val="auto"/>
          <w:spacing w:val="4"/>
          <w:szCs w:val="24"/>
          <w:highlight w:val="none"/>
        </w:rPr>
        <w:t>签字或盖章</w:t>
      </w:r>
      <w:r>
        <w:rPr>
          <w:rFonts w:hint="eastAsia" w:ascii="楷体" w:hAnsi="楷体" w:eastAsia="楷体" w:cs="楷体"/>
          <w:color w:val="auto"/>
          <w:szCs w:val="24"/>
          <w:highlight w:val="none"/>
        </w:rPr>
        <w:t>）：</w:t>
      </w:r>
    </w:p>
    <w:p w14:paraId="4A26CE3F">
      <w:pPr>
        <w:adjustRightInd w:val="0"/>
        <w:snapToGrid w:val="0"/>
        <w:spacing w:line="360" w:lineRule="auto"/>
        <w:jc w:val="both"/>
        <w:outlineLvl w:val="2"/>
        <w:rPr>
          <w:rFonts w:hint="eastAsia" w:ascii="楷体" w:hAnsi="楷体" w:eastAsia="楷体" w:cs="楷体"/>
          <w:color w:val="auto"/>
          <w:szCs w:val="24"/>
          <w:highlight w:val="none"/>
        </w:rPr>
      </w:pPr>
      <w:r>
        <w:rPr>
          <w:rFonts w:hint="eastAsia" w:ascii="楷体" w:hAnsi="楷体" w:eastAsia="楷体" w:cs="楷体"/>
          <w:color w:val="auto"/>
          <w:szCs w:val="24"/>
          <w:highlight w:val="none"/>
        </w:rPr>
        <w:t>日    期：</w:t>
      </w:r>
    </w:p>
    <w:p w14:paraId="79E0289A">
      <w:pPr>
        <w:adjustRightInd w:val="0"/>
        <w:snapToGrid w:val="0"/>
        <w:spacing w:line="360" w:lineRule="auto"/>
        <w:jc w:val="both"/>
        <w:outlineLvl w:val="2"/>
        <w:rPr>
          <w:rFonts w:hint="eastAsia" w:ascii="楷体" w:hAnsi="楷体" w:eastAsia="楷体" w:cs="楷体"/>
          <w:color w:val="auto"/>
          <w:szCs w:val="24"/>
          <w:highlight w:val="none"/>
        </w:rPr>
      </w:pPr>
    </w:p>
    <w:p w14:paraId="65F22055">
      <w:pPr>
        <w:adjustRightInd w:val="0"/>
        <w:snapToGrid w:val="0"/>
        <w:spacing w:line="360" w:lineRule="auto"/>
        <w:jc w:val="both"/>
        <w:outlineLvl w:val="2"/>
        <w:rPr>
          <w:rFonts w:hint="eastAsia" w:ascii="楷体" w:hAnsi="楷体" w:eastAsia="楷体" w:cs="楷体"/>
          <w:color w:val="auto"/>
          <w:szCs w:val="24"/>
          <w:highlight w:val="none"/>
        </w:rPr>
      </w:pPr>
    </w:p>
    <w:p w14:paraId="2901721F">
      <w:pPr>
        <w:adjustRightInd w:val="0"/>
        <w:snapToGrid w:val="0"/>
        <w:spacing w:line="360" w:lineRule="auto"/>
        <w:jc w:val="both"/>
        <w:outlineLvl w:val="2"/>
        <w:rPr>
          <w:rFonts w:hint="eastAsia" w:ascii="楷体" w:hAnsi="楷体" w:eastAsia="楷体" w:cs="楷体"/>
          <w:color w:val="auto"/>
          <w:szCs w:val="24"/>
          <w:highlight w:val="none"/>
        </w:rPr>
      </w:pPr>
    </w:p>
    <w:p w14:paraId="3006A011">
      <w:pPr>
        <w:adjustRightInd w:val="0"/>
        <w:snapToGrid w:val="0"/>
        <w:spacing w:line="360" w:lineRule="auto"/>
        <w:jc w:val="both"/>
        <w:outlineLvl w:val="2"/>
        <w:rPr>
          <w:rFonts w:hint="eastAsia" w:ascii="楷体" w:hAnsi="楷体" w:eastAsia="楷体" w:cs="楷体"/>
          <w:color w:val="auto"/>
          <w:szCs w:val="24"/>
          <w:highlight w:val="none"/>
        </w:rPr>
      </w:pPr>
    </w:p>
    <w:p w14:paraId="6356872F">
      <w:pPr>
        <w:adjustRightInd w:val="0"/>
        <w:snapToGrid w:val="0"/>
        <w:spacing w:line="360" w:lineRule="auto"/>
        <w:jc w:val="both"/>
        <w:outlineLvl w:val="2"/>
        <w:rPr>
          <w:rFonts w:hint="eastAsia" w:ascii="楷体" w:hAnsi="楷体" w:eastAsia="楷体" w:cs="楷体"/>
          <w:color w:val="auto"/>
          <w:szCs w:val="24"/>
          <w:highlight w:val="none"/>
        </w:rPr>
      </w:pPr>
    </w:p>
    <w:p w14:paraId="1567DD7B">
      <w:pPr>
        <w:adjustRightInd w:val="0"/>
        <w:snapToGrid w:val="0"/>
        <w:spacing w:line="360" w:lineRule="auto"/>
        <w:jc w:val="both"/>
        <w:outlineLvl w:val="2"/>
        <w:rPr>
          <w:rFonts w:hint="eastAsia" w:ascii="楷体" w:hAnsi="楷体" w:eastAsia="楷体" w:cs="楷体"/>
          <w:color w:val="auto"/>
          <w:szCs w:val="24"/>
          <w:highlight w:val="none"/>
        </w:rPr>
      </w:pPr>
    </w:p>
    <w:p w14:paraId="5EC1AA24">
      <w:pPr>
        <w:adjustRightInd w:val="0"/>
        <w:snapToGrid w:val="0"/>
        <w:spacing w:line="360" w:lineRule="auto"/>
        <w:jc w:val="both"/>
        <w:outlineLvl w:val="2"/>
        <w:rPr>
          <w:rFonts w:hint="eastAsia" w:ascii="楷体" w:hAnsi="楷体" w:eastAsia="楷体" w:cs="楷体"/>
          <w:color w:val="auto"/>
          <w:szCs w:val="24"/>
          <w:highlight w:val="none"/>
        </w:rPr>
      </w:pPr>
    </w:p>
    <w:p w14:paraId="1C11BB1E">
      <w:pPr>
        <w:adjustRightInd w:val="0"/>
        <w:snapToGrid w:val="0"/>
        <w:spacing w:line="360" w:lineRule="auto"/>
        <w:jc w:val="both"/>
        <w:outlineLvl w:val="2"/>
        <w:rPr>
          <w:rFonts w:hint="eastAsia" w:ascii="楷体" w:hAnsi="楷体" w:eastAsia="楷体" w:cs="楷体"/>
          <w:color w:val="auto"/>
          <w:szCs w:val="24"/>
          <w:highlight w:val="none"/>
        </w:rPr>
      </w:pPr>
    </w:p>
    <w:p w14:paraId="2D1D67AF">
      <w:pPr>
        <w:adjustRightInd w:val="0"/>
        <w:snapToGrid w:val="0"/>
        <w:spacing w:line="360" w:lineRule="auto"/>
        <w:jc w:val="both"/>
        <w:outlineLvl w:val="2"/>
        <w:rPr>
          <w:rFonts w:hint="eastAsia" w:ascii="楷体" w:hAnsi="楷体" w:eastAsia="楷体" w:cs="楷体"/>
          <w:color w:val="auto"/>
          <w:szCs w:val="24"/>
          <w:highlight w:val="none"/>
        </w:rPr>
      </w:pPr>
    </w:p>
    <w:p w14:paraId="40F7AF5D">
      <w:pPr>
        <w:adjustRightInd w:val="0"/>
        <w:snapToGrid w:val="0"/>
        <w:spacing w:line="360" w:lineRule="auto"/>
        <w:jc w:val="both"/>
        <w:outlineLvl w:val="2"/>
        <w:rPr>
          <w:rFonts w:hint="eastAsia" w:ascii="楷体" w:hAnsi="楷体" w:eastAsia="楷体" w:cs="楷体"/>
          <w:color w:val="auto"/>
          <w:szCs w:val="24"/>
          <w:highlight w:val="none"/>
        </w:rPr>
      </w:pPr>
    </w:p>
    <w:p w14:paraId="4BD72883">
      <w:pPr>
        <w:adjustRightInd w:val="0"/>
        <w:snapToGrid w:val="0"/>
        <w:spacing w:line="360" w:lineRule="auto"/>
        <w:jc w:val="both"/>
        <w:outlineLvl w:val="2"/>
        <w:rPr>
          <w:rFonts w:hint="eastAsia" w:ascii="楷体" w:hAnsi="楷体" w:eastAsia="楷体" w:cs="楷体"/>
          <w:color w:val="auto"/>
          <w:szCs w:val="24"/>
          <w:highlight w:val="none"/>
        </w:rPr>
      </w:pPr>
    </w:p>
    <w:p w14:paraId="216F3E47">
      <w:pPr>
        <w:adjustRightInd w:val="0"/>
        <w:snapToGrid w:val="0"/>
        <w:spacing w:line="360" w:lineRule="auto"/>
        <w:jc w:val="both"/>
        <w:outlineLvl w:val="2"/>
        <w:rPr>
          <w:rFonts w:hint="eastAsia" w:ascii="楷体" w:hAnsi="楷体" w:eastAsia="楷体" w:cs="楷体"/>
          <w:color w:val="auto"/>
          <w:szCs w:val="24"/>
          <w:highlight w:val="none"/>
        </w:rPr>
      </w:pPr>
    </w:p>
    <w:p w14:paraId="4B26A0B1">
      <w:pPr>
        <w:adjustRightInd w:val="0"/>
        <w:snapToGrid w:val="0"/>
        <w:spacing w:line="360" w:lineRule="auto"/>
        <w:jc w:val="both"/>
        <w:outlineLvl w:val="2"/>
        <w:rPr>
          <w:rFonts w:hint="eastAsia" w:ascii="楷体" w:hAnsi="楷体" w:eastAsia="楷体" w:cs="楷体"/>
          <w:color w:val="auto"/>
          <w:szCs w:val="24"/>
          <w:highlight w:val="none"/>
        </w:rPr>
      </w:pPr>
    </w:p>
    <w:p w14:paraId="380C1271">
      <w:pPr>
        <w:adjustRightInd w:val="0"/>
        <w:snapToGrid w:val="0"/>
        <w:spacing w:line="360" w:lineRule="auto"/>
        <w:jc w:val="both"/>
        <w:outlineLvl w:val="2"/>
        <w:rPr>
          <w:rFonts w:hint="eastAsia" w:ascii="楷体" w:hAnsi="楷体" w:eastAsia="楷体" w:cs="楷体"/>
          <w:color w:val="auto"/>
          <w:szCs w:val="24"/>
          <w:highlight w:val="none"/>
        </w:rPr>
      </w:pPr>
    </w:p>
    <w:p w14:paraId="01D3A94E">
      <w:pPr>
        <w:adjustRightInd w:val="0"/>
        <w:snapToGrid w:val="0"/>
        <w:spacing w:line="360" w:lineRule="auto"/>
        <w:jc w:val="both"/>
        <w:outlineLvl w:val="2"/>
        <w:rPr>
          <w:rFonts w:hint="eastAsia" w:ascii="楷体" w:hAnsi="楷体" w:eastAsia="楷体" w:cs="楷体"/>
          <w:color w:val="auto"/>
          <w:szCs w:val="24"/>
          <w:highlight w:val="none"/>
        </w:rPr>
      </w:pPr>
    </w:p>
    <w:p w14:paraId="75414ED4">
      <w:pPr>
        <w:spacing w:line="360" w:lineRule="auto"/>
        <w:jc w:val="left"/>
        <w:rPr>
          <w:rFonts w:hint="eastAsia" w:hAnsi="宋体" w:cs="宋体"/>
          <w:b/>
          <w:sz w:val="21"/>
          <w:szCs w:val="21"/>
          <w:highlight w:val="none"/>
          <w:lang w:val="en-US" w:eastAsia="zh-CN"/>
        </w:rPr>
      </w:pPr>
      <w:r>
        <w:rPr>
          <w:rFonts w:hint="eastAsia" w:ascii="宋体" w:hAnsi="宋体" w:eastAsia="宋体" w:cs="宋体"/>
          <w:b/>
          <w:sz w:val="21"/>
          <w:szCs w:val="21"/>
          <w:highlight w:val="none"/>
          <w:lang w:val="en-US" w:eastAsia="zh-CN"/>
        </w:rPr>
        <w:t>采购包</w:t>
      </w:r>
      <w:r>
        <w:rPr>
          <w:rFonts w:hint="eastAsia" w:hAnsi="宋体" w:cs="宋体"/>
          <w:b/>
          <w:sz w:val="21"/>
          <w:szCs w:val="21"/>
          <w:highlight w:val="none"/>
          <w:lang w:val="en-US" w:eastAsia="zh-CN"/>
        </w:rPr>
        <w:t>3</w:t>
      </w:r>
    </w:p>
    <w:tbl>
      <w:tblPr>
        <w:tblStyle w:val="18"/>
        <w:tblW w:w="9758" w:type="dxa"/>
        <w:tblInd w:w="-1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4"/>
        <w:gridCol w:w="2431"/>
        <w:gridCol w:w="4451"/>
        <w:gridCol w:w="1672"/>
      </w:tblGrid>
      <w:tr w14:paraId="64DE7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4" w:hRule="atLeast"/>
        </w:trPr>
        <w:tc>
          <w:tcPr>
            <w:tcW w:w="1204" w:type="dxa"/>
            <w:noWrap w:val="0"/>
            <w:vAlign w:val="center"/>
          </w:tcPr>
          <w:p w14:paraId="2C43A124">
            <w:pPr>
              <w:pageBreakBefore w:val="0"/>
              <w:overflowPunct/>
              <w:topLinePunct w:val="0"/>
              <w:bidi w:val="0"/>
              <w:snapToGrid/>
              <w:spacing w:line="360" w:lineRule="auto"/>
              <w:ind w:left="0" w:right="0" w:rightChars="0"/>
              <w:jc w:val="center"/>
              <w:rPr>
                <w:rFonts w:hint="eastAsia" w:ascii="楷体" w:hAnsi="楷体" w:eastAsia="楷体" w:cs="楷体"/>
                <w:b w:val="0"/>
                <w:bCs/>
                <w:sz w:val="21"/>
                <w:szCs w:val="21"/>
                <w:highlight w:val="none"/>
                <w:lang w:val="en-US" w:eastAsia="zh-CN"/>
              </w:rPr>
            </w:pPr>
            <w:r>
              <w:rPr>
                <w:rFonts w:hint="eastAsia" w:ascii="楷体" w:hAnsi="楷体" w:eastAsia="楷体" w:cs="楷体"/>
                <w:b w:val="0"/>
                <w:bCs/>
                <w:sz w:val="21"/>
                <w:szCs w:val="21"/>
                <w:highlight w:val="none"/>
                <w:lang w:val="en-US" w:eastAsia="zh-CN"/>
              </w:rPr>
              <w:t>产品名称</w:t>
            </w:r>
          </w:p>
        </w:tc>
        <w:tc>
          <w:tcPr>
            <w:tcW w:w="2431" w:type="dxa"/>
            <w:noWrap w:val="0"/>
            <w:vAlign w:val="center"/>
          </w:tcPr>
          <w:p w14:paraId="1716DAE9">
            <w:pPr>
              <w:pageBreakBefore w:val="0"/>
              <w:overflowPunct/>
              <w:topLinePunct w:val="0"/>
              <w:bidi w:val="0"/>
              <w:snapToGrid/>
              <w:spacing w:line="360" w:lineRule="auto"/>
              <w:ind w:left="0" w:right="0" w:rightChars="0"/>
              <w:jc w:val="center"/>
              <w:rPr>
                <w:rFonts w:hint="eastAsia" w:ascii="楷体" w:hAnsi="楷体" w:eastAsia="楷体" w:cs="楷体"/>
                <w:b w:val="0"/>
                <w:bCs/>
                <w:sz w:val="21"/>
                <w:szCs w:val="21"/>
                <w:highlight w:val="none"/>
                <w:lang w:val="en-US" w:eastAsia="zh-CN"/>
              </w:rPr>
            </w:pPr>
            <w:r>
              <w:rPr>
                <w:rFonts w:hint="eastAsia" w:ascii="楷体" w:hAnsi="楷体" w:eastAsia="楷体" w:cs="楷体"/>
                <w:b w:val="0"/>
                <w:bCs/>
                <w:sz w:val="21"/>
                <w:szCs w:val="21"/>
                <w:highlight w:val="none"/>
                <w:lang w:val="en-US" w:eastAsia="zh-CN"/>
              </w:rPr>
              <w:t>执行标准</w:t>
            </w:r>
          </w:p>
        </w:tc>
        <w:tc>
          <w:tcPr>
            <w:tcW w:w="4451" w:type="dxa"/>
            <w:noWrap w:val="0"/>
            <w:vAlign w:val="center"/>
          </w:tcPr>
          <w:p w14:paraId="7522CC26">
            <w:pPr>
              <w:pageBreakBefore w:val="0"/>
              <w:overflowPunct/>
              <w:topLinePunct w:val="0"/>
              <w:bidi w:val="0"/>
              <w:snapToGrid/>
              <w:spacing w:line="360" w:lineRule="auto"/>
              <w:ind w:left="0" w:right="0" w:rightChars="0"/>
              <w:jc w:val="center"/>
              <w:rPr>
                <w:rFonts w:hint="eastAsia" w:ascii="楷体" w:hAnsi="楷体" w:eastAsia="楷体" w:cs="楷体"/>
                <w:b w:val="0"/>
                <w:bCs/>
                <w:sz w:val="21"/>
                <w:szCs w:val="21"/>
                <w:highlight w:val="none"/>
                <w:lang w:val="en-US" w:eastAsia="zh-CN"/>
              </w:rPr>
            </w:pPr>
            <w:r>
              <w:rPr>
                <w:rFonts w:hint="eastAsia" w:ascii="楷体" w:hAnsi="楷体" w:eastAsia="楷体" w:cs="楷体"/>
                <w:b w:val="0"/>
                <w:bCs/>
                <w:sz w:val="21"/>
                <w:szCs w:val="21"/>
                <w:highlight w:val="none"/>
                <w:lang w:val="en-US" w:eastAsia="zh-CN"/>
              </w:rPr>
              <w:t>检测项目分项报价</w:t>
            </w:r>
          </w:p>
        </w:tc>
        <w:tc>
          <w:tcPr>
            <w:tcW w:w="1672" w:type="dxa"/>
            <w:noWrap w:val="0"/>
            <w:vAlign w:val="center"/>
          </w:tcPr>
          <w:p w14:paraId="3848DEF4">
            <w:pPr>
              <w:pageBreakBefore w:val="0"/>
              <w:overflowPunct/>
              <w:topLinePunct w:val="0"/>
              <w:bidi w:val="0"/>
              <w:snapToGrid/>
              <w:spacing w:line="360" w:lineRule="auto"/>
              <w:ind w:left="0" w:right="0" w:rightChars="0"/>
              <w:jc w:val="center"/>
              <w:rPr>
                <w:rFonts w:hint="eastAsia" w:ascii="楷体" w:hAnsi="楷体" w:eastAsia="楷体" w:cs="楷体"/>
                <w:b w:val="0"/>
                <w:bCs/>
                <w:sz w:val="21"/>
                <w:szCs w:val="21"/>
                <w:highlight w:val="none"/>
                <w:lang w:val="en-US" w:eastAsia="zh-CN"/>
              </w:rPr>
            </w:pPr>
            <w:r>
              <w:rPr>
                <w:rFonts w:hint="eastAsia" w:ascii="楷体" w:hAnsi="楷体" w:eastAsia="楷体" w:cs="楷体"/>
                <w:b w:val="0"/>
                <w:bCs/>
                <w:sz w:val="21"/>
                <w:szCs w:val="21"/>
                <w:highlight w:val="none"/>
                <w:lang w:val="en-US" w:eastAsia="zh-CN"/>
              </w:rPr>
              <w:t>各产品单批次检测费用总和</w:t>
            </w:r>
          </w:p>
        </w:tc>
      </w:tr>
      <w:tr w14:paraId="2238B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3" w:hRule="atLeast"/>
        </w:trPr>
        <w:tc>
          <w:tcPr>
            <w:tcW w:w="1204" w:type="dxa"/>
            <w:noWrap w:val="0"/>
            <w:vAlign w:val="center"/>
          </w:tcPr>
          <w:p w14:paraId="1F5146CD">
            <w:pPr>
              <w:pageBreakBefore w:val="0"/>
              <w:overflowPunct/>
              <w:topLinePunct w:val="0"/>
              <w:bidi w:val="0"/>
              <w:snapToGrid/>
              <w:spacing w:line="360" w:lineRule="auto"/>
              <w:ind w:left="0" w:right="0" w:rightChars="0"/>
              <w:jc w:val="center"/>
              <w:rPr>
                <w:rFonts w:hint="eastAsia" w:ascii="楷体" w:hAnsi="楷体" w:eastAsia="楷体" w:cs="楷体"/>
                <w:b w:val="0"/>
                <w:bCs/>
                <w:sz w:val="21"/>
                <w:szCs w:val="21"/>
                <w:highlight w:val="none"/>
                <w:lang w:val="en-US" w:eastAsia="zh-CN"/>
              </w:rPr>
            </w:pPr>
            <w:r>
              <w:rPr>
                <w:rFonts w:hint="eastAsia" w:ascii="楷体" w:hAnsi="楷体" w:eastAsia="楷体" w:cs="楷体"/>
                <w:b w:val="0"/>
                <w:bCs/>
                <w:sz w:val="21"/>
                <w:szCs w:val="21"/>
                <w:highlight w:val="none"/>
                <w:lang w:val="en-US" w:eastAsia="zh-CN"/>
              </w:rPr>
              <w:t>家用燃气快速热水器</w:t>
            </w:r>
          </w:p>
        </w:tc>
        <w:tc>
          <w:tcPr>
            <w:tcW w:w="2431" w:type="dxa"/>
            <w:noWrap w:val="0"/>
            <w:vAlign w:val="center"/>
          </w:tcPr>
          <w:p w14:paraId="3F5AF39C">
            <w:pPr>
              <w:pageBreakBefore w:val="0"/>
              <w:overflowPunct/>
              <w:topLinePunct w:val="0"/>
              <w:bidi w:val="0"/>
              <w:snapToGrid/>
              <w:spacing w:line="360" w:lineRule="auto"/>
              <w:ind w:left="0" w:right="0" w:rightChars="0"/>
              <w:jc w:val="left"/>
              <w:rPr>
                <w:rFonts w:hint="eastAsia" w:ascii="楷体" w:hAnsi="楷体" w:eastAsia="楷体" w:cs="楷体"/>
                <w:bCs/>
                <w:sz w:val="21"/>
                <w:szCs w:val="21"/>
                <w:highlight w:val="none"/>
                <w:lang w:val="en-US" w:eastAsia="zh-CN"/>
              </w:rPr>
            </w:pPr>
            <w:r>
              <w:rPr>
                <w:rFonts w:hint="eastAsia" w:ascii="楷体" w:hAnsi="楷体" w:eastAsia="楷体" w:cs="楷体"/>
                <w:bCs/>
                <w:sz w:val="21"/>
                <w:szCs w:val="21"/>
                <w:highlight w:val="none"/>
                <w:lang w:val="en-US" w:eastAsia="zh-CN"/>
              </w:rPr>
              <w:t>GB 6932-2015</w:t>
            </w:r>
          </w:p>
          <w:p w14:paraId="6E4FE8AB">
            <w:pPr>
              <w:pageBreakBefore w:val="0"/>
              <w:overflowPunct/>
              <w:topLinePunct w:val="0"/>
              <w:bidi w:val="0"/>
              <w:snapToGrid/>
              <w:spacing w:line="360" w:lineRule="auto"/>
              <w:ind w:left="0" w:right="0" w:rightChars="0"/>
              <w:jc w:val="left"/>
              <w:rPr>
                <w:rFonts w:hint="eastAsia" w:ascii="楷体" w:hAnsi="楷体" w:eastAsia="楷体" w:cs="楷体"/>
                <w:b w:val="0"/>
                <w:bCs/>
                <w:sz w:val="21"/>
                <w:szCs w:val="21"/>
                <w:highlight w:val="none"/>
                <w:lang w:val="en-US" w:eastAsia="zh-CN"/>
              </w:rPr>
            </w:pPr>
            <w:r>
              <w:rPr>
                <w:rFonts w:hint="eastAsia" w:ascii="楷体" w:hAnsi="楷体" w:eastAsia="楷体" w:cs="楷体"/>
                <w:bCs/>
                <w:sz w:val="21"/>
                <w:szCs w:val="21"/>
                <w:highlight w:val="none"/>
                <w:lang w:val="en-US" w:eastAsia="zh-CN"/>
              </w:rPr>
              <w:t>GB 20665—2015</w:t>
            </w:r>
            <w:r>
              <w:rPr>
                <w:rFonts w:hint="eastAsia" w:ascii="楷体" w:hAnsi="楷体" w:eastAsia="楷体" w:cs="楷体"/>
                <w:color w:val="auto"/>
                <w:sz w:val="21"/>
                <w:szCs w:val="21"/>
                <w:highlight w:val="none"/>
                <w:lang w:eastAsia="zh-CN"/>
              </w:rPr>
              <w:t>等</w:t>
            </w:r>
            <w:r>
              <w:rPr>
                <w:rFonts w:hint="eastAsia" w:ascii="楷体" w:hAnsi="楷体" w:eastAsia="楷体" w:cs="楷体"/>
                <w:color w:val="auto"/>
                <w:sz w:val="21"/>
                <w:szCs w:val="21"/>
                <w:highlight w:val="none"/>
              </w:rPr>
              <w:t>现行有效的企业标准、团体标准、地方标准及产品明示质量要求</w:t>
            </w:r>
          </w:p>
        </w:tc>
        <w:tc>
          <w:tcPr>
            <w:tcW w:w="4451" w:type="dxa"/>
            <w:noWrap w:val="0"/>
            <w:vAlign w:val="top"/>
          </w:tcPr>
          <w:p w14:paraId="2B8BAC36">
            <w:pPr>
              <w:keepNext w:val="0"/>
              <w:keepLines w:val="0"/>
              <w:pageBreakBefore w:val="0"/>
              <w:widowControl w:val="0"/>
              <w:kinsoku/>
              <w:wordWrap/>
              <w:overflowPunct/>
              <w:topLinePunct w:val="0"/>
              <w:autoSpaceDE/>
              <w:autoSpaceDN/>
              <w:bidi w:val="0"/>
              <w:adjustRightInd/>
              <w:snapToGrid/>
              <w:spacing w:line="360" w:lineRule="auto"/>
              <w:ind w:left="0" w:right="0" w:rightChars="0"/>
              <w:jc w:val="left"/>
              <w:textAlignment w:val="auto"/>
              <w:rPr>
                <w:rFonts w:hint="eastAsia" w:ascii="楷体" w:hAnsi="楷体" w:eastAsia="楷体" w:cs="楷体"/>
                <w:b w:val="0"/>
                <w:bCs/>
                <w:sz w:val="21"/>
                <w:szCs w:val="21"/>
                <w:highlight w:val="none"/>
                <w:lang w:val="en-US" w:eastAsia="zh-CN"/>
              </w:rPr>
            </w:pPr>
            <w:r>
              <w:rPr>
                <w:rFonts w:hint="eastAsia" w:ascii="楷体" w:hAnsi="楷体" w:eastAsia="楷体" w:cs="楷体"/>
                <w:bCs/>
                <w:sz w:val="21"/>
                <w:szCs w:val="21"/>
                <w:highlight w:val="none"/>
                <w:lang w:val="en-US" w:eastAsia="zh-CN"/>
              </w:rPr>
              <w:t>燃气系统气密性</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sz w:val="21"/>
                <w:szCs w:val="21"/>
                <w:highlight w:val="none"/>
                <w:lang w:val="en-US" w:eastAsia="zh-CN"/>
              </w:rPr>
              <w:t>燃烧工况—无风状态（火焰稳定性、燃烧噪声、熄火噪声、烟气中CO含量）</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sz w:val="21"/>
                <w:szCs w:val="21"/>
                <w:highlight w:val="none"/>
                <w:lang w:val="en-US" w:eastAsia="zh-CN"/>
              </w:rPr>
              <w:t>安全装置（熄火保护装置、烟道堵塞安全装置（强制排气式）</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sz w:val="21"/>
                <w:szCs w:val="21"/>
                <w:highlight w:val="none"/>
                <w:lang w:val="en-US" w:eastAsia="zh-CN"/>
              </w:rPr>
              <w:t>风压过大安全装置（强制排气式</w:t>
            </w:r>
            <w:r>
              <w:rPr>
                <w:rFonts w:hint="eastAsia" w:ascii="楷体" w:hAnsi="楷体" w:eastAsia="楷体" w:cs="楷体"/>
                <w:bCs/>
                <w:color w:val="auto"/>
                <w:sz w:val="21"/>
                <w:szCs w:val="21"/>
                <w:highlight w:val="none"/>
                <w:lang w:eastAsia="zh-CN"/>
              </w:rPr>
              <w:t>)</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sz w:val="21"/>
                <w:szCs w:val="21"/>
                <w:highlight w:val="none"/>
                <w:lang w:val="en-US" w:eastAsia="zh-CN"/>
              </w:rPr>
              <w:t>防干烧安全装置</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sz w:val="21"/>
                <w:szCs w:val="21"/>
                <w:highlight w:val="none"/>
                <w:lang w:val="en-US" w:eastAsia="zh-CN"/>
              </w:rPr>
              <w:t>防止不完全燃烧安全装置（自然排气式）</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sz w:val="21"/>
                <w:szCs w:val="21"/>
                <w:highlight w:val="none"/>
                <w:lang w:val="en-US" w:eastAsia="zh-CN"/>
              </w:rPr>
              <w:t>电气部分（使用交流电源）—电气安全（接地措施、电气强度）</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sz w:val="21"/>
                <w:szCs w:val="21"/>
                <w:highlight w:val="none"/>
                <w:lang w:val="en-US" w:eastAsia="zh-CN"/>
              </w:rPr>
              <w:t>热效率</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u w:val="none"/>
                <w:lang w:val="en-US" w:eastAsia="zh-CN"/>
              </w:rPr>
              <w:t>元</w:t>
            </w:r>
            <w:r>
              <w:rPr>
                <w:rFonts w:hint="eastAsia" w:ascii="楷体" w:hAnsi="楷体" w:eastAsia="楷体" w:cs="楷体"/>
                <w:bCs/>
                <w:sz w:val="21"/>
                <w:szCs w:val="21"/>
                <w:highlight w:val="none"/>
                <w:lang w:val="en-US" w:eastAsia="zh-CN"/>
              </w:rPr>
              <w:t>；热水产率</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u w:val="none"/>
                <w:lang w:val="en-US" w:eastAsia="zh-CN"/>
              </w:rPr>
              <w:t>元</w:t>
            </w:r>
            <w:r>
              <w:rPr>
                <w:rFonts w:hint="eastAsia" w:ascii="楷体" w:hAnsi="楷体" w:eastAsia="楷体" w:cs="楷体"/>
                <w:b w:val="0"/>
                <w:bCs/>
                <w:sz w:val="21"/>
                <w:szCs w:val="21"/>
                <w:highlight w:val="none"/>
                <w:lang w:val="en-US" w:eastAsia="zh-CN"/>
              </w:rPr>
              <w:t>。</w:t>
            </w:r>
          </w:p>
        </w:tc>
        <w:tc>
          <w:tcPr>
            <w:tcW w:w="1672" w:type="dxa"/>
            <w:noWrap w:val="0"/>
            <w:vAlign w:val="center"/>
          </w:tcPr>
          <w:p w14:paraId="43E219B8">
            <w:pPr>
              <w:keepNext w:val="0"/>
              <w:keepLines w:val="0"/>
              <w:pageBreakBefore w:val="0"/>
              <w:widowControl w:val="0"/>
              <w:kinsoku/>
              <w:wordWrap/>
              <w:overflowPunct/>
              <w:topLinePunct w:val="0"/>
              <w:autoSpaceDE/>
              <w:autoSpaceDN/>
              <w:bidi w:val="0"/>
              <w:adjustRightInd/>
              <w:snapToGrid/>
              <w:spacing w:line="360" w:lineRule="auto"/>
              <w:ind w:left="0" w:right="0" w:rightChars="0"/>
              <w:jc w:val="right"/>
              <w:textAlignment w:val="auto"/>
              <w:rPr>
                <w:rFonts w:hint="eastAsia" w:ascii="楷体" w:hAnsi="楷体" w:eastAsia="楷体" w:cs="楷体"/>
                <w:b w:val="0"/>
                <w:bCs/>
                <w:sz w:val="21"/>
                <w:szCs w:val="21"/>
                <w:highlight w:val="none"/>
                <w:lang w:val="en-US" w:eastAsia="zh-CN"/>
              </w:rPr>
            </w:pPr>
            <w:r>
              <w:rPr>
                <w:rFonts w:hint="eastAsia" w:ascii="楷体" w:hAnsi="楷体" w:eastAsia="楷体" w:cs="楷体"/>
                <w:b w:val="0"/>
                <w:bCs/>
                <w:sz w:val="21"/>
                <w:szCs w:val="21"/>
                <w:highlight w:val="none"/>
                <w:lang w:val="en-US" w:eastAsia="zh-CN"/>
              </w:rPr>
              <w:t>元</w:t>
            </w:r>
          </w:p>
        </w:tc>
      </w:tr>
      <w:tr w14:paraId="0A6C7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3" w:hRule="atLeast"/>
        </w:trPr>
        <w:tc>
          <w:tcPr>
            <w:tcW w:w="1204" w:type="dxa"/>
            <w:noWrap w:val="0"/>
            <w:vAlign w:val="center"/>
          </w:tcPr>
          <w:p w14:paraId="00695D6E">
            <w:pPr>
              <w:pageBreakBefore w:val="0"/>
              <w:overflowPunct/>
              <w:topLinePunct w:val="0"/>
              <w:bidi w:val="0"/>
              <w:snapToGrid/>
              <w:spacing w:line="360" w:lineRule="auto"/>
              <w:ind w:left="0" w:right="0" w:rightChars="0"/>
              <w:jc w:val="center"/>
              <w:rPr>
                <w:rFonts w:hint="eastAsia" w:ascii="楷体" w:hAnsi="楷体" w:eastAsia="楷体" w:cs="楷体"/>
                <w:b w:val="0"/>
                <w:bCs/>
                <w:sz w:val="21"/>
                <w:szCs w:val="21"/>
                <w:highlight w:val="none"/>
                <w:lang w:val="en-US" w:eastAsia="zh-CN"/>
              </w:rPr>
            </w:pPr>
            <w:r>
              <w:rPr>
                <w:rFonts w:hint="eastAsia" w:ascii="楷体" w:hAnsi="楷体" w:eastAsia="楷体" w:cs="楷体"/>
                <w:b w:val="0"/>
                <w:bCs/>
                <w:sz w:val="21"/>
                <w:szCs w:val="21"/>
                <w:highlight w:val="none"/>
                <w:lang w:val="en-US" w:eastAsia="zh-CN"/>
              </w:rPr>
              <w:t>家用燃气灶</w:t>
            </w:r>
          </w:p>
        </w:tc>
        <w:tc>
          <w:tcPr>
            <w:tcW w:w="2431" w:type="dxa"/>
            <w:noWrap w:val="0"/>
            <w:vAlign w:val="center"/>
          </w:tcPr>
          <w:p w14:paraId="03FABE79">
            <w:pPr>
              <w:pageBreakBefore w:val="0"/>
              <w:overflowPunct/>
              <w:topLinePunct w:val="0"/>
              <w:bidi w:val="0"/>
              <w:snapToGrid/>
              <w:spacing w:line="360" w:lineRule="auto"/>
              <w:ind w:left="0" w:right="0" w:rightChars="0"/>
              <w:jc w:val="left"/>
              <w:rPr>
                <w:rFonts w:hint="eastAsia" w:ascii="楷体" w:hAnsi="楷体" w:eastAsia="楷体" w:cs="楷体"/>
                <w:bCs/>
                <w:sz w:val="21"/>
                <w:szCs w:val="21"/>
                <w:highlight w:val="none"/>
                <w:lang w:val="en-US" w:eastAsia="zh-CN"/>
              </w:rPr>
            </w:pPr>
            <w:r>
              <w:rPr>
                <w:rFonts w:hint="eastAsia" w:ascii="楷体" w:hAnsi="楷体" w:eastAsia="楷体" w:cs="楷体"/>
                <w:bCs/>
                <w:sz w:val="21"/>
                <w:szCs w:val="21"/>
                <w:highlight w:val="none"/>
                <w:lang w:val="en-US" w:eastAsia="zh-CN"/>
              </w:rPr>
              <w:t>GB 16410-2020</w:t>
            </w:r>
          </w:p>
          <w:p w14:paraId="28E9C135">
            <w:pPr>
              <w:pageBreakBefore w:val="0"/>
              <w:overflowPunct/>
              <w:topLinePunct w:val="0"/>
              <w:bidi w:val="0"/>
              <w:snapToGrid/>
              <w:spacing w:line="360" w:lineRule="auto"/>
              <w:ind w:left="0" w:right="0" w:rightChars="0"/>
              <w:jc w:val="left"/>
              <w:rPr>
                <w:rFonts w:hint="eastAsia" w:ascii="楷体" w:hAnsi="楷体" w:eastAsia="楷体" w:cs="楷体"/>
                <w:b w:val="0"/>
                <w:bCs/>
                <w:sz w:val="21"/>
                <w:szCs w:val="21"/>
                <w:highlight w:val="none"/>
                <w:lang w:val="en-US" w:eastAsia="zh-CN"/>
              </w:rPr>
            </w:pPr>
            <w:r>
              <w:rPr>
                <w:rFonts w:hint="eastAsia" w:ascii="楷体" w:hAnsi="楷体" w:eastAsia="楷体" w:cs="楷体"/>
                <w:bCs/>
                <w:sz w:val="21"/>
                <w:szCs w:val="21"/>
                <w:highlight w:val="none"/>
                <w:lang w:val="en-US" w:eastAsia="zh-CN"/>
              </w:rPr>
              <w:t>GB 30720—2014</w:t>
            </w:r>
            <w:r>
              <w:rPr>
                <w:rFonts w:hint="eastAsia" w:ascii="楷体" w:hAnsi="楷体" w:eastAsia="楷体" w:cs="楷体"/>
                <w:color w:val="auto"/>
                <w:sz w:val="21"/>
                <w:szCs w:val="21"/>
                <w:highlight w:val="none"/>
                <w:lang w:eastAsia="zh-CN"/>
              </w:rPr>
              <w:t>等</w:t>
            </w:r>
            <w:r>
              <w:rPr>
                <w:rFonts w:hint="eastAsia" w:ascii="楷体" w:hAnsi="楷体" w:eastAsia="楷体" w:cs="楷体"/>
                <w:color w:val="auto"/>
                <w:sz w:val="21"/>
                <w:szCs w:val="21"/>
                <w:highlight w:val="none"/>
              </w:rPr>
              <w:t>现行有效的企业标准、团体标准、地方标准及产品明示质量要求</w:t>
            </w:r>
          </w:p>
        </w:tc>
        <w:tc>
          <w:tcPr>
            <w:tcW w:w="4451" w:type="dxa"/>
            <w:noWrap w:val="0"/>
            <w:vAlign w:val="top"/>
          </w:tcPr>
          <w:p w14:paraId="6B937FD6">
            <w:pPr>
              <w:keepNext w:val="0"/>
              <w:keepLines w:val="0"/>
              <w:pageBreakBefore w:val="0"/>
              <w:widowControl w:val="0"/>
              <w:kinsoku/>
              <w:wordWrap/>
              <w:overflowPunct/>
              <w:topLinePunct w:val="0"/>
              <w:autoSpaceDE/>
              <w:autoSpaceDN/>
              <w:bidi w:val="0"/>
              <w:adjustRightInd/>
              <w:snapToGrid/>
              <w:spacing w:line="360" w:lineRule="auto"/>
              <w:ind w:left="0" w:right="0" w:rightChars="0"/>
              <w:jc w:val="left"/>
              <w:textAlignment w:val="auto"/>
              <w:rPr>
                <w:rFonts w:hint="eastAsia" w:ascii="楷体" w:hAnsi="楷体" w:eastAsia="楷体" w:cs="楷体"/>
                <w:bCs/>
                <w:color w:val="auto"/>
                <w:sz w:val="21"/>
                <w:szCs w:val="21"/>
                <w:highlight w:val="none"/>
                <w:lang w:eastAsia="zh-CN"/>
              </w:rPr>
            </w:pPr>
            <w:r>
              <w:rPr>
                <w:rFonts w:hint="eastAsia" w:ascii="楷体" w:hAnsi="楷体" w:eastAsia="楷体" w:cs="楷体"/>
                <w:bCs/>
                <w:sz w:val="21"/>
                <w:szCs w:val="21"/>
                <w:highlight w:val="none"/>
                <w:lang w:val="en-US" w:eastAsia="zh-CN"/>
              </w:rPr>
              <w:t>气密性</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sz w:val="21"/>
                <w:szCs w:val="21"/>
                <w:highlight w:val="none"/>
                <w:lang w:val="en-US" w:eastAsia="zh-CN"/>
              </w:rPr>
              <w:t>热负荷</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sz w:val="21"/>
                <w:szCs w:val="21"/>
                <w:highlight w:val="none"/>
                <w:lang w:val="en-US" w:eastAsia="zh-CN"/>
              </w:rPr>
              <w:t>燃烧工况（离焰、熄火、回火、燃烧噪声、熄火噪声、干烟气中CO浓度（α=1体积分数））</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sz w:val="21"/>
                <w:szCs w:val="21"/>
                <w:highlight w:val="none"/>
                <w:lang w:val="en-US" w:eastAsia="zh-CN"/>
              </w:rPr>
              <w:t>、温升</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sz w:val="21"/>
                <w:szCs w:val="21"/>
                <w:highlight w:val="none"/>
                <w:lang w:val="en-US" w:eastAsia="zh-CN"/>
              </w:rPr>
              <w:t>熄火保护装置</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sz w:val="21"/>
                <w:szCs w:val="21"/>
                <w:highlight w:val="none"/>
                <w:lang w:val="en-US" w:eastAsia="zh-CN"/>
              </w:rPr>
              <w:t>燃气导管</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sz w:val="21"/>
                <w:szCs w:val="21"/>
                <w:highlight w:val="none"/>
                <w:lang w:val="en-US" w:eastAsia="zh-CN"/>
              </w:rPr>
              <w:t>耐热冲击</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sz w:val="21"/>
                <w:szCs w:val="21"/>
                <w:highlight w:val="none"/>
                <w:lang w:val="en-US" w:eastAsia="zh-CN"/>
              </w:rPr>
              <w:t>耐重力冲击</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sz w:val="21"/>
                <w:szCs w:val="21"/>
                <w:highlight w:val="none"/>
                <w:lang w:val="en-US" w:eastAsia="zh-CN"/>
              </w:rPr>
              <w:t>热效率</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u w:val="none"/>
                <w:lang w:val="en-US" w:eastAsia="zh-CN"/>
              </w:rPr>
              <w:t>元</w:t>
            </w:r>
            <w:r>
              <w:rPr>
                <w:rFonts w:hint="eastAsia" w:ascii="楷体" w:hAnsi="楷体" w:eastAsia="楷体" w:cs="楷体"/>
                <w:b w:val="0"/>
                <w:bCs/>
                <w:sz w:val="21"/>
                <w:szCs w:val="21"/>
                <w:highlight w:val="none"/>
                <w:lang w:val="en-US" w:eastAsia="zh-CN"/>
              </w:rPr>
              <w:t>。</w:t>
            </w:r>
          </w:p>
        </w:tc>
        <w:tc>
          <w:tcPr>
            <w:tcW w:w="1672" w:type="dxa"/>
            <w:noWrap w:val="0"/>
            <w:vAlign w:val="center"/>
          </w:tcPr>
          <w:p w14:paraId="63EE0CE0">
            <w:pPr>
              <w:keepNext w:val="0"/>
              <w:keepLines w:val="0"/>
              <w:pageBreakBefore w:val="0"/>
              <w:widowControl w:val="0"/>
              <w:kinsoku/>
              <w:wordWrap/>
              <w:overflowPunct/>
              <w:topLinePunct w:val="0"/>
              <w:autoSpaceDE/>
              <w:autoSpaceDN/>
              <w:bidi w:val="0"/>
              <w:adjustRightInd/>
              <w:snapToGrid/>
              <w:spacing w:line="360" w:lineRule="auto"/>
              <w:ind w:left="0" w:right="0" w:rightChars="0"/>
              <w:jc w:val="right"/>
              <w:textAlignment w:val="auto"/>
              <w:rPr>
                <w:rFonts w:hint="eastAsia" w:ascii="楷体" w:hAnsi="楷体" w:eastAsia="楷体" w:cs="楷体"/>
                <w:b w:val="0"/>
                <w:bCs/>
                <w:sz w:val="21"/>
                <w:szCs w:val="21"/>
                <w:highlight w:val="none"/>
                <w:lang w:val="en-US" w:eastAsia="zh-CN"/>
              </w:rPr>
            </w:pPr>
            <w:r>
              <w:rPr>
                <w:rFonts w:hint="eastAsia" w:ascii="楷体" w:hAnsi="楷体" w:eastAsia="楷体" w:cs="楷体"/>
                <w:b w:val="0"/>
                <w:bCs/>
                <w:sz w:val="21"/>
                <w:szCs w:val="21"/>
                <w:highlight w:val="none"/>
                <w:lang w:val="en-US" w:eastAsia="zh-CN"/>
              </w:rPr>
              <w:t>元</w:t>
            </w:r>
          </w:p>
        </w:tc>
      </w:tr>
      <w:tr w14:paraId="5550F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3" w:hRule="atLeast"/>
        </w:trPr>
        <w:tc>
          <w:tcPr>
            <w:tcW w:w="1204" w:type="dxa"/>
            <w:shd w:val="clear" w:color="auto" w:fill="auto"/>
            <w:noWrap w:val="0"/>
            <w:vAlign w:val="center"/>
          </w:tcPr>
          <w:p w14:paraId="09194AF9">
            <w:pPr>
              <w:pageBreakBefore w:val="0"/>
              <w:overflowPunct/>
              <w:topLinePunct w:val="0"/>
              <w:bidi w:val="0"/>
              <w:snapToGrid/>
              <w:spacing w:line="360" w:lineRule="auto"/>
              <w:ind w:left="0" w:right="0" w:rightChars="0"/>
              <w:jc w:val="center"/>
              <w:rPr>
                <w:rFonts w:hint="eastAsia" w:ascii="楷体" w:hAnsi="楷体" w:eastAsia="楷体" w:cs="楷体"/>
                <w:b w:val="0"/>
                <w:bCs/>
                <w:sz w:val="21"/>
                <w:szCs w:val="21"/>
                <w:highlight w:val="none"/>
                <w:lang w:val="en-US" w:eastAsia="zh-CN"/>
              </w:rPr>
            </w:pPr>
            <w:r>
              <w:rPr>
                <w:rFonts w:hint="eastAsia" w:ascii="楷体" w:hAnsi="楷体" w:eastAsia="楷体" w:cs="楷体"/>
                <w:b w:val="0"/>
                <w:bCs/>
                <w:sz w:val="21"/>
                <w:szCs w:val="21"/>
                <w:highlight w:val="none"/>
                <w:lang w:val="en-US" w:eastAsia="zh-CN"/>
              </w:rPr>
              <w:t>燃气采暖热水炉</w:t>
            </w:r>
          </w:p>
        </w:tc>
        <w:tc>
          <w:tcPr>
            <w:tcW w:w="2431" w:type="dxa"/>
            <w:shd w:val="clear" w:color="auto" w:fill="auto"/>
            <w:noWrap w:val="0"/>
            <w:vAlign w:val="center"/>
          </w:tcPr>
          <w:p w14:paraId="6302BCBE">
            <w:pPr>
              <w:pageBreakBefore w:val="0"/>
              <w:overflowPunct/>
              <w:topLinePunct w:val="0"/>
              <w:bidi w:val="0"/>
              <w:snapToGrid/>
              <w:spacing w:line="360" w:lineRule="auto"/>
              <w:ind w:left="0" w:right="0" w:rightChars="0"/>
              <w:jc w:val="center"/>
              <w:rPr>
                <w:rFonts w:hint="eastAsia" w:ascii="楷体" w:hAnsi="楷体" w:eastAsia="楷体" w:cs="楷体"/>
                <w:b w:val="0"/>
                <w:bCs/>
                <w:sz w:val="21"/>
                <w:szCs w:val="21"/>
                <w:highlight w:val="none"/>
                <w:lang w:val="en-US" w:eastAsia="zh-CN"/>
              </w:rPr>
            </w:pPr>
            <w:r>
              <w:rPr>
                <w:rFonts w:hint="eastAsia" w:ascii="楷体" w:hAnsi="楷体" w:eastAsia="楷体" w:cs="楷体"/>
                <w:b w:val="0"/>
                <w:bCs/>
                <w:sz w:val="21"/>
                <w:szCs w:val="21"/>
                <w:highlight w:val="none"/>
                <w:lang w:val="en-US" w:eastAsia="zh-CN"/>
              </w:rPr>
              <w:t>GB 25034-2020等现行有效的企业标准、团体标准、地方标准及产品明示质量要求</w:t>
            </w:r>
          </w:p>
        </w:tc>
        <w:tc>
          <w:tcPr>
            <w:tcW w:w="4451" w:type="dxa"/>
            <w:noWrap w:val="0"/>
            <w:vAlign w:val="top"/>
          </w:tcPr>
          <w:p w14:paraId="7D653EAF">
            <w:pPr>
              <w:keepNext w:val="0"/>
              <w:keepLines w:val="0"/>
              <w:pageBreakBefore w:val="0"/>
              <w:widowControl w:val="0"/>
              <w:kinsoku/>
              <w:wordWrap/>
              <w:overflowPunct/>
              <w:topLinePunct w:val="0"/>
              <w:autoSpaceDE/>
              <w:autoSpaceDN/>
              <w:bidi w:val="0"/>
              <w:adjustRightInd/>
              <w:snapToGrid/>
              <w:spacing w:line="360" w:lineRule="auto"/>
              <w:ind w:left="0" w:right="0" w:rightChars="0"/>
              <w:jc w:val="left"/>
              <w:textAlignment w:val="auto"/>
              <w:rPr>
                <w:rFonts w:hint="eastAsia" w:ascii="楷体" w:hAnsi="楷体" w:eastAsia="楷体" w:cs="楷体"/>
                <w:bCs/>
                <w:color w:val="auto"/>
                <w:sz w:val="21"/>
                <w:szCs w:val="21"/>
                <w:highlight w:val="none"/>
                <w:lang w:eastAsia="zh-CN"/>
              </w:rPr>
            </w:pPr>
            <w:r>
              <w:rPr>
                <w:rFonts w:hint="eastAsia" w:ascii="楷体" w:hAnsi="楷体" w:eastAsia="楷体" w:cs="楷体"/>
                <w:bCs/>
                <w:sz w:val="21"/>
                <w:szCs w:val="21"/>
                <w:highlight w:val="none"/>
                <w:lang w:val="en-US" w:eastAsia="zh-CN"/>
              </w:rPr>
              <w:t>燃气系统密封性</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sz w:val="21"/>
                <w:szCs w:val="21"/>
                <w:highlight w:val="none"/>
                <w:lang w:val="en-US" w:eastAsia="zh-CN"/>
              </w:rPr>
              <w:t>电源运行安全性</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sz w:val="21"/>
                <w:szCs w:val="21"/>
                <w:highlight w:val="none"/>
                <w:lang w:val="en-US" w:eastAsia="zh-CN"/>
              </w:rPr>
              <w:t>采暖额定热输出</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sz w:val="21"/>
                <w:szCs w:val="21"/>
                <w:highlight w:val="none"/>
                <w:lang w:val="en-US" w:eastAsia="zh-CN"/>
              </w:rPr>
              <w:t>、热效率</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sz w:val="21"/>
                <w:szCs w:val="21"/>
                <w:highlight w:val="none"/>
                <w:lang w:val="en-US" w:eastAsia="zh-CN"/>
              </w:rPr>
              <w:t>、额定热负荷时CO含量</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sz w:val="21"/>
                <w:szCs w:val="21"/>
                <w:highlight w:val="none"/>
                <w:lang w:val="en-US" w:eastAsia="zh-CN"/>
              </w:rPr>
              <w:t>工作温度下的电气强度</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sz w:val="21"/>
                <w:szCs w:val="21"/>
                <w:highlight w:val="none"/>
                <w:lang w:val="en-US" w:eastAsia="zh-CN"/>
              </w:rPr>
              <w:t>工作温度下的泄漏电流</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sz w:val="21"/>
                <w:szCs w:val="21"/>
                <w:highlight w:val="none"/>
                <w:lang w:val="en-US" w:eastAsia="zh-CN"/>
              </w:rPr>
              <w:t>接地措施（含低电阻值）</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u w:val="none"/>
                <w:lang w:val="en-US" w:eastAsia="zh-CN"/>
              </w:rPr>
              <w:t>元</w:t>
            </w:r>
            <w:r>
              <w:rPr>
                <w:rFonts w:hint="eastAsia" w:ascii="楷体" w:hAnsi="楷体" w:eastAsia="楷体" w:cs="楷体"/>
                <w:b w:val="0"/>
                <w:bCs/>
                <w:sz w:val="21"/>
                <w:szCs w:val="21"/>
                <w:highlight w:val="none"/>
                <w:lang w:val="en-US" w:eastAsia="zh-CN"/>
              </w:rPr>
              <w:t>。</w:t>
            </w:r>
          </w:p>
        </w:tc>
        <w:tc>
          <w:tcPr>
            <w:tcW w:w="1672" w:type="dxa"/>
            <w:noWrap w:val="0"/>
            <w:vAlign w:val="center"/>
          </w:tcPr>
          <w:p w14:paraId="27E497A6">
            <w:pPr>
              <w:keepNext w:val="0"/>
              <w:keepLines w:val="0"/>
              <w:pageBreakBefore w:val="0"/>
              <w:widowControl w:val="0"/>
              <w:kinsoku/>
              <w:wordWrap/>
              <w:overflowPunct/>
              <w:topLinePunct w:val="0"/>
              <w:autoSpaceDE/>
              <w:autoSpaceDN/>
              <w:bidi w:val="0"/>
              <w:adjustRightInd/>
              <w:snapToGrid/>
              <w:spacing w:line="360" w:lineRule="auto"/>
              <w:ind w:left="0" w:right="0" w:rightChars="0"/>
              <w:jc w:val="right"/>
              <w:textAlignment w:val="auto"/>
              <w:rPr>
                <w:rFonts w:hint="eastAsia" w:ascii="楷体" w:hAnsi="楷体" w:eastAsia="楷体" w:cs="楷体"/>
                <w:b w:val="0"/>
                <w:bCs/>
                <w:sz w:val="21"/>
                <w:szCs w:val="21"/>
                <w:highlight w:val="none"/>
                <w:lang w:val="en-US" w:eastAsia="zh-CN"/>
              </w:rPr>
            </w:pPr>
            <w:r>
              <w:rPr>
                <w:rFonts w:hint="eastAsia" w:ascii="楷体" w:hAnsi="楷体" w:eastAsia="楷体" w:cs="楷体"/>
                <w:b w:val="0"/>
                <w:bCs/>
                <w:sz w:val="21"/>
                <w:szCs w:val="21"/>
                <w:highlight w:val="none"/>
                <w:lang w:val="en-US" w:eastAsia="zh-CN"/>
              </w:rPr>
              <w:t>元</w:t>
            </w:r>
          </w:p>
        </w:tc>
      </w:tr>
      <w:tr w14:paraId="19CAA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1204" w:type="dxa"/>
            <w:noWrap w:val="0"/>
            <w:vAlign w:val="center"/>
          </w:tcPr>
          <w:p w14:paraId="1B1BDE4B">
            <w:pPr>
              <w:pageBreakBefore w:val="0"/>
              <w:overflowPunct/>
              <w:topLinePunct w:val="0"/>
              <w:bidi w:val="0"/>
              <w:snapToGrid/>
              <w:spacing w:line="360" w:lineRule="auto"/>
              <w:ind w:left="0" w:right="0" w:rightChars="0"/>
              <w:jc w:val="center"/>
              <w:rPr>
                <w:rFonts w:hint="eastAsia" w:ascii="楷体" w:hAnsi="楷体" w:eastAsia="楷体" w:cs="楷体"/>
                <w:b w:val="0"/>
                <w:bCs/>
                <w:sz w:val="21"/>
                <w:szCs w:val="21"/>
                <w:highlight w:val="none"/>
                <w:lang w:val="en-US" w:eastAsia="zh-CN"/>
              </w:rPr>
            </w:pPr>
            <w:r>
              <w:rPr>
                <w:rFonts w:hint="eastAsia" w:ascii="楷体" w:hAnsi="楷体" w:eastAsia="楷体" w:cs="楷体"/>
                <w:b w:val="0"/>
                <w:bCs/>
                <w:sz w:val="21"/>
                <w:szCs w:val="21"/>
                <w:highlight w:val="none"/>
                <w:lang w:val="en-US" w:eastAsia="zh-CN"/>
              </w:rPr>
              <w:t>瓶装液化石油气调压器</w:t>
            </w:r>
          </w:p>
        </w:tc>
        <w:tc>
          <w:tcPr>
            <w:tcW w:w="2431" w:type="dxa"/>
            <w:noWrap w:val="0"/>
            <w:vAlign w:val="center"/>
          </w:tcPr>
          <w:p w14:paraId="5CD7B106">
            <w:pPr>
              <w:pageBreakBefore w:val="0"/>
              <w:overflowPunct/>
              <w:topLinePunct w:val="0"/>
              <w:bidi w:val="0"/>
              <w:snapToGrid/>
              <w:spacing w:line="360" w:lineRule="auto"/>
              <w:ind w:left="0" w:right="0" w:rightChars="0"/>
              <w:jc w:val="left"/>
              <w:rPr>
                <w:rFonts w:hint="eastAsia" w:ascii="楷体" w:hAnsi="楷体" w:eastAsia="楷体" w:cs="楷体"/>
                <w:b w:val="0"/>
                <w:bCs/>
                <w:sz w:val="21"/>
                <w:szCs w:val="21"/>
                <w:highlight w:val="none"/>
                <w:lang w:val="en-US" w:eastAsia="zh-CN"/>
              </w:rPr>
            </w:pPr>
            <w:r>
              <w:rPr>
                <w:rFonts w:hint="eastAsia" w:ascii="楷体" w:hAnsi="楷体" w:eastAsia="楷体" w:cs="楷体"/>
                <w:bCs/>
                <w:sz w:val="21"/>
                <w:szCs w:val="21"/>
                <w:highlight w:val="none"/>
                <w:lang w:val="en-US" w:eastAsia="zh-CN"/>
              </w:rPr>
              <w:t>GB 35844-2018</w:t>
            </w:r>
            <w:r>
              <w:rPr>
                <w:rFonts w:hint="eastAsia" w:ascii="楷体" w:hAnsi="楷体" w:eastAsia="楷体" w:cs="楷体"/>
                <w:color w:val="auto"/>
                <w:sz w:val="21"/>
                <w:szCs w:val="21"/>
                <w:highlight w:val="none"/>
                <w:lang w:eastAsia="zh-CN"/>
              </w:rPr>
              <w:t>等</w:t>
            </w:r>
            <w:r>
              <w:rPr>
                <w:rFonts w:hint="eastAsia" w:ascii="楷体" w:hAnsi="楷体" w:eastAsia="楷体" w:cs="楷体"/>
                <w:color w:val="auto"/>
                <w:sz w:val="21"/>
                <w:szCs w:val="21"/>
                <w:highlight w:val="none"/>
              </w:rPr>
              <w:t>现行有效的企业标准、团体标准、地方标准及产品明示质量要求</w:t>
            </w:r>
          </w:p>
        </w:tc>
        <w:tc>
          <w:tcPr>
            <w:tcW w:w="4451" w:type="dxa"/>
            <w:noWrap w:val="0"/>
            <w:vAlign w:val="top"/>
          </w:tcPr>
          <w:p w14:paraId="23CD950A">
            <w:pPr>
              <w:keepNext w:val="0"/>
              <w:keepLines w:val="0"/>
              <w:pageBreakBefore w:val="0"/>
              <w:widowControl w:val="0"/>
              <w:kinsoku/>
              <w:wordWrap/>
              <w:overflowPunct/>
              <w:topLinePunct w:val="0"/>
              <w:autoSpaceDE/>
              <w:autoSpaceDN/>
              <w:bidi w:val="0"/>
              <w:adjustRightInd/>
              <w:snapToGrid/>
              <w:spacing w:line="360" w:lineRule="auto"/>
              <w:ind w:left="0" w:right="0" w:rightChars="0"/>
              <w:jc w:val="left"/>
              <w:textAlignment w:val="auto"/>
              <w:rPr>
                <w:rFonts w:hint="eastAsia" w:ascii="楷体" w:hAnsi="楷体" w:eastAsia="楷体" w:cs="楷体"/>
                <w:bCs/>
                <w:color w:val="auto"/>
                <w:sz w:val="21"/>
                <w:szCs w:val="21"/>
                <w:highlight w:val="none"/>
                <w:lang w:eastAsia="zh-CN"/>
              </w:rPr>
            </w:pPr>
            <w:r>
              <w:rPr>
                <w:rFonts w:hint="eastAsia" w:ascii="楷体" w:hAnsi="楷体" w:eastAsia="楷体" w:cs="楷体"/>
                <w:bCs/>
                <w:sz w:val="21"/>
                <w:szCs w:val="21"/>
                <w:highlight w:val="none"/>
                <w:lang w:val="en-US" w:eastAsia="zh-CN"/>
              </w:rPr>
              <w:t>结构</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sz w:val="21"/>
                <w:szCs w:val="21"/>
                <w:highlight w:val="none"/>
                <w:lang w:val="en-US" w:eastAsia="zh-CN"/>
              </w:rPr>
              <w:t>气密性</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sz w:val="21"/>
                <w:szCs w:val="21"/>
                <w:highlight w:val="none"/>
                <w:lang w:val="en-US" w:eastAsia="zh-CN"/>
              </w:rPr>
              <w:t>调压静特性</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sz w:val="21"/>
                <w:szCs w:val="21"/>
                <w:highlight w:val="none"/>
                <w:lang w:val="en-US" w:eastAsia="zh-CN"/>
              </w:rPr>
              <w:t>、耐冲击性</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sz w:val="21"/>
                <w:szCs w:val="21"/>
                <w:highlight w:val="none"/>
                <w:lang w:val="en-US" w:eastAsia="zh-CN"/>
              </w:rPr>
              <w:t>、连接接头机械强度</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sz w:val="21"/>
                <w:szCs w:val="21"/>
                <w:highlight w:val="none"/>
                <w:lang w:val="en-US" w:eastAsia="zh-CN"/>
              </w:rPr>
              <w:t>材料</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u w:val="none"/>
                <w:lang w:val="en-US" w:eastAsia="zh-CN"/>
              </w:rPr>
              <w:t>元</w:t>
            </w:r>
            <w:r>
              <w:rPr>
                <w:rFonts w:hint="eastAsia" w:ascii="楷体" w:hAnsi="楷体" w:eastAsia="楷体" w:cs="楷体"/>
                <w:b w:val="0"/>
                <w:bCs/>
                <w:sz w:val="21"/>
                <w:szCs w:val="21"/>
                <w:highlight w:val="none"/>
                <w:lang w:val="en-US" w:eastAsia="zh-CN"/>
              </w:rPr>
              <w:t>。</w:t>
            </w:r>
          </w:p>
        </w:tc>
        <w:tc>
          <w:tcPr>
            <w:tcW w:w="1672" w:type="dxa"/>
            <w:noWrap w:val="0"/>
            <w:vAlign w:val="center"/>
          </w:tcPr>
          <w:p w14:paraId="7FEEF667">
            <w:pPr>
              <w:keepNext w:val="0"/>
              <w:keepLines w:val="0"/>
              <w:pageBreakBefore w:val="0"/>
              <w:widowControl w:val="0"/>
              <w:kinsoku/>
              <w:wordWrap/>
              <w:overflowPunct/>
              <w:topLinePunct w:val="0"/>
              <w:autoSpaceDE/>
              <w:autoSpaceDN/>
              <w:bidi w:val="0"/>
              <w:adjustRightInd/>
              <w:snapToGrid/>
              <w:spacing w:line="360" w:lineRule="auto"/>
              <w:ind w:left="0" w:right="0" w:rightChars="0"/>
              <w:jc w:val="right"/>
              <w:textAlignment w:val="auto"/>
              <w:rPr>
                <w:rFonts w:hint="eastAsia" w:ascii="楷体" w:hAnsi="楷体" w:eastAsia="楷体" w:cs="楷体"/>
                <w:b w:val="0"/>
                <w:bCs/>
                <w:sz w:val="21"/>
                <w:szCs w:val="21"/>
                <w:highlight w:val="none"/>
                <w:lang w:val="en-US" w:eastAsia="zh-CN"/>
              </w:rPr>
            </w:pPr>
            <w:r>
              <w:rPr>
                <w:rFonts w:hint="eastAsia" w:ascii="楷体" w:hAnsi="楷体" w:eastAsia="楷体" w:cs="楷体"/>
                <w:b w:val="0"/>
                <w:bCs/>
                <w:sz w:val="21"/>
                <w:szCs w:val="21"/>
                <w:highlight w:val="none"/>
                <w:lang w:val="en-US" w:eastAsia="zh-CN"/>
              </w:rPr>
              <w:t>元</w:t>
            </w:r>
          </w:p>
        </w:tc>
      </w:tr>
      <w:tr w14:paraId="1DB84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2" w:hRule="atLeast"/>
        </w:trPr>
        <w:tc>
          <w:tcPr>
            <w:tcW w:w="1204" w:type="dxa"/>
            <w:noWrap w:val="0"/>
            <w:vAlign w:val="center"/>
          </w:tcPr>
          <w:p w14:paraId="5885FDF1">
            <w:pPr>
              <w:pageBreakBefore w:val="0"/>
              <w:overflowPunct/>
              <w:topLinePunct w:val="0"/>
              <w:bidi w:val="0"/>
              <w:snapToGrid/>
              <w:spacing w:line="360" w:lineRule="auto"/>
              <w:ind w:left="0" w:right="0" w:rightChars="0"/>
              <w:jc w:val="center"/>
              <w:rPr>
                <w:rFonts w:hint="eastAsia" w:ascii="楷体" w:hAnsi="楷体" w:eastAsia="楷体" w:cs="楷体"/>
                <w:b w:val="0"/>
                <w:bCs/>
                <w:sz w:val="21"/>
                <w:szCs w:val="21"/>
                <w:highlight w:val="none"/>
                <w:lang w:val="en-US" w:eastAsia="zh-CN"/>
              </w:rPr>
            </w:pPr>
            <w:r>
              <w:rPr>
                <w:rFonts w:hint="eastAsia" w:ascii="楷体" w:hAnsi="楷体" w:eastAsia="楷体" w:cs="楷体"/>
                <w:b w:val="0"/>
                <w:bCs/>
                <w:sz w:val="21"/>
                <w:szCs w:val="21"/>
                <w:highlight w:val="none"/>
                <w:lang w:val="en-US" w:eastAsia="zh-CN"/>
              </w:rPr>
              <w:t>燃气泄露报警器</w:t>
            </w:r>
          </w:p>
        </w:tc>
        <w:tc>
          <w:tcPr>
            <w:tcW w:w="2431" w:type="dxa"/>
            <w:noWrap w:val="0"/>
            <w:vAlign w:val="center"/>
          </w:tcPr>
          <w:p w14:paraId="51FB6314">
            <w:pPr>
              <w:pageBreakBefore w:val="0"/>
              <w:overflowPunct/>
              <w:topLinePunct w:val="0"/>
              <w:bidi w:val="0"/>
              <w:snapToGrid/>
              <w:spacing w:line="360" w:lineRule="auto"/>
              <w:ind w:left="0" w:right="0" w:rightChars="0"/>
              <w:jc w:val="left"/>
              <w:rPr>
                <w:rFonts w:hint="eastAsia" w:ascii="楷体" w:hAnsi="楷体" w:eastAsia="楷体" w:cs="楷体"/>
                <w:bCs/>
                <w:sz w:val="21"/>
                <w:szCs w:val="21"/>
                <w:highlight w:val="none"/>
                <w:lang w:val="en-US" w:eastAsia="zh-CN"/>
              </w:rPr>
            </w:pPr>
            <w:r>
              <w:rPr>
                <w:rFonts w:hint="eastAsia" w:ascii="楷体" w:hAnsi="楷体" w:eastAsia="楷体" w:cs="楷体"/>
                <w:bCs/>
                <w:sz w:val="21"/>
                <w:szCs w:val="21"/>
                <w:highlight w:val="none"/>
                <w:lang w:val="en-US" w:eastAsia="zh-CN"/>
              </w:rPr>
              <w:t>GB 15322.1-2019、</w:t>
            </w:r>
          </w:p>
          <w:p w14:paraId="3A51F1BC">
            <w:pPr>
              <w:pageBreakBefore w:val="0"/>
              <w:overflowPunct/>
              <w:topLinePunct w:val="0"/>
              <w:bidi w:val="0"/>
              <w:snapToGrid/>
              <w:spacing w:line="360" w:lineRule="auto"/>
              <w:ind w:left="0" w:right="0" w:rightChars="0"/>
              <w:jc w:val="left"/>
              <w:rPr>
                <w:rFonts w:hint="eastAsia" w:ascii="楷体" w:hAnsi="楷体" w:eastAsia="楷体" w:cs="楷体"/>
                <w:bCs/>
                <w:sz w:val="21"/>
                <w:szCs w:val="21"/>
                <w:highlight w:val="none"/>
                <w:lang w:val="en-US" w:eastAsia="zh-CN"/>
              </w:rPr>
            </w:pPr>
            <w:r>
              <w:rPr>
                <w:rFonts w:hint="eastAsia" w:ascii="楷体" w:hAnsi="楷体" w:eastAsia="楷体" w:cs="楷体"/>
                <w:bCs/>
                <w:sz w:val="21"/>
                <w:szCs w:val="21"/>
                <w:highlight w:val="none"/>
                <w:lang w:val="en-US" w:eastAsia="zh-CN"/>
              </w:rPr>
              <w:t>GB 15322.2-2019、</w:t>
            </w:r>
          </w:p>
          <w:p w14:paraId="170C3F5D">
            <w:pPr>
              <w:pageBreakBefore w:val="0"/>
              <w:overflowPunct/>
              <w:topLinePunct w:val="0"/>
              <w:bidi w:val="0"/>
              <w:snapToGrid/>
              <w:spacing w:line="360" w:lineRule="auto"/>
              <w:ind w:left="0" w:right="0" w:rightChars="0"/>
              <w:jc w:val="left"/>
              <w:rPr>
                <w:rFonts w:hint="eastAsia" w:ascii="楷体" w:hAnsi="楷体" w:eastAsia="楷体" w:cs="楷体"/>
                <w:b w:val="0"/>
                <w:bCs/>
                <w:sz w:val="21"/>
                <w:szCs w:val="21"/>
                <w:highlight w:val="none"/>
                <w:lang w:val="en-US" w:eastAsia="zh-CN"/>
              </w:rPr>
            </w:pPr>
            <w:r>
              <w:rPr>
                <w:rFonts w:hint="eastAsia" w:ascii="楷体" w:hAnsi="楷体" w:eastAsia="楷体" w:cs="楷体"/>
                <w:bCs/>
                <w:sz w:val="21"/>
                <w:szCs w:val="21"/>
                <w:highlight w:val="none"/>
                <w:lang w:val="en-US" w:eastAsia="zh-CN"/>
              </w:rPr>
              <w:t>GB 15322.3-2019</w:t>
            </w:r>
            <w:r>
              <w:rPr>
                <w:rFonts w:hint="eastAsia" w:ascii="楷体" w:hAnsi="楷体" w:eastAsia="楷体" w:cs="楷体"/>
                <w:color w:val="auto"/>
                <w:sz w:val="21"/>
                <w:szCs w:val="21"/>
                <w:highlight w:val="none"/>
                <w:lang w:eastAsia="zh-CN"/>
              </w:rPr>
              <w:t>等</w:t>
            </w:r>
            <w:r>
              <w:rPr>
                <w:rFonts w:hint="eastAsia" w:ascii="楷体" w:hAnsi="楷体" w:eastAsia="楷体" w:cs="楷体"/>
                <w:color w:val="auto"/>
                <w:sz w:val="21"/>
                <w:szCs w:val="21"/>
                <w:highlight w:val="none"/>
              </w:rPr>
              <w:t>现行有效的企业标准、团体标准、地方标准及产品明示质量要求</w:t>
            </w:r>
          </w:p>
        </w:tc>
        <w:tc>
          <w:tcPr>
            <w:tcW w:w="4451" w:type="dxa"/>
            <w:noWrap w:val="0"/>
            <w:vAlign w:val="top"/>
          </w:tcPr>
          <w:p w14:paraId="19543D08">
            <w:pPr>
              <w:keepNext w:val="0"/>
              <w:keepLines w:val="0"/>
              <w:pageBreakBefore w:val="0"/>
              <w:widowControl w:val="0"/>
              <w:kinsoku/>
              <w:wordWrap/>
              <w:overflowPunct/>
              <w:topLinePunct w:val="0"/>
              <w:autoSpaceDE/>
              <w:autoSpaceDN/>
              <w:bidi w:val="0"/>
              <w:adjustRightInd/>
              <w:snapToGrid/>
              <w:spacing w:line="360" w:lineRule="auto"/>
              <w:ind w:left="0" w:right="0" w:rightChars="0"/>
              <w:jc w:val="left"/>
              <w:textAlignment w:val="auto"/>
              <w:rPr>
                <w:rFonts w:hint="eastAsia" w:ascii="楷体" w:hAnsi="楷体" w:eastAsia="楷体" w:cs="楷体"/>
                <w:bCs/>
                <w:sz w:val="21"/>
                <w:szCs w:val="21"/>
                <w:highlight w:val="none"/>
                <w:lang w:val="en-US" w:eastAsia="zh-CN"/>
              </w:rPr>
            </w:pPr>
            <w:r>
              <w:rPr>
                <w:rFonts w:hint="eastAsia" w:ascii="楷体" w:hAnsi="楷体" w:eastAsia="楷体" w:cs="楷体"/>
                <w:bCs/>
                <w:sz w:val="21"/>
                <w:szCs w:val="21"/>
                <w:highlight w:val="none"/>
                <w:lang w:val="en-US" w:eastAsia="zh-CN"/>
              </w:rPr>
              <w:t>工业及商业用途点型可燃气体探测器：</w:t>
            </w:r>
          </w:p>
          <w:p w14:paraId="0033B034">
            <w:pPr>
              <w:keepNext w:val="0"/>
              <w:keepLines w:val="0"/>
              <w:pageBreakBefore w:val="0"/>
              <w:widowControl w:val="0"/>
              <w:kinsoku/>
              <w:wordWrap/>
              <w:overflowPunct/>
              <w:topLinePunct w:val="0"/>
              <w:autoSpaceDE/>
              <w:autoSpaceDN/>
              <w:bidi w:val="0"/>
              <w:adjustRightInd/>
              <w:snapToGrid/>
              <w:spacing w:line="360" w:lineRule="auto"/>
              <w:ind w:left="0" w:right="0" w:rightChars="0"/>
              <w:jc w:val="left"/>
              <w:textAlignment w:val="auto"/>
              <w:rPr>
                <w:rFonts w:hint="eastAsia" w:ascii="楷体" w:hAnsi="楷体" w:eastAsia="楷体" w:cs="楷体"/>
                <w:b w:val="0"/>
                <w:bCs/>
                <w:sz w:val="21"/>
                <w:szCs w:val="21"/>
                <w:highlight w:val="none"/>
                <w:lang w:val="en-US" w:eastAsia="zh-CN"/>
              </w:rPr>
            </w:pPr>
            <w:r>
              <w:rPr>
                <w:rFonts w:hint="eastAsia" w:ascii="楷体" w:hAnsi="楷体" w:eastAsia="楷体" w:cs="楷体"/>
                <w:bCs/>
                <w:sz w:val="21"/>
                <w:szCs w:val="21"/>
                <w:highlight w:val="none"/>
                <w:lang w:val="en-US" w:eastAsia="zh-CN"/>
              </w:rPr>
              <w:t>标志</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sz w:val="21"/>
                <w:szCs w:val="21"/>
                <w:highlight w:val="none"/>
                <w:lang w:val="en-US" w:eastAsia="zh-CN"/>
              </w:rPr>
              <w:t>报警动作值</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sz w:val="21"/>
                <w:szCs w:val="21"/>
                <w:highlight w:val="none"/>
                <w:lang w:val="en-US" w:eastAsia="zh-CN"/>
              </w:rPr>
              <w:t>报警重复性</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sz w:val="21"/>
                <w:szCs w:val="21"/>
                <w:highlight w:val="none"/>
                <w:lang w:val="en-US" w:eastAsia="zh-CN"/>
              </w:rPr>
              <w:t>、跌落试验</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sz w:val="21"/>
                <w:szCs w:val="21"/>
                <w:highlight w:val="none"/>
                <w:lang w:val="en-US" w:eastAsia="zh-CN"/>
              </w:rPr>
              <w:t>、绝缘电阻</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sz w:val="21"/>
                <w:szCs w:val="21"/>
                <w:highlight w:val="none"/>
                <w:lang w:val="en-US" w:eastAsia="zh-CN"/>
              </w:rPr>
              <w:t>电气强度</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u w:val="none"/>
                <w:lang w:val="en-US" w:eastAsia="zh-CN"/>
              </w:rPr>
              <w:t>元；</w:t>
            </w:r>
            <w:r>
              <w:rPr>
                <w:rFonts w:hint="eastAsia" w:ascii="楷体" w:hAnsi="楷体" w:eastAsia="楷体" w:cs="楷体"/>
                <w:bCs/>
                <w:sz w:val="21"/>
                <w:szCs w:val="21"/>
                <w:highlight w:val="none"/>
                <w:lang w:val="en-US" w:eastAsia="zh-CN"/>
              </w:rPr>
              <w:t>方位试验</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u w:val="none"/>
                <w:lang w:val="en-US" w:eastAsia="zh-CN"/>
              </w:rPr>
              <w:t>元</w:t>
            </w:r>
            <w:r>
              <w:rPr>
                <w:rFonts w:hint="eastAsia" w:ascii="楷体" w:hAnsi="楷体" w:eastAsia="楷体" w:cs="楷体"/>
                <w:b w:val="0"/>
                <w:bCs/>
                <w:sz w:val="21"/>
                <w:szCs w:val="21"/>
                <w:highlight w:val="none"/>
                <w:lang w:val="en-US" w:eastAsia="zh-CN"/>
              </w:rPr>
              <w:t>。</w:t>
            </w:r>
          </w:p>
          <w:p w14:paraId="3D5E1920">
            <w:pPr>
              <w:keepNext w:val="0"/>
              <w:keepLines w:val="0"/>
              <w:pageBreakBefore w:val="0"/>
              <w:widowControl w:val="0"/>
              <w:kinsoku/>
              <w:wordWrap/>
              <w:overflowPunct/>
              <w:topLinePunct w:val="0"/>
              <w:autoSpaceDE/>
              <w:autoSpaceDN/>
              <w:bidi w:val="0"/>
              <w:adjustRightInd/>
              <w:snapToGrid/>
              <w:spacing w:line="360" w:lineRule="auto"/>
              <w:ind w:left="0" w:right="0" w:rightChars="0"/>
              <w:jc w:val="left"/>
              <w:textAlignment w:val="auto"/>
              <w:rPr>
                <w:rFonts w:hint="eastAsia" w:ascii="楷体" w:hAnsi="楷体" w:eastAsia="楷体" w:cs="楷体"/>
                <w:bCs/>
                <w:sz w:val="21"/>
                <w:szCs w:val="21"/>
                <w:highlight w:val="none"/>
                <w:lang w:val="en-US" w:eastAsia="zh-CN"/>
              </w:rPr>
            </w:pPr>
            <w:r>
              <w:rPr>
                <w:rFonts w:hint="eastAsia" w:ascii="楷体" w:hAnsi="楷体" w:eastAsia="楷体" w:cs="楷体"/>
                <w:bCs/>
                <w:sz w:val="21"/>
                <w:szCs w:val="21"/>
                <w:highlight w:val="none"/>
                <w:lang w:val="en-US" w:eastAsia="zh-CN"/>
              </w:rPr>
              <w:t>家用可燃气体探测器：</w:t>
            </w:r>
          </w:p>
          <w:p w14:paraId="60349020">
            <w:pPr>
              <w:keepNext w:val="0"/>
              <w:keepLines w:val="0"/>
              <w:pageBreakBefore w:val="0"/>
              <w:widowControl w:val="0"/>
              <w:kinsoku/>
              <w:wordWrap/>
              <w:overflowPunct/>
              <w:topLinePunct w:val="0"/>
              <w:autoSpaceDE/>
              <w:autoSpaceDN/>
              <w:bidi w:val="0"/>
              <w:adjustRightInd/>
              <w:snapToGrid/>
              <w:spacing w:line="360" w:lineRule="auto"/>
              <w:ind w:left="0" w:right="0" w:rightChars="0"/>
              <w:jc w:val="left"/>
              <w:textAlignment w:val="auto"/>
              <w:rPr>
                <w:rFonts w:hint="eastAsia" w:ascii="楷体" w:hAnsi="楷体" w:eastAsia="楷体" w:cs="楷体"/>
                <w:b w:val="0"/>
                <w:bCs/>
                <w:sz w:val="21"/>
                <w:szCs w:val="21"/>
                <w:highlight w:val="none"/>
                <w:lang w:val="en-US" w:eastAsia="zh-CN"/>
              </w:rPr>
            </w:pPr>
            <w:r>
              <w:rPr>
                <w:rFonts w:hint="eastAsia" w:ascii="楷体" w:hAnsi="楷体" w:eastAsia="楷体" w:cs="楷体"/>
                <w:bCs/>
                <w:sz w:val="21"/>
                <w:szCs w:val="21"/>
                <w:highlight w:val="none"/>
                <w:lang w:val="en-US" w:eastAsia="zh-CN"/>
              </w:rPr>
              <w:t>标志</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sz w:val="21"/>
                <w:szCs w:val="21"/>
                <w:highlight w:val="none"/>
                <w:lang w:val="en-US" w:eastAsia="zh-CN"/>
              </w:rPr>
              <w:t>报警动作值</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sz w:val="21"/>
                <w:szCs w:val="21"/>
                <w:highlight w:val="none"/>
                <w:lang w:val="en-US" w:eastAsia="zh-CN"/>
              </w:rPr>
              <w:t>报警重复性</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sz w:val="21"/>
                <w:szCs w:val="21"/>
                <w:highlight w:val="none"/>
                <w:lang w:val="en-US" w:eastAsia="zh-CN"/>
              </w:rPr>
              <w:t>、跌落试验</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sz w:val="21"/>
                <w:szCs w:val="21"/>
                <w:highlight w:val="none"/>
                <w:lang w:val="en-US" w:eastAsia="zh-CN"/>
              </w:rPr>
              <w:t>、绝缘电阻</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sz w:val="21"/>
                <w:szCs w:val="21"/>
                <w:highlight w:val="none"/>
                <w:lang w:val="en-US" w:eastAsia="zh-CN"/>
              </w:rPr>
              <w:t>电气强度</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u w:val="none"/>
                <w:lang w:val="en-US" w:eastAsia="zh-CN"/>
              </w:rPr>
              <w:t>元；</w:t>
            </w:r>
            <w:r>
              <w:rPr>
                <w:rFonts w:hint="eastAsia" w:ascii="楷体" w:hAnsi="楷体" w:eastAsia="楷体" w:cs="楷体"/>
                <w:bCs/>
                <w:sz w:val="21"/>
                <w:szCs w:val="21"/>
                <w:highlight w:val="none"/>
                <w:lang w:val="en-US" w:eastAsia="zh-CN"/>
              </w:rPr>
              <w:t>方位试验</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u w:val="none"/>
                <w:lang w:val="en-US" w:eastAsia="zh-CN"/>
              </w:rPr>
              <w:t>元</w:t>
            </w:r>
            <w:r>
              <w:rPr>
                <w:rFonts w:hint="eastAsia" w:ascii="楷体" w:hAnsi="楷体" w:eastAsia="楷体" w:cs="楷体"/>
                <w:b w:val="0"/>
                <w:bCs/>
                <w:sz w:val="21"/>
                <w:szCs w:val="21"/>
                <w:highlight w:val="none"/>
                <w:lang w:val="en-US" w:eastAsia="zh-CN"/>
              </w:rPr>
              <w:t>。</w:t>
            </w:r>
          </w:p>
          <w:p w14:paraId="06D3BD27">
            <w:pPr>
              <w:keepNext w:val="0"/>
              <w:keepLines w:val="0"/>
              <w:pageBreakBefore w:val="0"/>
              <w:widowControl w:val="0"/>
              <w:kinsoku/>
              <w:wordWrap/>
              <w:overflowPunct/>
              <w:topLinePunct w:val="0"/>
              <w:autoSpaceDE/>
              <w:autoSpaceDN/>
              <w:bidi w:val="0"/>
              <w:adjustRightInd/>
              <w:snapToGrid/>
              <w:spacing w:line="360" w:lineRule="auto"/>
              <w:ind w:left="0" w:right="0" w:rightChars="0"/>
              <w:jc w:val="left"/>
              <w:textAlignment w:val="auto"/>
              <w:rPr>
                <w:rFonts w:hint="eastAsia" w:ascii="楷体" w:hAnsi="楷体" w:eastAsia="楷体" w:cs="楷体"/>
                <w:b w:val="0"/>
                <w:bCs/>
                <w:sz w:val="21"/>
                <w:szCs w:val="21"/>
                <w:highlight w:val="none"/>
                <w:lang w:val="en-US" w:eastAsia="zh-CN"/>
              </w:rPr>
            </w:pPr>
            <w:r>
              <w:rPr>
                <w:rFonts w:hint="eastAsia" w:ascii="楷体" w:hAnsi="楷体" w:eastAsia="楷体" w:cs="楷体"/>
                <w:bCs/>
                <w:sz w:val="21"/>
                <w:szCs w:val="21"/>
                <w:highlight w:val="none"/>
                <w:lang w:val="en-US" w:eastAsia="zh-CN"/>
              </w:rPr>
              <w:t>工业及商业用途便携式可燃气体探测器：</w:t>
            </w:r>
          </w:p>
          <w:p w14:paraId="252301B9">
            <w:pPr>
              <w:keepNext w:val="0"/>
              <w:keepLines w:val="0"/>
              <w:pageBreakBefore w:val="0"/>
              <w:widowControl w:val="0"/>
              <w:kinsoku/>
              <w:wordWrap/>
              <w:overflowPunct/>
              <w:topLinePunct w:val="0"/>
              <w:autoSpaceDE/>
              <w:autoSpaceDN/>
              <w:bidi w:val="0"/>
              <w:adjustRightInd/>
              <w:snapToGrid/>
              <w:spacing w:line="360" w:lineRule="auto"/>
              <w:ind w:left="0" w:right="0" w:rightChars="0"/>
              <w:jc w:val="left"/>
              <w:textAlignment w:val="auto"/>
              <w:rPr>
                <w:rFonts w:hint="eastAsia" w:ascii="楷体" w:hAnsi="楷体" w:eastAsia="楷体" w:cs="楷体"/>
                <w:bCs/>
                <w:sz w:val="21"/>
                <w:szCs w:val="21"/>
                <w:highlight w:val="none"/>
                <w:lang w:val="en-US" w:eastAsia="zh-CN"/>
              </w:rPr>
            </w:pPr>
            <w:r>
              <w:rPr>
                <w:rFonts w:hint="eastAsia" w:ascii="楷体" w:hAnsi="楷体" w:eastAsia="楷体" w:cs="楷体"/>
                <w:bCs/>
                <w:sz w:val="21"/>
                <w:szCs w:val="21"/>
                <w:highlight w:val="none"/>
                <w:lang w:val="en-US" w:eastAsia="zh-CN"/>
              </w:rPr>
              <w:t>标志</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sz w:val="21"/>
                <w:szCs w:val="21"/>
                <w:highlight w:val="none"/>
                <w:lang w:val="en-US" w:eastAsia="zh-CN"/>
              </w:rPr>
              <w:t>报警动作值</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sz w:val="21"/>
                <w:szCs w:val="21"/>
                <w:highlight w:val="none"/>
                <w:lang w:val="en-US" w:eastAsia="zh-CN"/>
              </w:rPr>
              <w:t>报警重复性</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sz w:val="21"/>
                <w:szCs w:val="21"/>
                <w:highlight w:val="none"/>
                <w:lang w:val="en-US" w:eastAsia="zh-CN"/>
              </w:rPr>
              <w:t>；跌落试验</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sz w:val="21"/>
                <w:szCs w:val="21"/>
                <w:highlight w:val="none"/>
                <w:lang w:val="en-US" w:eastAsia="zh-CN"/>
              </w:rPr>
              <w:t>方位试验</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u w:val="none"/>
                <w:lang w:val="en-US" w:eastAsia="zh-CN"/>
              </w:rPr>
              <w:t>元</w:t>
            </w:r>
            <w:r>
              <w:rPr>
                <w:rFonts w:hint="eastAsia" w:ascii="楷体" w:hAnsi="楷体" w:eastAsia="楷体" w:cs="楷体"/>
                <w:b w:val="0"/>
                <w:bCs/>
                <w:sz w:val="21"/>
                <w:szCs w:val="21"/>
                <w:highlight w:val="none"/>
                <w:lang w:val="en-US" w:eastAsia="zh-CN"/>
              </w:rPr>
              <w:t>。</w:t>
            </w:r>
          </w:p>
        </w:tc>
        <w:tc>
          <w:tcPr>
            <w:tcW w:w="1672" w:type="dxa"/>
            <w:noWrap w:val="0"/>
            <w:vAlign w:val="center"/>
          </w:tcPr>
          <w:p w14:paraId="30E0A3B5">
            <w:pPr>
              <w:keepNext w:val="0"/>
              <w:keepLines w:val="0"/>
              <w:pageBreakBefore w:val="0"/>
              <w:widowControl w:val="0"/>
              <w:kinsoku/>
              <w:wordWrap/>
              <w:overflowPunct/>
              <w:topLinePunct w:val="0"/>
              <w:autoSpaceDE/>
              <w:autoSpaceDN/>
              <w:bidi w:val="0"/>
              <w:adjustRightInd/>
              <w:snapToGrid/>
              <w:spacing w:line="360" w:lineRule="auto"/>
              <w:ind w:left="0" w:right="0" w:rightChars="0"/>
              <w:jc w:val="right"/>
              <w:textAlignment w:val="auto"/>
              <w:rPr>
                <w:rFonts w:hint="eastAsia" w:ascii="楷体" w:hAnsi="楷体" w:eastAsia="楷体" w:cs="楷体"/>
                <w:b w:val="0"/>
                <w:bCs/>
                <w:sz w:val="21"/>
                <w:szCs w:val="21"/>
                <w:highlight w:val="none"/>
                <w:lang w:val="en-US" w:eastAsia="zh-CN"/>
              </w:rPr>
            </w:pPr>
            <w:r>
              <w:rPr>
                <w:rFonts w:hint="eastAsia" w:ascii="楷体" w:hAnsi="楷体" w:eastAsia="楷体" w:cs="楷体"/>
                <w:b w:val="0"/>
                <w:bCs/>
                <w:sz w:val="21"/>
                <w:szCs w:val="21"/>
                <w:highlight w:val="none"/>
                <w:lang w:val="en-US" w:eastAsia="zh-CN"/>
              </w:rPr>
              <w:t>元</w:t>
            </w:r>
          </w:p>
        </w:tc>
      </w:tr>
      <w:tr w14:paraId="34C0F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2" w:hRule="atLeast"/>
        </w:trPr>
        <w:tc>
          <w:tcPr>
            <w:tcW w:w="1204" w:type="dxa"/>
            <w:shd w:val="clear" w:color="auto" w:fill="auto"/>
            <w:noWrap w:val="0"/>
            <w:vAlign w:val="center"/>
          </w:tcPr>
          <w:p w14:paraId="18643B08">
            <w:pPr>
              <w:pageBreakBefore w:val="0"/>
              <w:overflowPunct/>
              <w:topLinePunct w:val="0"/>
              <w:bidi w:val="0"/>
              <w:snapToGrid/>
              <w:spacing w:line="360" w:lineRule="auto"/>
              <w:ind w:left="0" w:right="0" w:rightChars="0"/>
              <w:jc w:val="center"/>
              <w:rPr>
                <w:rFonts w:hint="eastAsia" w:ascii="楷体" w:hAnsi="楷体" w:eastAsia="楷体" w:cs="楷体"/>
                <w:b w:val="0"/>
                <w:bCs/>
                <w:sz w:val="21"/>
                <w:szCs w:val="21"/>
                <w:highlight w:val="none"/>
                <w:lang w:val="en-US" w:eastAsia="zh-CN"/>
              </w:rPr>
            </w:pPr>
            <w:r>
              <w:rPr>
                <w:rFonts w:hint="eastAsia" w:ascii="楷体" w:hAnsi="楷体" w:eastAsia="楷体" w:cs="楷体"/>
                <w:b w:val="0"/>
                <w:bCs/>
                <w:sz w:val="21"/>
                <w:szCs w:val="21"/>
                <w:highlight w:val="none"/>
                <w:lang w:val="en-US" w:eastAsia="zh-CN"/>
              </w:rPr>
              <w:t>商用燃气灶</w:t>
            </w:r>
          </w:p>
        </w:tc>
        <w:tc>
          <w:tcPr>
            <w:tcW w:w="2431" w:type="dxa"/>
            <w:shd w:val="clear" w:color="auto" w:fill="auto"/>
            <w:noWrap w:val="0"/>
            <w:vAlign w:val="center"/>
          </w:tcPr>
          <w:p w14:paraId="6F79D840">
            <w:pPr>
              <w:pageBreakBefore w:val="0"/>
              <w:overflowPunct/>
              <w:topLinePunct w:val="0"/>
              <w:bidi w:val="0"/>
              <w:snapToGrid/>
              <w:spacing w:line="360" w:lineRule="auto"/>
              <w:ind w:left="0" w:right="0" w:rightChars="0"/>
              <w:jc w:val="center"/>
              <w:rPr>
                <w:rFonts w:hint="eastAsia" w:ascii="楷体" w:hAnsi="楷体" w:eastAsia="楷体" w:cs="楷体"/>
                <w:b w:val="0"/>
                <w:bCs/>
                <w:sz w:val="21"/>
                <w:szCs w:val="21"/>
                <w:highlight w:val="none"/>
                <w:lang w:val="en-US" w:eastAsia="zh-CN"/>
              </w:rPr>
            </w:pPr>
            <w:r>
              <w:rPr>
                <w:rFonts w:hint="eastAsia" w:ascii="楷体" w:hAnsi="楷体" w:eastAsia="楷体" w:cs="楷体"/>
                <w:b w:val="0"/>
                <w:bCs/>
                <w:sz w:val="21"/>
                <w:szCs w:val="21"/>
                <w:highlight w:val="none"/>
                <w:lang w:val="en-US" w:eastAsia="zh-CN"/>
              </w:rPr>
              <w:t>GB 35848-2024等现行有效的企业标准、团体标准、地方标准及产品明示质量要求</w:t>
            </w:r>
          </w:p>
        </w:tc>
        <w:tc>
          <w:tcPr>
            <w:tcW w:w="4451" w:type="dxa"/>
            <w:noWrap w:val="0"/>
            <w:vAlign w:val="top"/>
          </w:tcPr>
          <w:p w14:paraId="49FDDD22">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left"/>
              <w:textAlignment w:val="auto"/>
              <w:rPr>
                <w:rFonts w:hint="eastAsia" w:ascii="楷体" w:hAnsi="楷体" w:eastAsia="楷体" w:cs="楷体"/>
                <w:bCs/>
                <w:color w:val="auto"/>
                <w:sz w:val="21"/>
                <w:szCs w:val="21"/>
                <w:highlight w:val="none"/>
                <w:lang w:val="en-US" w:eastAsia="zh-CN"/>
              </w:rPr>
            </w:pPr>
            <w:r>
              <w:rPr>
                <w:rFonts w:hint="eastAsia" w:ascii="楷体" w:hAnsi="楷体" w:eastAsia="楷体" w:cs="楷体"/>
                <w:b w:val="0"/>
                <w:bCs/>
                <w:kern w:val="2"/>
                <w:sz w:val="21"/>
                <w:szCs w:val="21"/>
                <w:highlight w:val="none"/>
                <w:lang w:val="en-US" w:eastAsia="zh-CN" w:bidi="ar-SA"/>
              </w:rPr>
              <w:t>通用结构</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 w:val="0"/>
                <w:bCs/>
                <w:kern w:val="2"/>
                <w:sz w:val="21"/>
                <w:szCs w:val="21"/>
                <w:highlight w:val="none"/>
                <w:lang w:val="en-US" w:eastAsia="zh-CN" w:bidi="ar-SA"/>
              </w:rPr>
              <w:t>燃气系统零部件</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 w:val="0"/>
                <w:bCs/>
                <w:kern w:val="2"/>
                <w:sz w:val="21"/>
                <w:szCs w:val="21"/>
                <w:highlight w:val="none"/>
                <w:lang w:val="en-US" w:eastAsia="zh-CN" w:bidi="ar-SA"/>
              </w:rPr>
              <w:t>燃气系统密封性</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sz w:val="21"/>
                <w:szCs w:val="21"/>
                <w:highlight w:val="none"/>
                <w:lang w:val="en-US" w:eastAsia="zh-CN"/>
              </w:rPr>
              <w:t>；</w:t>
            </w:r>
            <w:r>
              <w:rPr>
                <w:rFonts w:hint="eastAsia" w:ascii="楷体" w:hAnsi="楷体" w:eastAsia="楷体" w:cs="楷体"/>
                <w:b w:val="0"/>
                <w:bCs/>
                <w:kern w:val="2"/>
                <w:sz w:val="21"/>
                <w:szCs w:val="21"/>
                <w:highlight w:val="none"/>
                <w:lang w:val="en-US" w:eastAsia="zh-CN" w:bidi="ar-SA"/>
              </w:rPr>
              <w:t>热负荷准确度</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sz w:val="21"/>
                <w:szCs w:val="21"/>
                <w:highlight w:val="none"/>
                <w:lang w:val="en-US" w:eastAsia="zh-CN"/>
              </w:rPr>
              <w:t>；</w:t>
            </w:r>
            <w:r>
              <w:rPr>
                <w:rFonts w:hint="eastAsia" w:ascii="楷体" w:hAnsi="楷体" w:eastAsia="楷体" w:cs="楷体"/>
                <w:b w:val="0"/>
                <w:bCs/>
                <w:kern w:val="2"/>
                <w:sz w:val="21"/>
                <w:szCs w:val="21"/>
                <w:highlight w:val="none"/>
                <w:lang w:val="en-US" w:eastAsia="zh-CN" w:bidi="ar-SA"/>
              </w:rPr>
              <w:t>燃烧工况（运行噪声）</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 w:val="0"/>
                <w:bCs/>
                <w:kern w:val="2"/>
                <w:sz w:val="21"/>
                <w:szCs w:val="21"/>
                <w:highlight w:val="none"/>
                <w:lang w:val="en-US" w:eastAsia="zh-CN" w:bidi="ar-SA"/>
              </w:rPr>
              <w:t>熄火噪声</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 w:val="0"/>
                <w:bCs/>
                <w:kern w:val="2"/>
                <w:sz w:val="21"/>
                <w:szCs w:val="21"/>
                <w:highlight w:val="none"/>
                <w:lang w:val="en-US" w:eastAsia="zh-CN" w:bidi="ar-SA"/>
              </w:rPr>
              <w:t>干烟气中CO（α=1）含量）</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 w:val="0"/>
                <w:bCs/>
                <w:kern w:val="2"/>
                <w:sz w:val="21"/>
                <w:szCs w:val="21"/>
                <w:highlight w:val="none"/>
                <w:lang w:val="en-US" w:eastAsia="zh-CN" w:bidi="ar-SA"/>
              </w:rPr>
              <w:t>熄火保护装置</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u w:val="none"/>
                <w:lang w:val="en-US" w:eastAsia="zh-CN"/>
              </w:rPr>
              <w:t>元；</w:t>
            </w:r>
            <w:r>
              <w:rPr>
                <w:rFonts w:hint="eastAsia" w:ascii="楷体" w:hAnsi="楷体" w:eastAsia="楷体" w:cs="楷体"/>
                <w:b w:val="0"/>
                <w:bCs/>
                <w:kern w:val="2"/>
                <w:sz w:val="21"/>
                <w:szCs w:val="21"/>
                <w:highlight w:val="none"/>
                <w:lang w:val="en-US" w:eastAsia="zh-CN" w:bidi="ar-SA"/>
              </w:rPr>
              <w:t>能源合理利用</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u w:val="none"/>
                <w:lang w:val="en-US" w:eastAsia="zh-CN"/>
              </w:rPr>
              <w:t>元；</w:t>
            </w:r>
            <w:r>
              <w:rPr>
                <w:rFonts w:hint="eastAsia" w:ascii="楷体" w:hAnsi="楷体" w:eastAsia="楷体" w:cs="楷体"/>
                <w:b w:val="0"/>
                <w:bCs/>
                <w:kern w:val="2"/>
                <w:sz w:val="21"/>
                <w:szCs w:val="21"/>
                <w:highlight w:val="none"/>
                <w:lang w:val="en-US" w:eastAsia="zh-CN" w:bidi="ar-SA"/>
              </w:rPr>
              <w:t>电气性能</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u w:val="none"/>
                <w:lang w:val="en-US" w:eastAsia="zh-CN"/>
              </w:rPr>
              <w:t>元</w:t>
            </w:r>
            <w:r>
              <w:rPr>
                <w:rFonts w:hint="eastAsia" w:ascii="楷体" w:hAnsi="楷体" w:eastAsia="楷体" w:cs="楷体"/>
                <w:b w:val="0"/>
                <w:bCs/>
                <w:kern w:val="2"/>
                <w:sz w:val="21"/>
                <w:szCs w:val="21"/>
                <w:highlight w:val="none"/>
                <w:lang w:val="en-US" w:eastAsia="zh-CN" w:bidi="ar-SA"/>
              </w:rPr>
              <w:t>。</w:t>
            </w:r>
          </w:p>
        </w:tc>
        <w:tc>
          <w:tcPr>
            <w:tcW w:w="1672" w:type="dxa"/>
            <w:noWrap w:val="0"/>
            <w:vAlign w:val="center"/>
          </w:tcPr>
          <w:p w14:paraId="05155A60">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right"/>
              <w:textAlignment w:val="auto"/>
              <w:rPr>
                <w:rFonts w:hint="eastAsia" w:ascii="楷体" w:hAnsi="楷体" w:eastAsia="楷体" w:cs="楷体"/>
                <w:b w:val="0"/>
                <w:bCs/>
                <w:sz w:val="21"/>
                <w:szCs w:val="21"/>
                <w:highlight w:val="none"/>
                <w:lang w:val="en-US" w:eastAsia="zh-CN"/>
              </w:rPr>
            </w:pPr>
            <w:r>
              <w:rPr>
                <w:rFonts w:hint="eastAsia" w:ascii="楷体" w:hAnsi="楷体" w:eastAsia="楷体" w:cs="楷体"/>
                <w:b w:val="0"/>
                <w:bCs/>
                <w:sz w:val="21"/>
                <w:szCs w:val="21"/>
                <w:highlight w:val="none"/>
                <w:lang w:val="en-US" w:eastAsia="zh-CN"/>
              </w:rPr>
              <w:t>元</w:t>
            </w:r>
          </w:p>
        </w:tc>
      </w:tr>
      <w:tr w14:paraId="3B33F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2" w:hRule="atLeast"/>
        </w:trPr>
        <w:tc>
          <w:tcPr>
            <w:tcW w:w="1204" w:type="dxa"/>
            <w:shd w:val="clear" w:color="auto" w:fill="auto"/>
            <w:noWrap w:val="0"/>
            <w:vAlign w:val="center"/>
          </w:tcPr>
          <w:p w14:paraId="44E634F9">
            <w:pPr>
              <w:pageBreakBefore w:val="0"/>
              <w:overflowPunct/>
              <w:topLinePunct w:val="0"/>
              <w:bidi w:val="0"/>
              <w:snapToGrid/>
              <w:spacing w:line="360" w:lineRule="auto"/>
              <w:ind w:left="0" w:right="0" w:rightChars="0"/>
              <w:jc w:val="center"/>
              <w:rPr>
                <w:rFonts w:hint="eastAsia" w:ascii="楷体" w:hAnsi="楷体" w:eastAsia="楷体" w:cs="楷体"/>
                <w:bCs/>
                <w:color w:val="auto"/>
                <w:kern w:val="2"/>
                <w:sz w:val="21"/>
                <w:szCs w:val="21"/>
                <w:highlight w:val="none"/>
                <w:lang w:val="en-US" w:eastAsia="zh-CN" w:bidi="ar-SA"/>
              </w:rPr>
            </w:pPr>
            <w:r>
              <w:rPr>
                <w:rFonts w:hint="eastAsia" w:ascii="楷体" w:hAnsi="楷体" w:eastAsia="楷体" w:cs="楷体"/>
                <w:b w:val="0"/>
                <w:bCs/>
                <w:sz w:val="21"/>
                <w:szCs w:val="21"/>
                <w:highlight w:val="none"/>
                <w:lang w:val="en-US" w:eastAsia="zh-CN"/>
              </w:rPr>
              <w:t>电磁式燃气紧急切断阀</w:t>
            </w:r>
          </w:p>
        </w:tc>
        <w:tc>
          <w:tcPr>
            <w:tcW w:w="2431" w:type="dxa"/>
            <w:noWrap w:val="0"/>
            <w:vAlign w:val="center"/>
          </w:tcPr>
          <w:p w14:paraId="480E09E5">
            <w:pPr>
              <w:pageBreakBefore w:val="0"/>
              <w:overflowPunct/>
              <w:topLinePunct w:val="0"/>
              <w:bidi w:val="0"/>
              <w:snapToGrid/>
              <w:spacing w:line="360" w:lineRule="auto"/>
              <w:ind w:left="0" w:right="0" w:rightChars="0"/>
              <w:jc w:val="left"/>
              <w:rPr>
                <w:rFonts w:hint="eastAsia" w:ascii="楷体" w:hAnsi="楷体" w:eastAsia="楷体" w:cs="楷体"/>
                <w:b w:val="0"/>
                <w:bCs/>
                <w:sz w:val="21"/>
                <w:szCs w:val="21"/>
                <w:highlight w:val="none"/>
                <w:lang w:val="en-US" w:eastAsia="zh-CN"/>
              </w:rPr>
            </w:pPr>
            <w:r>
              <w:rPr>
                <w:rFonts w:hint="eastAsia" w:ascii="楷体" w:hAnsi="楷体" w:eastAsia="楷体" w:cs="楷体"/>
                <w:b w:val="0"/>
                <w:bCs/>
                <w:sz w:val="21"/>
                <w:szCs w:val="21"/>
                <w:highlight w:val="none"/>
                <w:lang w:val="en-US" w:eastAsia="zh-CN"/>
              </w:rPr>
              <w:t>GB 44016—2024等现行有效的企业标准、团体标准、地方标准及产品明示质量要求</w:t>
            </w:r>
          </w:p>
        </w:tc>
        <w:tc>
          <w:tcPr>
            <w:tcW w:w="4451" w:type="dxa"/>
            <w:noWrap w:val="0"/>
            <w:vAlign w:val="top"/>
          </w:tcPr>
          <w:p w14:paraId="57721EE0">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left"/>
              <w:textAlignment w:val="auto"/>
              <w:rPr>
                <w:rFonts w:hint="eastAsia" w:ascii="楷体" w:hAnsi="楷体" w:eastAsia="楷体" w:cs="楷体"/>
                <w:bCs/>
                <w:color w:val="auto"/>
                <w:sz w:val="21"/>
                <w:szCs w:val="21"/>
                <w:highlight w:val="none"/>
                <w:lang w:val="en-US" w:eastAsia="zh-CN"/>
              </w:rPr>
            </w:pPr>
            <w:r>
              <w:rPr>
                <w:rFonts w:hint="eastAsia" w:ascii="楷体" w:hAnsi="楷体" w:eastAsia="楷体" w:cs="楷体"/>
                <w:bCs/>
                <w:sz w:val="21"/>
                <w:szCs w:val="21"/>
                <w:highlight w:val="none"/>
                <w:lang w:val="en-US" w:eastAsia="zh-CN"/>
              </w:rPr>
              <w:t>气密性</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sz w:val="21"/>
                <w:szCs w:val="21"/>
                <w:highlight w:val="none"/>
                <w:lang w:val="en-US" w:eastAsia="zh-CN"/>
              </w:rPr>
              <w:t>紧急切断性能</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sz w:val="21"/>
                <w:szCs w:val="21"/>
                <w:highlight w:val="none"/>
                <w:lang w:val="en-US" w:eastAsia="zh-CN"/>
              </w:rPr>
              <w:t>电气安全性</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sz w:val="21"/>
                <w:szCs w:val="21"/>
                <w:highlight w:val="none"/>
                <w:lang w:val="en-US" w:eastAsia="zh-CN"/>
              </w:rPr>
              <w:t>承压件强度</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u w:val="none"/>
                <w:lang w:val="en-US" w:eastAsia="zh-CN"/>
              </w:rPr>
              <w:t>元</w:t>
            </w:r>
            <w:r>
              <w:rPr>
                <w:rFonts w:hint="eastAsia" w:ascii="楷体" w:hAnsi="楷体" w:eastAsia="楷体" w:cs="楷体"/>
                <w:b w:val="0"/>
                <w:bCs/>
                <w:kern w:val="2"/>
                <w:sz w:val="21"/>
                <w:szCs w:val="21"/>
                <w:highlight w:val="none"/>
                <w:lang w:val="en-US" w:eastAsia="zh-CN" w:bidi="ar-SA"/>
              </w:rPr>
              <w:t>。</w:t>
            </w:r>
          </w:p>
        </w:tc>
        <w:tc>
          <w:tcPr>
            <w:tcW w:w="1672" w:type="dxa"/>
            <w:noWrap w:val="0"/>
            <w:vAlign w:val="center"/>
          </w:tcPr>
          <w:p w14:paraId="11AB9A7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right"/>
              <w:textAlignment w:val="auto"/>
              <w:rPr>
                <w:rFonts w:hint="eastAsia" w:ascii="楷体" w:hAnsi="楷体" w:eastAsia="楷体" w:cs="楷体"/>
                <w:b w:val="0"/>
                <w:bCs/>
                <w:sz w:val="21"/>
                <w:szCs w:val="21"/>
                <w:highlight w:val="none"/>
                <w:lang w:val="en-US" w:eastAsia="zh-CN"/>
              </w:rPr>
            </w:pPr>
            <w:r>
              <w:rPr>
                <w:rFonts w:hint="eastAsia" w:ascii="楷体" w:hAnsi="楷体" w:eastAsia="楷体" w:cs="楷体"/>
                <w:b w:val="0"/>
                <w:bCs/>
                <w:sz w:val="21"/>
                <w:szCs w:val="21"/>
                <w:highlight w:val="none"/>
                <w:lang w:val="en-US" w:eastAsia="zh-CN"/>
              </w:rPr>
              <w:t>元</w:t>
            </w:r>
          </w:p>
        </w:tc>
      </w:tr>
      <w:tr w14:paraId="03627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2" w:hRule="atLeast"/>
        </w:trPr>
        <w:tc>
          <w:tcPr>
            <w:tcW w:w="1204" w:type="dxa"/>
            <w:shd w:val="clear" w:color="auto" w:fill="auto"/>
            <w:noWrap w:val="0"/>
            <w:vAlign w:val="center"/>
          </w:tcPr>
          <w:p w14:paraId="0F755A05">
            <w:pPr>
              <w:pageBreakBefore w:val="0"/>
              <w:overflowPunct/>
              <w:topLinePunct w:val="0"/>
              <w:bidi w:val="0"/>
              <w:snapToGrid/>
              <w:spacing w:line="360" w:lineRule="auto"/>
              <w:ind w:left="0" w:right="0" w:rightChars="0"/>
              <w:jc w:val="center"/>
              <w:rPr>
                <w:rFonts w:hint="eastAsia" w:ascii="楷体" w:hAnsi="楷体" w:eastAsia="楷体" w:cs="楷体"/>
                <w:b w:val="0"/>
                <w:bCs/>
                <w:sz w:val="21"/>
                <w:szCs w:val="21"/>
                <w:highlight w:val="none"/>
                <w:lang w:val="en-US" w:eastAsia="zh-CN"/>
              </w:rPr>
            </w:pPr>
            <w:r>
              <w:rPr>
                <w:rFonts w:hint="eastAsia" w:ascii="楷体" w:hAnsi="楷体" w:eastAsia="楷体" w:cs="楷体"/>
                <w:b w:val="0"/>
                <w:bCs/>
                <w:sz w:val="21"/>
                <w:szCs w:val="21"/>
                <w:highlight w:val="none"/>
                <w:lang w:val="en-US" w:eastAsia="zh-CN"/>
              </w:rPr>
              <w:t>管道燃气自闭阀</w:t>
            </w:r>
          </w:p>
        </w:tc>
        <w:tc>
          <w:tcPr>
            <w:tcW w:w="2431" w:type="dxa"/>
            <w:shd w:val="clear" w:color="auto" w:fill="auto"/>
            <w:noWrap w:val="0"/>
            <w:vAlign w:val="center"/>
          </w:tcPr>
          <w:p w14:paraId="069F9A8F">
            <w:pPr>
              <w:pageBreakBefore w:val="0"/>
              <w:overflowPunct/>
              <w:topLinePunct w:val="0"/>
              <w:bidi w:val="0"/>
              <w:snapToGrid/>
              <w:spacing w:line="360" w:lineRule="auto"/>
              <w:ind w:left="0" w:right="0" w:rightChars="0"/>
              <w:jc w:val="center"/>
              <w:rPr>
                <w:rFonts w:hint="eastAsia" w:ascii="楷体" w:hAnsi="楷体" w:eastAsia="楷体" w:cs="楷体"/>
                <w:b w:val="0"/>
                <w:bCs/>
                <w:sz w:val="21"/>
                <w:szCs w:val="21"/>
                <w:highlight w:val="none"/>
                <w:lang w:val="en-US" w:eastAsia="zh-CN"/>
              </w:rPr>
            </w:pPr>
            <w:r>
              <w:rPr>
                <w:rFonts w:hint="eastAsia" w:ascii="楷体" w:hAnsi="楷体" w:eastAsia="楷体" w:cs="楷体"/>
                <w:b w:val="0"/>
                <w:bCs/>
                <w:sz w:val="21"/>
                <w:szCs w:val="21"/>
                <w:highlight w:val="none"/>
                <w:lang w:val="en-US" w:eastAsia="zh-CN"/>
              </w:rPr>
              <w:t>CJ/T 447-2014等现行有效的企业标准、团体标准、地方标准及产品明示质量要求</w:t>
            </w:r>
          </w:p>
        </w:tc>
        <w:tc>
          <w:tcPr>
            <w:tcW w:w="4451" w:type="dxa"/>
            <w:noWrap w:val="0"/>
            <w:vAlign w:val="top"/>
          </w:tcPr>
          <w:p w14:paraId="7775330A">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left"/>
              <w:textAlignment w:val="auto"/>
              <w:rPr>
                <w:rFonts w:hint="eastAsia" w:ascii="楷体" w:hAnsi="楷体" w:eastAsia="楷体" w:cs="楷体"/>
                <w:bCs/>
                <w:color w:val="auto"/>
                <w:sz w:val="21"/>
                <w:szCs w:val="21"/>
                <w:highlight w:val="none"/>
                <w:lang w:val="en-US" w:eastAsia="zh-CN"/>
              </w:rPr>
            </w:pPr>
            <w:r>
              <w:rPr>
                <w:rFonts w:hint="eastAsia" w:ascii="楷体" w:hAnsi="楷体" w:eastAsia="楷体" w:cs="楷体"/>
                <w:bCs/>
                <w:sz w:val="21"/>
                <w:szCs w:val="21"/>
                <w:highlight w:val="none"/>
                <w:lang w:val="en-US" w:eastAsia="zh-CN"/>
              </w:rPr>
              <w:t>气密性</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元；自动关闭性能</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u w:val="none"/>
                <w:lang w:val="en-US" w:eastAsia="zh-CN"/>
              </w:rPr>
              <w:t>元</w:t>
            </w:r>
            <w:r>
              <w:rPr>
                <w:rFonts w:hint="eastAsia" w:ascii="楷体" w:hAnsi="楷体" w:eastAsia="楷体" w:cs="楷体"/>
                <w:b w:val="0"/>
                <w:bCs/>
                <w:kern w:val="2"/>
                <w:sz w:val="21"/>
                <w:szCs w:val="21"/>
                <w:highlight w:val="none"/>
                <w:lang w:val="en-US" w:eastAsia="zh-CN" w:bidi="ar-SA"/>
              </w:rPr>
              <w:t>。</w:t>
            </w:r>
          </w:p>
        </w:tc>
        <w:tc>
          <w:tcPr>
            <w:tcW w:w="1672" w:type="dxa"/>
            <w:noWrap w:val="0"/>
            <w:vAlign w:val="center"/>
          </w:tcPr>
          <w:p w14:paraId="52CB94A0">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right"/>
              <w:textAlignment w:val="auto"/>
              <w:rPr>
                <w:rFonts w:hint="eastAsia" w:ascii="楷体" w:hAnsi="楷体" w:eastAsia="楷体" w:cs="楷体"/>
                <w:b w:val="0"/>
                <w:bCs/>
                <w:sz w:val="21"/>
                <w:szCs w:val="21"/>
                <w:highlight w:val="none"/>
                <w:lang w:val="en-US" w:eastAsia="zh-CN"/>
              </w:rPr>
            </w:pPr>
            <w:r>
              <w:rPr>
                <w:rFonts w:hint="eastAsia" w:ascii="楷体" w:hAnsi="楷体" w:eastAsia="楷体" w:cs="楷体"/>
                <w:b w:val="0"/>
                <w:bCs/>
                <w:sz w:val="21"/>
                <w:szCs w:val="21"/>
                <w:highlight w:val="none"/>
                <w:lang w:val="en-US" w:eastAsia="zh-CN"/>
              </w:rPr>
              <w:t>元</w:t>
            </w:r>
          </w:p>
        </w:tc>
      </w:tr>
      <w:tr w14:paraId="1F6C6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2" w:hRule="atLeast"/>
        </w:trPr>
        <w:tc>
          <w:tcPr>
            <w:tcW w:w="1204" w:type="dxa"/>
            <w:shd w:val="clear" w:color="auto" w:fill="auto"/>
            <w:noWrap w:val="0"/>
            <w:vAlign w:val="center"/>
          </w:tcPr>
          <w:p w14:paraId="16530C42">
            <w:pPr>
              <w:pageBreakBefore w:val="0"/>
              <w:overflowPunct/>
              <w:topLinePunct w:val="0"/>
              <w:bidi w:val="0"/>
              <w:snapToGrid/>
              <w:spacing w:line="360" w:lineRule="auto"/>
              <w:ind w:left="0" w:right="0" w:rightChars="0"/>
              <w:jc w:val="center"/>
              <w:rPr>
                <w:rFonts w:hint="eastAsia" w:ascii="楷体" w:hAnsi="楷体" w:eastAsia="楷体" w:cs="楷体"/>
                <w:bCs/>
                <w:color w:val="auto"/>
                <w:kern w:val="2"/>
                <w:sz w:val="21"/>
                <w:szCs w:val="21"/>
                <w:highlight w:val="none"/>
                <w:lang w:val="en-US" w:eastAsia="zh-CN" w:bidi="ar-SA"/>
              </w:rPr>
            </w:pPr>
            <w:r>
              <w:rPr>
                <w:rFonts w:hint="eastAsia" w:ascii="楷体" w:hAnsi="楷体" w:eastAsia="楷体" w:cs="楷体"/>
                <w:b w:val="0"/>
                <w:bCs/>
                <w:sz w:val="21"/>
                <w:szCs w:val="21"/>
                <w:highlight w:val="none"/>
                <w:lang w:val="en-US" w:eastAsia="zh-CN"/>
              </w:rPr>
              <w:t>燃气用具连接用软管</w:t>
            </w:r>
          </w:p>
        </w:tc>
        <w:tc>
          <w:tcPr>
            <w:tcW w:w="2431" w:type="dxa"/>
            <w:shd w:val="clear" w:color="auto" w:fill="auto"/>
            <w:noWrap w:val="0"/>
            <w:vAlign w:val="center"/>
          </w:tcPr>
          <w:p w14:paraId="2717371C">
            <w:pPr>
              <w:pageBreakBefore w:val="0"/>
              <w:overflowPunct/>
              <w:topLinePunct w:val="0"/>
              <w:bidi w:val="0"/>
              <w:snapToGrid/>
              <w:spacing w:line="360" w:lineRule="auto"/>
              <w:ind w:left="0" w:leftChars="0" w:right="0" w:rightChars="0"/>
              <w:jc w:val="left"/>
              <w:rPr>
                <w:rFonts w:hint="eastAsia" w:ascii="楷体" w:hAnsi="楷体" w:eastAsia="楷体" w:cs="楷体"/>
                <w:bCs/>
                <w:color w:val="auto"/>
                <w:kern w:val="2"/>
                <w:sz w:val="21"/>
                <w:szCs w:val="21"/>
                <w:highlight w:val="none"/>
                <w:lang w:val="en-US" w:eastAsia="zh-CN" w:bidi="ar-SA"/>
              </w:rPr>
            </w:pPr>
            <w:r>
              <w:rPr>
                <w:rFonts w:hint="eastAsia" w:ascii="楷体" w:hAnsi="楷体" w:eastAsia="楷体" w:cs="楷体"/>
                <w:bCs/>
                <w:sz w:val="21"/>
                <w:szCs w:val="21"/>
                <w:highlight w:val="none"/>
                <w:lang w:val="en-US" w:eastAsia="zh-CN"/>
              </w:rPr>
              <w:t>GB 41317-2024、GB 44017-2024、GB 44023-2024</w:t>
            </w:r>
            <w:r>
              <w:rPr>
                <w:rFonts w:hint="eastAsia" w:ascii="楷体" w:hAnsi="楷体" w:eastAsia="楷体" w:cs="楷体"/>
                <w:color w:val="auto"/>
                <w:sz w:val="21"/>
                <w:szCs w:val="21"/>
                <w:highlight w:val="none"/>
                <w:lang w:eastAsia="zh-CN"/>
              </w:rPr>
              <w:t>等</w:t>
            </w:r>
            <w:r>
              <w:rPr>
                <w:rFonts w:hint="eastAsia" w:ascii="楷体" w:hAnsi="楷体" w:eastAsia="楷体" w:cs="楷体"/>
                <w:color w:val="auto"/>
                <w:sz w:val="21"/>
                <w:szCs w:val="21"/>
                <w:highlight w:val="none"/>
              </w:rPr>
              <w:t>现行有效的企业标准、团体标准、地方标准及产品明示质量要求</w:t>
            </w:r>
          </w:p>
        </w:tc>
        <w:tc>
          <w:tcPr>
            <w:tcW w:w="4451" w:type="dxa"/>
            <w:noWrap w:val="0"/>
            <w:vAlign w:val="top"/>
          </w:tcPr>
          <w:p w14:paraId="709F27E2">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left"/>
              <w:textAlignment w:val="auto"/>
              <w:rPr>
                <w:rFonts w:hint="eastAsia" w:ascii="楷体" w:hAnsi="楷体" w:eastAsia="楷体" w:cs="楷体"/>
                <w:bCs/>
                <w:sz w:val="21"/>
                <w:szCs w:val="21"/>
                <w:highlight w:val="none"/>
                <w:lang w:val="en-US" w:eastAsia="zh-CN"/>
              </w:rPr>
            </w:pPr>
            <w:r>
              <w:rPr>
                <w:rFonts w:hint="eastAsia" w:ascii="楷体" w:hAnsi="楷体" w:eastAsia="楷体" w:cs="楷体"/>
                <w:bCs/>
                <w:sz w:val="21"/>
                <w:szCs w:val="21"/>
                <w:highlight w:val="none"/>
                <w:lang w:val="en-US" w:eastAsia="zh-CN"/>
              </w:rPr>
              <w:t>燃气用具连接用不锈钢波纹软管：</w:t>
            </w:r>
          </w:p>
          <w:p w14:paraId="3A94FAA4">
            <w:pPr>
              <w:keepNext w:val="0"/>
              <w:keepLines w:val="0"/>
              <w:pageBreakBefore w:val="0"/>
              <w:widowControl w:val="0"/>
              <w:kinsoku/>
              <w:wordWrap/>
              <w:overflowPunct/>
              <w:topLinePunct w:val="0"/>
              <w:autoSpaceDE/>
              <w:autoSpaceDN/>
              <w:bidi w:val="0"/>
              <w:adjustRightInd/>
              <w:snapToGrid/>
              <w:spacing w:line="360" w:lineRule="auto"/>
              <w:ind w:left="0" w:right="0" w:rightChars="0"/>
              <w:jc w:val="left"/>
              <w:textAlignment w:val="auto"/>
              <w:rPr>
                <w:rFonts w:hint="eastAsia" w:ascii="楷体" w:hAnsi="楷体" w:eastAsia="楷体" w:cs="楷体"/>
                <w:b w:val="0"/>
                <w:bCs/>
                <w:kern w:val="2"/>
                <w:sz w:val="21"/>
                <w:szCs w:val="21"/>
                <w:highlight w:val="none"/>
                <w:lang w:val="en-US" w:eastAsia="zh-CN" w:bidi="ar-SA"/>
              </w:rPr>
            </w:pPr>
            <w:r>
              <w:rPr>
                <w:rFonts w:hint="eastAsia" w:ascii="楷体" w:hAnsi="楷体" w:eastAsia="楷体" w:cs="楷体"/>
                <w:bCs/>
                <w:sz w:val="21"/>
                <w:szCs w:val="21"/>
                <w:highlight w:val="none"/>
                <w:lang w:val="en-US" w:eastAsia="zh-CN"/>
              </w:rPr>
              <w:t>气密性</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sz w:val="21"/>
                <w:szCs w:val="21"/>
                <w:highlight w:val="none"/>
                <w:lang w:val="en-US" w:eastAsia="zh-CN"/>
              </w:rPr>
              <w:t>耐压性</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u w:val="none"/>
                <w:lang w:val="en-US" w:eastAsia="zh-CN"/>
              </w:rPr>
              <w:t>元；</w:t>
            </w:r>
            <w:r>
              <w:rPr>
                <w:rFonts w:hint="eastAsia" w:ascii="楷体" w:hAnsi="楷体" w:eastAsia="楷体" w:cs="楷体"/>
                <w:bCs/>
                <w:sz w:val="21"/>
                <w:szCs w:val="21"/>
                <w:highlight w:val="none"/>
                <w:lang w:val="en-US" w:eastAsia="zh-CN"/>
              </w:rPr>
              <w:t>弯曲性</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sz w:val="21"/>
                <w:szCs w:val="21"/>
                <w:highlight w:val="none"/>
                <w:lang w:val="en-US" w:eastAsia="zh-CN"/>
              </w:rPr>
              <w:t>耐安装强度</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u w:val="none"/>
                <w:lang w:val="en-US" w:eastAsia="zh-CN"/>
              </w:rPr>
              <w:t>元</w:t>
            </w:r>
            <w:r>
              <w:rPr>
                <w:rFonts w:hint="eastAsia" w:ascii="楷体" w:hAnsi="楷体" w:eastAsia="楷体" w:cs="楷体"/>
                <w:b w:val="0"/>
                <w:bCs/>
                <w:kern w:val="2"/>
                <w:sz w:val="21"/>
                <w:szCs w:val="21"/>
                <w:highlight w:val="none"/>
                <w:lang w:val="en-US" w:eastAsia="zh-CN" w:bidi="ar-SA"/>
              </w:rPr>
              <w:t>。</w:t>
            </w:r>
          </w:p>
          <w:p w14:paraId="3AB76E84">
            <w:pPr>
              <w:keepNext w:val="0"/>
              <w:keepLines w:val="0"/>
              <w:pageBreakBefore w:val="0"/>
              <w:widowControl w:val="0"/>
              <w:kinsoku/>
              <w:wordWrap/>
              <w:overflowPunct/>
              <w:topLinePunct w:val="0"/>
              <w:autoSpaceDE/>
              <w:autoSpaceDN/>
              <w:bidi w:val="0"/>
              <w:adjustRightInd/>
              <w:snapToGrid/>
              <w:spacing w:line="360" w:lineRule="auto"/>
              <w:ind w:left="0" w:right="0" w:rightChars="0"/>
              <w:jc w:val="left"/>
              <w:textAlignment w:val="auto"/>
              <w:rPr>
                <w:rFonts w:hint="eastAsia" w:ascii="楷体" w:hAnsi="楷体" w:eastAsia="楷体" w:cs="楷体"/>
                <w:bCs/>
                <w:sz w:val="21"/>
                <w:szCs w:val="21"/>
                <w:highlight w:val="none"/>
                <w:lang w:val="en-US" w:eastAsia="zh-CN" w:bidi="ar-SA"/>
              </w:rPr>
            </w:pPr>
            <w:r>
              <w:rPr>
                <w:rFonts w:hint="eastAsia" w:ascii="楷体" w:hAnsi="楷体" w:eastAsia="楷体" w:cs="楷体"/>
                <w:bCs/>
                <w:sz w:val="21"/>
                <w:szCs w:val="21"/>
                <w:highlight w:val="none"/>
                <w:lang w:val="en-US" w:eastAsia="zh-CN" w:bidi="ar-SA"/>
              </w:rPr>
              <w:t>燃气用具连接用金属包覆软管：</w:t>
            </w:r>
          </w:p>
          <w:p w14:paraId="1811DE56">
            <w:pPr>
              <w:keepNext w:val="0"/>
              <w:keepLines w:val="0"/>
              <w:pageBreakBefore w:val="0"/>
              <w:widowControl w:val="0"/>
              <w:kinsoku/>
              <w:wordWrap/>
              <w:overflowPunct/>
              <w:topLinePunct w:val="0"/>
              <w:autoSpaceDE/>
              <w:autoSpaceDN/>
              <w:bidi w:val="0"/>
              <w:adjustRightInd/>
              <w:snapToGrid/>
              <w:spacing w:line="360" w:lineRule="auto"/>
              <w:ind w:left="0" w:right="0" w:rightChars="0"/>
              <w:jc w:val="left"/>
              <w:textAlignment w:val="auto"/>
              <w:rPr>
                <w:rFonts w:hint="eastAsia" w:ascii="楷体" w:hAnsi="楷体" w:eastAsia="楷体" w:cs="楷体"/>
                <w:b w:val="0"/>
                <w:bCs/>
                <w:kern w:val="2"/>
                <w:sz w:val="21"/>
                <w:szCs w:val="21"/>
                <w:highlight w:val="none"/>
                <w:lang w:val="en-US" w:eastAsia="zh-CN" w:bidi="ar-SA"/>
              </w:rPr>
            </w:pPr>
            <w:r>
              <w:rPr>
                <w:rFonts w:hint="eastAsia" w:ascii="楷体" w:hAnsi="楷体" w:eastAsia="楷体" w:cs="楷体"/>
                <w:bCs/>
                <w:sz w:val="21"/>
                <w:szCs w:val="21"/>
                <w:highlight w:val="none"/>
                <w:lang w:val="en-US" w:eastAsia="zh-CN"/>
              </w:rPr>
              <w:t>气密性</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sz w:val="21"/>
                <w:szCs w:val="21"/>
                <w:highlight w:val="none"/>
                <w:lang w:val="en-US" w:eastAsia="zh-CN" w:bidi="ar-SA"/>
              </w:rPr>
              <w:t>内层胶管（拉伸强度、拉断伸长率）</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u w:val="none"/>
                <w:lang w:val="en-US" w:eastAsia="zh-CN"/>
              </w:rPr>
              <w:t>元；</w:t>
            </w:r>
            <w:r>
              <w:rPr>
                <w:rFonts w:hint="eastAsia" w:ascii="楷体" w:hAnsi="楷体" w:eastAsia="楷体" w:cs="楷体"/>
                <w:bCs/>
                <w:sz w:val="21"/>
                <w:szCs w:val="21"/>
                <w:highlight w:val="none"/>
                <w:lang w:val="en-US" w:eastAsia="zh-CN" w:bidi="ar-SA"/>
              </w:rPr>
              <w:t>耐压性</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sz w:val="21"/>
                <w:szCs w:val="21"/>
                <w:highlight w:val="none"/>
                <w:lang w:val="en-US" w:eastAsia="zh-CN"/>
              </w:rPr>
              <w:t>耐安装强度</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u w:val="none"/>
                <w:lang w:val="en-US" w:eastAsia="zh-CN"/>
              </w:rPr>
              <w:t>元</w:t>
            </w:r>
            <w:r>
              <w:rPr>
                <w:rFonts w:hint="eastAsia" w:ascii="楷体" w:hAnsi="楷体" w:eastAsia="楷体" w:cs="楷体"/>
                <w:b w:val="0"/>
                <w:bCs/>
                <w:kern w:val="2"/>
                <w:sz w:val="21"/>
                <w:szCs w:val="21"/>
                <w:highlight w:val="none"/>
                <w:lang w:val="en-US" w:eastAsia="zh-CN" w:bidi="ar-SA"/>
              </w:rPr>
              <w:t>。</w:t>
            </w:r>
          </w:p>
          <w:p w14:paraId="2D8B6102">
            <w:pPr>
              <w:keepNext w:val="0"/>
              <w:keepLines w:val="0"/>
              <w:pageBreakBefore w:val="0"/>
              <w:widowControl w:val="0"/>
              <w:kinsoku/>
              <w:wordWrap/>
              <w:overflowPunct/>
              <w:topLinePunct w:val="0"/>
              <w:autoSpaceDE/>
              <w:autoSpaceDN/>
              <w:bidi w:val="0"/>
              <w:adjustRightInd/>
              <w:snapToGrid/>
              <w:spacing w:line="360" w:lineRule="auto"/>
              <w:ind w:left="0" w:right="0" w:rightChars="0"/>
              <w:jc w:val="left"/>
              <w:textAlignment w:val="auto"/>
              <w:rPr>
                <w:rFonts w:hint="eastAsia" w:ascii="楷体" w:hAnsi="楷体" w:eastAsia="楷体" w:cs="楷体"/>
                <w:bCs/>
                <w:sz w:val="21"/>
                <w:szCs w:val="21"/>
                <w:highlight w:val="none"/>
                <w:lang w:val="en-US" w:eastAsia="zh-CN" w:bidi="ar-SA"/>
              </w:rPr>
            </w:pPr>
          </w:p>
        </w:tc>
        <w:tc>
          <w:tcPr>
            <w:tcW w:w="1672" w:type="dxa"/>
            <w:noWrap w:val="0"/>
            <w:vAlign w:val="center"/>
          </w:tcPr>
          <w:p w14:paraId="522B3C1D">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right"/>
              <w:textAlignment w:val="auto"/>
              <w:rPr>
                <w:rFonts w:hint="eastAsia" w:ascii="楷体" w:hAnsi="楷体" w:eastAsia="楷体" w:cs="楷体"/>
                <w:b w:val="0"/>
                <w:bCs/>
                <w:sz w:val="21"/>
                <w:szCs w:val="21"/>
                <w:highlight w:val="none"/>
                <w:lang w:val="en-US" w:eastAsia="zh-CN"/>
              </w:rPr>
            </w:pPr>
            <w:r>
              <w:rPr>
                <w:rFonts w:hint="eastAsia" w:ascii="楷体" w:hAnsi="楷体" w:eastAsia="楷体" w:cs="楷体"/>
                <w:b w:val="0"/>
                <w:bCs/>
                <w:sz w:val="21"/>
                <w:szCs w:val="21"/>
                <w:highlight w:val="none"/>
                <w:lang w:val="en-US" w:eastAsia="zh-CN"/>
              </w:rPr>
              <w:t>元</w:t>
            </w:r>
          </w:p>
        </w:tc>
      </w:tr>
      <w:tr w14:paraId="76BAD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2" w:hRule="atLeast"/>
        </w:trPr>
        <w:tc>
          <w:tcPr>
            <w:tcW w:w="1204" w:type="dxa"/>
            <w:shd w:val="clear" w:color="auto" w:fill="auto"/>
            <w:noWrap w:val="0"/>
            <w:vAlign w:val="center"/>
          </w:tcPr>
          <w:p w14:paraId="3446F936">
            <w:pPr>
              <w:pageBreakBefore w:val="0"/>
              <w:overflowPunct/>
              <w:topLinePunct w:val="0"/>
              <w:bidi w:val="0"/>
              <w:snapToGrid/>
              <w:spacing w:line="360" w:lineRule="auto"/>
              <w:ind w:left="0" w:right="0" w:rightChars="0"/>
              <w:jc w:val="center"/>
              <w:rPr>
                <w:rFonts w:hint="eastAsia" w:ascii="楷体" w:hAnsi="楷体" w:eastAsia="楷体" w:cs="楷体"/>
                <w:b w:val="0"/>
                <w:bCs/>
                <w:sz w:val="21"/>
                <w:szCs w:val="21"/>
                <w:highlight w:val="none"/>
                <w:lang w:val="en-US" w:eastAsia="zh-CN"/>
              </w:rPr>
            </w:pPr>
            <w:r>
              <w:rPr>
                <w:rFonts w:hint="eastAsia" w:ascii="楷体" w:hAnsi="楷体" w:eastAsia="楷体" w:cs="楷体"/>
                <w:b w:val="0"/>
                <w:bCs/>
                <w:sz w:val="21"/>
                <w:szCs w:val="21"/>
                <w:highlight w:val="none"/>
                <w:lang w:val="en-US" w:eastAsia="zh-CN"/>
              </w:rPr>
              <w:t>户外燃气燃烧器具</w:t>
            </w:r>
          </w:p>
        </w:tc>
        <w:tc>
          <w:tcPr>
            <w:tcW w:w="2431" w:type="dxa"/>
            <w:shd w:val="clear" w:color="auto" w:fill="auto"/>
            <w:noWrap w:val="0"/>
            <w:vAlign w:val="center"/>
          </w:tcPr>
          <w:p w14:paraId="0A7EEF68">
            <w:pPr>
              <w:pageBreakBefore w:val="0"/>
              <w:overflowPunct/>
              <w:topLinePunct w:val="0"/>
              <w:bidi w:val="0"/>
              <w:snapToGrid/>
              <w:spacing w:line="360" w:lineRule="auto"/>
              <w:ind w:left="0" w:right="0" w:rightChars="0"/>
              <w:jc w:val="center"/>
              <w:rPr>
                <w:rFonts w:hint="eastAsia" w:ascii="楷体" w:hAnsi="楷体" w:eastAsia="楷体" w:cs="楷体"/>
                <w:b w:val="0"/>
                <w:bCs/>
                <w:sz w:val="21"/>
                <w:szCs w:val="21"/>
                <w:highlight w:val="none"/>
                <w:lang w:val="en-US" w:eastAsia="zh-CN"/>
              </w:rPr>
            </w:pPr>
            <w:r>
              <w:rPr>
                <w:rFonts w:hint="eastAsia" w:ascii="楷体" w:hAnsi="楷体" w:eastAsia="楷体" w:cs="楷体"/>
                <w:b w:val="0"/>
                <w:bCs/>
                <w:sz w:val="21"/>
                <w:szCs w:val="21"/>
                <w:highlight w:val="none"/>
                <w:lang w:val="en-US" w:eastAsia="zh-CN"/>
              </w:rPr>
              <w:t>GB/T 38522-2020等现行有效的企业标准、团体标准、地方标准及产品明示质量要求</w:t>
            </w:r>
          </w:p>
        </w:tc>
        <w:tc>
          <w:tcPr>
            <w:tcW w:w="4451" w:type="dxa"/>
            <w:noWrap w:val="0"/>
            <w:vAlign w:val="top"/>
          </w:tcPr>
          <w:p w14:paraId="07B6FD86">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left"/>
              <w:textAlignment w:val="auto"/>
              <w:rPr>
                <w:rFonts w:hint="eastAsia" w:ascii="楷体" w:hAnsi="楷体" w:eastAsia="楷体" w:cs="楷体"/>
                <w:bCs/>
                <w:color w:val="auto"/>
                <w:sz w:val="21"/>
                <w:szCs w:val="21"/>
                <w:highlight w:val="none"/>
                <w:lang w:val="en-US" w:eastAsia="zh-CN"/>
              </w:rPr>
            </w:pPr>
            <w:r>
              <w:rPr>
                <w:rFonts w:hint="eastAsia" w:ascii="楷体" w:hAnsi="楷体" w:eastAsia="楷体" w:cs="楷体"/>
                <w:bCs/>
                <w:sz w:val="21"/>
                <w:szCs w:val="21"/>
                <w:highlight w:val="none"/>
                <w:lang w:val="en-US" w:eastAsia="zh-CN" w:bidi="ar-SA"/>
              </w:rPr>
              <w:t>燃烧工况（火焰传递、火焰状态、运行噪声、熄火噪声）</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sz w:val="21"/>
                <w:szCs w:val="21"/>
                <w:highlight w:val="none"/>
                <w:lang w:val="en-US" w:eastAsia="zh-CN" w:bidi="ar-SA"/>
              </w:rPr>
              <w:t>点火器性能</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sz w:val="21"/>
                <w:szCs w:val="21"/>
                <w:highlight w:val="none"/>
                <w:lang w:val="en-US" w:eastAsia="zh-CN" w:bidi="ar-SA"/>
              </w:rPr>
              <w:t>表面温升</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sz w:val="21"/>
                <w:szCs w:val="21"/>
                <w:highlight w:val="none"/>
                <w:lang w:val="en-US" w:eastAsia="zh-CN"/>
              </w:rPr>
              <w:t>、</w:t>
            </w:r>
            <w:r>
              <w:rPr>
                <w:rFonts w:hint="eastAsia" w:ascii="楷体" w:hAnsi="楷体" w:eastAsia="楷体" w:cs="楷体"/>
                <w:bCs/>
                <w:sz w:val="21"/>
                <w:szCs w:val="21"/>
                <w:highlight w:val="none"/>
                <w:lang w:val="en-US" w:eastAsia="zh-CN" w:bidi="ar-SA"/>
              </w:rPr>
              <w:t>燃具稳定性</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sz w:val="21"/>
                <w:szCs w:val="21"/>
                <w:highlight w:val="none"/>
                <w:lang w:val="en-US" w:eastAsia="zh-CN"/>
              </w:rPr>
              <w:t>、</w:t>
            </w:r>
            <w:r>
              <w:rPr>
                <w:rFonts w:hint="eastAsia" w:ascii="楷体" w:hAnsi="楷体" w:eastAsia="楷体" w:cs="楷体"/>
                <w:bCs/>
                <w:sz w:val="21"/>
                <w:szCs w:val="21"/>
                <w:highlight w:val="none"/>
                <w:lang w:val="en-US" w:eastAsia="zh-CN" w:bidi="ar-SA"/>
              </w:rPr>
              <w:t>小气瓶燃具的特殊要求（气密性、燃气通路的耐压、过压切断装置）</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 w:val="0"/>
                <w:bCs/>
                <w:kern w:val="2"/>
                <w:sz w:val="21"/>
                <w:szCs w:val="21"/>
                <w:highlight w:val="none"/>
                <w:lang w:val="en-US" w:eastAsia="zh-CN" w:bidi="ar-SA"/>
              </w:rPr>
              <w:t>。</w:t>
            </w:r>
          </w:p>
        </w:tc>
        <w:tc>
          <w:tcPr>
            <w:tcW w:w="1672" w:type="dxa"/>
            <w:noWrap w:val="0"/>
            <w:vAlign w:val="center"/>
          </w:tcPr>
          <w:p w14:paraId="0E321CE3">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right"/>
              <w:textAlignment w:val="auto"/>
              <w:rPr>
                <w:rFonts w:hint="eastAsia" w:ascii="楷体" w:hAnsi="楷体" w:eastAsia="楷体" w:cs="楷体"/>
                <w:b w:val="0"/>
                <w:bCs/>
                <w:sz w:val="21"/>
                <w:szCs w:val="21"/>
                <w:highlight w:val="none"/>
                <w:lang w:val="en-US" w:eastAsia="zh-CN"/>
              </w:rPr>
            </w:pPr>
            <w:r>
              <w:rPr>
                <w:rFonts w:hint="eastAsia" w:ascii="楷体" w:hAnsi="楷体" w:eastAsia="楷体" w:cs="楷体"/>
                <w:b w:val="0"/>
                <w:bCs/>
                <w:sz w:val="21"/>
                <w:szCs w:val="21"/>
                <w:highlight w:val="none"/>
                <w:lang w:val="en-US" w:eastAsia="zh-CN"/>
              </w:rPr>
              <w:t>元</w:t>
            </w:r>
          </w:p>
        </w:tc>
      </w:tr>
      <w:tr w14:paraId="22885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5" w:hRule="atLeast"/>
        </w:trPr>
        <w:tc>
          <w:tcPr>
            <w:tcW w:w="9758" w:type="dxa"/>
            <w:gridSpan w:val="4"/>
            <w:noWrap w:val="0"/>
            <w:vAlign w:val="center"/>
          </w:tcPr>
          <w:p w14:paraId="7898612B">
            <w:pPr>
              <w:keepNext w:val="0"/>
              <w:keepLines w:val="0"/>
              <w:pageBreakBefore w:val="0"/>
              <w:widowControl w:val="0"/>
              <w:kinsoku/>
              <w:wordWrap/>
              <w:overflowPunct/>
              <w:topLinePunct w:val="0"/>
              <w:autoSpaceDE/>
              <w:autoSpaceDN/>
              <w:bidi w:val="0"/>
              <w:adjustRightInd/>
              <w:snapToGrid/>
              <w:spacing w:line="360" w:lineRule="auto"/>
              <w:ind w:left="0" w:right="0" w:rightChars="0"/>
              <w:jc w:val="left"/>
              <w:textAlignment w:val="auto"/>
              <w:rPr>
                <w:rFonts w:hint="eastAsia" w:ascii="楷体" w:hAnsi="楷体" w:eastAsia="楷体" w:cs="楷体"/>
                <w:b w:val="0"/>
                <w:bCs/>
                <w:color w:val="auto"/>
                <w:sz w:val="21"/>
                <w:szCs w:val="21"/>
                <w:highlight w:val="none"/>
                <w:lang w:val="en-US" w:eastAsia="zh-CN"/>
              </w:rPr>
            </w:pPr>
            <w:r>
              <w:rPr>
                <w:rFonts w:hint="eastAsia" w:ascii="楷体" w:hAnsi="楷体" w:eastAsia="楷体" w:cs="楷体"/>
                <w:b w:val="0"/>
                <w:bCs/>
                <w:color w:val="auto"/>
                <w:sz w:val="21"/>
                <w:szCs w:val="21"/>
                <w:highlight w:val="none"/>
                <w:lang w:val="en-US" w:eastAsia="zh-CN"/>
              </w:rPr>
              <w:t>总报价（各产品单批次检测费用总和）：大写</w:t>
            </w:r>
            <w:r>
              <w:rPr>
                <w:rFonts w:hint="eastAsia" w:ascii="楷体" w:hAnsi="楷体" w:eastAsia="楷体" w:cs="楷体"/>
                <w:b w:val="0"/>
                <w:bCs/>
                <w:color w:val="auto"/>
                <w:sz w:val="21"/>
                <w:szCs w:val="21"/>
                <w:highlight w:val="none"/>
                <w:u w:val="single"/>
                <w:lang w:val="en-US" w:eastAsia="zh-CN"/>
              </w:rPr>
              <w:t xml:space="preserve">            </w:t>
            </w:r>
            <w:r>
              <w:rPr>
                <w:rFonts w:hint="eastAsia" w:ascii="楷体" w:hAnsi="楷体" w:eastAsia="楷体" w:cs="楷体"/>
                <w:b w:val="0"/>
                <w:bCs/>
                <w:color w:val="auto"/>
                <w:sz w:val="21"/>
                <w:szCs w:val="21"/>
                <w:highlight w:val="none"/>
                <w:lang w:val="en-US" w:eastAsia="zh-CN"/>
              </w:rPr>
              <w:t>（¥：</w:t>
            </w:r>
            <w:r>
              <w:rPr>
                <w:rFonts w:hint="eastAsia" w:ascii="楷体" w:hAnsi="楷体" w:eastAsia="楷体" w:cs="楷体"/>
                <w:b w:val="0"/>
                <w:bCs/>
                <w:color w:val="auto"/>
                <w:sz w:val="21"/>
                <w:szCs w:val="21"/>
                <w:highlight w:val="none"/>
                <w:u w:val="single"/>
                <w:lang w:val="en-US" w:eastAsia="zh-CN"/>
              </w:rPr>
              <w:t xml:space="preserve">       </w:t>
            </w:r>
            <w:r>
              <w:rPr>
                <w:rFonts w:hint="eastAsia" w:ascii="楷体" w:hAnsi="楷体" w:eastAsia="楷体" w:cs="楷体"/>
                <w:b w:val="0"/>
                <w:bCs/>
                <w:color w:val="auto"/>
                <w:sz w:val="21"/>
                <w:szCs w:val="21"/>
                <w:highlight w:val="none"/>
                <w:lang w:val="en-US" w:eastAsia="zh-CN"/>
              </w:rPr>
              <w:t>）</w:t>
            </w:r>
          </w:p>
          <w:p w14:paraId="63C00004">
            <w:pPr>
              <w:pStyle w:val="29"/>
              <w:jc w:val="both"/>
              <w:rPr>
                <w:rFonts w:hint="eastAsia" w:ascii="楷体" w:hAnsi="楷体" w:eastAsia="楷体" w:cs="楷体"/>
                <w:b w:val="0"/>
                <w:bCs/>
                <w:color w:val="auto"/>
                <w:sz w:val="21"/>
                <w:szCs w:val="21"/>
                <w:highlight w:val="none"/>
                <w:lang w:val="en-US" w:eastAsia="zh-CN"/>
              </w:rPr>
            </w:pPr>
          </w:p>
          <w:p w14:paraId="602A939E">
            <w:pPr>
              <w:pStyle w:val="29"/>
              <w:spacing w:line="360" w:lineRule="auto"/>
              <w:jc w:val="both"/>
              <w:rPr>
                <w:rFonts w:hint="eastAsia" w:ascii="楷体" w:hAnsi="楷体" w:eastAsia="楷体" w:cs="楷体"/>
                <w:b/>
                <w:bCs w:val="0"/>
                <w:color w:val="auto"/>
                <w:sz w:val="21"/>
                <w:szCs w:val="21"/>
                <w:highlight w:val="none"/>
                <w:lang w:val="en-US" w:eastAsia="zh-CN"/>
              </w:rPr>
            </w:pPr>
            <w:r>
              <w:rPr>
                <w:rFonts w:hint="eastAsia" w:ascii="楷体" w:hAnsi="楷体" w:eastAsia="楷体" w:cs="楷体"/>
                <w:b/>
                <w:bCs w:val="0"/>
                <w:color w:val="auto"/>
                <w:sz w:val="21"/>
                <w:szCs w:val="21"/>
                <w:highlight w:val="none"/>
                <w:lang w:val="en-US" w:eastAsia="zh-CN"/>
              </w:rPr>
              <w:t>备注：1、磋商一览表所列报价须与分项报价表中“总报价（各产品单批次检测费用总和）”保持一致，否则供应商应承担一切不利后果；</w:t>
            </w:r>
          </w:p>
          <w:p w14:paraId="5C8EBC53">
            <w:pPr>
              <w:pStyle w:val="29"/>
              <w:spacing w:line="360" w:lineRule="auto"/>
              <w:jc w:val="both"/>
              <w:rPr>
                <w:rFonts w:hint="eastAsia" w:ascii="楷体" w:hAnsi="楷体" w:eastAsia="楷体" w:cs="楷体"/>
                <w:b/>
                <w:bCs w:val="0"/>
                <w:color w:val="auto"/>
                <w:sz w:val="21"/>
                <w:szCs w:val="21"/>
                <w:highlight w:val="none"/>
                <w:lang w:val="en-US" w:eastAsia="zh-CN"/>
              </w:rPr>
            </w:pPr>
            <w:r>
              <w:rPr>
                <w:rFonts w:hint="eastAsia" w:ascii="楷体" w:hAnsi="楷体" w:eastAsia="楷体" w:cs="楷体"/>
                <w:b/>
                <w:bCs w:val="0"/>
                <w:color w:val="auto"/>
                <w:sz w:val="21"/>
                <w:szCs w:val="21"/>
                <w:highlight w:val="none"/>
                <w:lang w:val="en-US" w:eastAsia="zh-CN"/>
              </w:rPr>
              <w:t>2、表内报价内容以元为单位，保留小数点后两位；</w:t>
            </w:r>
          </w:p>
          <w:p w14:paraId="4BEE17EC">
            <w:pPr>
              <w:pStyle w:val="29"/>
              <w:spacing w:line="360" w:lineRule="auto"/>
              <w:jc w:val="both"/>
              <w:rPr>
                <w:rFonts w:hint="eastAsia" w:ascii="楷体" w:hAnsi="楷体" w:eastAsia="楷体" w:cs="楷体"/>
                <w:b/>
                <w:bCs w:val="0"/>
                <w:color w:val="auto"/>
                <w:sz w:val="21"/>
                <w:szCs w:val="21"/>
                <w:highlight w:val="none"/>
                <w:lang w:val="en-US" w:eastAsia="zh-CN"/>
              </w:rPr>
            </w:pPr>
            <w:r>
              <w:rPr>
                <w:rFonts w:hint="eastAsia" w:ascii="楷体" w:hAnsi="楷体" w:eastAsia="楷体" w:cs="楷体"/>
                <w:b/>
                <w:bCs w:val="0"/>
                <w:color w:val="auto"/>
                <w:sz w:val="21"/>
                <w:szCs w:val="21"/>
                <w:highlight w:val="none"/>
                <w:lang w:val="en-US" w:eastAsia="zh-CN"/>
              </w:rPr>
              <w:t>3、供应商的报价是供应商响应磋商项目要求的全部工作内容的价格体现，包括供应商完成本项目所需的一切费用（购样费、检验费等相关一切费用）。</w:t>
            </w:r>
          </w:p>
        </w:tc>
      </w:tr>
    </w:tbl>
    <w:p w14:paraId="6F6F0E71">
      <w:pPr>
        <w:spacing w:line="360" w:lineRule="auto"/>
        <w:jc w:val="left"/>
        <w:rPr>
          <w:rFonts w:hint="eastAsia" w:ascii="楷体" w:hAnsi="楷体" w:eastAsia="楷体" w:cs="楷体"/>
          <w:b/>
          <w:sz w:val="21"/>
          <w:szCs w:val="21"/>
          <w:highlight w:val="none"/>
          <w:lang w:val="en-US" w:eastAsia="zh-CN"/>
        </w:rPr>
      </w:pPr>
    </w:p>
    <w:p w14:paraId="2F39F3BD">
      <w:pPr>
        <w:spacing w:line="360" w:lineRule="auto"/>
        <w:jc w:val="left"/>
        <w:rPr>
          <w:rFonts w:ascii="楷体" w:hAnsi="楷体" w:eastAsia="楷体" w:cs="楷体"/>
          <w:color w:val="auto"/>
          <w:szCs w:val="24"/>
          <w:highlight w:val="none"/>
        </w:rPr>
      </w:pPr>
      <w:r>
        <w:rPr>
          <w:rFonts w:hint="eastAsia" w:ascii="楷体" w:hAnsi="楷体" w:eastAsia="楷体" w:cs="楷体"/>
          <w:color w:val="auto"/>
          <w:szCs w:val="24"/>
          <w:highlight w:val="none"/>
        </w:rPr>
        <w:t>供应商名称（公章）：</w:t>
      </w:r>
    </w:p>
    <w:p w14:paraId="400E26F3">
      <w:pPr>
        <w:spacing w:line="360" w:lineRule="auto"/>
        <w:jc w:val="left"/>
        <w:rPr>
          <w:rFonts w:ascii="楷体" w:hAnsi="楷体" w:eastAsia="楷体" w:cs="楷体"/>
          <w:color w:val="auto"/>
          <w:szCs w:val="24"/>
          <w:highlight w:val="none"/>
        </w:rPr>
      </w:pPr>
      <w:r>
        <w:rPr>
          <w:rFonts w:hint="eastAsia" w:ascii="楷体" w:hAnsi="楷体" w:eastAsia="楷体" w:cs="楷体"/>
          <w:color w:val="auto"/>
          <w:szCs w:val="24"/>
          <w:highlight w:val="none"/>
        </w:rPr>
        <w:t>法定代表人/被授权人（</w:t>
      </w:r>
      <w:r>
        <w:rPr>
          <w:rFonts w:hint="eastAsia" w:ascii="楷体" w:hAnsi="楷体" w:eastAsia="楷体" w:cs="楷体"/>
          <w:color w:val="auto"/>
          <w:spacing w:val="4"/>
          <w:szCs w:val="24"/>
          <w:highlight w:val="none"/>
        </w:rPr>
        <w:t>签字或盖章</w:t>
      </w:r>
      <w:r>
        <w:rPr>
          <w:rFonts w:hint="eastAsia" w:ascii="楷体" w:hAnsi="楷体" w:eastAsia="楷体" w:cs="楷体"/>
          <w:color w:val="auto"/>
          <w:szCs w:val="24"/>
          <w:highlight w:val="none"/>
        </w:rPr>
        <w:t>）：</w:t>
      </w:r>
    </w:p>
    <w:p w14:paraId="77460C18">
      <w:pPr>
        <w:adjustRightInd w:val="0"/>
        <w:snapToGrid w:val="0"/>
        <w:spacing w:line="360" w:lineRule="auto"/>
        <w:jc w:val="both"/>
        <w:outlineLvl w:val="2"/>
        <w:rPr>
          <w:rFonts w:hint="eastAsia" w:ascii="楷体" w:hAnsi="楷体" w:eastAsia="楷体" w:cs="楷体"/>
          <w:color w:val="auto"/>
          <w:szCs w:val="24"/>
          <w:highlight w:val="none"/>
        </w:rPr>
      </w:pPr>
      <w:r>
        <w:rPr>
          <w:rFonts w:hint="eastAsia" w:ascii="楷体" w:hAnsi="楷体" w:eastAsia="楷体" w:cs="楷体"/>
          <w:color w:val="auto"/>
          <w:szCs w:val="24"/>
          <w:highlight w:val="none"/>
        </w:rPr>
        <w:t>日    期：</w:t>
      </w:r>
    </w:p>
    <w:p w14:paraId="2388346C">
      <w:pPr>
        <w:adjustRightInd w:val="0"/>
        <w:snapToGrid w:val="0"/>
        <w:spacing w:line="360" w:lineRule="auto"/>
        <w:jc w:val="both"/>
        <w:outlineLvl w:val="2"/>
        <w:rPr>
          <w:rFonts w:hint="eastAsia" w:ascii="楷体" w:hAnsi="楷体" w:eastAsia="楷体" w:cs="楷体"/>
          <w:color w:val="auto"/>
          <w:szCs w:val="24"/>
          <w:highlight w:val="none"/>
        </w:rPr>
      </w:pPr>
    </w:p>
    <w:p w14:paraId="2B4D58F1">
      <w:pPr>
        <w:adjustRightInd w:val="0"/>
        <w:snapToGrid w:val="0"/>
        <w:spacing w:line="360" w:lineRule="auto"/>
        <w:jc w:val="both"/>
        <w:outlineLvl w:val="2"/>
        <w:rPr>
          <w:rFonts w:hint="eastAsia" w:ascii="楷体" w:hAnsi="楷体" w:eastAsia="楷体" w:cs="楷体"/>
          <w:color w:val="auto"/>
          <w:szCs w:val="24"/>
          <w:highlight w:val="none"/>
        </w:rPr>
      </w:pPr>
    </w:p>
    <w:p w14:paraId="7A9359FF">
      <w:pPr>
        <w:adjustRightInd w:val="0"/>
        <w:snapToGrid w:val="0"/>
        <w:spacing w:line="360" w:lineRule="auto"/>
        <w:jc w:val="both"/>
        <w:outlineLvl w:val="2"/>
        <w:rPr>
          <w:rFonts w:hint="eastAsia" w:ascii="楷体" w:hAnsi="楷体" w:eastAsia="楷体" w:cs="楷体"/>
          <w:color w:val="auto"/>
          <w:szCs w:val="24"/>
          <w:highlight w:val="none"/>
        </w:rPr>
      </w:pPr>
    </w:p>
    <w:p w14:paraId="7C70FB1F">
      <w:pPr>
        <w:adjustRightInd w:val="0"/>
        <w:snapToGrid w:val="0"/>
        <w:spacing w:line="360" w:lineRule="auto"/>
        <w:jc w:val="both"/>
        <w:outlineLvl w:val="2"/>
        <w:rPr>
          <w:rFonts w:hint="eastAsia" w:ascii="楷体" w:hAnsi="楷体" w:eastAsia="楷体" w:cs="楷体"/>
          <w:color w:val="auto"/>
          <w:szCs w:val="24"/>
          <w:highlight w:val="none"/>
        </w:rPr>
      </w:pPr>
    </w:p>
    <w:p w14:paraId="22B49716">
      <w:pPr>
        <w:adjustRightInd w:val="0"/>
        <w:snapToGrid w:val="0"/>
        <w:spacing w:line="360" w:lineRule="auto"/>
        <w:jc w:val="both"/>
        <w:outlineLvl w:val="2"/>
        <w:rPr>
          <w:rFonts w:hint="eastAsia" w:ascii="楷体" w:hAnsi="楷体" w:eastAsia="楷体" w:cs="楷体"/>
          <w:color w:val="auto"/>
          <w:szCs w:val="24"/>
          <w:highlight w:val="none"/>
        </w:rPr>
      </w:pPr>
    </w:p>
    <w:p w14:paraId="3842FE07">
      <w:pPr>
        <w:adjustRightInd w:val="0"/>
        <w:snapToGrid w:val="0"/>
        <w:spacing w:line="360" w:lineRule="auto"/>
        <w:jc w:val="both"/>
        <w:outlineLvl w:val="2"/>
        <w:rPr>
          <w:rFonts w:hint="eastAsia" w:ascii="楷体" w:hAnsi="楷体" w:eastAsia="楷体" w:cs="楷体"/>
          <w:color w:val="auto"/>
          <w:szCs w:val="24"/>
          <w:highlight w:val="none"/>
        </w:rPr>
      </w:pPr>
    </w:p>
    <w:p w14:paraId="1F8CE41B">
      <w:pPr>
        <w:adjustRightInd w:val="0"/>
        <w:snapToGrid w:val="0"/>
        <w:spacing w:line="360" w:lineRule="auto"/>
        <w:jc w:val="both"/>
        <w:outlineLvl w:val="2"/>
        <w:rPr>
          <w:rFonts w:hint="eastAsia" w:ascii="楷体" w:hAnsi="楷体" w:eastAsia="楷体" w:cs="楷体"/>
          <w:color w:val="auto"/>
          <w:szCs w:val="24"/>
          <w:highlight w:val="none"/>
        </w:rPr>
      </w:pPr>
    </w:p>
    <w:p w14:paraId="61890133">
      <w:pPr>
        <w:adjustRightInd w:val="0"/>
        <w:snapToGrid w:val="0"/>
        <w:spacing w:line="360" w:lineRule="auto"/>
        <w:jc w:val="both"/>
        <w:outlineLvl w:val="2"/>
        <w:rPr>
          <w:rFonts w:hint="eastAsia" w:ascii="楷体" w:hAnsi="楷体" w:eastAsia="楷体" w:cs="楷体"/>
          <w:color w:val="auto"/>
          <w:szCs w:val="24"/>
          <w:highlight w:val="none"/>
        </w:rPr>
      </w:pPr>
    </w:p>
    <w:p w14:paraId="4352778E">
      <w:pPr>
        <w:adjustRightInd w:val="0"/>
        <w:snapToGrid w:val="0"/>
        <w:spacing w:line="360" w:lineRule="auto"/>
        <w:jc w:val="both"/>
        <w:outlineLvl w:val="2"/>
        <w:rPr>
          <w:rFonts w:hint="eastAsia" w:ascii="楷体" w:hAnsi="楷体" w:eastAsia="楷体" w:cs="楷体"/>
          <w:color w:val="auto"/>
          <w:szCs w:val="24"/>
          <w:highlight w:val="none"/>
        </w:rPr>
      </w:pPr>
    </w:p>
    <w:p w14:paraId="4B2B31C7">
      <w:pPr>
        <w:adjustRightInd w:val="0"/>
        <w:snapToGrid w:val="0"/>
        <w:spacing w:line="360" w:lineRule="auto"/>
        <w:jc w:val="both"/>
        <w:outlineLvl w:val="2"/>
        <w:rPr>
          <w:rFonts w:hint="eastAsia" w:ascii="楷体" w:hAnsi="楷体" w:eastAsia="楷体" w:cs="楷体"/>
          <w:color w:val="auto"/>
          <w:szCs w:val="24"/>
          <w:highlight w:val="none"/>
        </w:rPr>
      </w:pPr>
    </w:p>
    <w:p w14:paraId="4123F873">
      <w:pPr>
        <w:adjustRightInd w:val="0"/>
        <w:snapToGrid w:val="0"/>
        <w:spacing w:line="360" w:lineRule="auto"/>
        <w:jc w:val="both"/>
        <w:outlineLvl w:val="2"/>
        <w:rPr>
          <w:rFonts w:hint="eastAsia" w:ascii="楷体" w:hAnsi="楷体" w:eastAsia="楷体" w:cs="楷体"/>
          <w:color w:val="auto"/>
          <w:szCs w:val="24"/>
          <w:highlight w:val="none"/>
        </w:rPr>
      </w:pPr>
    </w:p>
    <w:p w14:paraId="0ECF3E3B">
      <w:pPr>
        <w:adjustRightInd w:val="0"/>
        <w:snapToGrid w:val="0"/>
        <w:spacing w:line="360" w:lineRule="auto"/>
        <w:jc w:val="both"/>
        <w:outlineLvl w:val="2"/>
        <w:rPr>
          <w:rFonts w:hint="eastAsia" w:ascii="楷体" w:hAnsi="楷体" w:eastAsia="楷体" w:cs="楷体"/>
          <w:color w:val="auto"/>
          <w:szCs w:val="24"/>
          <w:highlight w:val="none"/>
        </w:rPr>
      </w:pPr>
    </w:p>
    <w:p w14:paraId="2D54B8E6">
      <w:pPr>
        <w:adjustRightInd w:val="0"/>
        <w:snapToGrid w:val="0"/>
        <w:spacing w:line="360" w:lineRule="auto"/>
        <w:jc w:val="both"/>
        <w:outlineLvl w:val="2"/>
        <w:rPr>
          <w:rFonts w:hint="eastAsia" w:ascii="楷体" w:hAnsi="楷体" w:eastAsia="楷体" w:cs="楷体"/>
          <w:color w:val="auto"/>
          <w:szCs w:val="24"/>
          <w:highlight w:val="none"/>
        </w:rPr>
      </w:pPr>
    </w:p>
    <w:p w14:paraId="0A882C34">
      <w:pPr>
        <w:adjustRightInd w:val="0"/>
        <w:snapToGrid w:val="0"/>
        <w:spacing w:line="360" w:lineRule="auto"/>
        <w:jc w:val="both"/>
        <w:outlineLvl w:val="2"/>
        <w:rPr>
          <w:rFonts w:hint="eastAsia" w:ascii="楷体" w:hAnsi="楷体" w:eastAsia="楷体" w:cs="楷体"/>
          <w:color w:val="auto"/>
          <w:szCs w:val="24"/>
          <w:highlight w:val="none"/>
        </w:rPr>
      </w:pPr>
    </w:p>
    <w:p w14:paraId="0CA67C58">
      <w:pPr>
        <w:spacing w:line="360" w:lineRule="auto"/>
        <w:jc w:val="left"/>
        <w:rPr>
          <w:rFonts w:hint="eastAsia" w:hAnsi="宋体" w:cs="宋体"/>
          <w:b/>
          <w:sz w:val="21"/>
          <w:szCs w:val="21"/>
          <w:highlight w:val="none"/>
          <w:lang w:val="en-US" w:eastAsia="zh-CN"/>
        </w:rPr>
      </w:pPr>
      <w:r>
        <w:rPr>
          <w:rFonts w:hint="eastAsia" w:ascii="宋体" w:hAnsi="宋体" w:eastAsia="宋体" w:cs="宋体"/>
          <w:b/>
          <w:sz w:val="21"/>
          <w:szCs w:val="21"/>
          <w:highlight w:val="none"/>
          <w:lang w:val="en-US" w:eastAsia="zh-CN"/>
        </w:rPr>
        <w:t>采购包</w:t>
      </w:r>
      <w:r>
        <w:rPr>
          <w:rFonts w:hint="eastAsia" w:hAnsi="宋体" w:cs="宋体"/>
          <w:b/>
          <w:sz w:val="21"/>
          <w:szCs w:val="21"/>
          <w:highlight w:val="none"/>
          <w:lang w:val="en-US" w:eastAsia="zh-CN"/>
        </w:rPr>
        <w:t>4</w:t>
      </w:r>
    </w:p>
    <w:tbl>
      <w:tblPr>
        <w:tblStyle w:val="18"/>
        <w:tblW w:w="9758" w:type="dxa"/>
        <w:tblInd w:w="-1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4"/>
        <w:gridCol w:w="2431"/>
        <w:gridCol w:w="4451"/>
        <w:gridCol w:w="1672"/>
      </w:tblGrid>
      <w:tr w14:paraId="3C3C4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4" w:hRule="atLeast"/>
        </w:trPr>
        <w:tc>
          <w:tcPr>
            <w:tcW w:w="1204" w:type="dxa"/>
            <w:noWrap w:val="0"/>
            <w:vAlign w:val="center"/>
          </w:tcPr>
          <w:p w14:paraId="2AE52140">
            <w:pPr>
              <w:pageBreakBefore w:val="0"/>
              <w:overflowPunct/>
              <w:topLinePunct w:val="0"/>
              <w:bidi w:val="0"/>
              <w:snapToGrid/>
              <w:spacing w:line="360" w:lineRule="auto"/>
              <w:ind w:left="0" w:right="0" w:rightChars="0"/>
              <w:jc w:val="center"/>
              <w:rPr>
                <w:rFonts w:hint="eastAsia" w:ascii="楷体" w:hAnsi="楷体" w:eastAsia="楷体" w:cs="楷体"/>
                <w:b w:val="0"/>
                <w:bCs/>
                <w:sz w:val="21"/>
                <w:szCs w:val="21"/>
                <w:highlight w:val="none"/>
                <w:lang w:val="en-US" w:eastAsia="zh-CN"/>
              </w:rPr>
            </w:pPr>
            <w:r>
              <w:rPr>
                <w:rFonts w:hint="eastAsia" w:ascii="楷体" w:hAnsi="楷体" w:eastAsia="楷体" w:cs="楷体"/>
                <w:b w:val="0"/>
                <w:bCs/>
                <w:sz w:val="21"/>
                <w:szCs w:val="21"/>
                <w:highlight w:val="none"/>
                <w:lang w:val="en-US" w:eastAsia="zh-CN"/>
              </w:rPr>
              <w:t>产品名称</w:t>
            </w:r>
          </w:p>
        </w:tc>
        <w:tc>
          <w:tcPr>
            <w:tcW w:w="2431" w:type="dxa"/>
            <w:noWrap w:val="0"/>
            <w:vAlign w:val="center"/>
          </w:tcPr>
          <w:p w14:paraId="41AF8C8F">
            <w:pPr>
              <w:pageBreakBefore w:val="0"/>
              <w:overflowPunct/>
              <w:topLinePunct w:val="0"/>
              <w:bidi w:val="0"/>
              <w:snapToGrid/>
              <w:spacing w:line="360" w:lineRule="auto"/>
              <w:ind w:left="0" w:right="0" w:rightChars="0"/>
              <w:jc w:val="center"/>
              <w:rPr>
                <w:rFonts w:hint="eastAsia" w:ascii="楷体" w:hAnsi="楷体" w:eastAsia="楷体" w:cs="楷体"/>
                <w:b w:val="0"/>
                <w:bCs/>
                <w:sz w:val="21"/>
                <w:szCs w:val="21"/>
                <w:highlight w:val="none"/>
                <w:lang w:val="en-US" w:eastAsia="zh-CN"/>
              </w:rPr>
            </w:pPr>
            <w:r>
              <w:rPr>
                <w:rFonts w:hint="eastAsia" w:ascii="楷体" w:hAnsi="楷体" w:eastAsia="楷体" w:cs="楷体"/>
                <w:b w:val="0"/>
                <w:bCs/>
                <w:sz w:val="21"/>
                <w:szCs w:val="21"/>
                <w:highlight w:val="none"/>
                <w:lang w:val="en-US" w:eastAsia="zh-CN"/>
              </w:rPr>
              <w:t>执行标准</w:t>
            </w:r>
          </w:p>
        </w:tc>
        <w:tc>
          <w:tcPr>
            <w:tcW w:w="4451" w:type="dxa"/>
            <w:noWrap w:val="0"/>
            <w:vAlign w:val="center"/>
          </w:tcPr>
          <w:p w14:paraId="1D54E1B0">
            <w:pPr>
              <w:pageBreakBefore w:val="0"/>
              <w:overflowPunct/>
              <w:topLinePunct w:val="0"/>
              <w:bidi w:val="0"/>
              <w:snapToGrid/>
              <w:spacing w:line="360" w:lineRule="auto"/>
              <w:ind w:left="0" w:right="0" w:rightChars="0"/>
              <w:jc w:val="center"/>
              <w:rPr>
                <w:rFonts w:hint="eastAsia" w:ascii="楷体" w:hAnsi="楷体" w:eastAsia="楷体" w:cs="楷体"/>
                <w:b w:val="0"/>
                <w:bCs/>
                <w:sz w:val="21"/>
                <w:szCs w:val="21"/>
                <w:highlight w:val="none"/>
                <w:lang w:val="en-US" w:eastAsia="zh-CN"/>
              </w:rPr>
            </w:pPr>
            <w:r>
              <w:rPr>
                <w:rFonts w:hint="eastAsia" w:ascii="楷体" w:hAnsi="楷体" w:eastAsia="楷体" w:cs="楷体"/>
                <w:b w:val="0"/>
                <w:bCs/>
                <w:sz w:val="21"/>
                <w:szCs w:val="21"/>
                <w:highlight w:val="none"/>
                <w:lang w:val="en-US" w:eastAsia="zh-CN"/>
              </w:rPr>
              <w:t>检测项目分项报价</w:t>
            </w:r>
          </w:p>
        </w:tc>
        <w:tc>
          <w:tcPr>
            <w:tcW w:w="1672" w:type="dxa"/>
            <w:noWrap w:val="0"/>
            <w:vAlign w:val="center"/>
          </w:tcPr>
          <w:p w14:paraId="725EA1E8">
            <w:pPr>
              <w:pageBreakBefore w:val="0"/>
              <w:overflowPunct/>
              <w:topLinePunct w:val="0"/>
              <w:bidi w:val="0"/>
              <w:snapToGrid/>
              <w:spacing w:line="360" w:lineRule="auto"/>
              <w:ind w:left="0" w:right="0" w:rightChars="0"/>
              <w:jc w:val="center"/>
              <w:rPr>
                <w:rFonts w:hint="eastAsia" w:ascii="楷体" w:hAnsi="楷体" w:eastAsia="楷体" w:cs="楷体"/>
                <w:b w:val="0"/>
                <w:bCs/>
                <w:sz w:val="21"/>
                <w:szCs w:val="21"/>
                <w:highlight w:val="none"/>
                <w:lang w:val="en-US" w:eastAsia="zh-CN"/>
              </w:rPr>
            </w:pPr>
            <w:r>
              <w:rPr>
                <w:rFonts w:hint="eastAsia" w:ascii="楷体" w:hAnsi="楷体" w:eastAsia="楷体" w:cs="楷体"/>
                <w:b w:val="0"/>
                <w:bCs/>
                <w:sz w:val="21"/>
                <w:szCs w:val="21"/>
                <w:highlight w:val="none"/>
                <w:lang w:val="en-US" w:eastAsia="zh-CN"/>
              </w:rPr>
              <w:t>各产品单批次检测费用总和</w:t>
            </w:r>
          </w:p>
        </w:tc>
      </w:tr>
      <w:tr w14:paraId="20940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3" w:hRule="atLeast"/>
        </w:trPr>
        <w:tc>
          <w:tcPr>
            <w:tcW w:w="1204" w:type="dxa"/>
            <w:noWrap w:val="0"/>
            <w:vAlign w:val="center"/>
          </w:tcPr>
          <w:p w14:paraId="0EF1A0FC">
            <w:pPr>
              <w:pageBreakBefore w:val="0"/>
              <w:overflowPunct/>
              <w:topLinePunct w:val="0"/>
              <w:bidi w:val="0"/>
              <w:snapToGrid/>
              <w:spacing w:line="360" w:lineRule="auto"/>
              <w:ind w:left="0" w:right="0" w:rightChars="0"/>
              <w:jc w:val="center"/>
              <w:rPr>
                <w:rFonts w:hint="eastAsia" w:ascii="楷体" w:hAnsi="楷体" w:eastAsia="楷体" w:cs="楷体"/>
                <w:b w:val="0"/>
                <w:bCs/>
                <w:sz w:val="21"/>
                <w:szCs w:val="21"/>
                <w:highlight w:val="none"/>
                <w:lang w:val="en-US" w:eastAsia="zh-CN"/>
              </w:rPr>
            </w:pPr>
            <w:r>
              <w:rPr>
                <w:rFonts w:hint="eastAsia" w:ascii="楷体" w:hAnsi="楷体" w:eastAsia="楷体" w:cs="楷体"/>
                <w:bCs/>
                <w:color w:val="auto"/>
                <w:sz w:val="21"/>
                <w:szCs w:val="21"/>
                <w:highlight w:val="none"/>
                <w:lang w:eastAsia="zh-CN"/>
              </w:rPr>
              <w:t>手提式干粉灭火器</w:t>
            </w:r>
          </w:p>
        </w:tc>
        <w:tc>
          <w:tcPr>
            <w:tcW w:w="2431" w:type="dxa"/>
            <w:noWrap w:val="0"/>
            <w:vAlign w:val="center"/>
          </w:tcPr>
          <w:p w14:paraId="4FF79C1A">
            <w:pPr>
              <w:pageBreakBefore w:val="0"/>
              <w:overflowPunct/>
              <w:topLinePunct w:val="0"/>
              <w:bidi w:val="0"/>
              <w:snapToGrid/>
              <w:spacing w:line="360" w:lineRule="auto"/>
              <w:ind w:left="0" w:right="0" w:rightChars="0"/>
              <w:jc w:val="left"/>
              <w:rPr>
                <w:rFonts w:hint="eastAsia" w:ascii="楷体" w:hAnsi="楷体" w:eastAsia="楷体" w:cs="楷体"/>
                <w:bCs/>
                <w:color w:val="auto"/>
                <w:sz w:val="21"/>
                <w:szCs w:val="21"/>
                <w:highlight w:val="none"/>
                <w:lang w:eastAsia="zh-CN"/>
              </w:rPr>
            </w:pPr>
            <w:r>
              <w:rPr>
                <w:rFonts w:hint="eastAsia" w:ascii="楷体" w:hAnsi="楷体" w:eastAsia="楷体" w:cs="楷体"/>
                <w:bCs/>
                <w:color w:val="auto"/>
                <w:sz w:val="21"/>
                <w:szCs w:val="21"/>
                <w:highlight w:val="none"/>
                <w:lang w:eastAsia="zh-CN"/>
              </w:rPr>
              <w:t>GB 4351-2023等现行有效的企业标准、团体标准、地方标准及产品明示质量要求</w:t>
            </w:r>
          </w:p>
          <w:p w14:paraId="3E428C34">
            <w:pPr>
              <w:pageBreakBefore w:val="0"/>
              <w:overflowPunct/>
              <w:topLinePunct w:val="0"/>
              <w:bidi w:val="0"/>
              <w:snapToGrid/>
              <w:spacing w:line="360" w:lineRule="auto"/>
              <w:ind w:left="0" w:right="0" w:rightChars="0"/>
              <w:jc w:val="left"/>
              <w:rPr>
                <w:rFonts w:hint="eastAsia" w:ascii="楷体" w:hAnsi="楷体" w:eastAsia="楷体" w:cs="楷体"/>
                <w:b w:val="0"/>
                <w:bCs/>
                <w:sz w:val="21"/>
                <w:szCs w:val="21"/>
                <w:highlight w:val="none"/>
                <w:lang w:val="en-US" w:eastAsia="zh-CN"/>
              </w:rPr>
            </w:pPr>
          </w:p>
        </w:tc>
        <w:tc>
          <w:tcPr>
            <w:tcW w:w="4451" w:type="dxa"/>
            <w:noWrap w:val="0"/>
            <w:vAlign w:val="top"/>
          </w:tcPr>
          <w:p w14:paraId="135D3AB3">
            <w:pPr>
              <w:keepNext w:val="0"/>
              <w:keepLines w:val="0"/>
              <w:pageBreakBefore w:val="0"/>
              <w:widowControl w:val="0"/>
              <w:kinsoku/>
              <w:wordWrap/>
              <w:overflowPunct/>
              <w:topLinePunct w:val="0"/>
              <w:autoSpaceDE/>
              <w:autoSpaceDN/>
              <w:bidi w:val="0"/>
              <w:adjustRightInd/>
              <w:snapToGrid/>
              <w:spacing w:line="360" w:lineRule="auto"/>
              <w:ind w:left="0" w:right="0" w:rightChars="0"/>
              <w:jc w:val="left"/>
              <w:textAlignment w:val="auto"/>
              <w:rPr>
                <w:rFonts w:hint="eastAsia" w:ascii="楷体" w:hAnsi="楷体" w:eastAsia="楷体" w:cs="楷体"/>
                <w:b w:val="0"/>
                <w:bCs/>
                <w:sz w:val="21"/>
                <w:szCs w:val="21"/>
                <w:highlight w:val="none"/>
                <w:lang w:val="en-US" w:eastAsia="zh-CN"/>
              </w:rPr>
            </w:pPr>
            <w:r>
              <w:rPr>
                <w:rFonts w:hint="eastAsia" w:ascii="楷体" w:hAnsi="楷体" w:eastAsia="楷体" w:cs="楷体"/>
                <w:bCs/>
                <w:color w:val="auto"/>
                <w:sz w:val="21"/>
                <w:szCs w:val="21"/>
                <w:highlight w:val="none"/>
                <w:lang w:eastAsia="zh-CN"/>
              </w:rPr>
              <w:t>充装要求</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eastAsia="zh-CN"/>
              </w:rPr>
              <w:t>20℃喷射性能</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sz w:val="21"/>
                <w:szCs w:val="21"/>
                <w:highlight w:val="none"/>
                <w:lang w:val="en-US" w:eastAsia="zh-CN"/>
              </w:rPr>
              <w:t>、</w:t>
            </w:r>
            <w:r>
              <w:rPr>
                <w:rFonts w:hint="eastAsia" w:ascii="楷体" w:hAnsi="楷体" w:eastAsia="楷体" w:cs="楷体"/>
                <w:bCs/>
                <w:color w:val="auto"/>
                <w:sz w:val="21"/>
                <w:szCs w:val="21"/>
                <w:highlight w:val="none"/>
                <w:lang w:eastAsia="zh-CN"/>
              </w:rPr>
              <w:t>灭火器开启力</w:t>
            </w:r>
            <w:r>
              <w:rPr>
                <w:rFonts w:hint="eastAsia" w:ascii="楷体" w:hAnsi="楷体" w:eastAsia="楷体" w:cs="楷体"/>
                <w:bCs/>
                <w:sz w:val="21"/>
                <w:szCs w:val="21"/>
                <w:highlight w:val="none"/>
                <w:lang w:val="en-US" w:eastAsia="zh-CN"/>
              </w:rPr>
              <w:t>）</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eastAsia="zh-CN"/>
              </w:rPr>
              <w:t>保险装置</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eastAsia="zh-CN"/>
              </w:rPr>
              <w:t>低压瓶体爆破性能</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eastAsia="zh-CN"/>
              </w:rPr>
              <w:t>瓶体水压试验</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eastAsia="zh-CN"/>
              </w:rPr>
              <w:t>灭火器阀门组件试验（提压把的长度、厚度、宽度）</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元；压力指示器外观检查</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u w:val="none"/>
                <w:lang w:val="en-US" w:eastAsia="zh-CN"/>
              </w:rPr>
              <w:t>元</w:t>
            </w:r>
            <w:r>
              <w:rPr>
                <w:rFonts w:hint="eastAsia" w:ascii="楷体" w:hAnsi="楷体" w:eastAsia="楷体" w:cs="楷体"/>
                <w:bCs/>
                <w:sz w:val="21"/>
                <w:szCs w:val="21"/>
                <w:highlight w:val="none"/>
                <w:lang w:val="en-US" w:eastAsia="zh-CN"/>
              </w:rPr>
              <w:t>；</w:t>
            </w:r>
            <w:r>
              <w:rPr>
                <w:rFonts w:hint="eastAsia" w:ascii="楷体" w:hAnsi="楷体" w:eastAsia="楷体" w:cs="楷体"/>
                <w:bCs/>
                <w:color w:val="auto"/>
                <w:sz w:val="21"/>
                <w:szCs w:val="21"/>
                <w:highlight w:val="none"/>
                <w:lang w:eastAsia="zh-CN"/>
              </w:rPr>
              <w:t>干粉灭火剂主要成分</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u w:val="none"/>
                <w:lang w:val="en-US" w:eastAsia="zh-CN"/>
              </w:rPr>
              <w:t>元</w:t>
            </w:r>
            <w:r>
              <w:rPr>
                <w:rFonts w:hint="eastAsia" w:ascii="楷体" w:hAnsi="楷体" w:eastAsia="楷体" w:cs="楷体"/>
                <w:b w:val="0"/>
                <w:bCs/>
                <w:sz w:val="21"/>
                <w:szCs w:val="21"/>
                <w:highlight w:val="none"/>
                <w:lang w:val="en-US" w:eastAsia="zh-CN"/>
              </w:rPr>
              <w:t>。</w:t>
            </w:r>
          </w:p>
        </w:tc>
        <w:tc>
          <w:tcPr>
            <w:tcW w:w="1672" w:type="dxa"/>
            <w:noWrap w:val="0"/>
            <w:vAlign w:val="center"/>
          </w:tcPr>
          <w:p w14:paraId="02514F6A">
            <w:pPr>
              <w:keepNext w:val="0"/>
              <w:keepLines w:val="0"/>
              <w:pageBreakBefore w:val="0"/>
              <w:widowControl w:val="0"/>
              <w:kinsoku/>
              <w:wordWrap/>
              <w:overflowPunct/>
              <w:topLinePunct w:val="0"/>
              <w:autoSpaceDE/>
              <w:autoSpaceDN/>
              <w:bidi w:val="0"/>
              <w:adjustRightInd/>
              <w:snapToGrid/>
              <w:spacing w:line="360" w:lineRule="auto"/>
              <w:ind w:left="0" w:right="0" w:rightChars="0"/>
              <w:jc w:val="right"/>
              <w:textAlignment w:val="auto"/>
              <w:rPr>
                <w:rFonts w:hint="eastAsia" w:ascii="楷体" w:hAnsi="楷体" w:eastAsia="楷体" w:cs="楷体"/>
                <w:b w:val="0"/>
                <w:bCs/>
                <w:sz w:val="21"/>
                <w:szCs w:val="21"/>
                <w:highlight w:val="none"/>
                <w:lang w:val="en-US" w:eastAsia="zh-CN"/>
              </w:rPr>
            </w:pPr>
            <w:r>
              <w:rPr>
                <w:rFonts w:hint="eastAsia" w:ascii="楷体" w:hAnsi="楷体" w:eastAsia="楷体" w:cs="楷体"/>
                <w:b w:val="0"/>
                <w:bCs/>
                <w:sz w:val="21"/>
                <w:szCs w:val="21"/>
                <w:highlight w:val="none"/>
                <w:lang w:val="en-US" w:eastAsia="zh-CN"/>
              </w:rPr>
              <w:t>元</w:t>
            </w:r>
          </w:p>
        </w:tc>
      </w:tr>
      <w:tr w14:paraId="04245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3" w:hRule="atLeast"/>
        </w:trPr>
        <w:tc>
          <w:tcPr>
            <w:tcW w:w="1204" w:type="dxa"/>
            <w:shd w:val="clear" w:color="auto" w:fill="auto"/>
            <w:noWrap w:val="0"/>
            <w:vAlign w:val="center"/>
          </w:tcPr>
          <w:p w14:paraId="72322313">
            <w:pPr>
              <w:pageBreakBefore w:val="0"/>
              <w:overflowPunct/>
              <w:topLinePunct w:val="0"/>
              <w:bidi w:val="0"/>
              <w:snapToGrid/>
              <w:spacing w:line="360" w:lineRule="auto"/>
              <w:ind w:left="0" w:leftChars="0" w:right="0" w:rightChars="0"/>
              <w:jc w:val="left"/>
              <w:rPr>
                <w:rFonts w:hint="eastAsia" w:ascii="楷体" w:hAnsi="楷体" w:eastAsia="楷体" w:cs="楷体"/>
                <w:bCs/>
                <w:color w:val="auto"/>
                <w:kern w:val="2"/>
                <w:sz w:val="21"/>
                <w:szCs w:val="21"/>
                <w:highlight w:val="none"/>
                <w:lang w:val="en-US" w:eastAsia="zh-CN" w:bidi="ar-SA"/>
              </w:rPr>
            </w:pPr>
            <w:r>
              <w:rPr>
                <w:rFonts w:hint="eastAsia" w:ascii="楷体" w:hAnsi="楷体" w:eastAsia="楷体" w:cs="楷体"/>
                <w:bCs/>
                <w:color w:val="auto"/>
                <w:sz w:val="21"/>
                <w:szCs w:val="21"/>
                <w:highlight w:val="none"/>
                <w:lang w:eastAsia="zh-CN"/>
              </w:rPr>
              <w:t>消防水带</w:t>
            </w:r>
          </w:p>
        </w:tc>
        <w:tc>
          <w:tcPr>
            <w:tcW w:w="2431" w:type="dxa"/>
            <w:shd w:val="clear" w:color="auto" w:fill="auto"/>
            <w:noWrap w:val="0"/>
            <w:vAlign w:val="center"/>
          </w:tcPr>
          <w:p w14:paraId="49A5AF3A">
            <w:pPr>
              <w:pageBreakBefore w:val="0"/>
              <w:overflowPunct/>
              <w:topLinePunct w:val="0"/>
              <w:bidi w:val="0"/>
              <w:snapToGrid/>
              <w:spacing w:line="360" w:lineRule="auto"/>
              <w:ind w:left="0" w:right="0" w:rightChars="0"/>
              <w:jc w:val="left"/>
              <w:rPr>
                <w:rFonts w:hint="eastAsia" w:ascii="楷体" w:hAnsi="楷体" w:eastAsia="楷体" w:cs="楷体"/>
                <w:bCs/>
                <w:color w:val="auto"/>
                <w:sz w:val="21"/>
                <w:szCs w:val="21"/>
                <w:highlight w:val="none"/>
                <w:lang w:eastAsia="zh-CN"/>
              </w:rPr>
            </w:pPr>
            <w:r>
              <w:rPr>
                <w:rFonts w:hint="eastAsia" w:ascii="楷体" w:hAnsi="楷体" w:eastAsia="楷体" w:cs="楷体"/>
                <w:bCs/>
                <w:color w:val="auto"/>
                <w:sz w:val="21"/>
                <w:szCs w:val="21"/>
                <w:highlight w:val="none"/>
                <w:lang w:eastAsia="zh-CN"/>
              </w:rPr>
              <w:t>GB 6246-2011等现行有效的企业标准、团体标准、地方标准及产品明示质量要求</w:t>
            </w:r>
          </w:p>
          <w:p w14:paraId="38AD0E3D">
            <w:pPr>
              <w:pageBreakBefore w:val="0"/>
              <w:overflowPunct/>
              <w:topLinePunct w:val="0"/>
              <w:bidi w:val="0"/>
              <w:snapToGrid/>
              <w:spacing w:line="360" w:lineRule="auto"/>
              <w:ind w:left="0" w:leftChars="0" w:right="0" w:rightChars="0"/>
              <w:jc w:val="left"/>
              <w:rPr>
                <w:rFonts w:hint="eastAsia" w:ascii="楷体" w:hAnsi="楷体" w:eastAsia="楷体" w:cs="楷体"/>
                <w:bCs/>
                <w:color w:val="auto"/>
                <w:kern w:val="2"/>
                <w:sz w:val="21"/>
                <w:szCs w:val="21"/>
                <w:highlight w:val="none"/>
                <w:lang w:val="en-US" w:eastAsia="zh-CN" w:bidi="ar-SA"/>
              </w:rPr>
            </w:pPr>
          </w:p>
        </w:tc>
        <w:tc>
          <w:tcPr>
            <w:tcW w:w="4451" w:type="dxa"/>
            <w:noWrap w:val="0"/>
            <w:vAlign w:val="top"/>
          </w:tcPr>
          <w:p w14:paraId="682DA5A2">
            <w:pPr>
              <w:keepNext w:val="0"/>
              <w:keepLines w:val="0"/>
              <w:pageBreakBefore w:val="0"/>
              <w:widowControl w:val="0"/>
              <w:kinsoku/>
              <w:wordWrap/>
              <w:overflowPunct/>
              <w:topLinePunct w:val="0"/>
              <w:autoSpaceDE/>
              <w:autoSpaceDN/>
              <w:bidi w:val="0"/>
              <w:adjustRightInd/>
              <w:snapToGrid/>
              <w:spacing w:line="360" w:lineRule="auto"/>
              <w:ind w:left="0" w:right="0" w:rightChars="0"/>
              <w:jc w:val="left"/>
              <w:textAlignment w:val="auto"/>
              <w:rPr>
                <w:rFonts w:hint="eastAsia" w:ascii="楷体" w:hAnsi="楷体" w:eastAsia="楷体" w:cs="楷体"/>
                <w:bCs/>
                <w:color w:val="auto"/>
                <w:sz w:val="21"/>
                <w:szCs w:val="21"/>
                <w:highlight w:val="none"/>
                <w:lang w:eastAsia="zh-CN"/>
              </w:rPr>
            </w:pPr>
            <w:r>
              <w:rPr>
                <w:rFonts w:hint="eastAsia" w:ascii="楷体" w:hAnsi="楷体" w:eastAsia="楷体" w:cs="楷体"/>
                <w:bCs/>
                <w:color w:val="auto"/>
                <w:sz w:val="21"/>
                <w:szCs w:val="21"/>
                <w:highlight w:val="none"/>
                <w:lang w:eastAsia="zh-CN"/>
              </w:rPr>
              <w:t>附着强度试验</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eastAsia="zh-CN"/>
              </w:rPr>
              <w:t>扯断伸长率和扯断强度</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eastAsia="zh-CN"/>
              </w:rPr>
              <w:t>热空气老化试验</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eastAsia="zh-CN"/>
              </w:rPr>
              <w:t>内径测量</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eastAsia="zh-CN"/>
              </w:rPr>
              <w:t>长度测量</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eastAsia="zh-CN"/>
              </w:rPr>
              <w:t>水压试验与爆破试验</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eastAsia="zh-CN"/>
              </w:rPr>
              <w:t>单位长度质量检查</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u w:val="none"/>
                <w:lang w:val="en-US" w:eastAsia="zh-CN"/>
              </w:rPr>
              <w:t>元</w:t>
            </w:r>
            <w:r>
              <w:rPr>
                <w:rFonts w:hint="eastAsia" w:ascii="楷体" w:hAnsi="楷体" w:eastAsia="楷体" w:cs="楷体"/>
                <w:bCs/>
                <w:sz w:val="21"/>
                <w:szCs w:val="21"/>
                <w:highlight w:val="none"/>
                <w:lang w:val="en-US" w:eastAsia="zh-CN"/>
              </w:rPr>
              <w:t>；</w:t>
            </w:r>
            <w:r>
              <w:rPr>
                <w:rFonts w:hint="eastAsia" w:ascii="楷体" w:hAnsi="楷体" w:eastAsia="楷体" w:cs="楷体"/>
                <w:bCs/>
                <w:color w:val="auto"/>
                <w:sz w:val="21"/>
                <w:szCs w:val="21"/>
                <w:highlight w:val="none"/>
                <w:lang w:eastAsia="zh-CN"/>
              </w:rPr>
              <w:t>延伸率、膨胀率及扭转方向试验</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u w:val="none"/>
                <w:lang w:val="en-US" w:eastAsia="zh-CN"/>
              </w:rPr>
              <w:t>元</w:t>
            </w:r>
            <w:r>
              <w:rPr>
                <w:rFonts w:hint="eastAsia" w:ascii="楷体" w:hAnsi="楷体" w:eastAsia="楷体" w:cs="楷体"/>
                <w:b w:val="0"/>
                <w:bCs/>
                <w:sz w:val="21"/>
                <w:szCs w:val="21"/>
                <w:highlight w:val="none"/>
                <w:lang w:val="en-US" w:eastAsia="zh-CN"/>
              </w:rPr>
              <w:t>。</w:t>
            </w:r>
          </w:p>
        </w:tc>
        <w:tc>
          <w:tcPr>
            <w:tcW w:w="1672" w:type="dxa"/>
            <w:noWrap w:val="0"/>
            <w:vAlign w:val="center"/>
          </w:tcPr>
          <w:p w14:paraId="7655F188">
            <w:pPr>
              <w:keepNext w:val="0"/>
              <w:keepLines w:val="0"/>
              <w:pageBreakBefore w:val="0"/>
              <w:widowControl w:val="0"/>
              <w:kinsoku/>
              <w:wordWrap/>
              <w:overflowPunct/>
              <w:topLinePunct w:val="0"/>
              <w:autoSpaceDE/>
              <w:autoSpaceDN/>
              <w:bidi w:val="0"/>
              <w:adjustRightInd/>
              <w:snapToGrid/>
              <w:spacing w:line="360" w:lineRule="auto"/>
              <w:ind w:left="0" w:right="0" w:rightChars="0"/>
              <w:jc w:val="right"/>
              <w:textAlignment w:val="auto"/>
              <w:rPr>
                <w:rFonts w:hint="eastAsia" w:ascii="楷体" w:hAnsi="楷体" w:eastAsia="楷体" w:cs="楷体"/>
                <w:b w:val="0"/>
                <w:bCs/>
                <w:sz w:val="21"/>
                <w:szCs w:val="21"/>
                <w:highlight w:val="none"/>
                <w:lang w:val="en-US" w:eastAsia="zh-CN"/>
              </w:rPr>
            </w:pPr>
            <w:r>
              <w:rPr>
                <w:rFonts w:hint="eastAsia" w:ascii="楷体" w:hAnsi="楷体" w:eastAsia="楷体" w:cs="楷体"/>
                <w:b w:val="0"/>
                <w:bCs/>
                <w:sz w:val="21"/>
                <w:szCs w:val="21"/>
                <w:highlight w:val="none"/>
                <w:lang w:val="en-US" w:eastAsia="zh-CN"/>
              </w:rPr>
              <w:t>元</w:t>
            </w:r>
          </w:p>
        </w:tc>
      </w:tr>
      <w:tr w14:paraId="49AB7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3" w:hRule="atLeast"/>
        </w:trPr>
        <w:tc>
          <w:tcPr>
            <w:tcW w:w="1204" w:type="dxa"/>
            <w:shd w:val="clear" w:color="auto" w:fill="auto"/>
            <w:noWrap w:val="0"/>
            <w:vAlign w:val="center"/>
          </w:tcPr>
          <w:p w14:paraId="5722F156">
            <w:pPr>
              <w:pageBreakBefore w:val="0"/>
              <w:overflowPunct/>
              <w:topLinePunct w:val="0"/>
              <w:bidi w:val="0"/>
              <w:snapToGrid/>
              <w:spacing w:line="360" w:lineRule="auto"/>
              <w:ind w:left="0" w:leftChars="0" w:right="0" w:rightChars="0"/>
              <w:jc w:val="left"/>
              <w:rPr>
                <w:rFonts w:hint="eastAsia" w:ascii="楷体" w:hAnsi="楷体" w:eastAsia="楷体" w:cs="楷体"/>
                <w:bCs/>
                <w:color w:val="auto"/>
                <w:kern w:val="2"/>
                <w:sz w:val="21"/>
                <w:szCs w:val="21"/>
                <w:highlight w:val="none"/>
                <w:lang w:val="en-US" w:eastAsia="zh-CN" w:bidi="ar-SA"/>
              </w:rPr>
            </w:pPr>
            <w:r>
              <w:rPr>
                <w:rFonts w:hint="eastAsia" w:ascii="楷体" w:hAnsi="楷体" w:eastAsia="楷体" w:cs="楷体"/>
                <w:bCs/>
                <w:color w:val="auto"/>
                <w:sz w:val="21"/>
                <w:szCs w:val="21"/>
                <w:highlight w:val="none"/>
                <w:lang w:eastAsia="zh-CN"/>
              </w:rPr>
              <w:t>室内消火栓</w:t>
            </w:r>
          </w:p>
        </w:tc>
        <w:tc>
          <w:tcPr>
            <w:tcW w:w="2431" w:type="dxa"/>
            <w:shd w:val="clear" w:color="auto" w:fill="auto"/>
            <w:noWrap w:val="0"/>
            <w:vAlign w:val="center"/>
          </w:tcPr>
          <w:p w14:paraId="2FED0452">
            <w:pPr>
              <w:pageBreakBefore w:val="0"/>
              <w:overflowPunct/>
              <w:topLinePunct w:val="0"/>
              <w:bidi w:val="0"/>
              <w:snapToGrid/>
              <w:spacing w:line="360" w:lineRule="auto"/>
              <w:ind w:left="0" w:right="0" w:rightChars="0"/>
              <w:jc w:val="left"/>
              <w:rPr>
                <w:rFonts w:hint="eastAsia" w:ascii="楷体" w:hAnsi="楷体" w:eastAsia="楷体" w:cs="楷体"/>
                <w:bCs/>
                <w:color w:val="auto"/>
                <w:sz w:val="21"/>
                <w:szCs w:val="21"/>
                <w:highlight w:val="none"/>
                <w:lang w:eastAsia="zh-CN"/>
              </w:rPr>
            </w:pPr>
            <w:r>
              <w:rPr>
                <w:rFonts w:hint="eastAsia" w:ascii="楷体" w:hAnsi="楷体" w:eastAsia="楷体" w:cs="楷体"/>
                <w:bCs/>
                <w:color w:val="auto"/>
                <w:sz w:val="21"/>
                <w:szCs w:val="21"/>
                <w:highlight w:val="none"/>
                <w:lang w:eastAsia="zh-CN"/>
              </w:rPr>
              <w:t>GB 3445-2018等现行有效的企业标准、团体标准、地方标准及产品明示质量要求</w:t>
            </w:r>
          </w:p>
          <w:p w14:paraId="7CC43132">
            <w:pPr>
              <w:pageBreakBefore w:val="0"/>
              <w:overflowPunct/>
              <w:topLinePunct w:val="0"/>
              <w:bidi w:val="0"/>
              <w:snapToGrid/>
              <w:spacing w:line="360" w:lineRule="auto"/>
              <w:ind w:left="0" w:leftChars="0" w:right="0" w:rightChars="0"/>
              <w:jc w:val="left"/>
              <w:rPr>
                <w:rFonts w:hint="eastAsia" w:ascii="楷体" w:hAnsi="楷体" w:eastAsia="楷体" w:cs="楷体"/>
                <w:bCs/>
                <w:color w:val="auto"/>
                <w:kern w:val="2"/>
                <w:sz w:val="21"/>
                <w:szCs w:val="21"/>
                <w:highlight w:val="none"/>
                <w:lang w:val="en-US" w:eastAsia="zh-CN" w:bidi="ar-SA"/>
              </w:rPr>
            </w:pPr>
          </w:p>
        </w:tc>
        <w:tc>
          <w:tcPr>
            <w:tcW w:w="4451" w:type="dxa"/>
            <w:noWrap w:val="0"/>
            <w:vAlign w:val="top"/>
          </w:tcPr>
          <w:p w14:paraId="46E67487">
            <w:pPr>
              <w:keepNext w:val="0"/>
              <w:keepLines w:val="0"/>
              <w:pageBreakBefore w:val="0"/>
              <w:widowControl w:val="0"/>
              <w:kinsoku/>
              <w:wordWrap/>
              <w:overflowPunct/>
              <w:topLinePunct w:val="0"/>
              <w:autoSpaceDE/>
              <w:autoSpaceDN/>
              <w:bidi w:val="0"/>
              <w:adjustRightInd/>
              <w:snapToGrid/>
              <w:spacing w:line="360" w:lineRule="auto"/>
              <w:ind w:left="0" w:right="0" w:rightChars="0"/>
              <w:jc w:val="left"/>
              <w:textAlignment w:val="auto"/>
              <w:rPr>
                <w:rFonts w:hint="eastAsia" w:ascii="楷体" w:hAnsi="楷体" w:eastAsia="楷体" w:cs="楷体"/>
                <w:bCs/>
                <w:color w:val="auto"/>
                <w:sz w:val="21"/>
                <w:szCs w:val="21"/>
                <w:highlight w:val="none"/>
                <w:lang w:eastAsia="zh-CN"/>
              </w:rPr>
            </w:pPr>
            <w:r>
              <w:rPr>
                <w:rFonts w:hint="eastAsia" w:ascii="楷体" w:hAnsi="楷体" w:eastAsia="楷体" w:cs="楷体"/>
                <w:bCs/>
                <w:color w:val="auto"/>
                <w:sz w:val="21"/>
                <w:szCs w:val="21"/>
                <w:highlight w:val="none"/>
                <w:lang w:eastAsia="zh-CN"/>
              </w:rPr>
              <w:t>水压强度</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u w:val="none"/>
                <w:lang w:val="en-US" w:eastAsia="zh-CN"/>
              </w:rPr>
              <w:t>元；</w:t>
            </w:r>
            <w:r>
              <w:rPr>
                <w:rFonts w:hint="eastAsia" w:ascii="楷体" w:hAnsi="楷体" w:eastAsia="楷体" w:cs="楷体"/>
                <w:bCs/>
                <w:color w:val="auto"/>
                <w:sz w:val="21"/>
                <w:szCs w:val="21"/>
                <w:highlight w:val="none"/>
                <w:lang w:eastAsia="zh-CN"/>
              </w:rPr>
              <w:t>密封性能</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u w:val="none"/>
                <w:lang w:val="en-US" w:eastAsia="zh-CN"/>
              </w:rPr>
              <w:t>元</w:t>
            </w:r>
            <w:r>
              <w:rPr>
                <w:rFonts w:hint="eastAsia" w:ascii="楷体" w:hAnsi="楷体" w:eastAsia="楷体" w:cs="楷体"/>
                <w:b w:val="0"/>
                <w:bCs/>
                <w:sz w:val="21"/>
                <w:szCs w:val="21"/>
                <w:highlight w:val="none"/>
                <w:lang w:val="en-US" w:eastAsia="zh-CN"/>
              </w:rPr>
              <w:t>。</w:t>
            </w:r>
          </w:p>
        </w:tc>
        <w:tc>
          <w:tcPr>
            <w:tcW w:w="1672" w:type="dxa"/>
            <w:noWrap w:val="0"/>
            <w:vAlign w:val="center"/>
          </w:tcPr>
          <w:p w14:paraId="6A1BC98D">
            <w:pPr>
              <w:keepNext w:val="0"/>
              <w:keepLines w:val="0"/>
              <w:pageBreakBefore w:val="0"/>
              <w:widowControl w:val="0"/>
              <w:kinsoku/>
              <w:wordWrap/>
              <w:overflowPunct/>
              <w:topLinePunct w:val="0"/>
              <w:autoSpaceDE/>
              <w:autoSpaceDN/>
              <w:bidi w:val="0"/>
              <w:adjustRightInd/>
              <w:snapToGrid/>
              <w:spacing w:line="360" w:lineRule="auto"/>
              <w:ind w:left="0" w:right="0" w:rightChars="0"/>
              <w:jc w:val="right"/>
              <w:textAlignment w:val="auto"/>
              <w:rPr>
                <w:rFonts w:hint="eastAsia" w:ascii="楷体" w:hAnsi="楷体" w:eastAsia="楷体" w:cs="楷体"/>
                <w:b w:val="0"/>
                <w:bCs/>
                <w:sz w:val="21"/>
                <w:szCs w:val="21"/>
                <w:highlight w:val="none"/>
                <w:lang w:val="en-US" w:eastAsia="zh-CN"/>
              </w:rPr>
            </w:pPr>
            <w:r>
              <w:rPr>
                <w:rFonts w:hint="eastAsia" w:ascii="楷体" w:hAnsi="楷体" w:eastAsia="楷体" w:cs="楷体"/>
                <w:b w:val="0"/>
                <w:bCs/>
                <w:sz w:val="21"/>
                <w:szCs w:val="21"/>
                <w:highlight w:val="none"/>
                <w:lang w:val="en-US" w:eastAsia="zh-CN"/>
              </w:rPr>
              <w:t>元</w:t>
            </w:r>
          </w:p>
        </w:tc>
      </w:tr>
      <w:tr w14:paraId="0EFA8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1204" w:type="dxa"/>
            <w:shd w:val="clear" w:color="auto" w:fill="auto"/>
            <w:noWrap w:val="0"/>
            <w:vAlign w:val="center"/>
          </w:tcPr>
          <w:p w14:paraId="00E1B7A0">
            <w:pPr>
              <w:pageBreakBefore w:val="0"/>
              <w:overflowPunct/>
              <w:topLinePunct w:val="0"/>
              <w:bidi w:val="0"/>
              <w:snapToGrid/>
              <w:spacing w:line="360" w:lineRule="auto"/>
              <w:ind w:left="0" w:leftChars="0" w:right="0" w:rightChars="0"/>
              <w:jc w:val="left"/>
              <w:rPr>
                <w:rFonts w:hint="eastAsia" w:ascii="楷体" w:hAnsi="楷体" w:eastAsia="楷体" w:cs="楷体"/>
                <w:bCs/>
                <w:color w:val="auto"/>
                <w:kern w:val="2"/>
                <w:sz w:val="21"/>
                <w:szCs w:val="21"/>
                <w:highlight w:val="none"/>
                <w:lang w:val="en-US" w:eastAsia="zh-CN" w:bidi="ar-SA"/>
              </w:rPr>
            </w:pPr>
            <w:r>
              <w:rPr>
                <w:rFonts w:hint="eastAsia" w:ascii="楷体" w:hAnsi="楷体" w:eastAsia="楷体" w:cs="楷体"/>
                <w:bCs/>
                <w:color w:val="auto"/>
                <w:sz w:val="21"/>
                <w:szCs w:val="21"/>
                <w:highlight w:val="none"/>
                <w:lang w:eastAsia="zh-CN"/>
              </w:rPr>
              <w:t>防火门</w:t>
            </w:r>
          </w:p>
        </w:tc>
        <w:tc>
          <w:tcPr>
            <w:tcW w:w="2431" w:type="dxa"/>
            <w:shd w:val="clear" w:color="auto" w:fill="auto"/>
            <w:noWrap w:val="0"/>
            <w:vAlign w:val="center"/>
          </w:tcPr>
          <w:p w14:paraId="37D68BD6">
            <w:pPr>
              <w:pageBreakBefore w:val="0"/>
              <w:overflowPunct/>
              <w:topLinePunct w:val="0"/>
              <w:bidi w:val="0"/>
              <w:snapToGrid/>
              <w:spacing w:line="360" w:lineRule="auto"/>
              <w:ind w:left="0" w:right="0" w:rightChars="0"/>
              <w:jc w:val="left"/>
              <w:rPr>
                <w:rFonts w:hint="eastAsia" w:ascii="楷体" w:hAnsi="楷体" w:eastAsia="楷体" w:cs="楷体"/>
                <w:bCs/>
                <w:color w:val="auto"/>
                <w:sz w:val="21"/>
                <w:szCs w:val="21"/>
                <w:highlight w:val="none"/>
                <w:lang w:eastAsia="zh-CN"/>
              </w:rPr>
            </w:pPr>
            <w:r>
              <w:rPr>
                <w:rFonts w:hint="eastAsia" w:ascii="楷体" w:hAnsi="楷体" w:eastAsia="楷体" w:cs="楷体"/>
                <w:bCs/>
                <w:color w:val="auto"/>
                <w:sz w:val="21"/>
                <w:szCs w:val="21"/>
                <w:highlight w:val="none"/>
                <w:lang w:eastAsia="zh-CN"/>
              </w:rPr>
              <w:t>GB 12955-</w:t>
            </w:r>
            <w:r>
              <w:rPr>
                <w:rFonts w:hint="eastAsia" w:ascii="楷体" w:hAnsi="楷体" w:eastAsia="楷体" w:cs="楷体"/>
                <w:bCs/>
                <w:color w:val="auto"/>
                <w:sz w:val="21"/>
                <w:szCs w:val="21"/>
                <w:highlight w:val="none"/>
                <w:lang w:val="en-US" w:eastAsia="zh-CN"/>
              </w:rPr>
              <w:t>2008</w:t>
            </w:r>
            <w:r>
              <w:rPr>
                <w:rFonts w:hint="eastAsia" w:ascii="楷体" w:hAnsi="楷体" w:eastAsia="楷体" w:cs="楷体"/>
                <w:bCs/>
                <w:color w:val="auto"/>
                <w:sz w:val="21"/>
                <w:szCs w:val="21"/>
                <w:highlight w:val="none"/>
                <w:lang w:eastAsia="zh-CN"/>
              </w:rPr>
              <w:t>等现行有效的企业标准、团体标准、地方标准及产品明示质量要求</w:t>
            </w:r>
          </w:p>
          <w:p w14:paraId="46EB7146">
            <w:pPr>
              <w:pageBreakBefore w:val="0"/>
              <w:overflowPunct/>
              <w:topLinePunct w:val="0"/>
              <w:bidi w:val="0"/>
              <w:snapToGrid/>
              <w:spacing w:line="360" w:lineRule="auto"/>
              <w:ind w:left="0" w:leftChars="0" w:right="0" w:rightChars="0"/>
              <w:jc w:val="left"/>
              <w:rPr>
                <w:rFonts w:hint="eastAsia" w:ascii="楷体" w:hAnsi="楷体" w:eastAsia="楷体" w:cs="楷体"/>
                <w:bCs/>
                <w:color w:val="auto"/>
                <w:kern w:val="2"/>
                <w:sz w:val="21"/>
                <w:szCs w:val="21"/>
                <w:highlight w:val="none"/>
                <w:lang w:val="en-US" w:eastAsia="zh-CN" w:bidi="ar-SA"/>
              </w:rPr>
            </w:pPr>
          </w:p>
        </w:tc>
        <w:tc>
          <w:tcPr>
            <w:tcW w:w="4451" w:type="dxa"/>
            <w:noWrap w:val="0"/>
            <w:vAlign w:val="top"/>
          </w:tcPr>
          <w:p w14:paraId="580C8C02">
            <w:pPr>
              <w:keepNext w:val="0"/>
              <w:keepLines w:val="0"/>
              <w:pageBreakBefore w:val="0"/>
              <w:widowControl w:val="0"/>
              <w:kinsoku/>
              <w:wordWrap/>
              <w:overflowPunct/>
              <w:topLinePunct w:val="0"/>
              <w:autoSpaceDE/>
              <w:autoSpaceDN/>
              <w:bidi w:val="0"/>
              <w:adjustRightInd/>
              <w:snapToGrid/>
              <w:spacing w:line="360" w:lineRule="auto"/>
              <w:ind w:left="0" w:right="0" w:rightChars="0"/>
              <w:jc w:val="left"/>
              <w:textAlignment w:val="auto"/>
              <w:rPr>
                <w:rFonts w:hint="eastAsia" w:ascii="楷体" w:hAnsi="楷体" w:eastAsia="楷体" w:cs="楷体"/>
                <w:bCs/>
                <w:color w:val="auto"/>
                <w:sz w:val="21"/>
                <w:szCs w:val="21"/>
                <w:highlight w:val="none"/>
                <w:lang w:eastAsia="zh-CN"/>
              </w:rPr>
            </w:pPr>
            <w:r>
              <w:rPr>
                <w:rFonts w:hint="eastAsia" w:ascii="楷体" w:hAnsi="楷体" w:eastAsia="楷体" w:cs="楷体"/>
                <w:bCs/>
                <w:color w:val="auto"/>
                <w:sz w:val="21"/>
                <w:szCs w:val="21"/>
                <w:highlight w:val="none"/>
                <w:lang w:eastAsia="zh-CN"/>
              </w:rPr>
              <w:t>钢材-材质-冷轧钢材尺寸</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eastAsia="zh-CN"/>
              </w:rPr>
              <w:t>钢材-材质-热轧钢材尺寸</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eastAsia="zh-CN"/>
              </w:rPr>
              <w:t>人造板-含水率</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eastAsia="zh-CN"/>
              </w:rPr>
              <w:t>钢材-材料厚度</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eastAsia="zh-CN"/>
              </w:rPr>
              <w:t>防火插销</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eastAsia="zh-CN"/>
              </w:rPr>
              <w:t>盖缝板</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eastAsia="zh-CN"/>
              </w:rPr>
              <w:t>门扇质量</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u w:val="none"/>
                <w:lang w:val="en-US" w:eastAsia="zh-CN"/>
              </w:rPr>
              <w:t>元</w:t>
            </w:r>
            <w:r>
              <w:rPr>
                <w:rFonts w:hint="eastAsia" w:ascii="楷体" w:hAnsi="楷体" w:eastAsia="楷体" w:cs="楷体"/>
                <w:bCs/>
                <w:sz w:val="21"/>
                <w:szCs w:val="21"/>
                <w:highlight w:val="none"/>
                <w:lang w:val="en-US" w:eastAsia="zh-CN"/>
              </w:rPr>
              <w:t>；</w:t>
            </w:r>
            <w:r>
              <w:rPr>
                <w:rFonts w:hint="eastAsia" w:ascii="楷体" w:hAnsi="楷体" w:eastAsia="楷体" w:cs="楷体"/>
                <w:bCs/>
                <w:color w:val="auto"/>
                <w:sz w:val="21"/>
                <w:szCs w:val="21"/>
                <w:highlight w:val="none"/>
                <w:lang w:eastAsia="zh-CN"/>
              </w:rPr>
              <w:t>门扇高度</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u w:val="none"/>
                <w:lang w:val="en-US" w:eastAsia="zh-CN"/>
              </w:rPr>
              <w:t>元；</w:t>
            </w:r>
            <w:r>
              <w:rPr>
                <w:rFonts w:hint="eastAsia" w:ascii="楷体" w:hAnsi="楷体" w:eastAsia="楷体" w:cs="楷体"/>
                <w:bCs/>
                <w:color w:val="auto"/>
                <w:sz w:val="21"/>
                <w:szCs w:val="21"/>
                <w:highlight w:val="none"/>
                <w:lang w:eastAsia="zh-CN"/>
              </w:rPr>
              <w:t>门扇宽度</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u w:val="none"/>
                <w:lang w:val="en-US" w:eastAsia="zh-CN"/>
              </w:rPr>
              <w:t>元；</w:t>
            </w:r>
            <w:r>
              <w:rPr>
                <w:rFonts w:hint="eastAsia" w:ascii="楷体" w:hAnsi="楷体" w:eastAsia="楷体" w:cs="楷体"/>
                <w:bCs/>
                <w:color w:val="auto"/>
                <w:sz w:val="21"/>
                <w:szCs w:val="21"/>
                <w:highlight w:val="none"/>
                <w:lang w:eastAsia="zh-CN"/>
              </w:rPr>
              <w:t>门扇厚度</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eastAsia="zh-CN"/>
              </w:rPr>
              <w:t>门框内裁口高度</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eastAsia="zh-CN"/>
              </w:rPr>
              <w:t>门框内裁口宽度</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eastAsia="zh-CN"/>
              </w:rPr>
              <w:t>门框侧壁宽度</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eastAsia="zh-CN"/>
              </w:rPr>
              <w:t>门扇两对角线长度差</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eastAsia="zh-CN"/>
              </w:rPr>
              <w:t>门扇扭曲度</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eastAsia="zh-CN"/>
              </w:rPr>
              <w:t>门扇宽度（高度）方向弯曲度</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u w:val="none"/>
                <w:lang w:val="en-US" w:eastAsia="zh-CN"/>
              </w:rPr>
              <w:t>元</w:t>
            </w:r>
            <w:r>
              <w:rPr>
                <w:rFonts w:hint="eastAsia" w:ascii="楷体" w:hAnsi="楷体" w:eastAsia="楷体" w:cs="楷体"/>
                <w:bCs/>
                <w:sz w:val="21"/>
                <w:szCs w:val="21"/>
                <w:highlight w:val="none"/>
                <w:lang w:val="en-US" w:eastAsia="zh-CN"/>
              </w:rPr>
              <w:t>；</w:t>
            </w:r>
            <w:r>
              <w:rPr>
                <w:rFonts w:hint="eastAsia" w:ascii="楷体" w:hAnsi="楷体" w:eastAsia="楷体" w:cs="楷体"/>
                <w:bCs/>
                <w:color w:val="auto"/>
                <w:sz w:val="21"/>
                <w:szCs w:val="21"/>
                <w:highlight w:val="none"/>
                <w:lang w:eastAsia="zh-CN"/>
              </w:rPr>
              <w:t>门扇内裁口两对角线长度差</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u w:val="none"/>
                <w:lang w:val="en-US" w:eastAsia="zh-CN"/>
              </w:rPr>
              <w:t>元；</w:t>
            </w:r>
            <w:r>
              <w:rPr>
                <w:rFonts w:hint="eastAsia" w:ascii="楷体" w:hAnsi="楷体" w:eastAsia="楷体" w:cs="楷体"/>
                <w:bCs/>
                <w:color w:val="auto"/>
                <w:sz w:val="21"/>
                <w:szCs w:val="21"/>
                <w:highlight w:val="none"/>
                <w:lang w:eastAsia="zh-CN"/>
              </w:rPr>
              <w:t>门扇与门框的搭接尺寸</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u w:val="none"/>
                <w:lang w:val="en-US" w:eastAsia="zh-CN"/>
              </w:rPr>
              <w:t>元；</w:t>
            </w:r>
            <w:r>
              <w:rPr>
                <w:rFonts w:hint="eastAsia" w:ascii="楷体" w:hAnsi="楷体" w:eastAsia="楷体" w:cs="楷体"/>
                <w:bCs/>
                <w:color w:val="auto"/>
                <w:sz w:val="21"/>
                <w:szCs w:val="21"/>
                <w:highlight w:val="none"/>
                <w:lang w:eastAsia="zh-CN"/>
              </w:rPr>
              <w:t>门扇与门框的配合活动间隙</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u w:val="none"/>
                <w:lang w:val="en-US" w:eastAsia="zh-CN"/>
              </w:rPr>
              <w:t>元</w:t>
            </w:r>
            <w:r>
              <w:rPr>
                <w:rFonts w:hint="eastAsia" w:ascii="楷体" w:hAnsi="楷体" w:eastAsia="楷体" w:cs="楷体"/>
                <w:bCs/>
                <w:sz w:val="21"/>
                <w:szCs w:val="21"/>
                <w:highlight w:val="none"/>
                <w:lang w:val="en-US" w:eastAsia="zh-CN"/>
              </w:rPr>
              <w:t>；</w:t>
            </w:r>
            <w:r>
              <w:rPr>
                <w:rFonts w:hint="eastAsia" w:ascii="楷体" w:hAnsi="楷体" w:eastAsia="楷体" w:cs="楷体"/>
                <w:bCs/>
                <w:color w:val="auto"/>
                <w:sz w:val="21"/>
                <w:szCs w:val="21"/>
                <w:highlight w:val="none"/>
                <w:lang w:eastAsia="zh-CN"/>
              </w:rPr>
              <w:t>门扇与门框的贴合面间隙</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u w:val="none"/>
                <w:lang w:val="en-US" w:eastAsia="zh-CN"/>
              </w:rPr>
              <w:t>元；</w:t>
            </w:r>
            <w:r>
              <w:rPr>
                <w:rFonts w:hint="eastAsia" w:ascii="楷体" w:hAnsi="楷体" w:eastAsia="楷体" w:cs="楷体"/>
                <w:bCs/>
                <w:color w:val="auto"/>
                <w:sz w:val="21"/>
                <w:szCs w:val="21"/>
                <w:highlight w:val="none"/>
                <w:lang w:eastAsia="zh-CN"/>
              </w:rPr>
              <w:t>门的开面上门框与门扇的平面高低差</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u w:val="none"/>
                <w:lang w:val="en-US" w:eastAsia="zh-CN"/>
              </w:rPr>
              <w:t>元；</w:t>
            </w:r>
            <w:r>
              <w:rPr>
                <w:rFonts w:hint="eastAsia" w:ascii="楷体" w:hAnsi="楷体" w:eastAsia="楷体" w:cs="楷体"/>
                <w:bCs/>
                <w:color w:val="auto"/>
                <w:sz w:val="21"/>
                <w:szCs w:val="21"/>
                <w:highlight w:val="none"/>
                <w:lang w:eastAsia="zh-CN"/>
              </w:rPr>
              <w:t>灵活性</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u w:val="none"/>
                <w:lang w:val="en-US" w:eastAsia="zh-CN"/>
              </w:rPr>
              <w:t>元</w:t>
            </w:r>
            <w:r>
              <w:rPr>
                <w:rFonts w:hint="eastAsia" w:ascii="楷体" w:hAnsi="楷体" w:eastAsia="楷体" w:cs="楷体"/>
                <w:bCs/>
                <w:sz w:val="21"/>
                <w:szCs w:val="21"/>
                <w:highlight w:val="none"/>
                <w:lang w:val="en-US" w:eastAsia="zh-CN"/>
              </w:rPr>
              <w:t>；启闭</w:t>
            </w:r>
            <w:r>
              <w:rPr>
                <w:rFonts w:hint="eastAsia" w:ascii="楷体" w:hAnsi="楷体" w:eastAsia="楷体" w:cs="楷体"/>
                <w:bCs/>
                <w:color w:val="auto"/>
                <w:sz w:val="21"/>
                <w:szCs w:val="21"/>
                <w:highlight w:val="none"/>
                <w:lang w:eastAsia="zh-CN"/>
              </w:rPr>
              <w:t>灵活性</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u w:val="none"/>
                <w:lang w:val="en-US" w:eastAsia="zh-CN"/>
              </w:rPr>
              <w:t>元</w:t>
            </w:r>
            <w:r>
              <w:rPr>
                <w:rFonts w:hint="eastAsia" w:ascii="楷体" w:hAnsi="楷体" w:eastAsia="楷体" w:cs="楷体"/>
                <w:bCs/>
                <w:sz w:val="21"/>
                <w:szCs w:val="21"/>
                <w:highlight w:val="none"/>
                <w:lang w:val="en-US" w:eastAsia="zh-CN"/>
              </w:rPr>
              <w:t>；</w:t>
            </w:r>
            <w:r>
              <w:rPr>
                <w:rFonts w:hint="eastAsia" w:ascii="楷体" w:hAnsi="楷体" w:eastAsia="楷体" w:cs="楷体"/>
                <w:bCs/>
                <w:color w:val="auto"/>
                <w:sz w:val="21"/>
                <w:szCs w:val="21"/>
                <w:highlight w:val="none"/>
                <w:lang w:eastAsia="zh-CN"/>
              </w:rPr>
              <w:t>门扇开启力</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u w:val="none"/>
                <w:lang w:val="en-US" w:eastAsia="zh-CN"/>
              </w:rPr>
              <w:t>元；</w:t>
            </w:r>
            <w:r>
              <w:rPr>
                <w:rFonts w:hint="eastAsia" w:ascii="楷体" w:hAnsi="楷体" w:eastAsia="楷体" w:cs="楷体"/>
                <w:bCs/>
                <w:color w:val="auto"/>
                <w:sz w:val="21"/>
                <w:szCs w:val="21"/>
                <w:highlight w:val="none"/>
                <w:lang w:eastAsia="zh-CN"/>
              </w:rPr>
              <w:t>耐火性能</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u w:val="none"/>
                <w:lang w:val="en-US" w:eastAsia="zh-CN"/>
              </w:rPr>
              <w:t>元。</w:t>
            </w:r>
          </w:p>
        </w:tc>
        <w:tc>
          <w:tcPr>
            <w:tcW w:w="1672" w:type="dxa"/>
            <w:noWrap w:val="0"/>
            <w:vAlign w:val="center"/>
          </w:tcPr>
          <w:p w14:paraId="568301A4">
            <w:pPr>
              <w:keepNext w:val="0"/>
              <w:keepLines w:val="0"/>
              <w:pageBreakBefore w:val="0"/>
              <w:widowControl w:val="0"/>
              <w:kinsoku/>
              <w:wordWrap/>
              <w:overflowPunct/>
              <w:topLinePunct w:val="0"/>
              <w:autoSpaceDE/>
              <w:autoSpaceDN/>
              <w:bidi w:val="0"/>
              <w:adjustRightInd/>
              <w:snapToGrid/>
              <w:spacing w:line="360" w:lineRule="auto"/>
              <w:ind w:left="0" w:right="0" w:rightChars="0"/>
              <w:jc w:val="right"/>
              <w:textAlignment w:val="auto"/>
              <w:rPr>
                <w:rFonts w:hint="eastAsia" w:ascii="楷体" w:hAnsi="楷体" w:eastAsia="楷体" w:cs="楷体"/>
                <w:b w:val="0"/>
                <w:bCs/>
                <w:sz w:val="21"/>
                <w:szCs w:val="21"/>
                <w:highlight w:val="none"/>
                <w:lang w:val="en-US" w:eastAsia="zh-CN"/>
              </w:rPr>
            </w:pPr>
            <w:r>
              <w:rPr>
                <w:rFonts w:hint="eastAsia" w:ascii="楷体" w:hAnsi="楷体" w:eastAsia="楷体" w:cs="楷体"/>
                <w:b w:val="0"/>
                <w:bCs/>
                <w:sz w:val="21"/>
                <w:szCs w:val="21"/>
                <w:highlight w:val="none"/>
                <w:lang w:val="en-US" w:eastAsia="zh-CN"/>
              </w:rPr>
              <w:t>元</w:t>
            </w:r>
          </w:p>
        </w:tc>
      </w:tr>
      <w:tr w14:paraId="40DC7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2" w:hRule="atLeast"/>
        </w:trPr>
        <w:tc>
          <w:tcPr>
            <w:tcW w:w="1204" w:type="dxa"/>
            <w:shd w:val="clear" w:color="auto" w:fill="auto"/>
            <w:noWrap w:val="0"/>
            <w:vAlign w:val="center"/>
          </w:tcPr>
          <w:p w14:paraId="67AAB84E">
            <w:pPr>
              <w:pageBreakBefore w:val="0"/>
              <w:overflowPunct/>
              <w:topLinePunct w:val="0"/>
              <w:bidi w:val="0"/>
              <w:snapToGrid/>
              <w:spacing w:line="360" w:lineRule="auto"/>
              <w:ind w:left="0" w:leftChars="0" w:right="0" w:rightChars="0"/>
              <w:jc w:val="left"/>
              <w:rPr>
                <w:rFonts w:hint="eastAsia" w:ascii="楷体" w:hAnsi="楷体" w:eastAsia="楷体" w:cs="楷体"/>
                <w:bCs/>
                <w:color w:val="auto"/>
                <w:kern w:val="2"/>
                <w:sz w:val="21"/>
                <w:szCs w:val="21"/>
                <w:highlight w:val="none"/>
                <w:lang w:val="en-US" w:eastAsia="zh-CN" w:bidi="ar-SA"/>
              </w:rPr>
            </w:pPr>
            <w:r>
              <w:rPr>
                <w:rFonts w:hint="eastAsia" w:ascii="楷体" w:hAnsi="楷体" w:eastAsia="楷体" w:cs="楷体"/>
                <w:bCs/>
                <w:color w:val="auto"/>
                <w:sz w:val="21"/>
                <w:szCs w:val="21"/>
                <w:highlight w:val="none"/>
                <w:lang w:eastAsia="zh-CN"/>
              </w:rPr>
              <w:t>防火玻璃</w:t>
            </w:r>
          </w:p>
        </w:tc>
        <w:tc>
          <w:tcPr>
            <w:tcW w:w="2431" w:type="dxa"/>
            <w:shd w:val="clear" w:color="auto" w:fill="auto"/>
            <w:noWrap w:val="0"/>
            <w:vAlign w:val="center"/>
          </w:tcPr>
          <w:p w14:paraId="56723FC6">
            <w:pPr>
              <w:pageBreakBefore w:val="0"/>
              <w:overflowPunct/>
              <w:topLinePunct w:val="0"/>
              <w:bidi w:val="0"/>
              <w:snapToGrid/>
              <w:spacing w:line="360" w:lineRule="auto"/>
              <w:ind w:left="0" w:right="0" w:rightChars="0"/>
              <w:jc w:val="left"/>
              <w:rPr>
                <w:rFonts w:hint="eastAsia" w:ascii="楷体" w:hAnsi="楷体" w:eastAsia="楷体" w:cs="楷体"/>
                <w:bCs/>
                <w:color w:val="auto"/>
                <w:sz w:val="21"/>
                <w:szCs w:val="21"/>
                <w:highlight w:val="none"/>
                <w:lang w:eastAsia="zh-CN"/>
              </w:rPr>
            </w:pPr>
            <w:r>
              <w:rPr>
                <w:rFonts w:hint="eastAsia" w:ascii="楷体" w:hAnsi="楷体" w:eastAsia="楷体" w:cs="楷体"/>
                <w:bCs/>
                <w:color w:val="auto"/>
                <w:sz w:val="21"/>
                <w:szCs w:val="21"/>
                <w:highlight w:val="none"/>
                <w:lang w:eastAsia="zh-CN"/>
              </w:rPr>
              <w:t>GB 15763.1-2009等现行有效的企业标准、团体标准、地方标准及产品明示质量要求</w:t>
            </w:r>
          </w:p>
          <w:p w14:paraId="5AF04BFF">
            <w:pPr>
              <w:pageBreakBefore w:val="0"/>
              <w:overflowPunct/>
              <w:topLinePunct w:val="0"/>
              <w:bidi w:val="0"/>
              <w:snapToGrid/>
              <w:spacing w:line="360" w:lineRule="auto"/>
              <w:ind w:left="0" w:leftChars="0" w:right="0" w:rightChars="0"/>
              <w:jc w:val="left"/>
              <w:rPr>
                <w:rFonts w:hint="eastAsia" w:ascii="楷体" w:hAnsi="楷体" w:eastAsia="楷体" w:cs="楷体"/>
                <w:bCs/>
                <w:color w:val="auto"/>
                <w:kern w:val="2"/>
                <w:sz w:val="21"/>
                <w:szCs w:val="21"/>
                <w:highlight w:val="none"/>
                <w:lang w:val="en-US" w:eastAsia="zh-CN" w:bidi="ar-SA"/>
              </w:rPr>
            </w:pPr>
          </w:p>
        </w:tc>
        <w:tc>
          <w:tcPr>
            <w:tcW w:w="4451" w:type="dxa"/>
            <w:noWrap w:val="0"/>
            <w:vAlign w:val="top"/>
          </w:tcPr>
          <w:p w14:paraId="4891445B">
            <w:pPr>
              <w:keepNext w:val="0"/>
              <w:keepLines w:val="0"/>
              <w:pageBreakBefore w:val="0"/>
              <w:widowControl w:val="0"/>
              <w:kinsoku/>
              <w:wordWrap/>
              <w:overflowPunct/>
              <w:topLinePunct w:val="0"/>
              <w:autoSpaceDE/>
              <w:autoSpaceDN/>
              <w:bidi w:val="0"/>
              <w:adjustRightInd/>
              <w:snapToGrid/>
              <w:spacing w:line="360" w:lineRule="auto"/>
              <w:ind w:left="0" w:right="0" w:rightChars="0"/>
              <w:jc w:val="left"/>
              <w:textAlignment w:val="auto"/>
              <w:rPr>
                <w:rFonts w:hint="eastAsia" w:ascii="楷体" w:hAnsi="楷体" w:eastAsia="楷体" w:cs="楷体"/>
                <w:bCs/>
                <w:sz w:val="21"/>
                <w:szCs w:val="21"/>
                <w:highlight w:val="none"/>
                <w:lang w:val="en-US" w:eastAsia="zh-CN"/>
              </w:rPr>
            </w:pPr>
            <w:r>
              <w:rPr>
                <w:rFonts w:hint="eastAsia" w:ascii="楷体" w:hAnsi="楷体" w:eastAsia="楷体" w:cs="楷体"/>
                <w:bCs/>
                <w:color w:val="auto"/>
                <w:sz w:val="21"/>
                <w:szCs w:val="21"/>
                <w:highlight w:val="none"/>
                <w:lang w:eastAsia="zh-CN"/>
              </w:rPr>
              <w:t>耐热性能</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eastAsia="zh-CN"/>
              </w:rPr>
              <w:t>耐寒性能</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eastAsia="zh-CN"/>
              </w:rPr>
              <w:t>耐火性能</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eastAsia="zh-CN"/>
              </w:rPr>
              <w:t>可见光透射比</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u w:val="none"/>
                <w:lang w:val="en-US" w:eastAsia="zh-CN"/>
              </w:rPr>
              <w:t>元</w:t>
            </w:r>
            <w:r>
              <w:rPr>
                <w:rFonts w:hint="eastAsia" w:ascii="楷体" w:hAnsi="楷体" w:eastAsia="楷体" w:cs="楷体"/>
                <w:b w:val="0"/>
                <w:bCs/>
                <w:sz w:val="21"/>
                <w:szCs w:val="21"/>
                <w:highlight w:val="none"/>
                <w:lang w:val="en-US" w:eastAsia="zh-CN"/>
              </w:rPr>
              <w:t>。</w:t>
            </w:r>
          </w:p>
        </w:tc>
        <w:tc>
          <w:tcPr>
            <w:tcW w:w="1672" w:type="dxa"/>
            <w:noWrap w:val="0"/>
            <w:vAlign w:val="center"/>
          </w:tcPr>
          <w:p w14:paraId="3CDC28EA">
            <w:pPr>
              <w:keepNext w:val="0"/>
              <w:keepLines w:val="0"/>
              <w:pageBreakBefore w:val="0"/>
              <w:widowControl w:val="0"/>
              <w:kinsoku/>
              <w:wordWrap/>
              <w:overflowPunct/>
              <w:topLinePunct w:val="0"/>
              <w:autoSpaceDE/>
              <w:autoSpaceDN/>
              <w:bidi w:val="0"/>
              <w:adjustRightInd/>
              <w:snapToGrid/>
              <w:spacing w:line="360" w:lineRule="auto"/>
              <w:ind w:left="0" w:right="0" w:rightChars="0"/>
              <w:jc w:val="right"/>
              <w:textAlignment w:val="auto"/>
              <w:rPr>
                <w:rFonts w:hint="eastAsia" w:ascii="楷体" w:hAnsi="楷体" w:eastAsia="楷体" w:cs="楷体"/>
                <w:b w:val="0"/>
                <w:bCs/>
                <w:sz w:val="21"/>
                <w:szCs w:val="21"/>
                <w:highlight w:val="none"/>
                <w:lang w:val="en-US" w:eastAsia="zh-CN"/>
              </w:rPr>
            </w:pPr>
            <w:r>
              <w:rPr>
                <w:rFonts w:hint="eastAsia" w:ascii="楷体" w:hAnsi="楷体" w:eastAsia="楷体" w:cs="楷体"/>
                <w:b w:val="0"/>
                <w:bCs/>
                <w:sz w:val="21"/>
                <w:szCs w:val="21"/>
                <w:highlight w:val="none"/>
                <w:lang w:val="en-US" w:eastAsia="zh-CN"/>
              </w:rPr>
              <w:t>元</w:t>
            </w:r>
          </w:p>
        </w:tc>
      </w:tr>
      <w:tr w14:paraId="507D1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2" w:hRule="atLeast"/>
        </w:trPr>
        <w:tc>
          <w:tcPr>
            <w:tcW w:w="1204" w:type="dxa"/>
            <w:shd w:val="clear" w:color="auto" w:fill="auto"/>
            <w:noWrap w:val="0"/>
            <w:vAlign w:val="center"/>
          </w:tcPr>
          <w:p w14:paraId="2E6F6046">
            <w:pPr>
              <w:pageBreakBefore w:val="0"/>
              <w:overflowPunct/>
              <w:topLinePunct w:val="0"/>
              <w:bidi w:val="0"/>
              <w:snapToGrid/>
              <w:spacing w:line="360" w:lineRule="auto"/>
              <w:ind w:left="0" w:leftChars="0" w:right="0" w:rightChars="0"/>
              <w:jc w:val="left"/>
              <w:rPr>
                <w:rFonts w:hint="eastAsia" w:ascii="楷体" w:hAnsi="楷体" w:eastAsia="楷体" w:cs="楷体"/>
                <w:b w:val="0"/>
                <w:bCs/>
                <w:sz w:val="21"/>
                <w:szCs w:val="21"/>
                <w:highlight w:val="none"/>
                <w:lang w:val="en-US" w:eastAsia="zh-CN"/>
              </w:rPr>
            </w:pPr>
            <w:r>
              <w:rPr>
                <w:rFonts w:hint="eastAsia" w:ascii="楷体" w:hAnsi="楷体" w:eastAsia="楷体" w:cs="楷体"/>
                <w:bCs/>
                <w:color w:val="auto"/>
                <w:sz w:val="21"/>
                <w:szCs w:val="21"/>
                <w:highlight w:val="none"/>
                <w:lang w:eastAsia="zh-CN"/>
              </w:rPr>
              <w:t>防火窗</w:t>
            </w:r>
          </w:p>
        </w:tc>
        <w:tc>
          <w:tcPr>
            <w:tcW w:w="2431" w:type="dxa"/>
            <w:shd w:val="clear" w:color="auto" w:fill="auto"/>
            <w:noWrap w:val="0"/>
            <w:vAlign w:val="center"/>
          </w:tcPr>
          <w:p w14:paraId="04C01854">
            <w:pPr>
              <w:pageBreakBefore w:val="0"/>
              <w:overflowPunct/>
              <w:topLinePunct w:val="0"/>
              <w:bidi w:val="0"/>
              <w:snapToGrid/>
              <w:spacing w:line="360" w:lineRule="auto"/>
              <w:ind w:left="0" w:right="0" w:rightChars="0"/>
              <w:jc w:val="left"/>
              <w:rPr>
                <w:rFonts w:hint="eastAsia" w:ascii="楷体" w:hAnsi="楷体" w:eastAsia="楷体" w:cs="楷体"/>
                <w:bCs/>
                <w:color w:val="auto"/>
                <w:sz w:val="21"/>
                <w:szCs w:val="21"/>
                <w:highlight w:val="none"/>
                <w:lang w:eastAsia="zh-CN"/>
              </w:rPr>
            </w:pPr>
            <w:r>
              <w:rPr>
                <w:rFonts w:hint="eastAsia" w:ascii="楷体" w:hAnsi="楷体" w:eastAsia="楷体" w:cs="楷体"/>
                <w:bCs/>
                <w:color w:val="auto"/>
                <w:sz w:val="21"/>
                <w:szCs w:val="21"/>
                <w:highlight w:val="none"/>
                <w:lang w:eastAsia="zh-CN"/>
              </w:rPr>
              <w:t>GB 16809-</w:t>
            </w:r>
            <w:r>
              <w:rPr>
                <w:rFonts w:hint="eastAsia" w:ascii="楷体" w:hAnsi="楷体" w:eastAsia="楷体" w:cs="楷体"/>
                <w:bCs/>
                <w:color w:val="auto"/>
                <w:sz w:val="21"/>
                <w:szCs w:val="21"/>
                <w:highlight w:val="none"/>
                <w:lang w:val="en-US" w:eastAsia="zh-CN"/>
              </w:rPr>
              <w:t>2008</w:t>
            </w:r>
            <w:r>
              <w:rPr>
                <w:rFonts w:hint="eastAsia" w:ascii="楷体" w:hAnsi="楷体" w:eastAsia="楷体" w:cs="楷体"/>
                <w:bCs/>
                <w:color w:val="auto"/>
                <w:sz w:val="21"/>
                <w:szCs w:val="21"/>
                <w:highlight w:val="none"/>
                <w:lang w:eastAsia="zh-CN"/>
              </w:rPr>
              <w:t>等现行有效的企业标准、团体标准、地方标准及产品明示质量要求</w:t>
            </w:r>
          </w:p>
          <w:p w14:paraId="503ABDBB">
            <w:pPr>
              <w:pageBreakBefore w:val="0"/>
              <w:overflowPunct/>
              <w:topLinePunct w:val="0"/>
              <w:bidi w:val="0"/>
              <w:snapToGrid/>
              <w:spacing w:line="360" w:lineRule="auto"/>
              <w:ind w:left="0" w:leftChars="0" w:right="0" w:rightChars="0"/>
              <w:jc w:val="left"/>
              <w:rPr>
                <w:rFonts w:hint="eastAsia" w:ascii="楷体" w:hAnsi="楷体" w:eastAsia="楷体" w:cs="楷体"/>
                <w:b w:val="0"/>
                <w:bCs/>
                <w:sz w:val="21"/>
                <w:szCs w:val="21"/>
                <w:highlight w:val="none"/>
                <w:lang w:val="en-US" w:eastAsia="zh-CN"/>
              </w:rPr>
            </w:pPr>
          </w:p>
        </w:tc>
        <w:tc>
          <w:tcPr>
            <w:tcW w:w="4451" w:type="dxa"/>
            <w:noWrap w:val="0"/>
            <w:vAlign w:val="top"/>
          </w:tcPr>
          <w:p w14:paraId="0E8F394E">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left"/>
              <w:textAlignment w:val="auto"/>
              <w:rPr>
                <w:rFonts w:hint="eastAsia" w:ascii="楷体" w:hAnsi="楷体" w:eastAsia="楷体" w:cs="楷体"/>
                <w:bCs/>
                <w:color w:val="auto"/>
                <w:sz w:val="21"/>
                <w:szCs w:val="21"/>
                <w:highlight w:val="none"/>
                <w:lang w:val="en-US" w:eastAsia="zh-CN"/>
              </w:rPr>
            </w:pPr>
            <w:r>
              <w:rPr>
                <w:rFonts w:hint="eastAsia" w:ascii="楷体" w:hAnsi="楷体" w:eastAsia="楷体" w:cs="楷体"/>
                <w:bCs/>
                <w:color w:val="auto"/>
                <w:sz w:val="21"/>
                <w:szCs w:val="21"/>
                <w:highlight w:val="none"/>
                <w:lang w:eastAsia="zh-CN"/>
              </w:rPr>
              <w:t>防火窗的尺寸偏差</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eastAsia="zh-CN"/>
              </w:rPr>
              <w:t>活动窗扇的尺寸偏差</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eastAsia="zh-CN"/>
              </w:rPr>
              <w:t>活动窗扇与窗框的搭接宽度偏差</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eastAsia="zh-CN"/>
              </w:rPr>
              <w:t>窗扇扭曲度</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eastAsia="zh-CN"/>
              </w:rPr>
              <w:t>窗扇关闭可靠性</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eastAsia="zh-CN"/>
              </w:rPr>
              <w:t>窗扇自动关闭时间</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eastAsia="zh-CN"/>
              </w:rPr>
              <w:t>耐火性能</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u w:val="none"/>
                <w:lang w:val="en-US" w:eastAsia="zh-CN"/>
              </w:rPr>
              <w:t>元</w:t>
            </w:r>
            <w:r>
              <w:rPr>
                <w:rFonts w:hint="eastAsia" w:ascii="楷体" w:hAnsi="楷体" w:eastAsia="楷体" w:cs="楷体"/>
                <w:b w:val="0"/>
                <w:bCs/>
                <w:sz w:val="21"/>
                <w:szCs w:val="21"/>
                <w:highlight w:val="none"/>
                <w:lang w:val="en-US" w:eastAsia="zh-CN"/>
              </w:rPr>
              <w:t>。</w:t>
            </w:r>
          </w:p>
        </w:tc>
        <w:tc>
          <w:tcPr>
            <w:tcW w:w="1672" w:type="dxa"/>
            <w:noWrap w:val="0"/>
            <w:vAlign w:val="center"/>
          </w:tcPr>
          <w:p w14:paraId="49BD8381">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right"/>
              <w:textAlignment w:val="auto"/>
              <w:rPr>
                <w:rFonts w:hint="eastAsia" w:ascii="楷体" w:hAnsi="楷体" w:eastAsia="楷体" w:cs="楷体"/>
                <w:b w:val="0"/>
                <w:bCs/>
                <w:sz w:val="21"/>
                <w:szCs w:val="21"/>
                <w:highlight w:val="none"/>
                <w:lang w:val="en-US" w:eastAsia="zh-CN"/>
              </w:rPr>
            </w:pPr>
            <w:r>
              <w:rPr>
                <w:rFonts w:hint="eastAsia" w:ascii="楷体" w:hAnsi="楷体" w:eastAsia="楷体" w:cs="楷体"/>
                <w:b w:val="0"/>
                <w:bCs/>
                <w:sz w:val="21"/>
                <w:szCs w:val="21"/>
                <w:highlight w:val="none"/>
                <w:lang w:val="en-US" w:eastAsia="zh-CN"/>
              </w:rPr>
              <w:t>元</w:t>
            </w:r>
          </w:p>
        </w:tc>
      </w:tr>
      <w:tr w14:paraId="193BA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2" w:hRule="atLeast"/>
        </w:trPr>
        <w:tc>
          <w:tcPr>
            <w:tcW w:w="1204" w:type="dxa"/>
            <w:shd w:val="clear" w:color="auto" w:fill="auto"/>
            <w:noWrap w:val="0"/>
            <w:vAlign w:val="center"/>
          </w:tcPr>
          <w:p w14:paraId="24FE4CD9">
            <w:pPr>
              <w:pageBreakBefore w:val="0"/>
              <w:overflowPunct/>
              <w:topLinePunct w:val="0"/>
              <w:bidi w:val="0"/>
              <w:snapToGrid/>
              <w:spacing w:line="360" w:lineRule="auto"/>
              <w:ind w:left="0" w:leftChars="0" w:right="0" w:rightChars="0"/>
              <w:jc w:val="left"/>
              <w:rPr>
                <w:rFonts w:hint="eastAsia" w:ascii="楷体" w:hAnsi="楷体" w:eastAsia="楷体" w:cs="楷体"/>
                <w:bCs/>
                <w:color w:val="auto"/>
                <w:kern w:val="2"/>
                <w:sz w:val="21"/>
                <w:szCs w:val="21"/>
                <w:highlight w:val="none"/>
                <w:lang w:val="en-US" w:eastAsia="zh-CN" w:bidi="ar-SA"/>
              </w:rPr>
            </w:pPr>
            <w:r>
              <w:rPr>
                <w:rFonts w:hint="eastAsia" w:ascii="楷体" w:hAnsi="楷体" w:eastAsia="楷体" w:cs="楷体"/>
                <w:bCs/>
                <w:color w:val="auto"/>
                <w:sz w:val="21"/>
                <w:szCs w:val="21"/>
                <w:highlight w:val="none"/>
                <w:lang w:eastAsia="zh-CN"/>
              </w:rPr>
              <w:t>消防水枪</w:t>
            </w:r>
          </w:p>
        </w:tc>
        <w:tc>
          <w:tcPr>
            <w:tcW w:w="2431" w:type="dxa"/>
            <w:shd w:val="clear" w:color="auto" w:fill="auto"/>
            <w:noWrap w:val="0"/>
            <w:vAlign w:val="center"/>
          </w:tcPr>
          <w:p w14:paraId="2F6604AA">
            <w:pPr>
              <w:pageBreakBefore w:val="0"/>
              <w:overflowPunct/>
              <w:topLinePunct w:val="0"/>
              <w:bidi w:val="0"/>
              <w:snapToGrid/>
              <w:spacing w:line="360" w:lineRule="auto"/>
              <w:ind w:left="0" w:right="0" w:rightChars="0"/>
              <w:jc w:val="left"/>
              <w:rPr>
                <w:rFonts w:hint="eastAsia" w:ascii="楷体" w:hAnsi="楷体" w:eastAsia="楷体" w:cs="楷体"/>
                <w:bCs/>
                <w:color w:val="auto"/>
                <w:sz w:val="21"/>
                <w:szCs w:val="21"/>
                <w:highlight w:val="none"/>
                <w:lang w:eastAsia="zh-CN"/>
              </w:rPr>
            </w:pPr>
            <w:r>
              <w:rPr>
                <w:rFonts w:hint="eastAsia" w:ascii="楷体" w:hAnsi="楷体" w:eastAsia="楷体" w:cs="楷体"/>
                <w:bCs/>
                <w:color w:val="auto"/>
                <w:sz w:val="21"/>
                <w:szCs w:val="21"/>
                <w:highlight w:val="none"/>
                <w:lang w:eastAsia="zh-CN"/>
              </w:rPr>
              <w:t>GB 8181-2005等现行有效的企业标准、团体标准、地方标准及产品明示质量要求</w:t>
            </w:r>
          </w:p>
          <w:p w14:paraId="22F45841">
            <w:pPr>
              <w:pageBreakBefore w:val="0"/>
              <w:overflowPunct/>
              <w:topLinePunct w:val="0"/>
              <w:bidi w:val="0"/>
              <w:snapToGrid/>
              <w:spacing w:line="360" w:lineRule="auto"/>
              <w:ind w:left="0" w:leftChars="0" w:right="0" w:rightChars="0"/>
              <w:jc w:val="left"/>
              <w:rPr>
                <w:rFonts w:hint="eastAsia" w:ascii="楷体" w:hAnsi="楷体" w:eastAsia="楷体" w:cs="楷体"/>
                <w:bCs/>
                <w:color w:val="auto"/>
                <w:kern w:val="2"/>
                <w:sz w:val="21"/>
                <w:szCs w:val="21"/>
                <w:highlight w:val="none"/>
                <w:lang w:val="en-US" w:eastAsia="zh-CN" w:bidi="ar-SA"/>
              </w:rPr>
            </w:pPr>
          </w:p>
        </w:tc>
        <w:tc>
          <w:tcPr>
            <w:tcW w:w="4451" w:type="dxa"/>
            <w:noWrap w:val="0"/>
            <w:vAlign w:val="top"/>
          </w:tcPr>
          <w:p w14:paraId="4FAAE6EA">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left"/>
              <w:textAlignment w:val="auto"/>
              <w:rPr>
                <w:rFonts w:hint="eastAsia" w:ascii="楷体" w:hAnsi="楷体" w:eastAsia="楷体" w:cs="楷体"/>
                <w:bCs/>
                <w:color w:val="auto"/>
                <w:sz w:val="21"/>
                <w:szCs w:val="21"/>
                <w:highlight w:val="none"/>
                <w:lang w:val="en-US" w:eastAsia="zh-CN"/>
              </w:rPr>
            </w:pPr>
            <w:r>
              <w:rPr>
                <w:rFonts w:hint="eastAsia" w:ascii="楷体" w:hAnsi="楷体" w:eastAsia="楷体" w:cs="楷体"/>
                <w:bCs/>
                <w:color w:val="auto"/>
                <w:sz w:val="21"/>
                <w:szCs w:val="21"/>
                <w:highlight w:val="none"/>
                <w:lang w:eastAsia="zh-CN"/>
              </w:rPr>
              <w:t>操作力矩测定</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eastAsia="zh-CN"/>
              </w:rPr>
              <w:t>密封性能</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eastAsia="zh-CN"/>
              </w:rPr>
              <w:t>耐水压强度试验</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eastAsia="zh-CN"/>
              </w:rPr>
              <w:t>跌落试验</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eastAsia="zh-CN"/>
              </w:rPr>
              <w:t>盐雾试验</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u w:val="none"/>
                <w:lang w:val="en-US" w:eastAsia="zh-CN"/>
              </w:rPr>
              <w:t>元</w:t>
            </w:r>
            <w:r>
              <w:rPr>
                <w:rFonts w:hint="eastAsia" w:ascii="楷体" w:hAnsi="楷体" w:eastAsia="楷体" w:cs="楷体"/>
                <w:b w:val="0"/>
                <w:bCs/>
                <w:sz w:val="21"/>
                <w:szCs w:val="21"/>
                <w:highlight w:val="none"/>
                <w:lang w:val="en-US" w:eastAsia="zh-CN"/>
              </w:rPr>
              <w:t>。</w:t>
            </w:r>
          </w:p>
        </w:tc>
        <w:tc>
          <w:tcPr>
            <w:tcW w:w="1672" w:type="dxa"/>
            <w:noWrap w:val="0"/>
            <w:vAlign w:val="center"/>
          </w:tcPr>
          <w:p w14:paraId="345999EB">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right"/>
              <w:textAlignment w:val="auto"/>
              <w:rPr>
                <w:rFonts w:hint="eastAsia" w:ascii="楷体" w:hAnsi="楷体" w:eastAsia="楷体" w:cs="楷体"/>
                <w:b w:val="0"/>
                <w:bCs/>
                <w:sz w:val="21"/>
                <w:szCs w:val="21"/>
                <w:highlight w:val="none"/>
                <w:lang w:val="en-US" w:eastAsia="zh-CN"/>
              </w:rPr>
            </w:pPr>
            <w:r>
              <w:rPr>
                <w:rFonts w:hint="eastAsia" w:ascii="楷体" w:hAnsi="楷体" w:eastAsia="楷体" w:cs="楷体"/>
                <w:b w:val="0"/>
                <w:bCs/>
                <w:sz w:val="21"/>
                <w:szCs w:val="21"/>
                <w:highlight w:val="none"/>
                <w:lang w:val="en-US" w:eastAsia="zh-CN"/>
              </w:rPr>
              <w:t>元</w:t>
            </w:r>
          </w:p>
        </w:tc>
      </w:tr>
      <w:tr w14:paraId="4C7BF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2" w:hRule="atLeast"/>
        </w:trPr>
        <w:tc>
          <w:tcPr>
            <w:tcW w:w="1204" w:type="dxa"/>
            <w:shd w:val="clear" w:color="auto" w:fill="auto"/>
            <w:noWrap w:val="0"/>
            <w:vAlign w:val="center"/>
          </w:tcPr>
          <w:p w14:paraId="5AA816C2">
            <w:pPr>
              <w:pageBreakBefore w:val="0"/>
              <w:overflowPunct/>
              <w:topLinePunct w:val="0"/>
              <w:bidi w:val="0"/>
              <w:snapToGrid/>
              <w:spacing w:line="360" w:lineRule="auto"/>
              <w:ind w:left="0" w:leftChars="0" w:right="0" w:rightChars="0"/>
              <w:jc w:val="left"/>
              <w:rPr>
                <w:rFonts w:hint="eastAsia" w:ascii="楷体" w:hAnsi="楷体" w:eastAsia="楷体" w:cs="楷体"/>
                <w:bCs/>
                <w:color w:val="auto"/>
                <w:kern w:val="2"/>
                <w:sz w:val="21"/>
                <w:szCs w:val="21"/>
                <w:highlight w:val="none"/>
                <w:lang w:val="en-US" w:eastAsia="zh-CN" w:bidi="ar-SA"/>
              </w:rPr>
            </w:pPr>
            <w:r>
              <w:rPr>
                <w:rFonts w:hint="eastAsia" w:ascii="楷体" w:hAnsi="楷体" w:eastAsia="楷体" w:cs="楷体"/>
                <w:bCs/>
                <w:color w:val="auto"/>
                <w:sz w:val="21"/>
                <w:szCs w:val="21"/>
                <w:highlight w:val="none"/>
                <w:lang w:eastAsia="zh-CN"/>
              </w:rPr>
              <w:t>消防应急灯具</w:t>
            </w:r>
          </w:p>
        </w:tc>
        <w:tc>
          <w:tcPr>
            <w:tcW w:w="2431" w:type="dxa"/>
            <w:shd w:val="clear" w:color="auto" w:fill="auto"/>
            <w:noWrap w:val="0"/>
            <w:vAlign w:val="center"/>
          </w:tcPr>
          <w:p w14:paraId="3503D4DF">
            <w:pPr>
              <w:pageBreakBefore w:val="0"/>
              <w:overflowPunct/>
              <w:topLinePunct w:val="0"/>
              <w:bidi w:val="0"/>
              <w:snapToGrid/>
              <w:spacing w:line="360" w:lineRule="auto"/>
              <w:ind w:left="0" w:right="0" w:rightChars="0"/>
              <w:jc w:val="left"/>
              <w:rPr>
                <w:rFonts w:hint="eastAsia" w:ascii="楷体" w:hAnsi="楷体" w:eastAsia="楷体" w:cs="楷体"/>
                <w:bCs/>
                <w:color w:val="auto"/>
                <w:sz w:val="21"/>
                <w:szCs w:val="21"/>
                <w:highlight w:val="none"/>
                <w:lang w:eastAsia="zh-CN"/>
              </w:rPr>
            </w:pPr>
            <w:r>
              <w:rPr>
                <w:rFonts w:hint="eastAsia" w:ascii="楷体" w:hAnsi="楷体" w:eastAsia="楷体" w:cs="楷体"/>
                <w:bCs/>
                <w:color w:val="auto"/>
                <w:sz w:val="21"/>
                <w:szCs w:val="21"/>
                <w:highlight w:val="none"/>
                <w:lang w:eastAsia="zh-CN"/>
              </w:rPr>
              <w:t>GB 17945-2010等现行有效的企业标准、团体标准、地方标准及产品明示质量要求</w:t>
            </w:r>
          </w:p>
          <w:p w14:paraId="5B18D083">
            <w:pPr>
              <w:pageBreakBefore w:val="0"/>
              <w:overflowPunct/>
              <w:topLinePunct w:val="0"/>
              <w:bidi w:val="0"/>
              <w:snapToGrid/>
              <w:spacing w:line="360" w:lineRule="auto"/>
              <w:ind w:left="0" w:leftChars="0" w:right="0" w:rightChars="0"/>
              <w:jc w:val="left"/>
              <w:rPr>
                <w:rFonts w:hint="eastAsia" w:ascii="楷体" w:hAnsi="楷体" w:eastAsia="楷体" w:cs="楷体"/>
                <w:bCs/>
                <w:color w:val="auto"/>
                <w:kern w:val="2"/>
                <w:sz w:val="21"/>
                <w:szCs w:val="21"/>
                <w:highlight w:val="none"/>
                <w:lang w:val="en-US" w:eastAsia="zh-CN" w:bidi="ar-SA"/>
              </w:rPr>
            </w:pPr>
          </w:p>
        </w:tc>
        <w:tc>
          <w:tcPr>
            <w:tcW w:w="4451" w:type="dxa"/>
            <w:noWrap w:val="0"/>
            <w:vAlign w:val="top"/>
          </w:tcPr>
          <w:p w14:paraId="5CC4BACA">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left"/>
              <w:textAlignment w:val="auto"/>
              <w:rPr>
                <w:rFonts w:hint="eastAsia" w:ascii="楷体" w:hAnsi="楷体" w:eastAsia="楷体" w:cs="楷体"/>
                <w:bCs/>
                <w:color w:val="auto"/>
                <w:sz w:val="21"/>
                <w:szCs w:val="21"/>
                <w:highlight w:val="none"/>
                <w:lang w:val="en-US" w:eastAsia="zh-CN"/>
              </w:rPr>
            </w:pPr>
            <w:r>
              <w:rPr>
                <w:rFonts w:hint="eastAsia" w:ascii="楷体" w:hAnsi="楷体" w:eastAsia="楷体" w:cs="楷体"/>
                <w:bCs/>
                <w:color w:val="auto"/>
                <w:sz w:val="21"/>
                <w:szCs w:val="21"/>
                <w:highlight w:val="none"/>
                <w:lang w:eastAsia="zh-CN"/>
              </w:rPr>
              <w:t>基本功能试验</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eastAsia="zh-CN"/>
              </w:rPr>
              <w:t>充、放电试验</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val="en-US" w:eastAsia="zh-CN"/>
              </w:rPr>
              <w:t>重复转换试验</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eastAsia="zh-CN"/>
              </w:rPr>
              <w:t>电压波动试验</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eastAsia="zh-CN"/>
              </w:rPr>
              <w:t>转换电压试验</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eastAsia="zh-CN"/>
              </w:rPr>
              <w:t>充、放电耐久试验</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eastAsia="zh-CN"/>
              </w:rPr>
              <w:t>绝缘电阻试验</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元；接</w:t>
            </w:r>
            <w:r>
              <w:rPr>
                <w:rFonts w:hint="eastAsia" w:ascii="楷体" w:hAnsi="楷体" w:eastAsia="楷体" w:cs="楷体"/>
                <w:bCs/>
                <w:color w:val="auto"/>
                <w:sz w:val="21"/>
                <w:szCs w:val="21"/>
                <w:highlight w:val="none"/>
                <w:lang w:eastAsia="zh-CN"/>
              </w:rPr>
              <w:t>地电阻试验</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eastAsia="zh-CN"/>
              </w:rPr>
              <w:t>耐压试验</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eastAsia="zh-CN"/>
              </w:rPr>
              <w:t>；抗冲击试验</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eastAsia="zh-CN"/>
              </w:rPr>
              <w:t>；色温</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eastAsia="zh-CN"/>
              </w:rPr>
              <w:t>；光通量</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eastAsia="zh-CN"/>
              </w:rPr>
              <w:t>。</w:t>
            </w:r>
          </w:p>
        </w:tc>
        <w:tc>
          <w:tcPr>
            <w:tcW w:w="1672" w:type="dxa"/>
            <w:noWrap w:val="0"/>
            <w:vAlign w:val="center"/>
          </w:tcPr>
          <w:p w14:paraId="7FEF4700">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right"/>
              <w:textAlignment w:val="auto"/>
              <w:rPr>
                <w:rFonts w:hint="eastAsia" w:ascii="楷体" w:hAnsi="楷体" w:eastAsia="楷体" w:cs="楷体"/>
                <w:b w:val="0"/>
                <w:bCs/>
                <w:sz w:val="21"/>
                <w:szCs w:val="21"/>
                <w:highlight w:val="none"/>
                <w:lang w:val="en-US" w:eastAsia="zh-CN"/>
              </w:rPr>
            </w:pPr>
            <w:r>
              <w:rPr>
                <w:rFonts w:hint="eastAsia" w:ascii="楷体" w:hAnsi="楷体" w:eastAsia="楷体" w:cs="楷体"/>
                <w:b w:val="0"/>
                <w:bCs/>
                <w:sz w:val="21"/>
                <w:szCs w:val="21"/>
                <w:highlight w:val="none"/>
                <w:lang w:val="en-US" w:eastAsia="zh-CN"/>
              </w:rPr>
              <w:t>元</w:t>
            </w:r>
          </w:p>
        </w:tc>
      </w:tr>
      <w:tr w14:paraId="2B149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2" w:hRule="atLeast"/>
        </w:trPr>
        <w:tc>
          <w:tcPr>
            <w:tcW w:w="1204" w:type="dxa"/>
            <w:shd w:val="clear" w:color="auto" w:fill="auto"/>
            <w:noWrap w:val="0"/>
            <w:vAlign w:val="center"/>
          </w:tcPr>
          <w:p w14:paraId="15B77EAC">
            <w:pPr>
              <w:pageBreakBefore w:val="0"/>
              <w:overflowPunct/>
              <w:topLinePunct w:val="0"/>
              <w:bidi w:val="0"/>
              <w:snapToGrid/>
              <w:spacing w:line="360" w:lineRule="auto"/>
              <w:ind w:left="0" w:leftChars="0" w:right="0" w:rightChars="0"/>
              <w:jc w:val="left"/>
              <w:rPr>
                <w:rFonts w:hint="eastAsia" w:ascii="楷体" w:hAnsi="楷体" w:eastAsia="楷体" w:cs="楷体"/>
                <w:bCs/>
                <w:color w:val="auto"/>
                <w:kern w:val="2"/>
                <w:sz w:val="21"/>
                <w:szCs w:val="21"/>
                <w:highlight w:val="none"/>
                <w:lang w:val="en-US" w:eastAsia="zh-CN" w:bidi="ar-SA"/>
              </w:rPr>
            </w:pPr>
            <w:r>
              <w:rPr>
                <w:rFonts w:hint="eastAsia" w:ascii="楷体" w:hAnsi="楷体" w:eastAsia="楷体" w:cs="楷体"/>
                <w:bCs/>
                <w:color w:val="auto"/>
                <w:sz w:val="21"/>
                <w:szCs w:val="21"/>
                <w:highlight w:val="none"/>
                <w:lang w:eastAsia="zh-CN"/>
              </w:rPr>
              <w:t>消防软管卷盘</w:t>
            </w:r>
          </w:p>
        </w:tc>
        <w:tc>
          <w:tcPr>
            <w:tcW w:w="2431" w:type="dxa"/>
            <w:shd w:val="clear" w:color="auto" w:fill="auto"/>
            <w:noWrap w:val="0"/>
            <w:vAlign w:val="center"/>
          </w:tcPr>
          <w:p w14:paraId="4928145F">
            <w:pPr>
              <w:pageBreakBefore w:val="0"/>
              <w:overflowPunct/>
              <w:topLinePunct w:val="0"/>
              <w:bidi w:val="0"/>
              <w:snapToGrid/>
              <w:spacing w:line="360" w:lineRule="auto"/>
              <w:ind w:left="0" w:right="0" w:rightChars="0"/>
              <w:jc w:val="left"/>
              <w:rPr>
                <w:rFonts w:hint="eastAsia" w:ascii="楷体" w:hAnsi="楷体" w:eastAsia="楷体" w:cs="楷体"/>
                <w:bCs/>
                <w:color w:val="auto"/>
                <w:sz w:val="21"/>
                <w:szCs w:val="21"/>
                <w:highlight w:val="none"/>
                <w:lang w:eastAsia="zh-CN"/>
              </w:rPr>
            </w:pPr>
            <w:r>
              <w:rPr>
                <w:rFonts w:hint="eastAsia" w:ascii="楷体" w:hAnsi="楷体" w:eastAsia="楷体" w:cs="楷体"/>
                <w:bCs/>
                <w:color w:val="auto"/>
                <w:sz w:val="21"/>
                <w:szCs w:val="21"/>
                <w:highlight w:val="none"/>
                <w:lang w:eastAsia="zh-CN"/>
              </w:rPr>
              <w:t>GB 15090-2005等现行有效的企业标准、团体标准、地方标准及产品明示质量要求</w:t>
            </w:r>
          </w:p>
          <w:p w14:paraId="011C1BA5">
            <w:pPr>
              <w:pageBreakBefore w:val="0"/>
              <w:overflowPunct/>
              <w:topLinePunct w:val="0"/>
              <w:bidi w:val="0"/>
              <w:snapToGrid/>
              <w:spacing w:line="360" w:lineRule="auto"/>
              <w:ind w:left="0" w:leftChars="0" w:right="0" w:rightChars="0"/>
              <w:jc w:val="left"/>
              <w:rPr>
                <w:rFonts w:hint="eastAsia" w:ascii="楷体" w:hAnsi="楷体" w:eastAsia="楷体" w:cs="楷体"/>
                <w:bCs/>
                <w:color w:val="auto"/>
                <w:kern w:val="2"/>
                <w:sz w:val="21"/>
                <w:szCs w:val="21"/>
                <w:highlight w:val="none"/>
                <w:lang w:val="en-US" w:eastAsia="zh-CN" w:bidi="ar-SA"/>
              </w:rPr>
            </w:pPr>
          </w:p>
        </w:tc>
        <w:tc>
          <w:tcPr>
            <w:tcW w:w="4451" w:type="dxa"/>
            <w:noWrap w:val="0"/>
            <w:vAlign w:val="top"/>
          </w:tcPr>
          <w:p w14:paraId="6C15E112">
            <w:pPr>
              <w:keepNext w:val="0"/>
              <w:keepLines w:val="0"/>
              <w:pageBreakBefore w:val="0"/>
              <w:widowControl w:val="0"/>
              <w:kinsoku/>
              <w:wordWrap/>
              <w:overflowPunct/>
              <w:topLinePunct w:val="0"/>
              <w:autoSpaceDE/>
              <w:autoSpaceDN/>
              <w:bidi w:val="0"/>
              <w:adjustRightInd/>
              <w:snapToGrid/>
              <w:spacing w:line="360" w:lineRule="auto"/>
              <w:ind w:left="0" w:right="0" w:rightChars="0"/>
              <w:jc w:val="left"/>
              <w:textAlignment w:val="auto"/>
              <w:rPr>
                <w:rFonts w:hint="eastAsia" w:ascii="楷体" w:hAnsi="楷体" w:eastAsia="楷体" w:cs="楷体"/>
                <w:bCs/>
                <w:sz w:val="21"/>
                <w:szCs w:val="21"/>
                <w:highlight w:val="none"/>
                <w:lang w:val="en-US" w:eastAsia="zh-CN" w:bidi="ar-SA"/>
              </w:rPr>
            </w:pPr>
            <w:r>
              <w:rPr>
                <w:rFonts w:hint="eastAsia" w:ascii="楷体" w:hAnsi="楷体" w:eastAsia="楷体" w:cs="楷体"/>
                <w:bCs/>
                <w:color w:val="auto"/>
                <w:sz w:val="21"/>
                <w:szCs w:val="21"/>
                <w:highlight w:val="none"/>
                <w:lang w:eastAsia="zh-CN"/>
              </w:rPr>
              <w:t>喷射试验</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eastAsia="zh-CN"/>
              </w:rPr>
              <w:t>密封试验</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eastAsia="zh-CN"/>
              </w:rPr>
              <w:t>耐压试验</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eastAsia="zh-CN"/>
              </w:rPr>
              <w:t>软管性能试验</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eastAsia="zh-CN"/>
              </w:rPr>
              <w:t>。</w:t>
            </w:r>
          </w:p>
        </w:tc>
        <w:tc>
          <w:tcPr>
            <w:tcW w:w="1672" w:type="dxa"/>
            <w:noWrap w:val="0"/>
            <w:vAlign w:val="center"/>
          </w:tcPr>
          <w:p w14:paraId="5B280ECD">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right"/>
              <w:textAlignment w:val="auto"/>
              <w:rPr>
                <w:rFonts w:hint="eastAsia" w:ascii="楷体" w:hAnsi="楷体" w:eastAsia="楷体" w:cs="楷体"/>
                <w:b w:val="0"/>
                <w:bCs/>
                <w:sz w:val="21"/>
                <w:szCs w:val="21"/>
                <w:highlight w:val="none"/>
                <w:lang w:val="en-US" w:eastAsia="zh-CN"/>
              </w:rPr>
            </w:pPr>
            <w:r>
              <w:rPr>
                <w:rFonts w:hint="eastAsia" w:ascii="楷体" w:hAnsi="楷体" w:eastAsia="楷体" w:cs="楷体"/>
                <w:b w:val="0"/>
                <w:bCs/>
                <w:sz w:val="21"/>
                <w:szCs w:val="21"/>
                <w:highlight w:val="none"/>
                <w:lang w:val="en-US" w:eastAsia="zh-CN"/>
              </w:rPr>
              <w:t>元</w:t>
            </w:r>
          </w:p>
        </w:tc>
      </w:tr>
      <w:tr w14:paraId="43341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5" w:hRule="atLeast"/>
        </w:trPr>
        <w:tc>
          <w:tcPr>
            <w:tcW w:w="1204" w:type="dxa"/>
            <w:shd w:val="clear" w:color="auto" w:fill="auto"/>
            <w:noWrap w:val="0"/>
            <w:vAlign w:val="center"/>
          </w:tcPr>
          <w:p w14:paraId="32A02ABC">
            <w:pPr>
              <w:pageBreakBefore w:val="0"/>
              <w:overflowPunct/>
              <w:topLinePunct w:val="0"/>
              <w:bidi w:val="0"/>
              <w:snapToGrid/>
              <w:spacing w:line="360" w:lineRule="auto"/>
              <w:ind w:left="0" w:leftChars="0" w:right="0" w:rightChars="0"/>
              <w:jc w:val="left"/>
              <w:rPr>
                <w:rFonts w:hint="eastAsia" w:ascii="楷体" w:hAnsi="楷体" w:eastAsia="楷体" w:cs="楷体"/>
                <w:bCs/>
                <w:color w:val="auto"/>
                <w:kern w:val="2"/>
                <w:sz w:val="21"/>
                <w:szCs w:val="21"/>
                <w:highlight w:val="none"/>
                <w:lang w:val="en-US" w:eastAsia="zh-CN" w:bidi="ar-SA"/>
              </w:rPr>
            </w:pPr>
            <w:r>
              <w:rPr>
                <w:rFonts w:hint="eastAsia" w:ascii="楷体" w:hAnsi="楷体" w:eastAsia="楷体" w:cs="楷体"/>
                <w:bCs/>
                <w:color w:val="auto"/>
                <w:sz w:val="21"/>
                <w:szCs w:val="21"/>
                <w:highlight w:val="none"/>
                <w:lang w:eastAsia="zh-CN"/>
              </w:rPr>
              <w:t>灭火毯</w:t>
            </w:r>
          </w:p>
        </w:tc>
        <w:tc>
          <w:tcPr>
            <w:tcW w:w="2431" w:type="dxa"/>
            <w:shd w:val="clear" w:color="auto" w:fill="auto"/>
            <w:noWrap w:val="0"/>
            <w:vAlign w:val="center"/>
          </w:tcPr>
          <w:p w14:paraId="115B390F">
            <w:pPr>
              <w:pageBreakBefore w:val="0"/>
              <w:overflowPunct/>
              <w:topLinePunct w:val="0"/>
              <w:bidi w:val="0"/>
              <w:snapToGrid/>
              <w:spacing w:line="360" w:lineRule="auto"/>
              <w:ind w:left="0" w:right="0" w:rightChars="0"/>
              <w:jc w:val="left"/>
              <w:rPr>
                <w:rFonts w:hint="eastAsia" w:ascii="楷体" w:hAnsi="楷体" w:eastAsia="楷体" w:cs="楷体"/>
                <w:bCs/>
                <w:color w:val="auto"/>
                <w:sz w:val="21"/>
                <w:szCs w:val="21"/>
                <w:highlight w:val="none"/>
                <w:lang w:eastAsia="zh-CN"/>
              </w:rPr>
            </w:pPr>
            <w:r>
              <w:rPr>
                <w:rFonts w:hint="eastAsia" w:ascii="楷体" w:hAnsi="楷体" w:eastAsia="楷体" w:cs="楷体"/>
                <w:bCs/>
                <w:color w:val="auto"/>
                <w:sz w:val="21"/>
                <w:szCs w:val="21"/>
                <w:highlight w:val="none"/>
                <w:lang w:eastAsia="zh-CN"/>
              </w:rPr>
              <w:t>XF 1205-2014等现行有效的企业标准、团体标准、地方标准及产品明示质量要求</w:t>
            </w:r>
          </w:p>
          <w:p w14:paraId="3A3C56D9">
            <w:pPr>
              <w:pageBreakBefore w:val="0"/>
              <w:overflowPunct/>
              <w:topLinePunct w:val="0"/>
              <w:bidi w:val="0"/>
              <w:snapToGrid/>
              <w:spacing w:line="360" w:lineRule="auto"/>
              <w:ind w:left="0" w:leftChars="0" w:right="0" w:rightChars="0"/>
              <w:jc w:val="left"/>
              <w:rPr>
                <w:rFonts w:hint="eastAsia" w:ascii="楷体" w:hAnsi="楷体" w:eastAsia="楷体" w:cs="楷体"/>
                <w:bCs/>
                <w:color w:val="auto"/>
                <w:kern w:val="2"/>
                <w:sz w:val="21"/>
                <w:szCs w:val="21"/>
                <w:highlight w:val="none"/>
                <w:lang w:val="en-US" w:eastAsia="zh-CN" w:bidi="ar-SA"/>
              </w:rPr>
            </w:pPr>
          </w:p>
        </w:tc>
        <w:tc>
          <w:tcPr>
            <w:tcW w:w="4451" w:type="dxa"/>
            <w:noWrap w:val="0"/>
            <w:vAlign w:val="top"/>
          </w:tcPr>
          <w:p w14:paraId="28A478D6">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left"/>
              <w:textAlignment w:val="auto"/>
              <w:rPr>
                <w:rFonts w:hint="eastAsia" w:ascii="楷体" w:hAnsi="楷体" w:eastAsia="楷体" w:cs="楷体"/>
                <w:bCs/>
                <w:color w:val="auto"/>
                <w:sz w:val="21"/>
                <w:szCs w:val="21"/>
                <w:highlight w:val="none"/>
                <w:lang w:val="en-US" w:eastAsia="zh-CN"/>
              </w:rPr>
            </w:pPr>
            <w:r>
              <w:rPr>
                <w:rFonts w:hint="eastAsia" w:ascii="楷体" w:hAnsi="楷体" w:eastAsia="楷体" w:cs="楷体"/>
                <w:bCs/>
                <w:color w:val="auto"/>
                <w:sz w:val="21"/>
                <w:szCs w:val="21"/>
                <w:highlight w:val="none"/>
                <w:lang w:eastAsia="zh-CN"/>
              </w:rPr>
              <w:t>尺寸检查</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eastAsia="zh-CN"/>
              </w:rPr>
              <w:t>毯面的干态断裂强力</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eastAsia="zh-CN"/>
              </w:rPr>
              <w:t>手持件和包边材料阻燃性能</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eastAsia="zh-CN"/>
              </w:rPr>
              <w:t>拉力试验</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eastAsia="zh-CN"/>
              </w:rPr>
              <w:t>。</w:t>
            </w:r>
          </w:p>
        </w:tc>
        <w:tc>
          <w:tcPr>
            <w:tcW w:w="1672" w:type="dxa"/>
            <w:noWrap w:val="0"/>
            <w:vAlign w:val="center"/>
          </w:tcPr>
          <w:p w14:paraId="789EFE6B">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right"/>
              <w:textAlignment w:val="auto"/>
              <w:rPr>
                <w:rFonts w:hint="eastAsia" w:ascii="楷体" w:hAnsi="楷体" w:eastAsia="楷体" w:cs="楷体"/>
                <w:b w:val="0"/>
                <w:bCs/>
                <w:sz w:val="21"/>
                <w:szCs w:val="21"/>
                <w:highlight w:val="none"/>
                <w:lang w:val="en-US" w:eastAsia="zh-CN"/>
              </w:rPr>
            </w:pPr>
            <w:r>
              <w:rPr>
                <w:rFonts w:hint="eastAsia" w:ascii="楷体" w:hAnsi="楷体" w:eastAsia="楷体" w:cs="楷体"/>
                <w:b w:val="0"/>
                <w:bCs/>
                <w:sz w:val="21"/>
                <w:szCs w:val="21"/>
                <w:highlight w:val="none"/>
                <w:lang w:val="en-US" w:eastAsia="zh-CN"/>
              </w:rPr>
              <w:t>元</w:t>
            </w:r>
          </w:p>
        </w:tc>
      </w:tr>
      <w:tr w14:paraId="52B6A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7" w:hRule="atLeast"/>
        </w:trPr>
        <w:tc>
          <w:tcPr>
            <w:tcW w:w="1204" w:type="dxa"/>
            <w:shd w:val="clear" w:color="auto" w:fill="auto"/>
            <w:noWrap w:val="0"/>
            <w:vAlign w:val="center"/>
          </w:tcPr>
          <w:p w14:paraId="1BA4FBEA">
            <w:pPr>
              <w:pageBreakBefore w:val="0"/>
              <w:overflowPunct/>
              <w:topLinePunct w:val="0"/>
              <w:bidi w:val="0"/>
              <w:snapToGrid/>
              <w:spacing w:line="360" w:lineRule="auto"/>
              <w:ind w:left="0" w:leftChars="0" w:right="0" w:rightChars="0"/>
              <w:jc w:val="left"/>
              <w:rPr>
                <w:rFonts w:hint="eastAsia" w:ascii="楷体" w:hAnsi="楷体" w:eastAsia="楷体" w:cs="楷体"/>
                <w:bCs/>
                <w:color w:val="auto"/>
                <w:kern w:val="2"/>
                <w:sz w:val="21"/>
                <w:szCs w:val="21"/>
                <w:highlight w:val="none"/>
                <w:lang w:val="en-US" w:eastAsia="zh-CN" w:bidi="ar-SA"/>
              </w:rPr>
            </w:pPr>
            <w:r>
              <w:rPr>
                <w:rFonts w:hint="eastAsia" w:ascii="楷体" w:hAnsi="楷体" w:eastAsia="楷体" w:cs="楷体"/>
                <w:bCs/>
                <w:color w:val="auto"/>
                <w:sz w:val="21"/>
                <w:szCs w:val="21"/>
                <w:highlight w:val="none"/>
                <w:lang w:eastAsia="zh-CN"/>
              </w:rPr>
              <w:t>过滤式消防自救器</w:t>
            </w:r>
          </w:p>
        </w:tc>
        <w:tc>
          <w:tcPr>
            <w:tcW w:w="2431" w:type="dxa"/>
            <w:shd w:val="clear" w:color="auto" w:fill="auto"/>
            <w:noWrap w:val="0"/>
            <w:vAlign w:val="center"/>
          </w:tcPr>
          <w:p w14:paraId="7B700C4B">
            <w:pPr>
              <w:pageBreakBefore w:val="0"/>
              <w:overflowPunct/>
              <w:topLinePunct w:val="0"/>
              <w:bidi w:val="0"/>
              <w:snapToGrid/>
              <w:spacing w:line="360" w:lineRule="auto"/>
              <w:ind w:left="0" w:right="0" w:rightChars="0"/>
              <w:jc w:val="left"/>
              <w:rPr>
                <w:rFonts w:hint="eastAsia" w:ascii="楷体" w:hAnsi="楷体" w:eastAsia="楷体" w:cs="楷体"/>
                <w:bCs/>
                <w:color w:val="auto"/>
                <w:sz w:val="21"/>
                <w:szCs w:val="21"/>
                <w:highlight w:val="none"/>
                <w:lang w:eastAsia="zh-CN"/>
              </w:rPr>
            </w:pPr>
            <w:r>
              <w:rPr>
                <w:rFonts w:hint="eastAsia" w:ascii="楷体" w:hAnsi="楷体" w:eastAsia="楷体" w:cs="楷体"/>
                <w:bCs/>
                <w:color w:val="auto"/>
                <w:sz w:val="21"/>
                <w:szCs w:val="21"/>
                <w:highlight w:val="none"/>
                <w:lang w:eastAsia="zh-CN"/>
              </w:rPr>
              <w:t>GB 21976.7-2012等现行有效的企业标准、团体标准、地方标准及产品明示质量要求</w:t>
            </w:r>
          </w:p>
          <w:p w14:paraId="1D8C4754">
            <w:pPr>
              <w:pageBreakBefore w:val="0"/>
              <w:overflowPunct/>
              <w:topLinePunct w:val="0"/>
              <w:bidi w:val="0"/>
              <w:snapToGrid/>
              <w:spacing w:line="360" w:lineRule="auto"/>
              <w:ind w:left="0" w:leftChars="0" w:right="0" w:rightChars="0"/>
              <w:jc w:val="left"/>
              <w:rPr>
                <w:rFonts w:hint="eastAsia" w:ascii="楷体" w:hAnsi="楷体" w:eastAsia="楷体" w:cs="楷体"/>
                <w:bCs/>
                <w:color w:val="auto"/>
                <w:kern w:val="2"/>
                <w:sz w:val="21"/>
                <w:szCs w:val="21"/>
                <w:highlight w:val="none"/>
                <w:lang w:val="en-US" w:eastAsia="zh-CN" w:bidi="ar-SA"/>
              </w:rPr>
            </w:pPr>
          </w:p>
        </w:tc>
        <w:tc>
          <w:tcPr>
            <w:tcW w:w="4451" w:type="dxa"/>
            <w:noWrap w:val="0"/>
            <w:vAlign w:val="top"/>
          </w:tcPr>
          <w:p w14:paraId="7EBB2708">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left"/>
              <w:textAlignment w:val="auto"/>
              <w:rPr>
                <w:rFonts w:hint="eastAsia" w:ascii="楷体" w:hAnsi="楷体" w:eastAsia="楷体" w:cs="楷体"/>
                <w:bCs/>
                <w:color w:val="auto"/>
                <w:sz w:val="21"/>
                <w:szCs w:val="21"/>
                <w:highlight w:val="none"/>
                <w:lang w:val="en-US" w:eastAsia="zh-CN"/>
              </w:rPr>
            </w:pPr>
            <w:r>
              <w:rPr>
                <w:rFonts w:hint="eastAsia" w:ascii="楷体" w:hAnsi="楷体" w:eastAsia="楷体" w:cs="楷体"/>
                <w:bCs/>
                <w:color w:val="auto"/>
                <w:sz w:val="21"/>
                <w:szCs w:val="21"/>
                <w:highlight w:val="none"/>
                <w:lang w:eastAsia="zh-CN"/>
              </w:rPr>
              <w:t>结构检查</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eastAsia="zh-CN"/>
              </w:rPr>
              <w:t>佩戴质量测定</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元；材</w:t>
            </w:r>
            <w:r>
              <w:rPr>
                <w:rFonts w:hint="eastAsia" w:ascii="楷体" w:hAnsi="楷体" w:eastAsia="楷体" w:cs="楷体"/>
                <w:bCs/>
                <w:color w:val="auto"/>
                <w:sz w:val="21"/>
                <w:szCs w:val="21"/>
                <w:highlight w:val="none"/>
                <w:lang w:eastAsia="zh-CN"/>
              </w:rPr>
              <w:t>料试验-金属材料表面质量</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eastAsia="zh-CN"/>
              </w:rPr>
              <w:t>材料试验-塑料材料老化性能</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eastAsia="zh-CN"/>
              </w:rPr>
              <w:t>视野试验</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元；连接强度试验</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eastAsia="zh-CN"/>
              </w:rPr>
              <w:t>标志</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eastAsia="zh-CN"/>
              </w:rPr>
              <w:t>。</w:t>
            </w:r>
          </w:p>
        </w:tc>
        <w:tc>
          <w:tcPr>
            <w:tcW w:w="1672" w:type="dxa"/>
            <w:noWrap w:val="0"/>
            <w:vAlign w:val="center"/>
          </w:tcPr>
          <w:p w14:paraId="32D9DEBE">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right"/>
              <w:textAlignment w:val="auto"/>
              <w:rPr>
                <w:rFonts w:hint="eastAsia" w:ascii="楷体" w:hAnsi="楷体" w:eastAsia="楷体" w:cs="楷体"/>
                <w:b w:val="0"/>
                <w:bCs/>
                <w:sz w:val="21"/>
                <w:szCs w:val="21"/>
                <w:highlight w:val="none"/>
                <w:lang w:val="en-US" w:eastAsia="zh-CN"/>
              </w:rPr>
            </w:pPr>
            <w:r>
              <w:rPr>
                <w:rFonts w:hint="eastAsia" w:ascii="楷体" w:hAnsi="楷体" w:eastAsia="楷体" w:cs="楷体"/>
                <w:b w:val="0"/>
                <w:bCs/>
                <w:sz w:val="21"/>
                <w:szCs w:val="21"/>
                <w:highlight w:val="none"/>
                <w:lang w:val="en-US" w:eastAsia="zh-CN"/>
              </w:rPr>
              <w:t>元</w:t>
            </w:r>
          </w:p>
        </w:tc>
      </w:tr>
      <w:tr w14:paraId="7E443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2" w:hRule="atLeast"/>
        </w:trPr>
        <w:tc>
          <w:tcPr>
            <w:tcW w:w="1204" w:type="dxa"/>
            <w:shd w:val="clear" w:color="auto" w:fill="auto"/>
            <w:noWrap w:val="0"/>
            <w:vAlign w:val="center"/>
          </w:tcPr>
          <w:p w14:paraId="3D6FAC38">
            <w:pPr>
              <w:pageBreakBefore w:val="0"/>
              <w:overflowPunct/>
              <w:topLinePunct w:val="0"/>
              <w:bidi w:val="0"/>
              <w:snapToGrid/>
              <w:spacing w:line="360" w:lineRule="auto"/>
              <w:ind w:left="0" w:leftChars="0" w:right="0" w:rightChars="0"/>
              <w:jc w:val="left"/>
              <w:rPr>
                <w:rFonts w:hint="eastAsia" w:ascii="楷体" w:hAnsi="楷体" w:eastAsia="楷体" w:cs="楷体"/>
                <w:bCs/>
                <w:color w:val="auto"/>
                <w:kern w:val="2"/>
                <w:sz w:val="21"/>
                <w:szCs w:val="21"/>
                <w:highlight w:val="none"/>
                <w:lang w:val="en-US" w:eastAsia="zh-CN" w:bidi="ar-SA"/>
              </w:rPr>
            </w:pPr>
            <w:r>
              <w:rPr>
                <w:rFonts w:hint="eastAsia" w:ascii="楷体" w:hAnsi="楷体" w:eastAsia="楷体" w:cs="楷体"/>
                <w:bCs/>
                <w:color w:val="auto"/>
                <w:sz w:val="21"/>
                <w:szCs w:val="21"/>
                <w:highlight w:val="none"/>
                <w:lang w:eastAsia="zh-CN"/>
              </w:rPr>
              <w:t>防火排烟阀门</w:t>
            </w:r>
          </w:p>
        </w:tc>
        <w:tc>
          <w:tcPr>
            <w:tcW w:w="2431" w:type="dxa"/>
            <w:shd w:val="clear" w:color="auto" w:fill="auto"/>
            <w:noWrap w:val="0"/>
            <w:vAlign w:val="center"/>
          </w:tcPr>
          <w:p w14:paraId="545ED270">
            <w:pPr>
              <w:pageBreakBefore w:val="0"/>
              <w:overflowPunct/>
              <w:topLinePunct w:val="0"/>
              <w:bidi w:val="0"/>
              <w:snapToGrid/>
              <w:spacing w:line="360" w:lineRule="auto"/>
              <w:ind w:left="0" w:right="0" w:rightChars="0"/>
              <w:jc w:val="left"/>
              <w:rPr>
                <w:rFonts w:hint="eastAsia" w:ascii="楷体" w:hAnsi="楷体" w:eastAsia="楷体" w:cs="楷体"/>
                <w:bCs/>
                <w:color w:val="auto"/>
                <w:sz w:val="21"/>
                <w:szCs w:val="21"/>
                <w:highlight w:val="none"/>
                <w:lang w:eastAsia="zh-CN"/>
              </w:rPr>
            </w:pPr>
            <w:r>
              <w:rPr>
                <w:rFonts w:hint="eastAsia" w:ascii="楷体" w:hAnsi="楷体" w:eastAsia="楷体" w:cs="楷体"/>
                <w:bCs/>
                <w:color w:val="auto"/>
                <w:sz w:val="21"/>
                <w:szCs w:val="21"/>
                <w:highlight w:val="none"/>
                <w:lang w:eastAsia="zh-CN"/>
              </w:rPr>
              <w:t>GB 15930-</w:t>
            </w:r>
            <w:r>
              <w:rPr>
                <w:rFonts w:hint="eastAsia" w:ascii="楷体" w:hAnsi="楷体" w:eastAsia="楷体" w:cs="楷体"/>
                <w:bCs/>
                <w:color w:val="auto"/>
                <w:sz w:val="21"/>
                <w:szCs w:val="21"/>
                <w:highlight w:val="none"/>
                <w:lang w:val="en-US" w:eastAsia="zh-CN"/>
              </w:rPr>
              <w:t>2007</w:t>
            </w:r>
            <w:r>
              <w:rPr>
                <w:rFonts w:hint="eastAsia" w:ascii="楷体" w:hAnsi="楷体" w:eastAsia="楷体" w:cs="楷体"/>
                <w:bCs/>
                <w:color w:val="auto"/>
                <w:sz w:val="21"/>
                <w:szCs w:val="21"/>
                <w:highlight w:val="none"/>
                <w:lang w:eastAsia="zh-CN"/>
              </w:rPr>
              <w:t>等现行有效的企业标准、团体标准、地方标准及产品明示质量要求</w:t>
            </w:r>
          </w:p>
          <w:p w14:paraId="4E42A6F8">
            <w:pPr>
              <w:pageBreakBefore w:val="0"/>
              <w:overflowPunct/>
              <w:topLinePunct w:val="0"/>
              <w:bidi w:val="0"/>
              <w:snapToGrid/>
              <w:spacing w:line="360" w:lineRule="auto"/>
              <w:ind w:left="0" w:leftChars="0" w:right="0" w:rightChars="0"/>
              <w:jc w:val="left"/>
              <w:rPr>
                <w:rFonts w:hint="eastAsia" w:ascii="楷体" w:hAnsi="楷体" w:eastAsia="楷体" w:cs="楷体"/>
                <w:bCs/>
                <w:color w:val="auto"/>
                <w:kern w:val="2"/>
                <w:sz w:val="21"/>
                <w:szCs w:val="21"/>
                <w:highlight w:val="none"/>
                <w:lang w:val="en-US" w:eastAsia="zh-CN" w:bidi="ar-SA"/>
              </w:rPr>
            </w:pPr>
          </w:p>
        </w:tc>
        <w:tc>
          <w:tcPr>
            <w:tcW w:w="4451" w:type="dxa"/>
            <w:noWrap w:val="0"/>
            <w:vAlign w:val="top"/>
          </w:tcPr>
          <w:p w14:paraId="53760729">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left"/>
              <w:textAlignment w:val="auto"/>
              <w:rPr>
                <w:rFonts w:hint="eastAsia" w:ascii="楷体" w:hAnsi="楷体" w:eastAsia="楷体" w:cs="楷体"/>
                <w:bCs/>
                <w:color w:val="auto"/>
                <w:sz w:val="21"/>
                <w:szCs w:val="21"/>
                <w:highlight w:val="none"/>
                <w:lang w:val="en-US" w:eastAsia="zh-CN"/>
              </w:rPr>
            </w:pPr>
            <w:r>
              <w:rPr>
                <w:rFonts w:hint="eastAsia" w:ascii="楷体" w:hAnsi="楷体" w:eastAsia="楷体" w:cs="楷体"/>
                <w:bCs/>
                <w:color w:val="auto"/>
                <w:sz w:val="21"/>
                <w:szCs w:val="21"/>
                <w:highlight w:val="none"/>
                <w:lang w:eastAsia="zh-CN"/>
              </w:rPr>
              <w:t>环境温度下的漏风量</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eastAsia="zh-CN"/>
              </w:rPr>
              <w:t>耐火性能</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eastAsia="zh-CN"/>
              </w:rPr>
              <w:t>。</w:t>
            </w:r>
          </w:p>
        </w:tc>
        <w:tc>
          <w:tcPr>
            <w:tcW w:w="1672" w:type="dxa"/>
            <w:noWrap w:val="0"/>
            <w:vAlign w:val="center"/>
          </w:tcPr>
          <w:p w14:paraId="2620F363">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right"/>
              <w:textAlignment w:val="auto"/>
              <w:rPr>
                <w:rFonts w:hint="eastAsia" w:ascii="楷体" w:hAnsi="楷体" w:eastAsia="楷体" w:cs="楷体"/>
                <w:b w:val="0"/>
                <w:bCs/>
                <w:sz w:val="21"/>
                <w:szCs w:val="21"/>
                <w:highlight w:val="none"/>
                <w:lang w:val="en-US" w:eastAsia="zh-CN"/>
              </w:rPr>
            </w:pPr>
            <w:r>
              <w:rPr>
                <w:rFonts w:hint="eastAsia" w:ascii="楷体" w:hAnsi="楷体" w:eastAsia="楷体" w:cs="楷体"/>
                <w:b w:val="0"/>
                <w:bCs/>
                <w:sz w:val="21"/>
                <w:szCs w:val="21"/>
                <w:highlight w:val="none"/>
                <w:lang w:val="en-US" w:eastAsia="zh-CN"/>
              </w:rPr>
              <w:t>元</w:t>
            </w:r>
          </w:p>
        </w:tc>
      </w:tr>
      <w:tr w14:paraId="30676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2" w:hRule="atLeast"/>
        </w:trPr>
        <w:tc>
          <w:tcPr>
            <w:tcW w:w="1204" w:type="dxa"/>
            <w:shd w:val="clear" w:color="auto" w:fill="auto"/>
            <w:noWrap w:val="0"/>
            <w:vAlign w:val="center"/>
          </w:tcPr>
          <w:p w14:paraId="53C21FCE">
            <w:pPr>
              <w:pageBreakBefore w:val="0"/>
              <w:overflowPunct/>
              <w:topLinePunct w:val="0"/>
              <w:bidi w:val="0"/>
              <w:snapToGrid/>
              <w:spacing w:line="360" w:lineRule="auto"/>
              <w:ind w:left="0" w:leftChars="0" w:right="0" w:rightChars="0"/>
              <w:jc w:val="left"/>
              <w:rPr>
                <w:rFonts w:hint="eastAsia" w:ascii="楷体" w:hAnsi="楷体" w:eastAsia="楷体" w:cs="楷体"/>
                <w:bCs/>
                <w:color w:val="auto"/>
                <w:kern w:val="2"/>
                <w:sz w:val="21"/>
                <w:szCs w:val="21"/>
                <w:highlight w:val="none"/>
                <w:lang w:val="en-US" w:eastAsia="zh-CN" w:bidi="ar-SA"/>
              </w:rPr>
            </w:pPr>
            <w:r>
              <w:rPr>
                <w:rFonts w:hint="eastAsia" w:ascii="楷体" w:hAnsi="楷体" w:eastAsia="楷体" w:cs="楷体"/>
                <w:bCs/>
                <w:color w:val="auto"/>
                <w:sz w:val="21"/>
                <w:szCs w:val="21"/>
                <w:highlight w:val="none"/>
                <w:lang w:eastAsia="zh-CN"/>
              </w:rPr>
              <w:t>报警器</w:t>
            </w:r>
          </w:p>
        </w:tc>
        <w:tc>
          <w:tcPr>
            <w:tcW w:w="2431" w:type="dxa"/>
            <w:shd w:val="clear" w:color="auto" w:fill="auto"/>
            <w:noWrap w:val="0"/>
            <w:vAlign w:val="center"/>
          </w:tcPr>
          <w:p w14:paraId="68F58B39">
            <w:pPr>
              <w:pageBreakBefore w:val="0"/>
              <w:overflowPunct/>
              <w:topLinePunct w:val="0"/>
              <w:bidi w:val="0"/>
              <w:snapToGrid/>
              <w:spacing w:line="360" w:lineRule="auto"/>
              <w:ind w:left="0" w:leftChars="0" w:right="0" w:rightChars="0"/>
              <w:jc w:val="left"/>
              <w:rPr>
                <w:rFonts w:hint="eastAsia" w:ascii="楷体" w:hAnsi="楷体" w:eastAsia="楷体" w:cs="楷体"/>
                <w:bCs/>
                <w:color w:val="auto"/>
                <w:kern w:val="2"/>
                <w:sz w:val="21"/>
                <w:szCs w:val="21"/>
                <w:highlight w:val="none"/>
                <w:lang w:val="en-US" w:eastAsia="zh-CN" w:bidi="ar-SA"/>
              </w:rPr>
            </w:pPr>
            <w:r>
              <w:rPr>
                <w:rFonts w:hint="eastAsia" w:ascii="楷体" w:hAnsi="楷体" w:eastAsia="楷体" w:cs="楷体"/>
                <w:bCs/>
                <w:color w:val="auto"/>
                <w:sz w:val="21"/>
                <w:szCs w:val="21"/>
                <w:highlight w:val="none"/>
                <w:lang w:eastAsia="zh-CN"/>
              </w:rPr>
              <w:t>GB 20517-2006等现行有效的企业标准、团体标准、地方标准及产品明示质量要求</w:t>
            </w:r>
          </w:p>
        </w:tc>
        <w:tc>
          <w:tcPr>
            <w:tcW w:w="4451" w:type="dxa"/>
            <w:noWrap w:val="0"/>
            <w:vAlign w:val="top"/>
          </w:tcPr>
          <w:p w14:paraId="6C76B9CD">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left"/>
              <w:textAlignment w:val="auto"/>
              <w:rPr>
                <w:rFonts w:hint="eastAsia" w:ascii="楷体" w:hAnsi="楷体" w:eastAsia="楷体" w:cs="楷体"/>
                <w:bCs/>
                <w:color w:val="auto"/>
                <w:sz w:val="21"/>
                <w:szCs w:val="21"/>
                <w:highlight w:val="none"/>
                <w:lang w:val="en-US" w:eastAsia="zh-CN"/>
              </w:rPr>
            </w:pPr>
            <w:r>
              <w:rPr>
                <w:rFonts w:hint="eastAsia" w:ascii="楷体" w:hAnsi="楷体" w:eastAsia="楷体" w:cs="楷体"/>
                <w:bCs/>
                <w:color w:val="auto"/>
                <w:sz w:val="21"/>
                <w:szCs w:val="21"/>
                <w:highlight w:val="none"/>
                <w:lang w:eastAsia="zh-CN"/>
              </w:rPr>
              <w:t>重复性试验</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eastAsia="zh-CN"/>
              </w:rPr>
              <w:t>方位试验</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eastAsia="zh-CN"/>
              </w:rPr>
              <w:t>一致性试验</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eastAsia="zh-CN"/>
              </w:rPr>
              <w:t>气流试验</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eastAsia="zh-CN"/>
              </w:rPr>
              <w:t>高温试验</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eastAsia="zh-CN"/>
              </w:rPr>
              <w:t>环境光线试验</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eastAsia="zh-CN"/>
              </w:rPr>
              <w:t>。</w:t>
            </w:r>
          </w:p>
        </w:tc>
        <w:tc>
          <w:tcPr>
            <w:tcW w:w="1672" w:type="dxa"/>
            <w:noWrap w:val="0"/>
            <w:vAlign w:val="center"/>
          </w:tcPr>
          <w:p w14:paraId="56344387">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right"/>
              <w:textAlignment w:val="auto"/>
              <w:rPr>
                <w:rFonts w:hint="eastAsia" w:ascii="楷体" w:hAnsi="楷体" w:eastAsia="楷体" w:cs="楷体"/>
                <w:b w:val="0"/>
                <w:bCs/>
                <w:sz w:val="21"/>
                <w:szCs w:val="21"/>
                <w:highlight w:val="none"/>
                <w:lang w:val="en-US" w:eastAsia="zh-CN"/>
              </w:rPr>
            </w:pPr>
            <w:r>
              <w:rPr>
                <w:rFonts w:hint="eastAsia" w:ascii="楷体" w:hAnsi="楷体" w:eastAsia="楷体" w:cs="楷体"/>
                <w:b w:val="0"/>
                <w:bCs/>
                <w:sz w:val="21"/>
                <w:szCs w:val="21"/>
                <w:highlight w:val="none"/>
                <w:lang w:val="en-US" w:eastAsia="zh-CN"/>
              </w:rPr>
              <w:t>元</w:t>
            </w:r>
          </w:p>
        </w:tc>
      </w:tr>
      <w:tr w14:paraId="2AB67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9758" w:type="dxa"/>
            <w:gridSpan w:val="4"/>
            <w:noWrap w:val="0"/>
            <w:vAlign w:val="center"/>
          </w:tcPr>
          <w:p w14:paraId="7AC2141F">
            <w:pPr>
              <w:keepNext w:val="0"/>
              <w:keepLines w:val="0"/>
              <w:pageBreakBefore w:val="0"/>
              <w:widowControl w:val="0"/>
              <w:kinsoku/>
              <w:wordWrap/>
              <w:overflowPunct/>
              <w:topLinePunct w:val="0"/>
              <w:autoSpaceDE/>
              <w:autoSpaceDN/>
              <w:bidi w:val="0"/>
              <w:adjustRightInd/>
              <w:snapToGrid/>
              <w:spacing w:line="360" w:lineRule="auto"/>
              <w:ind w:left="0" w:right="0" w:rightChars="0"/>
              <w:jc w:val="left"/>
              <w:textAlignment w:val="auto"/>
              <w:rPr>
                <w:rFonts w:hint="eastAsia" w:ascii="楷体" w:hAnsi="楷体" w:eastAsia="楷体" w:cs="楷体"/>
                <w:b w:val="0"/>
                <w:bCs/>
                <w:color w:val="auto"/>
                <w:sz w:val="21"/>
                <w:szCs w:val="21"/>
                <w:highlight w:val="none"/>
                <w:lang w:val="en-US" w:eastAsia="zh-CN"/>
              </w:rPr>
            </w:pPr>
            <w:r>
              <w:rPr>
                <w:rFonts w:hint="eastAsia" w:ascii="楷体" w:hAnsi="楷体" w:eastAsia="楷体" w:cs="楷体"/>
                <w:b w:val="0"/>
                <w:bCs/>
                <w:color w:val="auto"/>
                <w:sz w:val="21"/>
                <w:szCs w:val="21"/>
                <w:highlight w:val="none"/>
                <w:lang w:val="en-US" w:eastAsia="zh-CN"/>
              </w:rPr>
              <w:t>总报价（各产品单批次检测费用总和）：大写</w:t>
            </w:r>
            <w:r>
              <w:rPr>
                <w:rFonts w:hint="eastAsia" w:ascii="楷体" w:hAnsi="楷体" w:eastAsia="楷体" w:cs="楷体"/>
                <w:b w:val="0"/>
                <w:bCs/>
                <w:color w:val="auto"/>
                <w:sz w:val="21"/>
                <w:szCs w:val="21"/>
                <w:highlight w:val="none"/>
                <w:u w:val="single"/>
                <w:lang w:val="en-US" w:eastAsia="zh-CN"/>
              </w:rPr>
              <w:t xml:space="preserve">            </w:t>
            </w:r>
            <w:r>
              <w:rPr>
                <w:rFonts w:hint="eastAsia" w:ascii="楷体" w:hAnsi="楷体" w:eastAsia="楷体" w:cs="楷体"/>
                <w:b w:val="0"/>
                <w:bCs/>
                <w:color w:val="auto"/>
                <w:sz w:val="21"/>
                <w:szCs w:val="21"/>
                <w:highlight w:val="none"/>
                <w:lang w:val="en-US" w:eastAsia="zh-CN"/>
              </w:rPr>
              <w:t>（¥：</w:t>
            </w:r>
            <w:r>
              <w:rPr>
                <w:rFonts w:hint="eastAsia" w:ascii="楷体" w:hAnsi="楷体" w:eastAsia="楷体" w:cs="楷体"/>
                <w:b w:val="0"/>
                <w:bCs/>
                <w:color w:val="auto"/>
                <w:sz w:val="21"/>
                <w:szCs w:val="21"/>
                <w:highlight w:val="none"/>
                <w:u w:val="single"/>
                <w:lang w:val="en-US" w:eastAsia="zh-CN"/>
              </w:rPr>
              <w:t xml:space="preserve">       </w:t>
            </w:r>
            <w:r>
              <w:rPr>
                <w:rFonts w:hint="eastAsia" w:ascii="楷体" w:hAnsi="楷体" w:eastAsia="楷体" w:cs="楷体"/>
                <w:b w:val="0"/>
                <w:bCs/>
                <w:color w:val="auto"/>
                <w:sz w:val="21"/>
                <w:szCs w:val="21"/>
                <w:highlight w:val="none"/>
                <w:lang w:val="en-US" w:eastAsia="zh-CN"/>
              </w:rPr>
              <w:t>）</w:t>
            </w:r>
          </w:p>
          <w:p w14:paraId="1CF72A95">
            <w:pPr>
              <w:pStyle w:val="29"/>
              <w:jc w:val="both"/>
              <w:rPr>
                <w:rFonts w:hint="eastAsia" w:ascii="楷体" w:hAnsi="楷体" w:eastAsia="楷体" w:cs="楷体"/>
                <w:b w:val="0"/>
                <w:bCs/>
                <w:color w:val="auto"/>
                <w:sz w:val="21"/>
                <w:szCs w:val="21"/>
                <w:highlight w:val="none"/>
                <w:lang w:val="en-US" w:eastAsia="zh-CN"/>
              </w:rPr>
            </w:pPr>
          </w:p>
          <w:p w14:paraId="0041FBB8">
            <w:pPr>
              <w:pStyle w:val="29"/>
              <w:spacing w:line="360" w:lineRule="auto"/>
              <w:jc w:val="both"/>
              <w:rPr>
                <w:rFonts w:hint="eastAsia" w:ascii="楷体" w:hAnsi="楷体" w:eastAsia="楷体" w:cs="楷体"/>
                <w:b/>
                <w:bCs w:val="0"/>
                <w:color w:val="auto"/>
                <w:sz w:val="21"/>
                <w:szCs w:val="21"/>
                <w:highlight w:val="none"/>
                <w:lang w:val="en-US" w:eastAsia="zh-CN"/>
              </w:rPr>
            </w:pPr>
            <w:r>
              <w:rPr>
                <w:rFonts w:hint="eastAsia" w:ascii="楷体" w:hAnsi="楷体" w:eastAsia="楷体" w:cs="楷体"/>
                <w:b/>
                <w:bCs w:val="0"/>
                <w:color w:val="auto"/>
                <w:sz w:val="21"/>
                <w:szCs w:val="21"/>
                <w:highlight w:val="none"/>
                <w:lang w:val="en-US" w:eastAsia="zh-CN"/>
              </w:rPr>
              <w:t>备注：1、磋商一览表所列报价须与分项报价表中“总报价（各产品单批次检测费用总和）”保持一致，否则供应商应承担一切不利后果；</w:t>
            </w:r>
          </w:p>
          <w:p w14:paraId="3DD016A7">
            <w:pPr>
              <w:pStyle w:val="29"/>
              <w:spacing w:line="360" w:lineRule="auto"/>
              <w:jc w:val="both"/>
              <w:rPr>
                <w:rFonts w:hint="eastAsia" w:ascii="楷体" w:hAnsi="楷体" w:eastAsia="楷体" w:cs="楷体"/>
                <w:b/>
                <w:bCs w:val="0"/>
                <w:color w:val="auto"/>
                <w:sz w:val="21"/>
                <w:szCs w:val="21"/>
                <w:highlight w:val="none"/>
                <w:lang w:val="en-US" w:eastAsia="zh-CN"/>
              </w:rPr>
            </w:pPr>
            <w:r>
              <w:rPr>
                <w:rFonts w:hint="eastAsia" w:ascii="楷体" w:hAnsi="楷体" w:eastAsia="楷体" w:cs="楷体"/>
                <w:b/>
                <w:bCs w:val="0"/>
                <w:color w:val="auto"/>
                <w:sz w:val="21"/>
                <w:szCs w:val="21"/>
                <w:highlight w:val="none"/>
                <w:lang w:val="en-US" w:eastAsia="zh-CN"/>
              </w:rPr>
              <w:t>2、表内报价内容以元为单位，保留小数点后两位；</w:t>
            </w:r>
          </w:p>
          <w:p w14:paraId="79945853">
            <w:pPr>
              <w:pStyle w:val="29"/>
              <w:spacing w:line="360" w:lineRule="auto"/>
              <w:jc w:val="both"/>
              <w:rPr>
                <w:rFonts w:hint="eastAsia" w:ascii="楷体" w:hAnsi="楷体" w:eastAsia="楷体" w:cs="楷体"/>
                <w:b/>
                <w:bCs w:val="0"/>
                <w:color w:val="auto"/>
                <w:sz w:val="21"/>
                <w:szCs w:val="21"/>
                <w:highlight w:val="none"/>
                <w:lang w:val="en-US" w:eastAsia="zh-CN"/>
              </w:rPr>
            </w:pPr>
            <w:r>
              <w:rPr>
                <w:rFonts w:hint="eastAsia" w:ascii="楷体" w:hAnsi="楷体" w:eastAsia="楷体" w:cs="楷体"/>
                <w:b/>
                <w:bCs w:val="0"/>
                <w:color w:val="auto"/>
                <w:sz w:val="21"/>
                <w:szCs w:val="21"/>
                <w:highlight w:val="none"/>
                <w:lang w:val="en-US" w:eastAsia="zh-CN"/>
              </w:rPr>
              <w:t>3、供应商的报价是供应商响应磋商项目要求的全部工作内容的价格体现，包括供应商完成本项目所需的一切费用（购样费、检验费等相关一切费用）。</w:t>
            </w:r>
          </w:p>
        </w:tc>
      </w:tr>
    </w:tbl>
    <w:p w14:paraId="51CDC9CD">
      <w:pPr>
        <w:spacing w:line="360" w:lineRule="auto"/>
        <w:jc w:val="left"/>
        <w:rPr>
          <w:rFonts w:hint="eastAsia" w:hAnsi="宋体" w:cs="宋体"/>
          <w:b/>
          <w:sz w:val="21"/>
          <w:szCs w:val="21"/>
          <w:highlight w:val="none"/>
          <w:lang w:val="en-US" w:eastAsia="zh-CN"/>
        </w:rPr>
      </w:pPr>
    </w:p>
    <w:p w14:paraId="02D5DDCE">
      <w:pPr>
        <w:spacing w:line="360" w:lineRule="auto"/>
        <w:jc w:val="left"/>
        <w:rPr>
          <w:rFonts w:ascii="楷体" w:hAnsi="楷体" w:eastAsia="楷体" w:cs="楷体"/>
          <w:color w:val="auto"/>
          <w:szCs w:val="24"/>
          <w:highlight w:val="none"/>
        </w:rPr>
      </w:pPr>
      <w:r>
        <w:rPr>
          <w:rFonts w:hint="eastAsia" w:ascii="楷体" w:hAnsi="楷体" w:eastAsia="楷体" w:cs="楷体"/>
          <w:color w:val="auto"/>
          <w:szCs w:val="24"/>
          <w:highlight w:val="none"/>
        </w:rPr>
        <w:t>供应商名称（公章）：</w:t>
      </w:r>
    </w:p>
    <w:p w14:paraId="05E2AC67">
      <w:pPr>
        <w:spacing w:line="360" w:lineRule="auto"/>
        <w:jc w:val="left"/>
        <w:rPr>
          <w:rFonts w:ascii="楷体" w:hAnsi="楷体" w:eastAsia="楷体" w:cs="楷体"/>
          <w:color w:val="auto"/>
          <w:szCs w:val="24"/>
          <w:highlight w:val="none"/>
        </w:rPr>
      </w:pPr>
      <w:r>
        <w:rPr>
          <w:rFonts w:hint="eastAsia" w:ascii="楷体" w:hAnsi="楷体" w:eastAsia="楷体" w:cs="楷体"/>
          <w:color w:val="auto"/>
          <w:szCs w:val="24"/>
          <w:highlight w:val="none"/>
        </w:rPr>
        <w:t>法定代表人/被授权人（</w:t>
      </w:r>
      <w:r>
        <w:rPr>
          <w:rFonts w:hint="eastAsia" w:ascii="楷体" w:hAnsi="楷体" w:eastAsia="楷体" w:cs="楷体"/>
          <w:color w:val="auto"/>
          <w:spacing w:val="4"/>
          <w:szCs w:val="24"/>
          <w:highlight w:val="none"/>
        </w:rPr>
        <w:t>签字或盖章</w:t>
      </w:r>
      <w:r>
        <w:rPr>
          <w:rFonts w:hint="eastAsia" w:ascii="楷体" w:hAnsi="楷体" w:eastAsia="楷体" w:cs="楷体"/>
          <w:color w:val="auto"/>
          <w:szCs w:val="24"/>
          <w:highlight w:val="none"/>
        </w:rPr>
        <w:t>）：</w:t>
      </w:r>
    </w:p>
    <w:p w14:paraId="71380C99">
      <w:pPr>
        <w:adjustRightInd w:val="0"/>
        <w:snapToGrid w:val="0"/>
        <w:spacing w:line="360" w:lineRule="auto"/>
        <w:jc w:val="both"/>
        <w:outlineLvl w:val="2"/>
        <w:rPr>
          <w:rFonts w:hint="eastAsia" w:ascii="楷体" w:hAnsi="楷体" w:eastAsia="楷体" w:cs="楷体"/>
          <w:color w:val="auto"/>
          <w:szCs w:val="24"/>
          <w:highlight w:val="none"/>
        </w:rPr>
      </w:pPr>
      <w:r>
        <w:rPr>
          <w:rFonts w:hint="eastAsia" w:ascii="楷体" w:hAnsi="楷体" w:eastAsia="楷体" w:cs="楷体"/>
          <w:color w:val="auto"/>
          <w:szCs w:val="24"/>
          <w:highlight w:val="none"/>
        </w:rPr>
        <w:t>日    期：</w:t>
      </w:r>
    </w:p>
    <w:p w14:paraId="2BA60605">
      <w:pPr>
        <w:adjustRightInd w:val="0"/>
        <w:snapToGrid w:val="0"/>
        <w:spacing w:line="360" w:lineRule="auto"/>
        <w:jc w:val="both"/>
        <w:outlineLvl w:val="2"/>
        <w:rPr>
          <w:rFonts w:hint="eastAsia" w:ascii="楷体" w:hAnsi="楷体" w:eastAsia="楷体" w:cs="楷体"/>
          <w:color w:val="auto"/>
          <w:szCs w:val="24"/>
          <w:highlight w:val="none"/>
        </w:rPr>
      </w:pPr>
    </w:p>
    <w:p w14:paraId="7320D28D">
      <w:pPr>
        <w:adjustRightInd w:val="0"/>
        <w:snapToGrid w:val="0"/>
        <w:spacing w:line="360" w:lineRule="auto"/>
        <w:jc w:val="both"/>
        <w:outlineLvl w:val="2"/>
        <w:rPr>
          <w:rFonts w:hint="eastAsia" w:ascii="楷体" w:hAnsi="楷体" w:eastAsia="楷体" w:cs="楷体"/>
          <w:color w:val="auto"/>
          <w:szCs w:val="24"/>
          <w:highlight w:val="none"/>
        </w:rPr>
      </w:pPr>
    </w:p>
    <w:p w14:paraId="715AC4FC">
      <w:pPr>
        <w:adjustRightInd w:val="0"/>
        <w:snapToGrid w:val="0"/>
        <w:spacing w:line="360" w:lineRule="auto"/>
        <w:jc w:val="both"/>
        <w:outlineLvl w:val="2"/>
        <w:rPr>
          <w:rFonts w:hint="eastAsia" w:ascii="楷体" w:hAnsi="楷体" w:eastAsia="楷体" w:cs="楷体"/>
          <w:color w:val="auto"/>
          <w:szCs w:val="24"/>
          <w:highlight w:val="none"/>
        </w:rPr>
      </w:pPr>
    </w:p>
    <w:p w14:paraId="22DB9020">
      <w:pPr>
        <w:adjustRightInd w:val="0"/>
        <w:snapToGrid w:val="0"/>
        <w:spacing w:line="360" w:lineRule="auto"/>
        <w:jc w:val="both"/>
        <w:outlineLvl w:val="2"/>
        <w:rPr>
          <w:rFonts w:hint="eastAsia" w:ascii="楷体" w:hAnsi="楷体" w:eastAsia="楷体" w:cs="楷体"/>
          <w:color w:val="auto"/>
          <w:szCs w:val="24"/>
          <w:highlight w:val="none"/>
        </w:rPr>
      </w:pPr>
    </w:p>
    <w:p w14:paraId="25C5D7AA">
      <w:pPr>
        <w:adjustRightInd w:val="0"/>
        <w:snapToGrid w:val="0"/>
        <w:spacing w:line="360" w:lineRule="auto"/>
        <w:jc w:val="both"/>
        <w:outlineLvl w:val="2"/>
        <w:rPr>
          <w:rFonts w:hint="eastAsia" w:ascii="楷体" w:hAnsi="楷体" w:eastAsia="楷体" w:cs="楷体"/>
          <w:color w:val="auto"/>
          <w:szCs w:val="24"/>
          <w:highlight w:val="none"/>
        </w:rPr>
      </w:pPr>
    </w:p>
    <w:p w14:paraId="1C478AA1">
      <w:pPr>
        <w:adjustRightInd w:val="0"/>
        <w:snapToGrid w:val="0"/>
        <w:spacing w:line="360" w:lineRule="auto"/>
        <w:jc w:val="both"/>
        <w:outlineLvl w:val="2"/>
        <w:rPr>
          <w:rFonts w:hint="eastAsia" w:ascii="楷体" w:hAnsi="楷体" w:eastAsia="楷体" w:cs="楷体"/>
          <w:color w:val="auto"/>
          <w:szCs w:val="24"/>
          <w:highlight w:val="none"/>
        </w:rPr>
      </w:pPr>
    </w:p>
    <w:p w14:paraId="51227CF8">
      <w:pPr>
        <w:adjustRightInd w:val="0"/>
        <w:snapToGrid w:val="0"/>
        <w:spacing w:line="360" w:lineRule="auto"/>
        <w:jc w:val="both"/>
        <w:outlineLvl w:val="2"/>
        <w:rPr>
          <w:rFonts w:hint="eastAsia" w:ascii="楷体" w:hAnsi="楷体" w:eastAsia="楷体" w:cs="楷体"/>
          <w:color w:val="auto"/>
          <w:szCs w:val="24"/>
          <w:highlight w:val="none"/>
        </w:rPr>
        <w:sectPr>
          <w:pgSz w:w="11906" w:h="16838"/>
          <w:pgMar w:top="1440" w:right="1800" w:bottom="1440" w:left="1800" w:header="851" w:footer="992" w:gutter="0"/>
          <w:pgNumType w:fmt="decimal"/>
          <w:cols w:space="720" w:num="1"/>
          <w:docGrid w:type="lines" w:linePitch="312" w:charSpace="0"/>
        </w:sectPr>
      </w:pPr>
    </w:p>
    <w:p w14:paraId="2B510CE3">
      <w:pPr>
        <w:spacing w:line="360" w:lineRule="auto"/>
        <w:jc w:val="center"/>
        <w:rPr>
          <w:rFonts w:hint="default" w:ascii="楷体" w:hAnsi="楷体" w:eastAsia="楷体" w:cs="楷体"/>
          <w:b/>
          <w:bCs/>
          <w:color w:val="auto"/>
          <w:sz w:val="32"/>
          <w:szCs w:val="32"/>
          <w:highlight w:val="none"/>
          <w:lang w:val="en-US" w:eastAsia="zh-CN"/>
        </w:rPr>
      </w:pPr>
      <w:bookmarkStart w:id="212" w:name="_Toc23137"/>
      <w:bookmarkStart w:id="213" w:name="_Toc14469"/>
      <w:bookmarkStart w:id="214" w:name="_Toc12557"/>
      <w:bookmarkStart w:id="215" w:name="_Toc29363"/>
      <w:bookmarkStart w:id="216" w:name="_Toc4855"/>
      <w:bookmarkStart w:id="217" w:name="_Toc4145"/>
      <w:r>
        <w:rPr>
          <w:rFonts w:hint="eastAsia" w:ascii="楷体" w:hAnsi="楷体" w:eastAsia="楷体" w:cs="楷体"/>
          <w:b/>
          <w:bCs/>
          <w:color w:val="auto"/>
          <w:sz w:val="32"/>
          <w:szCs w:val="32"/>
          <w:highlight w:val="none"/>
          <w:lang w:val="en-US" w:eastAsia="zh-CN"/>
        </w:rPr>
        <w:t>3.2.2分项报价表（二次）</w:t>
      </w:r>
    </w:p>
    <w:p w14:paraId="51DFC663">
      <w:pPr>
        <w:spacing w:line="360" w:lineRule="auto"/>
        <w:jc w:val="left"/>
        <w:rPr>
          <w:rFonts w:hint="eastAsia" w:ascii="楷体" w:hAnsi="楷体" w:eastAsia="楷体" w:cs="楷体"/>
          <w:color w:val="auto"/>
          <w:szCs w:val="24"/>
          <w:highlight w:val="none"/>
        </w:rPr>
      </w:pPr>
      <w:r>
        <w:rPr>
          <w:rFonts w:hint="eastAsia" w:ascii="宋体" w:hAnsi="宋体" w:eastAsia="宋体" w:cs="宋体"/>
          <w:b/>
          <w:sz w:val="21"/>
          <w:szCs w:val="21"/>
          <w:highlight w:val="none"/>
          <w:lang w:val="en-US" w:eastAsia="zh-CN"/>
        </w:rPr>
        <w:t>采购包1</w:t>
      </w:r>
      <w:r>
        <w:rPr>
          <w:rFonts w:hint="eastAsia" w:ascii="宋体" w:hAnsi="宋体" w:eastAsia="宋体" w:cs="宋体"/>
          <w:b/>
          <w:sz w:val="21"/>
          <w:szCs w:val="21"/>
          <w:highlight w:val="none"/>
        </w:rPr>
        <w:t xml:space="preserve"> </w:t>
      </w:r>
    </w:p>
    <w:tbl>
      <w:tblPr>
        <w:tblStyle w:val="18"/>
        <w:tblW w:w="9758" w:type="dxa"/>
        <w:tblInd w:w="-1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4"/>
        <w:gridCol w:w="2431"/>
        <w:gridCol w:w="4451"/>
        <w:gridCol w:w="1672"/>
      </w:tblGrid>
      <w:tr w14:paraId="1B250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4" w:hRule="atLeast"/>
        </w:trPr>
        <w:tc>
          <w:tcPr>
            <w:tcW w:w="1204" w:type="dxa"/>
            <w:noWrap w:val="0"/>
            <w:vAlign w:val="center"/>
          </w:tcPr>
          <w:p w14:paraId="68A113D9">
            <w:pPr>
              <w:pageBreakBefore w:val="0"/>
              <w:overflowPunct/>
              <w:topLinePunct w:val="0"/>
              <w:bidi w:val="0"/>
              <w:snapToGrid/>
              <w:spacing w:line="360" w:lineRule="auto"/>
              <w:ind w:left="0" w:right="0" w:rightChars="0"/>
              <w:jc w:val="center"/>
              <w:rPr>
                <w:rFonts w:hint="eastAsia" w:ascii="楷体" w:hAnsi="楷体" w:eastAsia="楷体" w:cs="楷体"/>
                <w:b w:val="0"/>
                <w:bCs/>
                <w:sz w:val="21"/>
                <w:szCs w:val="21"/>
                <w:highlight w:val="none"/>
                <w:lang w:val="en-US" w:eastAsia="zh-CN"/>
              </w:rPr>
            </w:pPr>
            <w:r>
              <w:rPr>
                <w:rFonts w:hint="eastAsia" w:ascii="楷体" w:hAnsi="楷体" w:eastAsia="楷体" w:cs="楷体"/>
                <w:b w:val="0"/>
                <w:bCs/>
                <w:sz w:val="21"/>
                <w:szCs w:val="21"/>
                <w:highlight w:val="none"/>
                <w:lang w:val="en-US" w:eastAsia="zh-CN"/>
              </w:rPr>
              <w:t>产品名称</w:t>
            </w:r>
          </w:p>
        </w:tc>
        <w:tc>
          <w:tcPr>
            <w:tcW w:w="2431" w:type="dxa"/>
            <w:noWrap w:val="0"/>
            <w:vAlign w:val="center"/>
          </w:tcPr>
          <w:p w14:paraId="1B40E6D1">
            <w:pPr>
              <w:pageBreakBefore w:val="0"/>
              <w:overflowPunct/>
              <w:topLinePunct w:val="0"/>
              <w:bidi w:val="0"/>
              <w:snapToGrid/>
              <w:spacing w:line="360" w:lineRule="auto"/>
              <w:ind w:left="0" w:right="0" w:rightChars="0"/>
              <w:jc w:val="center"/>
              <w:rPr>
                <w:rFonts w:hint="eastAsia" w:ascii="楷体" w:hAnsi="楷体" w:eastAsia="楷体" w:cs="楷体"/>
                <w:b w:val="0"/>
                <w:bCs/>
                <w:sz w:val="21"/>
                <w:szCs w:val="21"/>
                <w:highlight w:val="none"/>
                <w:lang w:val="en-US" w:eastAsia="zh-CN"/>
              </w:rPr>
            </w:pPr>
            <w:r>
              <w:rPr>
                <w:rFonts w:hint="eastAsia" w:ascii="楷体" w:hAnsi="楷体" w:eastAsia="楷体" w:cs="楷体"/>
                <w:b w:val="0"/>
                <w:bCs/>
                <w:sz w:val="21"/>
                <w:szCs w:val="21"/>
                <w:highlight w:val="none"/>
                <w:lang w:val="en-US" w:eastAsia="zh-CN"/>
              </w:rPr>
              <w:t>执行标准</w:t>
            </w:r>
          </w:p>
        </w:tc>
        <w:tc>
          <w:tcPr>
            <w:tcW w:w="4451" w:type="dxa"/>
            <w:noWrap w:val="0"/>
            <w:vAlign w:val="center"/>
          </w:tcPr>
          <w:p w14:paraId="21132FAB">
            <w:pPr>
              <w:pageBreakBefore w:val="0"/>
              <w:overflowPunct/>
              <w:topLinePunct w:val="0"/>
              <w:bidi w:val="0"/>
              <w:snapToGrid/>
              <w:spacing w:line="360" w:lineRule="auto"/>
              <w:ind w:left="0" w:right="0" w:rightChars="0"/>
              <w:jc w:val="center"/>
              <w:rPr>
                <w:rFonts w:hint="eastAsia" w:ascii="楷体" w:hAnsi="楷体" w:eastAsia="楷体" w:cs="楷体"/>
                <w:b w:val="0"/>
                <w:bCs/>
                <w:sz w:val="21"/>
                <w:szCs w:val="21"/>
                <w:highlight w:val="none"/>
                <w:lang w:val="en-US" w:eastAsia="zh-CN"/>
              </w:rPr>
            </w:pPr>
            <w:r>
              <w:rPr>
                <w:rFonts w:hint="eastAsia" w:ascii="楷体" w:hAnsi="楷体" w:eastAsia="楷体" w:cs="楷体"/>
                <w:b w:val="0"/>
                <w:bCs/>
                <w:sz w:val="21"/>
                <w:szCs w:val="21"/>
                <w:highlight w:val="none"/>
                <w:lang w:val="en-US" w:eastAsia="zh-CN"/>
              </w:rPr>
              <w:t>检测项目分项报价</w:t>
            </w:r>
          </w:p>
        </w:tc>
        <w:tc>
          <w:tcPr>
            <w:tcW w:w="1672" w:type="dxa"/>
            <w:noWrap w:val="0"/>
            <w:vAlign w:val="center"/>
          </w:tcPr>
          <w:p w14:paraId="741FFE36">
            <w:pPr>
              <w:pageBreakBefore w:val="0"/>
              <w:overflowPunct/>
              <w:topLinePunct w:val="0"/>
              <w:bidi w:val="0"/>
              <w:snapToGrid/>
              <w:spacing w:line="360" w:lineRule="auto"/>
              <w:ind w:left="0" w:right="0" w:rightChars="0"/>
              <w:jc w:val="center"/>
              <w:rPr>
                <w:rFonts w:hint="eastAsia" w:ascii="楷体" w:hAnsi="楷体" w:eastAsia="楷体" w:cs="楷体"/>
                <w:b w:val="0"/>
                <w:bCs/>
                <w:sz w:val="21"/>
                <w:szCs w:val="21"/>
                <w:highlight w:val="none"/>
                <w:lang w:val="en-US" w:eastAsia="zh-CN"/>
              </w:rPr>
            </w:pPr>
            <w:r>
              <w:rPr>
                <w:rFonts w:hint="eastAsia" w:ascii="楷体" w:hAnsi="楷体" w:eastAsia="楷体" w:cs="楷体"/>
                <w:b w:val="0"/>
                <w:bCs/>
                <w:sz w:val="21"/>
                <w:szCs w:val="21"/>
                <w:highlight w:val="none"/>
                <w:lang w:val="en-US" w:eastAsia="zh-CN"/>
              </w:rPr>
              <w:t>各产品单批次检测费用总和</w:t>
            </w:r>
          </w:p>
        </w:tc>
      </w:tr>
      <w:tr w14:paraId="54A5C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3" w:hRule="atLeast"/>
        </w:trPr>
        <w:tc>
          <w:tcPr>
            <w:tcW w:w="1204" w:type="dxa"/>
            <w:noWrap w:val="0"/>
            <w:vAlign w:val="center"/>
          </w:tcPr>
          <w:p w14:paraId="13C9C64B">
            <w:pPr>
              <w:pageBreakBefore w:val="0"/>
              <w:overflowPunct/>
              <w:topLinePunct w:val="0"/>
              <w:bidi w:val="0"/>
              <w:snapToGrid/>
              <w:spacing w:line="360" w:lineRule="auto"/>
              <w:ind w:left="0" w:right="0" w:rightChars="0"/>
              <w:jc w:val="center"/>
              <w:rPr>
                <w:rFonts w:hint="eastAsia" w:ascii="楷体" w:hAnsi="楷体" w:eastAsia="楷体" w:cs="楷体"/>
                <w:bCs/>
                <w:color w:val="auto"/>
                <w:sz w:val="21"/>
                <w:szCs w:val="21"/>
                <w:highlight w:val="none"/>
                <w:lang w:val="en-US" w:eastAsia="zh-CN"/>
              </w:rPr>
            </w:pPr>
            <w:r>
              <w:rPr>
                <w:rFonts w:hint="eastAsia" w:ascii="楷体" w:hAnsi="楷体" w:eastAsia="楷体" w:cs="楷体"/>
                <w:bCs/>
                <w:color w:val="auto"/>
                <w:sz w:val="21"/>
                <w:szCs w:val="21"/>
                <w:highlight w:val="none"/>
                <w:lang w:val="en-US" w:eastAsia="zh-CN"/>
              </w:rPr>
              <w:t>车用</w:t>
            </w:r>
          </w:p>
          <w:p w14:paraId="564AC6A1">
            <w:pPr>
              <w:pageBreakBefore w:val="0"/>
              <w:overflowPunct/>
              <w:topLinePunct w:val="0"/>
              <w:bidi w:val="0"/>
              <w:snapToGrid/>
              <w:spacing w:line="360" w:lineRule="auto"/>
              <w:ind w:left="0" w:right="0" w:rightChars="0"/>
              <w:jc w:val="center"/>
              <w:rPr>
                <w:rFonts w:hint="eastAsia" w:ascii="楷体" w:hAnsi="楷体" w:eastAsia="楷体" w:cs="楷体"/>
                <w:b w:val="0"/>
                <w:bCs/>
                <w:sz w:val="21"/>
                <w:szCs w:val="21"/>
                <w:highlight w:val="none"/>
                <w:lang w:val="en-US" w:eastAsia="zh-CN"/>
              </w:rPr>
            </w:pPr>
            <w:r>
              <w:rPr>
                <w:rFonts w:hint="eastAsia" w:ascii="楷体" w:hAnsi="楷体" w:eastAsia="楷体" w:cs="楷体"/>
                <w:bCs/>
                <w:color w:val="auto"/>
                <w:sz w:val="21"/>
                <w:szCs w:val="21"/>
                <w:highlight w:val="none"/>
                <w:lang w:val="en-US" w:eastAsia="zh-CN"/>
              </w:rPr>
              <w:t>汽油</w:t>
            </w:r>
          </w:p>
        </w:tc>
        <w:tc>
          <w:tcPr>
            <w:tcW w:w="2431" w:type="dxa"/>
            <w:noWrap w:val="0"/>
            <w:vAlign w:val="center"/>
          </w:tcPr>
          <w:p w14:paraId="46924C3C">
            <w:pPr>
              <w:pageBreakBefore w:val="0"/>
              <w:overflowPunct/>
              <w:topLinePunct w:val="0"/>
              <w:bidi w:val="0"/>
              <w:snapToGrid/>
              <w:spacing w:line="360" w:lineRule="auto"/>
              <w:ind w:left="0" w:right="0" w:rightChars="0"/>
              <w:jc w:val="left"/>
              <w:rPr>
                <w:rFonts w:hint="eastAsia" w:ascii="楷体" w:hAnsi="楷体" w:eastAsia="楷体" w:cs="楷体"/>
                <w:b w:val="0"/>
                <w:bCs/>
                <w:sz w:val="21"/>
                <w:szCs w:val="21"/>
                <w:highlight w:val="none"/>
                <w:lang w:val="en-US" w:eastAsia="zh-CN"/>
              </w:rPr>
            </w:pPr>
            <w:r>
              <w:rPr>
                <w:rFonts w:hint="eastAsia" w:ascii="楷体" w:hAnsi="楷体" w:eastAsia="楷体" w:cs="楷体"/>
                <w:bCs/>
                <w:color w:val="auto"/>
                <w:sz w:val="21"/>
                <w:szCs w:val="21"/>
                <w:highlight w:val="none"/>
              </w:rPr>
              <w:t xml:space="preserve">GB </w:t>
            </w:r>
            <w:r>
              <w:rPr>
                <w:rFonts w:hint="eastAsia" w:ascii="楷体" w:hAnsi="楷体" w:eastAsia="楷体" w:cs="楷体"/>
                <w:bCs/>
                <w:color w:val="auto"/>
                <w:sz w:val="21"/>
                <w:szCs w:val="21"/>
                <w:highlight w:val="none"/>
                <w:lang w:val="en-US" w:eastAsia="zh-CN"/>
              </w:rPr>
              <w:t>17930</w:t>
            </w:r>
            <w:r>
              <w:rPr>
                <w:rFonts w:hint="eastAsia" w:ascii="楷体" w:hAnsi="楷体" w:eastAsia="楷体" w:cs="楷体"/>
                <w:bCs/>
                <w:color w:val="auto"/>
                <w:sz w:val="21"/>
                <w:szCs w:val="21"/>
                <w:highlight w:val="none"/>
              </w:rPr>
              <w:t>—201</w:t>
            </w:r>
            <w:r>
              <w:rPr>
                <w:rFonts w:hint="eastAsia" w:ascii="楷体" w:hAnsi="楷体" w:eastAsia="楷体" w:cs="楷体"/>
                <w:bCs/>
                <w:color w:val="auto"/>
                <w:sz w:val="21"/>
                <w:szCs w:val="21"/>
                <w:highlight w:val="none"/>
                <w:lang w:val="en-US" w:eastAsia="zh-CN"/>
              </w:rPr>
              <w:t>6</w:t>
            </w:r>
            <w:r>
              <w:rPr>
                <w:rFonts w:hint="eastAsia" w:ascii="楷体" w:hAnsi="楷体" w:eastAsia="楷体" w:cs="楷体"/>
                <w:color w:val="auto"/>
                <w:sz w:val="21"/>
                <w:szCs w:val="21"/>
                <w:highlight w:val="none"/>
                <w:lang w:eastAsia="zh-CN"/>
              </w:rPr>
              <w:t>等</w:t>
            </w:r>
            <w:r>
              <w:rPr>
                <w:rFonts w:hint="eastAsia" w:ascii="楷体" w:hAnsi="楷体" w:eastAsia="楷体" w:cs="楷体"/>
                <w:color w:val="auto"/>
                <w:sz w:val="21"/>
                <w:szCs w:val="21"/>
                <w:highlight w:val="none"/>
              </w:rPr>
              <w:t>现行有效的企业标准、团体标准、地方标准及产品明示质量要求</w:t>
            </w:r>
          </w:p>
        </w:tc>
        <w:tc>
          <w:tcPr>
            <w:tcW w:w="4451" w:type="dxa"/>
            <w:noWrap w:val="0"/>
            <w:vAlign w:val="top"/>
          </w:tcPr>
          <w:p w14:paraId="4BFD5466">
            <w:pPr>
              <w:keepNext w:val="0"/>
              <w:keepLines w:val="0"/>
              <w:pageBreakBefore w:val="0"/>
              <w:widowControl w:val="0"/>
              <w:kinsoku/>
              <w:wordWrap/>
              <w:overflowPunct/>
              <w:topLinePunct w:val="0"/>
              <w:autoSpaceDE/>
              <w:autoSpaceDN/>
              <w:bidi w:val="0"/>
              <w:adjustRightInd/>
              <w:snapToGrid/>
              <w:spacing w:line="360" w:lineRule="auto"/>
              <w:ind w:left="0" w:right="0" w:rightChars="0"/>
              <w:jc w:val="left"/>
              <w:textAlignment w:val="auto"/>
              <w:rPr>
                <w:rFonts w:hint="eastAsia" w:ascii="楷体" w:hAnsi="楷体" w:eastAsia="楷体" w:cs="楷体"/>
                <w:b w:val="0"/>
                <w:bCs/>
                <w:sz w:val="21"/>
                <w:szCs w:val="21"/>
                <w:highlight w:val="none"/>
                <w:lang w:val="en-US" w:eastAsia="zh-CN"/>
              </w:rPr>
            </w:pPr>
            <w:r>
              <w:rPr>
                <w:rFonts w:hint="eastAsia" w:ascii="楷体" w:hAnsi="楷体" w:eastAsia="楷体" w:cs="楷体"/>
                <w:bCs/>
                <w:color w:val="auto"/>
                <w:sz w:val="21"/>
                <w:szCs w:val="21"/>
                <w:highlight w:val="none"/>
              </w:rPr>
              <w:t>研究法辛烷值</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rPr>
              <w:t>硫含量</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val="en-US" w:eastAsia="zh-CN"/>
              </w:rPr>
              <w:t>烯烃含量</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val="en-US" w:eastAsia="zh-CN"/>
              </w:rPr>
              <w:t>芳烃含量</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val="en-US" w:eastAsia="zh-CN"/>
              </w:rPr>
              <w:t>苯含量</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val="en-US" w:eastAsia="zh-CN"/>
              </w:rPr>
              <w:t>氧含量</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val="en-US" w:eastAsia="zh-CN"/>
              </w:rPr>
              <w:t>甲醇含量</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val="en-US" w:eastAsia="zh-CN"/>
              </w:rPr>
              <w:t>密度</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rPr>
              <w:t>蒸</w:t>
            </w:r>
            <w:r>
              <w:rPr>
                <w:rFonts w:hint="eastAsia" w:ascii="楷体" w:hAnsi="楷体" w:eastAsia="楷体" w:cs="楷体"/>
                <w:bCs/>
                <w:color w:val="auto"/>
                <w:sz w:val="21"/>
                <w:szCs w:val="21"/>
                <w:highlight w:val="none"/>
                <w:lang w:val="en-US" w:eastAsia="zh-CN"/>
              </w:rPr>
              <w:t>汽</w:t>
            </w:r>
            <w:r>
              <w:rPr>
                <w:rFonts w:hint="eastAsia" w:ascii="楷体" w:hAnsi="楷体" w:eastAsia="楷体" w:cs="楷体"/>
                <w:bCs/>
                <w:color w:val="auto"/>
                <w:sz w:val="21"/>
                <w:szCs w:val="21"/>
                <w:highlight w:val="none"/>
              </w:rPr>
              <w:t>压</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p>
        </w:tc>
        <w:tc>
          <w:tcPr>
            <w:tcW w:w="1672" w:type="dxa"/>
            <w:noWrap w:val="0"/>
            <w:vAlign w:val="center"/>
          </w:tcPr>
          <w:p w14:paraId="53B6D072">
            <w:pPr>
              <w:keepNext w:val="0"/>
              <w:keepLines w:val="0"/>
              <w:pageBreakBefore w:val="0"/>
              <w:widowControl w:val="0"/>
              <w:kinsoku/>
              <w:wordWrap/>
              <w:overflowPunct/>
              <w:topLinePunct w:val="0"/>
              <w:autoSpaceDE/>
              <w:autoSpaceDN/>
              <w:bidi w:val="0"/>
              <w:adjustRightInd/>
              <w:snapToGrid/>
              <w:spacing w:line="360" w:lineRule="auto"/>
              <w:ind w:left="0" w:right="0" w:rightChars="0"/>
              <w:jc w:val="right"/>
              <w:textAlignment w:val="auto"/>
              <w:rPr>
                <w:rFonts w:hint="eastAsia" w:ascii="楷体" w:hAnsi="楷体" w:eastAsia="楷体" w:cs="楷体"/>
                <w:b w:val="0"/>
                <w:bCs/>
                <w:sz w:val="21"/>
                <w:szCs w:val="21"/>
                <w:highlight w:val="none"/>
                <w:lang w:val="en-US" w:eastAsia="zh-CN"/>
              </w:rPr>
            </w:pPr>
            <w:r>
              <w:rPr>
                <w:rFonts w:hint="eastAsia" w:ascii="楷体" w:hAnsi="楷体" w:eastAsia="楷体" w:cs="楷体"/>
                <w:b w:val="0"/>
                <w:bCs/>
                <w:sz w:val="21"/>
                <w:szCs w:val="21"/>
                <w:highlight w:val="none"/>
                <w:lang w:val="en-US" w:eastAsia="zh-CN"/>
              </w:rPr>
              <w:t>元</w:t>
            </w:r>
          </w:p>
        </w:tc>
      </w:tr>
      <w:tr w14:paraId="2754F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2" w:hRule="atLeast"/>
        </w:trPr>
        <w:tc>
          <w:tcPr>
            <w:tcW w:w="1204" w:type="dxa"/>
            <w:noWrap w:val="0"/>
            <w:vAlign w:val="center"/>
          </w:tcPr>
          <w:p w14:paraId="6E7CA3DC">
            <w:pPr>
              <w:pageBreakBefore w:val="0"/>
              <w:overflowPunct/>
              <w:topLinePunct w:val="0"/>
              <w:bidi w:val="0"/>
              <w:snapToGrid/>
              <w:spacing w:line="360" w:lineRule="auto"/>
              <w:ind w:left="0" w:right="0" w:rightChars="0"/>
              <w:jc w:val="center"/>
              <w:rPr>
                <w:rFonts w:hint="eastAsia" w:ascii="楷体" w:hAnsi="楷体" w:eastAsia="楷体" w:cs="楷体"/>
                <w:bCs/>
                <w:color w:val="auto"/>
                <w:sz w:val="21"/>
                <w:szCs w:val="21"/>
                <w:highlight w:val="none"/>
                <w:lang w:eastAsia="zh-CN"/>
              </w:rPr>
            </w:pPr>
            <w:r>
              <w:rPr>
                <w:rFonts w:hint="eastAsia" w:ascii="楷体" w:hAnsi="楷体" w:eastAsia="楷体" w:cs="楷体"/>
                <w:bCs/>
                <w:color w:val="auto"/>
                <w:sz w:val="21"/>
                <w:szCs w:val="21"/>
                <w:highlight w:val="none"/>
                <w:lang w:eastAsia="zh-CN"/>
              </w:rPr>
              <w:t>车用</w:t>
            </w:r>
          </w:p>
          <w:p w14:paraId="19073DCF">
            <w:pPr>
              <w:pageBreakBefore w:val="0"/>
              <w:overflowPunct/>
              <w:topLinePunct w:val="0"/>
              <w:bidi w:val="0"/>
              <w:snapToGrid/>
              <w:spacing w:line="360" w:lineRule="auto"/>
              <w:ind w:left="0" w:right="0" w:rightChars="0"/>
              <w:jc w:val="center"/>
              <w:rPr>
                <w:rFonts w:hint="eastAsia" w:ascii="楷体" w:hAnsi="楷体" w:eastAsia="楷体" w:cs="楷体"/>
                <w:b w:val="0"/>
                <w:bCs/>
                <w:sz w:val="21"/>
                <w:szCs w:val="21"/>
                <w:highlight w:val="none"/>
                <w:lang w:val="en-US" w:eastAsia="zh-CN"/>
              </w:rPr>
            </w:pPr>
            <w:r>
              <w:rPr>
                <w:rFonts w:hint="eastAsia" w:ascii="楷体" w:hAnsi="楷体" w:eastAsia="楷体" w:cs="楷体"/>
                <w:bCs/>
                <w:color w:val="auto"/>
                <w:sz w:val="21"/>
                <w:szCs w:val="21"/>
                <w:highlight w:val="none"/>
                <w:lang w:eastAsia="zh-CN"/>
              </w:rPr>
              <w:t>柴油</w:t>
            </w:r>
          </w:p>
        </w:tc>
        <w:tc>
          <w:tcPr>
            <w:tcW w:w="2431" w:type="dxa"/>
            <w:noWrap w:val="0"/>
            <w:vAlign w:val="center"/>
          </w:tcPr>
          <w:p w14:paraId="4761CD3D">
            <w:pPr>
              <w:pageBreakBefore w:val="0"/>
              <w:overflowPunct/>
              <w:topLinePunct w:val="0"/>
              <w:bidi w:val="0"/>
              <w:snapToGrid/>
              <w:spacing w:line="360" w:lineRule="auto"/>
              <w:ind w:left="0" w:right="0" w:rightChars="0"/>
              <w:jc w:val="left"/>
              <w:rPr>
                <w:rFonts w:hint="eastAsia" w:ascii="楷体" w:hAnsi="楷体" w:eastAsia="楷体" w:cs="楷体"/>
                <w:b w:val="0"/>
                <w:bCs/>
                <w:sz w:val="21"/>
                <w:szCs w:val="21"/>
                <w:highlight w:val="none"/>
                <w:lang w:val="en-US" w:eastAsia="zh-CN"/>
              </w:rPr>
            </w:pPr>
            <w:r>
              <w:rPr>
                <w:rFonts w:hint="eastAsia" w:ascii="楷体" w:hAnsi="楷体" w:eastAsia="楷体" w:cs="楷体"/>
                <w:bCs/>
                <w:color w:val="auto"/>
                <w:sz w:val="21"/>
                <w:szCs w:val="21"/>
                <w:highlight w:val="none"/>
              </w:rPr>
              <w:t>GB 1</w:t>
            </w:r>
            <w:r>
              <w:rPr>
                <w:rFonts w:hint="eastAsia" w:ascii="楷体" w:hAnsi="楷体" w:eastAsia="楷体" w:cs="楷体"/>
                <w:bCs/>
                <w:color w:val="auto"/>
                <w:sz w:val="21"/>
                <w:szCs w:val="21"/>
                <w:highlight w:val="none"/>
                <w:lang w:val="en-US" w:eastAsia="zh-CN"/>
              </w:rPr>
              <w:t>9147</w:t>
            </w:r>
            <w:r>
              <w:rPr>
                <w:rFonts w:hint="eastAsia" w:ascii="楷体" w:hAnsi="楷体" w:eastAsia="楷体" w:cs="楷体"/>
                <w:bCs/>
                <w:color w:val="auto"/>
                <w:sz w:val="21"/>
                <w:szCs w:val="21"/>
                <w:highlight w:val="none"/>
              </w:rPr>
              <w:t>-201</w:t>
            </w:r>
            <w:r>
              <w:rPr>
                <w:rFonts w:hint="eastAsia" w:ascii="楷体" w:hAnsi="楷体" w:eastAsia="楷体" w:cs="楷体"/>
                <w:bCs/>
                <w:color w:val="auto"/>
                <w:sz w:val="21"/>
                <w:szCs w:val="21"/>
                <w:highlight w:val="none"/>
                <w:lang w:val="en-US" w:eastAsia="zh-CN"/>
              </w:rPr>
              <w:t>6</w:t>
            </w:r>
            <w:r>
              <w:rPr>
                <w:rFonts w:hint="eastAsia" w:ascii="楷体" w:hAnsi="楷体" w:eastAsia="楷体" w:cs="楷体"/>
                <w:color w:val="auto"/>
                <w:sz w:val="21"/>
                <w:szCs w:val="21"/>
                <w:highlight w:val="none"/>
                <w:lang w:eastAsia="zh-CN"/>
              </w:rPr>
              <w:t>等</w:t>
            </w:r>
            <w:r>
              <w:rPr>
                <w:rFonts w:hint="eastAsia" w:ascii="楷体" w:hAnsi="楷体" w:eastAsia="楷体" w:cs="楷体"/>
                <w:color w:val="auto"/>
                <w:sz w:val="21"/>
                <w:szCs w:val="21"/>
                <w:highlight w:val="none"/>
              </w:rPr>
              <w:t>现行有效的企业标准、团体标准、地方标准及产品明示质量要求</w:t>
            </w:r>
          </w:p>
        </w:tc>
        <w:tc>
          <w:tcPr>
            <w:tcW w:w="4451" w:type="dxa"/>
            <w:noWrap w:val="0"/>
            <w:vAlign w:val="top"/>
          </w:tcPr>
          <w:p w14:paraId="54568BE1">
            <w:pPr>
              <w:keepNext w:val="0"/>
              <w:keepLines w:val="0"/>
              <w:pageBreakBefore w:val="0"/>
              <w:widowControl w:val="0"/>
              <w:kinsoku/>
              <w:wordWrap/>
              <w:overflowPunct/>
              <w:topLinePunct w:val="0"/>
              <w:autoSpaceDE/>
              <w:autoSpaceDN/>
              <w:bidi w:val="0"/>
              <w:adjustRightInd/>
              <w:snapToGrid/>
              <w:spacing w:line="360" w:lineRule="auto"/>
              <w:ind w:left="0" w:right="0" w:rightChars="0"/>
              <w:jc w:val="left"/>
              <w:textAlignment w:val="auto"/>
              <w:rPr>
                <w:rFonts w:hint="eastAsia" w:ascii="楷体" w:hAnsi="楷体" w:eastAsia="楷体" w:cs="楷体"/>
                <w:b w:val="0"/>
                <w:bCs/>
                <w:sz w:val="21"/>
                <w:szCs w:val="21"/>
                <w:highlight w:val="none"/>
                <w:lang w:val="en-US" w:eastAsia="zh-CN"/>
              </w:rPr>
            </w:pPr>
            <w:r>
              <w:rPr>
                <w:rFonts w:hint="eastAsia" w:ascii="楷体" w:hAnsi="楷体" w:eastAsia="楷体" w:cs="楷体"/>
                <w:bCs/>
                <w:color w:val="auto"/>
                <w:sz w:val="21"/>
                <w:szCs w:val="21"/>
                <w:highlight w:val="none"/>
                <w:lang w:val="en-US" w:eastAsia="zh-CN"/>
              </w:rPr>
              <w:t>十六烷值</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val="en-US" w:eastAsia="zh-CN"/>
              </w:rPr>
              <w:t>十六烷指数</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val="en-US" w:eastAsia="zh-CN"/>
              </w:rPr>
              <w:t>闪点（闭口）</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val="en-US" w:eastAsia="zh-CN"/>
              </w:rPr>
              <w:t>密度</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val="en-US" w:eastAsia="zh-CN"/>
              </w:rPr>
              <w:t>硫含量</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val="en-US" w:eastAsia="zh-CN"/>
              </w:rPr>
              <w:t>多环芳烃含量</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val="en-US" w:eastAsia="zh-CN"/>
              </w:rPr>
              <w:t>凝点</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val="en-US" w:eastAsia="zh-CN"/>
              </w:rPr>
              <w:t>冷滤点</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p>
        </w:tc>
        <w:tc>
          <w:tcPr>
            <w:tcW w:w="1672" w:type="dxa"/>
            <w:noWrap w:val="0"/>
            <w:vAlign w:val="center"/>
          </w:tcPr>
          <w:p w14:paraId="163C40BA">
            <w:pPr>
              <w:keepNext w:val="0"/>
              <w:keepLines w:val="0"/>
              <w:pageBreakBefore w:val="0"/>
              <w:widowControl w:val="0"/>
              <w:kinsoku/>
              <w:wordWrap/>
              <w:overflowPunct/>
              <w:topLinePunct w:val="0"/>
              <w:autoSpaceDE/>
              <w:autoSpaceDN/>
              <w:bidi w:val="0"/>
              <w:adjustRightInd/>
              <w:snapToGrid/>
              <w:spacing w:line="360" w:lineRule="auto"/>
              <w:ind w:left="0" w:right="0" w:rightChars="0"/>
              <w:jc w:val="right"/>
              <w:textAlignment w:val="auto"/>
              <w:rPr>
                <w:rFonts w:hint="eastAsia" w:ascii="楷体" w:hAnsi="楷体" w:eastAsia="楷体" w:cs="楷体"/>
                <w:b w:val="0"/>
                <w:bCs/>
                <w:sz w:val="21"/>
                <w:szCs w:val="21"/>
                <w:highlight w:val="none"/>
                <w:lang w:val="en-US" w:eastAsia="zh-CN"/>
              </w:rPr>
            </w:pPr>
            <w:r>
              <w:rPr>
                <w:rFonts w:hint="eastAsia" w:ascii="楷体" w:hAnsi="楷体" w:eastAsia="楷体" w:cs="楷体"/>
                <w:b w:val="0"/>
                <w:bCs/>
                <w:sz w:val="21"/>
                <w:szCs w:val="21"/>
                <w:highlight w:val="none"/>
                <w:lang w:val="en-US" w:eastAsia="zh-CN"/>
              </w:rPr>
              <w:t>元</w:t>
            </w:r>
          </w:p>
        </w:tc>
      </w:tr>
      <w:tr w14:paraId="0388C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5" w:hRule="atLeast"/>
        </w:trPr>
        <w:tc>
          <w:tcPr>
            <w:tcW w:w="9758" w:type="dxa"/>
            <w:gridSpan w:val="4"/>
            <w:noWrap w:val="0"/>
            <w:vAlign w:val="center"/>
          </w:tcPr>
          <w:p w14:paraId="2CEA6F17">
            <w:pPr>
              <w:keepNext w:val="0"/>
              <w:keepLines w:val="0"/>
              <w:pageBreakBefore w:val="0"/>
              <w:widowControl w:val="0"/>
              <w:kinsoku/>
              <w:wordWrap/>
              <w:overflowPunct/>
              <w:topLinePunct w:val="0"/>
              <w:autoSpaceDE/>
              <w:autoSpaceDN/>
              <w:bidi w:val="0"/>
              <w:adjustRightInd/>
              <w:snapToGrid/>
              <w:spacing w:line="360" w:lineRule="auto"/>
              <w:ind w:left="0" w:right="0" w:rightChars="0"/>
              <w:jc w:val="left"/>
              <w:textAlignment w:val="auto"/>
              <w:rPr>
                <w:rFonts w:hint="eastAsia" w:ascii="楷体" w:hAnsi="楷体" w:eastAsia="楷体" w:cs="楷体"/>
                <w:b w:val="0"/>
                <w:bCs/>
                <w:color w:val="auto"/>
                <w:sz w:val="21"/>
                <w:szCs w:val="21"/>
                <w:highlight w:val="none"/>
                <w:lang w:val="en-US" w:eastAsia="zh-CN"/>
              </w:rPr>
            </w:pPr>
            <w:r>
              <w:rPr>
                <w:rFonts w:hint="eastAsia" w:ascii="楷体" w:hAnsi="楷体" w:eastAsia="楷体" w:cs="楷体"/>
                <w:b w:val="0"/>
                <w:bCs/>
                <w:color w:val="auto"/>
                <w:sz w:val="21"/>
                <w:szCs w:val="21"/>
                <w:highlight w:val="none"/>
                <w:lang w:val="en-US" w:eastAsia="zh-CN"/>
              </w:rPr>
              <w:t>总报价（各产品单批次检测费用总和）：大写</w:t>
            </w:r>
            <w:r>
              <w:rPr>
                <w:rFonts w:hint="eastAsia" w:ascii="楷体" w:hAnsi="楷体" w:eastAsia="楷体" w:cs="楷体"/>
                <w:b w:val="0"/>
                <w:bCs/>
                <w:color w:val="auto"/>
                <w:sz w:val="21"/>
                <w:szCs w:val="21"/>
                <w:highlight w:val="none"/>
                <w:u w:val="single"/>
                <w:lang w:val="en-US" w:eastAsia="zh-CN"/>
              </w:rPr>
              <w:t xml:space="preserve">            </w:t>
            </w:r>
            <w:r>
              <w:rPr>
                <w:rFonts w:hint="eastAsia" w:ascii="楷体" w:hAnsi="楷体" w:eastAsia="楷体" w:cs="楷体"/>
                <w:b w:val="0"/>
                <w:bCs/>
                <w:color w:val="auto"/>
                <w:sz w:val="21"/>
                <w:szCs w:val="21"/>
                <w:highlight w:val="none"/>
                <w:lang w:val="en-US" w:eastAsia="zh-CN"/>
              </w:rPr>
              <w:t>（¥：</w:t>
            </w:r>
            <w:r>
              <w:rPr>
                <w:rFonts w:hint="eastAsia" w:ascii="楷体" w:hAnsi="楷体" w:eastAsia="楷体" w:cs="楷体"/>
                <w:b w:val="0"/>
                <w:bCs/>
                <w:color w:val="auto"/>
                <w:sz w:val="21"/>
                <w:szCs w:val="21"/>
                <w:highlight w:val="none"/>
                <w:u w:val="single"/>
                <w:lang w:val="en-US" w:eastAsia="zh-CN"/>
              </w:rPr>
              <w:t xml:space="preserve">       </w:t>
            </w:r>
            <w:r>
              <w:rPr>
                <w:rFonts w:hint="eastAsia" w:ascii="楷体" w:hAnsi="楷体" w:eastAsia="楷体" w:cs="楷体"/>
                <w:b w:val="0"/>
                <w:bCs/>
                <w:color w:val="auto"/>
                <w:sz w:val="21"/>
                <w:szCs w:val="21"/>
                <w:highlight w:val="none"/>
                <w:lang w:val="en-US" w:eastAsia="zh-CN"/>
              </w:rPr>
              <w:t>）</w:t>
            </w:r>
          </w:p>
          <w:p w14:paraId="76F878DF">
            <w:pPr>
              <w:pStyle w:val="29"/>
              <w:jc w:val="both"/>
              <w:rPr>
                <w:rFonts w:hint="eastAsia" w:ascii="楷体" w:hAnsi="楷体" w:eastAsia="楷体" w:cs="楷体"/>
                <w:b w:val="0"/>
                <w:bCs/>
                <w:color w:val="auto"/>
                <w:sz w:val="21"/>
                <w:szCs w:val="21"/>
                <w:highlight w:val="none"/>
                <w:lang w:val="en-US" w:eastAsia="zh-CN"/>
              </w:rPr>
            </w:pPr>
          </w:p>
          <w:p w14:paraId="37174BC8">
            <w:pPr>
              <w:pStyle w:val="29"/>
              <w:spacing w:line="360" w:lineRule="auto"/>
              <w:jc w:val="both"/>
              <w:rPr>
                <w:rFonts w:hint="eastAsia" w:ascii="楷体" w:hAnsi="楷体" w:eastAsia="楷体" w:cs="楷体"/>
                <w:b/>
                <w:bCs w:val="0"/>
                <w:color w:val="auto"/>
                <w:sz w:val="21"/>
                <w:szCs w:val="21"/>
                <w:highlight w:val="none"/>
                <w:lang w:val="en-US" w:eastAsia="zh-CN"/>
              </w:rPr>
            </w:pPr>
            <w:r>
              <w:rPr>
                <w:rFonts w:hint="eastAsia" w:ascii="楷体" w:hAnsi="楷体" w:eastAsia="楷体" w:cs="楷体"/>
                <w:b/>
                <w:bCs w:val="0"/>
                <w:color w:val="auto"/>
                <w:sz w:val="21"/>
                <w:szCs w:val="21"/>
                <w:highlight w:val="none"/>
                <w:lang w:val="en-US" w:eastAsia="zh-CN"/>
              </w:rPr>
              <w:t>备注：1、标的清单、报价表及磋商一览表所列报价须与分项报价表中“总报价（各产品单批次检测费用总和）”保持一致，否则供应商应承担一切不利后果；</w:t>
            </w:r>
          </w:p>
          <w:p w14:paraId="0D97D147">
            <w:pPr>
              <w:pStyle w:val="29"/>
              <w:spacing w:line="360" w:lineRule="auto"/>
              <w:jc w:val="both"/>
              <w:rPr>
                <w:rFonts w:hint="eastAsia" w:ascii="楷体" w:hAnsi="楷体" w:eastAsia="楷体" w:cs="楷体"/>
                <w:b/>
                <w:bCs w:val="0"/>
                <w:color w:val="auto"/>
                <w:sz w:val="21"/>
                <w:szCs w:val="21"/>
                <w:highlight w:val="none"/>
                <w:lang w:val="en-US" w:eastAsia="zh-CN"/>
              </w:rPr>
            </w:pPr>
            <w:r>
              <w:rPr>
                <w:rFonts w:hint="eastAsia" w:ascii="楷体" w:hAnsi="楷体" w:eastAsia="楷体" w:cs="楷体"/>
                <w:b/>
                <w:bCs w:val="0"/>
                <w:color w:val="auto"/>
                <w:sz w:val="21"/>
                <w:szCs w:val="21"/>
                <w:highlight w:val="none"/>
                <w:lang w:val="en-US" w:eastAsia="zh-CN"/>
              </w:rPr>
              <w:t>2、表内报价内容以元为单位，保留小数点后两位；</w:t>
            </w:r>
          </w:p>
          <w:p w14:paraId="721218C0">
            <w:pPr>
              <w:pStyle w:val="29"/>
              <w:spacing w:line="360" w:lineRule="auto"/>
              <w:jc w:val="both"/>
              <w:rPr>
                <w:rFonts w:hint="eastAsia" w:ascii="楷体" w:hAnsi="楷体" w:eastAsia="楷体" w:cs="楷体"/>
                <w:b/>
                <w:bCs w:val="0"/>
                <w:color w:val="auto"/>
                <w:sz w:val="21"/>
                <w:szCs w:val="21"/>
                <w:highlight w:val="none"/>
                <w:lang w:val="en-US" w:eastAsia="zh-CN"/>
              </w:rPr>
            </w:pPr>
            <w:r>
              <w:rPr>
                <w:rFonts w:hint="eastAsia" w:ascii="楷体" w:hAnsi="楷体" w:eastAsia="楷体" w:cs="楷体"/>
                <w:b/>
                <w:bCs w:val="0"/>
                <w:color w:val="auto"/>
                <w:sz w:val="21"/>
                <w:szCs w:val="21"/>
                <w:highlight w:val="none"/>
                <w:lang w:val="en-US" w:eastAsia="zh-CN"/>
              </w:rPr>
              <w:t>3、供应商的报价是供应商响应磋商项目要求的全部工作内容的价格体现，包括供应商完成本项目所需的一切费用（购样费、检验费等相关一切费用）。</w:t>
            </w:r>
          </w:p>
        </w:tc>
      </w:tr>
    </w:tbl>
    <w:p w14:paraId="0C3F7483">
      <w:pPr>
        <w:spacing w:line="360" w:lineRule="auto"/>
        <w:jc w:val="left"/>
        <w:rPr>
          <w:rFonts w:hint="default" w:ascii="楷体" w:hAnsi="楷体" w:eastAsia="楷体" w:cs="楷体"/>
          <w:color w:val="auto"/>
          <w:szCs w:val="24"/>
          <w:highlight w:val="none"/>
          <w:lang w:val="en-US" w:eastAsia="zh-CN"/>
        </w:rPr>
      </w:pPr>
      <w:r>
        <w:rPr>
          <w:rFonts w:hint="eastAsia" w:ascii="楷体" w:hAnsi="楷体" w:eastAsia="楷体" w:cs="楷体"/>
          <w:color w:val="auto"/>
          <w:szCs w:val="24"/>
          <w:highlight w:val="none"/>
          <w:lang w:val="en-US" w:eastAsia="zh-CN"/>
        </w:rPr>
        <w:t>供应商名称：</w:t>
      </w:r>
    </w:p>
    <w:p w14:paraId="6924A93C">
      <w:pPr>
        <w:spacing w:line="360" w:lineRule="auto"/>
        <w:jc w:val="left"/>
        <w:rPr>
          <w:rFonts w:ascii="楷体" w:hAnsi="楷体" w:eastAsia="楷体" w:cs="楷体"/>
          <w:color w:val="auto"/>
          <w:szCs w:val="24"/>
          <w:highlight w:val="none"/>
        </w:rPr>
      </w:pPr>
      <w:r>
        <w:rPr>
          <w:rFonts w:hint="eastAsia" w:ascii="楷体" w:hAnsi="楷体" w:eastAsia="楷体" w:cs="楷体"/>
          <w:color w:val="auto"/>
          <w:szCs w:val="24"/>
          <w:highlight w:val="none"/>
        </w:rPr>
        <w:t>法定代表人/被授权人（</w:t>
      </w:r>
      <w:r>
        <w:rPr>
          <w:rFonts w:hint="eastAsia" w:ascii="楷体" w:hAnsi="楷体" w:eastAsia="楷体" w:cs="楷体"/>
          <w:color w:val="auto"/>
          <w:spacing w:val="4"/>
          <w:szCs w:val="24"/>
          <w:highlight w:val="none"/>
        </w:rPr>
        <w:t>签字或盖章</w:t>
      </w:r>
      <w:r>
        <w:rPr>
          <w:rFonts w:hint="eastAsia" w:ascii="楷体" w:hAnsi="楷体" w:eastAsia="楷体" w:cs="楷体"/>
          <w:color w:val="auto"/>
          <w:szCs w:val="24"/>
          <w:highlight w:val="none"/>
        </w:rPr>
        <w:t>）：</w:t>
      </w:r>
    </w:p>
    <w:p w14:paraId="1DF497B7">
      <w:pPr>
        <w:adjustRightInd w:val="0"/>
        <w:snapToGrid w:val="0"/>
        <w:spacing w:line="360" w:lineRule="auto"/>
        <w:jc w:val="both"/>
        <w:outlineLvl w:val="2"/>
        <w:rPr>
          <w:rFonts w:hint="eastAsia" w:ascii="楷体" w:hAnsi="楷体" w:eastAsia="楷体" w:cs="楷体"/>
          <w:color w:val="auto"/>
          <w:szCs w:val="24"/>
          <w:highlight w:val="none"/>
        </w:rPr>
      </w:pPr>
      <w:r>
        <w:rPr>
          <w:rFonts w:hint="eastAsia" w:ascii="楷体" w:hAnsi="楷体" w:eastAsia="楷体" w:cs="楷体"/>
          <w:color w:val="auto"/>
          <w:szCs w:val="24"/>
          <w:highlight w:val="none"/>
        </w:rPr>
        <w:t>日    期：</w:t>
      </w:r>
    </w:p>
    <w:p w14:paraId="6F77B91E">
      <w:pPr>
        <w:adjustRightInd w:val="0"/>
        <w:snapToGrid w:val="0"/>
        <w:spacing w:line="360" w:lineRule="auto"/>
        <w:jc w:val="both"/>
        <w:outlineLvl w:val="2"/>
        <w:rPr>
          <w:rFonts w:hint="eastAsia" w:ascii="楷体" w:hAnsi="楷体" w:eastAsia="楷体" w:cs="楷体"/>
          <w:color w:val="auto"/>
          <w:szCs w:val="24"/>
          <w:highlight w:val="none"/>
        </w:rPr>
      </w:pPr>
    </w:p>
    <w:p w14:paraId="1E960F9B">
      <w:pPr>
        <w:adjustRightInd w:val="0"/>
        <w:snapToGrid w:val="0"/>
        <w:spacing w:line="360" w:lineRule="auto"/>
        <w:jc w:val="both"/>
        <w:outlineLvl w:val="2"/>
        <w:rPr>
          <w:rFonts w:hint="eastAsia" w:ascii="楷体" w:hAnsi="楷体" w:eastAsia="楷体" w:cs="楷体"/>
          <w:color w:val="auto"/>
          <w:szCs w:val="24"/>
          <w:highlight w:val="none"/>
        </w:rPr>
      </w:pPr>
    </w:p>
    <w:p w14:paraId="72124581">
      <w:pPr>
        <w:adjustRightInd w:val="0"/>
        <w:snapToGrid w:val="0"/>
        <w:spacing w:line="360" w:lineRule="auto"/>
        <w:jc w:val="both"/>
        <w:outlineLvl w:val="2"/>
        <w:rPr>
          <w:rFonts w:hint="eastAsia" w:ascii="楷体" w:hAnsi="楷体" w:eastAsia="楷体" w:cs="楷体"/>
          <w:color w:val="auto"/>
          <w:szCs w:val="24"/>
          <w:highlight w:val="none"/>
        </w:rPr>
      </w:pPr>
    </w:p>
    <w:p w14:paraId="1BE3F52A">
      <w:pPr>
        <w:adjustRightInd w:val="0"/>
        <w:snapToGrid w:val="0"/>
        <w:spacing w:line="360" w:lineRule="auto"/>
        <w:jc w:val="both"/>
        <w:outlineLvl w:val="2"/>
        <w:rPr>
          <w:rFonts w:hint="eastAsia" w:ascii="楷体" w:hAnsi="楷体" w:eastAsia="楷体" w:cs="楷体"/>
          <w:color w:val="auto"/>
          <w:szCs w:val="24"/>
          <w:highlight w:val="none"/>
        </w:rPr>
      </w:pPr>
    </w:p>
    <w:p w14:paraId="07A7CE1A">
      <w:pPr>
        <w:adjustRightInd w:val="0"/>
        <w:snapToGrid w:val="0"/>
        <w:spacing w:line="360" w:lineRule="auto"/>
        <w:jc w:val="both"/>
        <w:outlineLvl w:val="2"/>
        <w:rPr>
          <w:rFonts w:hint="eastAsia" w:ascii="楷体" w:hAnsi="楷体" w:eastAsia="楷体" w:cs="楷体"/>
          <w:color w:val="auto"/>
          <w:szCs w:val="24"/>
          <w:highlight w:val="none"/>
        </w:rPr>
      </w:pPr>
    </w:p>
    <w:p w14:paraId="674D37A2">
      <w:pPr>
        <w:adjustRightInd w:val="0"/>
        <w:snapToGrid w:val="0"/>
        <w:spacing w:line="360" w:lineRule="auto"/>
        <w:jc w:val="both"/>
        <w:outlineLvl w:val="2"/>
        <w:rPr>
          <w:rFonts w:hint="eastAsia" w:ascii="楷体" w:hAnsi="楷体" w:eastAsia="楷体" w:cs="楷体"/>
          <w:color w:val="auto"/>
          <w:szCs w:val="24"/>
          <w:highlight w:val="none"/>
        </w:rPr>
      </w:pPr>
    </w:p>
    <w:p w14:paraId="239A7E94">
      <w:pPr>
        <w:adjustRightInd w:val="0"/>
        <w:snapToGrid w:val="0"/>
        <w:spacing w:line="360" w:lineRule="auto"/>
        <w:jc w:val="both"/>
        <w:outlineLvl w:val="2"/>
        <w:rPr>
          <w:rFonts w:hint="eastAsia" w:ascii="楷体" w:hAnsi="楷体" w:eastAsia="楷体" w:cs="楷体"/>
          <w:color w:val="auto"/>
          <w:szCs w:val="24"/>
          <w:highlight w:val="none"/>
        </w:rPr>
      </w:pPr>
    </w:p>
    <w:p w14:paraId="63EE764A">
      <w:pPr>
        <w:spacing w:line="360" w:lineRule="auto"/>
        <w:jc w:val="left"/>
        <w:rPr>
          <w:rFonts w:hint="eastAsia" w:ascii="楷体" w:hAnsi="楷体" w:eastAsia="楷体" w:cs="楷体"/>
          <w:color w:val="auto"/>
          <w:szCs w:val="24"/>
          <w:highlight w:val="none"/>
        </w:rPr>
      </w:pPr>
      <w:r>
        <w:rPr>
          <w:rFonts w:hint="eastAsia" w:ascii="宋体" w:hAnsi="宋体" w:eastAsia="宋体" w:cs="宋体"/>
          <w:b/>
          <w:sz w:val="21"/>
          <w:szCs w:val="21"/>
          <w:highlight w:val="none"/>
          <w:lang w:val="en-US" w:eastAsia="zh-CN"/>
        </w:rPr>
        <w:t>采购包</w:t>
      </w:r>
      <w:r>
        <w:rPr>
          <w:rFonts w:hint="eastAsia" w:hAnsi="宋体" w:cs="宋体"/>
          <w:b/>
          <w:sz w:val="21"/>
          <w:szCs w:val="21"/>
          <w:highlight w:val="none"/>
          <w:lang w:val="en-US" w:eastAsia="zh-CN"/>
        </w:rPr>
        <w:t>2</w:t>
      </w:r>
      <w:r>
        <w:rPr>
          <w:rFonts w:hint="eastAsia" w:ascii="宋体" w:hAnsi="宋体" w:eastAsia="宋体" w:cs="宋体"/>
          <w:b/>
          <w:sz w:val="21"/>
          <w:szCs w:val="21"/>
          <w:highlight w:val="none"/>
        </w:rPr>
        <w:t xml:space="preserve"> </w:t>
      </w:r>
    </w:p>
    <w:tbl>
      <w:tblPr>
        <w:tblStyle w:val="18"/>
        <w:tblW w:w="9758" w:type="dxa"/>
        <w:tblInd w:w="-1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4"/>
        <w:gridCol w:w="2431"/>
        <w:gridCol w:w="4451"/>
        <w:gridCol w:w="1672"/>
      </w:tblGrid>
      <w:tr w14:paraId="445E2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4" w:hRule="atLeast"/>
        </w:trPr>
        <w:tc>
          <w:tcPr>
            <w:tcW w:w="1204" w:type="dxa"/>
            <w:noWrap w:val="0"/>
            <w:vAlign w:val="center"/>
          </w:tcPr>
          <w:p w14:paraId="37D1A009">
            <w:pPr>
              <w:pageBreakBefore w:val="0"/>
              <w:overflowPunct/>
              <w:topLinePunct w:val="0"/>
              <w:bidi w:val="0"/>
              <w:snapToGrid/>
              <w:spacing w:line="360" w:lineRule="auto"/>
              <w:ind w:left="0" w:right="0" w:rightChars="0"/>
              <w:jc w:val="center"/>
              <w:rPr>
                <w:rFonts w:hint="eastAsia" w:ascii="楷体" w:hAnsi="楷体" w:eastAsia="楷体" w:cs="楷体"/>
                <w:b w:val="0"/>
                <w:bCs/>
                <w:sz w:val="21"/>
                <w:szCs w:val="21"/>
                <w:highlight w:val="none"/>
                <w:lang w:val="en-US" w:eastAsia="zh-CN"/>
              </w:rPr>
            </w:pPr>
            <w:r>
              <w:rPr>
                <w:rFonts w:hint="eastAsia" w:ascii="楷体" w:hAnsi="楷体" w:eastAsia="楷体" w:cs="楷体"/>
                <w:b w:val="0"/>
                <w:bCs/>
                <w:sz w:val="21"/>
                <w:szCs w:val="21"/>
                <w:highlight w:val="none"/>
                <w:lang w:val="en-US" w:eastAsia="zh-CN"/>
              </w:rPr>
              <w:t>产品名称</w:t>
            </w:r>
          </w:p>
        </w:tc>
        <w:tc>
          <w:tcPr>
            <w:tcW w:w="2431" w:type="dxa"/>
            <w:noWrap w:val="0"/>
            <w:vAlign w:val="center"/>
          </w:tcPr>
          <w:p w14:paraId="401A379B">
            <w:pPr>
              <w:pageBreakBefore w:val="0"/>
              <w:overflowPunct/>
              <w:topLinePunct w:val="0"/>
              <w:bidi w:val="0"/>
              <w:snapToGrid/>
              <w:spacing w:line="360" w:lineRule="auto"/>
              <w:ind w:left="0" w:right="0" w:rightChars="0"/>
              <w:jc w:val="center"/>
              <w:rPr>
                <w:rFonts w:hint="eastAsia" w:ascii="楷体" w:hAnsi="楷体" w:eastAsia="楷体" w:cs="楷体"/>
                <w:b w:val="0"/>
                <w:bCs/>
                <w:sz w:val="21"/>
                <w:szCs w:val="21"/>
                <w:highlight w:val="none"/>
                <w:lang w:val="en-US" w:eastAsia="zh-CN"/>
              </w:rPr>
            </w:pPr>
            <w:r>
              <w:rPr>
                <w:rFonts w:hint="eastAsia" w:ascii="楷体" w:hAnsi="楷体" w:eastAsia="楷体" w:cs="楷体"/>
                <w:b w:val="0"/>
                <w:bCs/>
                <w:sz w:val="21"/>
                <w:szCs w:val="21"/>
                <w:highlight w:val="none"/>
                <w:lang w:val="en-US" w:eastAsia="zh-CN"/>
              </w:rPr>
              <w:t>执行标准</w:t>
            </w:r>
          </w:p>
        </w:tc>
        <w:tc>
          <w:tcPr>
            <w:tcW w:w="4451" w:type="dxa"/>
            <w:noWrap w:val="0"/>
            <w:vAlign w:val="center"/>
          </w:tcPr>
          <w:p w14:paraId="7C34142A">
            <w:pPr>
              <w:pageBreakBefore w:val="0"/>
              <w:overflowPunct/>
              <w:topLinePunct w:val="0"/>
              <w:bidi w:val="0"/>
              <w:snapToGrid/>
              <w:spacing w:line="360" w:lineRule="auto"/>
              <w:ind w:left="0" w:right="0" w:rightChars="0"/>
              <w:jc w:val="center"/>
              <w:rPr>
                <w:rFonts w:hint="eastAsia" w:ascii="楷体" w:hAnsi="楷体" w:eastAsia="楷体" w:cs="楷体"/>
                <w:b w:val="0"/>
                <w:bCs/>
                <w:sz w:val="21"/>
                <w:szCs w:val="21"/>
                <w:highlight w:val="none"/>
                <w:lang w:val="en-US" w:eastAsia="zh-CN"/>
              </w:rPr>
            </w:pPr>
            <w:r>
              <w:rPr>
                <w:rFonts w:hint="eastAsia" w:ascii="楷体" w:hAnsi="楷体" w:eastAsia="楷体" w:cs="楷体"/>
                <w:b w:val="0"/>
                <w:bCs/>
                <w:sz w:val="21"/>
                <w:szCs w:val="21"/>
                <w:highlight w:val="none"/>
                <w:lang w:val="en-US" w:eastAsia="zh-CN"/>
              </w:rPr>
              <w:t>检测项目分项报价</w:t>
            </w:r>
          </w:p>
        </w:tc>
        <w:tc>
          <w:tcPr>
            <w:tcW w:w="1672" w:type="dxa"/>
            <w:noWrap w:val="0"/>
            <w:vAlign w:val="center"/>
          </w:tcPr>
          <w:p w14:paraId="16963438">
            <w:pPr>
              <w:pageBreakBefore w:val="0"/>
              <w:overflowPunct/>
              <w:topLinePunct w:val="0"/>
              <w:bidi w:val="0"/>
              <w:snapToGrid/>
              <w:spacing w:line="360" w:lineRule="auto"/>
              <w:ind w:left="0" w:right="0" w:rightChars="0"/>
              <w:jc w:val="center"/>
              <w:rPr>
                <w:rFonts w:hint="eastAsia" w:ascii="楷体" w:hAnsi="楷体" w:eastAsia="楷体" w:cs="楷体"/>
                <w:b w:val="0"/>
                <w:bCs/>
                <w:sz w:val="21"/>
                <w:szCs w:val="21"/>
                <w:highlight w:val="none"/>
                <w:lang w:val="en-US" w:eastAsia="zh-CN"/>
              </w:rPr>
            </w:pPr>
            <w:r>
              <w:rPr>
                <w:rFonts w:hint="eastAsia" w:ascii="楷体" w:hAnsi="楷体" w:eastAsia="楷体" w:cs="楷体"/>
                <w:b w:val="0"/>
                <w:bCs/>
                <w:sz w:val="21"/>
                <w:szCs w:val="21"/>
                <w:highlight w:val="none"/>
                <w:lang w:val="en-US" w:eastAsia="zh-CN"/>
              </w:rPr>
              <w:t>各产品单批次检测费用总和</w:t>
            </w:r>
          </w:p>
        </w:tc>
      </w:tr>
      <w:tr w14:paraId="1766A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3" w:hRule="atLeast"/>
        </w:trPr>
        <w:tc>
          <w:tcPr>
            <w:tcW w:w="1204" w:type="dxa"/>
            <w:noWrap w:val="0"/>
            <w:vAlign w:val="center"/>
          </w:tcPr>
          <w:p w14:paraId="4769FACC">
            <w:pPr>
              <w:pageBreakBefore w:val="0"/>
              <w:overflowPunct/>
              <w:topLinePunct w:val="0"/>
              <w:bidi w:val="0"/>
              <w:snapToGrid/>
              <w:spacing w:line="360" w:lineRule="auto"/>
              <w:ind w:left="0" w:right="0" w:rightChars="0"/>
              <w:jc w:val="center"/>
              <w:rPr>
                <w:rFonts w:hint="eastAsia" w:ascii="楷体" w:hAnsi="楷体" w:eastAsia="楷体" w:cs="楷体"/>
                <w:b w:val="0"/>
                <w:bCs/>
                <w:sz w:val="21"/>
                <w:szCs w:val="21"/>
                <w:highlight w:val="none"/>
                <w:lang w:val="en-US" w:eastAsia="zh-CN"/>
              </w:rPr>
            </w:pPr>
            <w:r>
              <w:rPr>
                <w:rFonts w:hint="eastAsia" w:ascii="楷体" w:hAnsi="楷体" w:eastAsia="楷体" w:cs="楷体"/>
                <w:bCs/>
                <w:color w:val="auto"/>
                <w:sz w:val="21"/>
                <w:szCs w:val="21"/>
                <w:highlight w:val="none"/>
              </w:rPr>
              <w:t>木器涂料</w:t>
            </w:r>
          </w:p>
        </w:tc>
        <w:tc>
          <w:tcPr>
            <w:tcW w:w="2431" w:type="dxa"/>
            <w:noWrap w:val="0"/>
            <w:vAlign w:val="center"/>
          </w:tcPr>
          <w:p w14:paraId="30DFDE47">
            <w:pPr>
              <w:pageBreakBefore w:val="0"/>
              <w:overflowPunct/>
              <w:topLinePunct w:val="0"/>
              <w:bidi w:val="0"/>
              <w:snapToGrid/>
              <w:spacing w:line="360" w:lineRule="auto"/>
              <w:ind w:left="0" w:right="0" w:rightChars="0"/>
              <w:jc w:val="left"/>
              <w:rPr>
                <w:rFonts w:hint="eastAsia" w:ascii="楷体" w:hAnsi="楷体" w:eastAsia="楷体" w:cs="楷体"/>
                <w:bCs/>
                <w:color w:val="auto"/>
                <w:sz w:val="21"/>
                <w:szCs w:val="21"/>
                <w:highlight w:val="none"/>
                <w:lang w:eastAsia="zh-CN"/>
              </w:rPr>
            </w:pPr>
            <w:r>
              <w:rPr>
                <w:rFonts w:hint="eastAsia" w:ascii="楷体" w:hAnsi="楷体" w:eastAsia="楷体" w:cs="楷体"/>
                <w:bCs/>
                <w:color w:val="auto"/>
                <w:sz w:val="21"/>
                <w:szCs w:val="21"/>
                <w:highlight w:val="none"/>
                <w:lang w:eastAsia="zh-CN"/>
              </w:rPr>
              <w:t>GB 18581-2020</w:t>
            </w:r>
          </w:p>
          <w:p w14:paraId="1081AAC9">
            <w:pPr>
              <w:pageBreakBefore w:val="0"/>
              <w:overflowPunct/>
              <w:topLinePunct w:val="0"/>
              <w:bidi w:val="0"/>
              <w:snapToGrid/>
              <w:spacing w:line="360" w:lineRule="auto"/>
              <w:ind w:left="0" w:right="0" w:rightChars="0"/>
              <w:jc w:val="left"/>
              <w:rPr>
                <w:rFonts w:hint="eastAsia" w:ascii="楷体" w:hAnsi="楷体" w:eastAsia="楷体" w:cs="楷体"/>
                <w:b w:val="0"/>
                <w:bCs/>
                <w:sz w:val="21"/>
                <w:szCs w:val="21"/>
                <w:highlight w:val="none"/>
                <w:lang w:val="en-US" w:eastAsia="zh-CN"/>
              </w:rPr>
            </w:pPr>
            <w:r>
              <w:rPr>
                <w:rFonts w:hint="eastAsia" w:ascii="楷体" w:hAnsi="楷体" w:eastAsia="楷体" w:cs="楷体"/>
                <w:bCs/>
                <w:color w:val="auto"/>
                <w:sz w:val="21"/>
                <w:szCs w:val="21"/>
                <w:highlight w:val="none"/>
                <w:lang w:eastAsia="zh-CN"/>
              </w:rPr>
              <w:t>GB/T 38597-2020 及现行有 效的企业标准、团体标准、 地方标准及产品明示质量</w:t>
            </w:r>
            <w:r>
              <w:rPr>
                <w:rFonts w:hint="eastAsia" w:ascii="楷体" w:hAnsi="楷体" w:eastAsia="楷体" w:cs="楷体"/>
                <w:bCs/>
                <w:color w:val="auto"/>
                <w:sz w:val="21"/>
                <w:szCs w:val="21"/>
                <w:highlight w:val="none"/>
              </w:rPr>
              <w:t>要求</w:t>
            </w:r>
          </w:p>
        </w:tc>
        <w:tc>
          <w:tcPr>
            <w:tcW w:w="4451" w:type="dxa"/>
            <w:noWrap w:val="0"/>
            <w:vAlign w:val="top"/>
          </w:tcPr>
          <w:p w14:paraId="7C5C7356">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left"/>
              <w:textAlignment w:val="auto"/>
              <w:rPr>
                <w:rFonts w:hint="eastAsia" w:ascii="楷体" w:hAnsi="楷体" w:eastAsia="楷体" w:cs="楷体"/>
                <w:b w:val="0"/>
                <w:bCs/>
                <w:sz w:val="21"/>
                <w:szCs w:val="21"/>
                <w:highlight w:val="none"/>
                <w:lang w:val="en-US" w:eastAsia="zh-CN"/>
              </w:rPr>
            </w:pPr>
            <w:r>
              <w:rPr>
                <w:rFonts w:hint="eastAsia" w:ascii="楷体" w:hAnsi="楷体" w:eastAsia="楷体" w:cs="楷体"/>
                <w:bCs/>
                <w:color w:val="auto"/>
                <w:sz w:val="21"/>
                <w:szCs w:val="21"/>
                <w:highlight w:val="none"/>
                <w:lang w:eastAsia="zh-CN"/>
              </w:rPr>
              <w:t>VOC 含量</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eastAsia="zh-CN"/>
              </w:rPr>
              <w:t>甲醛含量</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eastAsia="zh-CN"/>
              </w:rPr>
              <w:t>总铅含量</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eastAsia="zh-CN"/>
              </w:rPr>
              <w:t>可溶性重金属含量（镉、铬、汞）</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eastAsia="zh-CN"/>
              </w:rPr>
              <w:t>苯系物总和含量（水性）</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eastAsia="zh-CN"/>
              </w:rPr>
              <w:t>苯含量（溶剂型）</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eastAsia="zh-CN"/>
              </w:rPr>
              <w:t>甲苯与二甲苯（含乙苯）总和含量（溶剂型）</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eastAsia="zh-CN"/>
              </w:rPr>
              <w:t>乙二醇醚及醚酯总和含量</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u w:val="none"/>
                <w:lang w:val="en-US" w:eastAsia="zh-CN"/>
              </w:rPr>
              <w:t>元</w:t>
            </w:r>
            <w:r>
              <w:rPr>
                <w:rFonts w:hint="eastAsia" w:ascii="楷体" w:hAnsi="楷体" w:eastAsia="楷体" w:cs="楷体"/>
                <w:b w:val="0"/>
                <w:bCs/>
                <w:sz w:val="21"/>
                <w:szCs w:val="21"/>
                <w:highlight w:val="none"/>
                <w:lang w:val="en-US" w:eastAsia="zh-CN"/>
              </w:rPr>
              <w:t>。</w:t>
            </w:r>
          </w:p>
        </w:tc>
        <w:tc>
          <w:tcPr>
            <w:tcW w:w="1672" w:type="dxa"/>
            <w:noWrap w:val="0"/>
            <w:vAlign w:val="center"/>
          </w:tcPr>
          <w:p w14:paraId="50ED6D25">
            <w:pPr>
              <w:keepNext w:val="0"/>
              <w:keepLines w:val="0"/>
              <w:pageBreakBefore w:val="0"/>
              <w:widowControl w:val="0"/>
              <w:kinsoku/>
              <w:wordWrap/>
              <w:overflowPunct/>
              <w:topLinePunct w:val="0"/>
              <w:autoSpaceDE/>
              <w:autoSpaceDN/>
              <w:bidi w:val="0"/>
              <w:adjustRightInd/>
              <w:snapToGrid/>
              <w:spacing w:line="360" w:lineRule="auto"/>
              <w:ind w:left="0" w:right="0" w:rightChars="0"/>
              <w:jc w:val="right"/>
              <w:textAlignment w:val="auto"/>
              <w:rPr>
                <w:rFonts w:hint="eastAsia" w:ascii="楷体" w:hAnsi="楷体" w:eastAsia="楷体" w:cs="楷体"/>
                <w:b w:val="0"/>
                <w:bCs/>
                <w:sz w:val="21"/>
                <w:szCs w:val="21"/>
                <w:highlight w:val="none"/>
                <w:lang w:val="en-US" w:eastAsia="zh-CN"/>
              </w:rPr>
            </w:pPr>
            <w:r>
              <w:rPr>
                <w:rFonts w:hint="eastAsia" w:ascii="楷体" w:hAnsi="楷体" w:eastAsia="楷体" w:cs="楷体"/>
                <w:b w:val="0"/>
                <w:bCs/>
                <w:sz w:val="21"/>
                <w:szCs w:val="21"/>
                <w:highlight w:val="none"/>
                <w:lang w:val="en-US" w:eastAsia="zh-CN"/>
              </w:rPr>
              <w:t>元</w:t>
            </w:r>
          </w:p>
        </w:tc>
      </w:tr>
      <w:tr w14:paraId="503B9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2" w:hRule="atLeast"/>
        </w:trPr>
        <w:tc>
          <w:tcPr>
            <w:tcW w:w="1204" w:type="dxa"/>
            <w:noWrap w:val="0"/>
            <w:vAlign w:val="center"/>
          </w:tcPr>
          <w:p w14:paraId="5B3A1748">
            <w:pPr>
              <w:pageBreakBefore w:val="0"/>
              <w:overflowPunct/>
              <w:topLinePunct w:val="0"/>
              <w:bidi w:val="0"/>
              <w:snapToGrid/>
              <w:spacing w:line="360" w:lineRule="auto"/>
              <w:ind w:left="0" w:right="0" w:rightChars="0"/>
              <w:jc w:val="center"/>
              <w:rPr>
                <w:rFonts w:hint="eastAsia" w:ascii="楷体" w:hAnsi="楷体" w:eastAsia="楷体" w:cs="楷体"/>
                <w:b w:val="0"/>
                <w:bCs/>
                <w:sz w:val="21"/>
                <w:szCs w:val="21"/>
                <w:highlight w:val="none"/>
                <w:lang w:val="en-US" w:eastAsia="zh-CN"/>
              </w:rPr>
            </w:pPr>
            <w:r>
              <w:rPr>
                <w:rFonts w:hint="eastAsia" w:ascii="楷体" w:hAnsi="楷体" w:eastAsia="楷体" w:cs="楷体"/>
                <w:bCs/>
                <w:color w:val="auto"/>
                <w:sz w:val="21"/>
                <w:szCs w:val="21"/>
                <w:highlight w:val="none"/>
              </w:rPr>
              <w:t>内墙涂料</w:t>
            </w:r>
          </w:p>
        </w:tc>
        <w:tc>
          <w:tcPr>
            <w:tcW w:w="2431" w:type="dxa"/>
            <w:noWrap w:val="0"/>
            <w:vAlign w:val="center"/>
          </w:tcPr>
          <w:p w14:paraId="3EA09E84">
            <w:pPr>
              <w:pageBreakBefore w:val="0"/>
              <w:overflowPunct/>
              <w:topLinePunct w:val="0"/>
              <w:bidi w:val="0"/>
              <w:snapToGrid/>
              <w:spacing w:line="360" w:lineRule="auto"/>
              <w:ind w:left="0" w:right="0" w:rightChars="0"/>
              <w:jc w:val="left"/>
              <w:rPr>
                <w:rFonts w:hint="eastAsia" w:ascii="楷体" w:hAnsi="楷体" w:eastAsia="楷体" w:cs="楷体"/>
                <w:bCs/>
                <w:color w:val="auto"/>
                <w:sz w:val="21"/>
                <w:szCs w:val="21"/>
                <w:highlight w:val="none"/>
                <w:lang w:eastAsia="zh-CN"/>
              </w:rPr>
            </w:pPr>
            <w:r>
              <w:rPr>
                <w:rFonts w:hint="eastAsia" w:ascii="楷体" w:hAnsi="楷体" w:eastAsia="楷体" w:cs="楷体"/>
                <w:bCs/>
                <w:color w:val="auto"/>
                <w:sz w:val="21"/>
                <w:szCs w:val="21"/>
                <w:highlight w:val="none"/>
                <w:lang w:eastAsia="zh-CN"/>
              </w:rPr>
              <w:t xml:space="preserve">GB 18582-2020  </w:t>
            </w:r>
          </w:p>
          <w:p w14:paraId="7285507E">
            <w:pPr>
              <w:pageBreakBefore w:val="0"/>
              <w:overflowPunct/>
              <w:topLinePunct w:val="0"/>
              <w:bidi w:val="0"/>
              <w:snapToGrid/>
              <w:spacing w:line="360" w:lineRule="auto"/>
              <w:ind w:left="0" w:right="0" w:rightChars="0"/>
              <w:jc w:val="left"/>
              <w:rPr>
                <w:rFonts w:hint="eastAsia" w:ascii="楷体" w:hAnsi="楷体" w:eastAsia="楷体" w:cs="楷体"/>
                <w:bCs/>
                <w:color w:val="auto"/>
                <w:sz w:val="21"/>
                <w:szCs w:val="21"/>
                <w:highlight w:val="none"/>
                <w:lang w:val="en-US" w:eastAsia="zh-CN"/>
              </w:rPr>
            </w:pPr>
            <w:r>
              <w:rPr>
                <w:rFonts w:hint="eastAsia" w:ascii="楷体" w:hAnsi="楷体" w:eastAsia="楷体" w:cs="楷体"/>
                <w:bCs/>
                <w:color w:val="auto"/>
                <w:sz w:val="21"/>
                <w:szCs w:val="21"/>
                <w:highlight w:val="none"/>
                <w:lang w:eastAsia="zh-CN"/>
              </w:rPr>
              <w:t>GB/T</w:t>
            </w:r>
            <w:r>
              <w:rPr>
                <w:rFonts w:hint="eastAsia" w:ascii="楷体" w:hAnsi="楷体" w:eastAsia="楷体" w:cs="楷体"/>
                <w:bCs/>
                <w:color w:val="auto"/>
                <w:sz w:val="21"/>
                <w:szCs w:val="21"/>
                <w:highlight w:val="none"/>
                <w:lang w:val="en-US" w:eastAsia="zh-CN"/>
              </w:rPr>
              <w:t xml:space="preserve"> 9755-2024</w:t>
            </w:r>
          </w:p>
          <w:p w14:paraId="2BFCA14A">
            <w:pPr>
              <w:pageBreakBefore w:val="0"/>
              <w:overflowPunct/>
              <w:topLinePunct w:val="0"/>
              <w:bidi w:val="0"/>
              <w:snapToGrid/>
              <w:spacing w:line="360" w:lineRule="auto"/>
              <w:ind w:left="0" w:right="0" w:rightChars="0"/>
              <w:jc w:val="left"/>
              <w:rPr>
                <w:rFonts w:hint="eastAsia" w:ascii="楷体" w:hAnsi="楷体" w:eastAsia="楷体" w:cs="楷体"/>
                <w:b w:val="0"/>
                <w:bCs/>
                <w:sz w:val="21"/>
                <w:szCs w:val="21"/>
                <w:highlight w:val="none"/>
                <w:lang w:val="en-US" w:eastAsia="zh-CN"/>
              </w:rPr>
            </w:pPr>
            <w:r>
              <w:rPr>
                <w:rFonts w:hint="eastAsia" w:ascii="楷体" w:hAnsi="楷体" w:eastAsia="楷体" w:cs="楷体"/>
                <w:bCs/>
                <w:color w:val="auto"/>
                <w:sz w:val="21"/>
                <w:szCs w:val="21"/>
                <w:highlight w:val="none"/>
                <w:lang w:eastAsia="zh-CN"/>
              </w:rPr>
              <w:t>GB/T 38597-2020等现行有 效的企业标准、团体标准、 地方标准及产品明示质量  要求</w:t>
            </w:r>
          </w:p>
        </w:tc>
        <w:tc>
          <w:tcPr>
            <w:tcW w:w="4451" w:type="dxa"/>
            <w:noWrap w:val="0"/>
            <w:vAlign w:val="top"/>
          </w:tcPr>
          <w:p w14:paraId="24D9512C">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left"/>
              <w:textAlignment w:val="auto"/>
              <w:rPr>
                <w:rFonts w:hint="eastAsia" w:ascii="楷体" w:hAnsi="楷体" w:eastAsia="楷体" w:cs="楷体"/>
                <w:b w:val="0"/>
                <w:bCs/>
                <w:sz w:val="21"/>
                <w:szCs w:val="21"/>
                <w:highlight w:val="none"/>
                <w:lang w:val="en-US" w:eastAsia="zh-CN"/>
              </w:rPr>
            </w:pPr>
            <w:r>
              <w:rPr>
                <w:rFonts w:hint="eastAsia" w:ascii="楷体" w:hAnsi="楷体" w:eastAsia="楷体" w:cs="楷体"/>
                <w:bCs/>
                <w:color w:val="auto"/>
                <w:sz w:val="21"/>
                <w:szCs w:val="21"/>
                <w:highlight w:val="none"/>
                <w:lang w:eastAsia="zh-CN"/>
              </w:rPr>
              <w:t>VOC 含量</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eastAsia="zh-CN"/>
              </w:rPr>
              <w:t>甲醛含量</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eastAsia="zh-CN"/>
              </w:rPr>
              <w:t>苯系物总和含量</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eastAsia="zh-CN"/>
              </w:rPr>
              <w:t>总铅含量</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eastAsia="zh-CN"/>
              </w:rPr>
              <w:t>可溶性重金属含量（镉、铬、汞）</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eastAsia="zh-CN"/>
              </w:rPr>
              <w:t>低温稳定性</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eastAsia="zh-CN"/>
              </w:rPr>
              <w:t>干燥时间</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eastAsia="zh-CN"/>
              </w:rPr>
              <w:t>对比率</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eastAsia="zh-CN"/>
              </w:rPr>
              <w:t>耐碱性</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eastAsia="zh-CN"/>
              </w:rPr>
              <w:t>耐洗刷性</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p>
        </w:tc>
        <w:tc>
          <w:tcPr>
            <w:tcW w:w="1672" w:type="dxa"/>
            <w:noWrap w:val="0"/>
            <w:vAlign w:val="center"/>
          </w:tcPr>
          <w:p w14:paraId="4A19AC61">
            <w:pPr>
              <w:keepNext w:val="0"/>
              <w:keepLines w:val="0"/>
              <w:pageBreakBefore w:val="0"/>
              <w:widowControl w:val="0"/>
              <w:kinsoku/>
              <w:wordWrap/>
              <w:overflowPunct/>
              <w:topLinePunct w:val="0"/>
              <w:autoSpaceDE/>
              <w:autoSpaceDN/>
              <w:bidi w:val="0"/>
              <w:adjustRightInd/>
              <w:snapToGrid/>
              <w:spacing w:line="360" w:lineRule="auto"/>
              <w:ind w:left="0" w:right="0" w:rightChars="0"/>
              <w:jc w:val="right"/>
              <w:textAlignment w:val="auto"/>
              <w:rPr>
                <w:rFonts w:hint="eastAsia" w:ascii="楷体" w:hAnsi="楷体" w:eastAsia="楷体" w:cs="楷体"/>
                <w:b w:val="0"/>
                <w:bCs/>
                <w:sz w:val="21"/>
                <w:szCs w:val="21"/>
                <w:highlight w:val="none"/>
                <w:lang w:val="en-US" w:eastAsia="zh-CN"/>
              </w:rPr>
            </w:pPr>
            <w:r>
              <w:rPr>
                <w:rFonts w:hint="eastAsia" w:ascii="楷体" w:hAnsi="楷体" w:eastAsia="楷体" w:cs="楷体"/>
                <w:b w:val="0"/>
                <w:bCs/>
                <w:sz w:val="21"/>
                <w:szCs w:val="21"/>
                <w:highlight w:val="none"/>
                <w:lang w:val="en-US" w:eastAsia="zh-CN"/>
              </w:rPr>
              <w:t>元</w:t>
            </w:r>
          </w:p>
        </w:tc>
      </w:tr>
      <w:tr w14:paraId="64702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2" w:hRule="atLeast"/>
        </w:trPr>
        <w:tc>
          <w:tcPr>
            <w:tcW w:w="1204" w:type="dxa"/>
            <w:noWrap w:val="0"/>
            <w:vAlign w:val="center"/>
          </w:tcPr>
          <w:p w14:paraId="79A6608F">
            <w:pPr>
              <w:pageBreakBefore w:val="0"/>
              <w:overflowPunct/>
              <w:topLinePunct w:val="0"/>
              <w:bidi w:val="0"/>
              <w:snapToGrid/>
              <w:spacing w:line="360" w:lineRule="auto"/>
              <w:ind w:left="0" w:right="0" w:rightChars="0"/>
              <w:jc w:val="center"/>
              <w:rPr>
                <w:rFonts w:hint="eastAsia" w:ascii="楷体" w:hAnsi="楷体" w:eastAsia="楷体" w:cs="楷体"/>
                <w:b w:val="0"/>
                <w:bCs/>
                <w:sz w:val="21"/>
                <w:szCs w:val="21"/>
                <w:highlight w:val="none"/>
                <w:lang w:val="en-US" w:eastAsia="zh-CN"/>
              </w:rPr>
            </w:pPr>
            <w:r>
              <w:rPr>
                <w:rFonts w:hint="eastAsia" w:ascii="楷体" w:hAnsi="楷体" w:eastAsia="楷体" w:cs="楷体"/>
                <w:bCs/>
                <w:color w:val="auto"/>
                <w:sz w:val="21"/>
                <w:szCs w:val="21"/>
                <w:highlight w:val="none"/>
              </w:rPr>
              <w:t>外墙涂料</w:t>
            </w:r>
          </w:p>
        </w:tc>
        <w:tc>
          <w:tcPr>
            <w:tcW w:w="2431" w:type="dxa"/>
            <w:noWrap w:val="0"/>
            <w:vAlign w:val="center"/>
          </w:tcPr>
          <w:p w14:paraId="3DFCA697">
            <w:pPr>
              <w:pageBreakBefore w:val="0"/>
              <w:overflowPunct/>
              <w:topLinePunct w:val="0"/>
              <w:bidi w:val="0"/>
              <w:snapToGrid/>
              <w:spacing w:line="360" w:lineRule="auto"/>
              <w:ind w:left="0" w:right="0" w:rightChars="0"/>
              <w:jc w:val="left"/>
              <w:rPr>
                <w:rFonts w:hint="eastAsia" w:ascii="楷体" w:hAnsi="楷体" w:eastAsia="楷体" w:cs="楷体"/>
                <w:bCs/>
                <w:color w:val="auto"/>
                <w:sz w:val="21"/>
                <w:szCs w:val="21"/>
                <w:highlight w:val="none"/>
                <w:lang w:eastAsia="zh-CN"/>
              </w:rPr>
            </w:pPr>
            <w:r>
              <w:rPr>
                <w:rFonts w:hint="eastAsia" w:ascii="楷体" w:hAnsi="楷体" w:eastAsia="楷体" w:cs="楷体"/>
                <w:bCs/>
                <w:color w:val="auto"/>
                <w:sz w:val="21"/>
                <w:szCs w:val="21"/>
                <w:highlight w:val="none"/>
                <w:lang w:eastAsia="zh-CN"/>
              </w:rPr>
              <w:t xml:space="preserve">GB 18582-2020 </w:t>
            </w:r>
          </w:p>
          <w:p w14:paraId="3BA1B458">
            <w:pPr>
              <w:pageBreakBefore w:val="0"/>
              <w:overflowPunct/>
              <w:topLinePunct w:val="0"/>
              <w:bidi w:val="0"/>
              <w:snapToGrid/>
              <w:spacing w:line="360" w:lineRule="auto"/>
              <w:ind w:left="0" w:right="0" w:rightChars="0"/>
              <w:jc w:val="left"/>
              <w:rPr>
                <w:rFonts w:hint="eastAsia" w:ascii="楷体" w:hAnsi="楷体" w:eastAsia="楷体" w:cs="楷体"/>
                <w:bCs/>
                <w:color w:val="auto"/>
                <w:sz w:val="21"/>
                <w:szCs w:val="21"/>
                <w:highlight w:val="none"/>
                <w:lang w:val="en-US" w:eastAsia="zh-CN"/>
              </w:rPr>
            </w:pPr>
            <w:r>
              <w:rPr>
                <w:rFonts w:hint="eastAsia" w:ascii="楷体" w:hAnsi="楷体" w:eastAsia="楷体" w:cs="楷体"/>
                <w:bCs/>
                <w:color w:val="auto"/>
                <w:sz w:val="21"/>
                <w:szCs w:val="21"/>
                <w:highlight w:val="none"/>
                <w:lang w:eastAsia="zh-CN"/>
              </w:rPr>
              <w:t>GB/T 9755-20</w:t>
            </w:r>
            <w:r>
              <w:rPr>
                <w:rFonts w:hint="eastAsia" w:ascii="楷体" w:hAnsi="楷体" w:eastAsia="楷体" w:cs="楷体"/>
                <w:bCs/>
                <w:color w:val="auto"/>
                <w:sz w:val="21"/>
                <w:szCs w:val="21"/>
                <w:highlight w:val="none"/>
                <w:lang w:val="en-US" w:eastAsia="zh-CN"/>
              </w:rPr>
              <w:t>24</w:t>
            </w:r>
          </w:p>
          <w:p w14:paraId="5E608D6B">
            <w:pPr>
              <w:pageBreakBefore w:val="0"/>
              <w:overflowPunct/>
              <w:topLinePunct w:val="0"/>
              <w:bidi w:val="0"/>
              <w:snapToGrid/>
              <w:spacing w:line="360" w:lineRule="auto"/>
              <w:ind w:left="0" w:right="0" w:rightChars="0"/>
              <w:jc w:val="left"/>
              <w:rPr>
                <w:rFonts w:hint="eastAsia" w:ascii="楷体" w:hAnsi="楷体" w:eastAsia="楷体" w:cs="楷体"/>
                <w:b w:val="0"/>
                <w:bCs/>
                <w:sz w:val="21"/>
                <w:szCs w:val="21"/>
                <w:highlight w:val="none"/>
                <w:lang w:val="en-US" w:eastAsia="zh-CN"/>
              </w:rPr>
            </w:pPr>
            <w:r>
              <w:rPr>
                <w:rFonts w:hint="eastAsia" w:ascii="楷体" w:hAnsi="楷体" w:eastAsia="楷体" w:cs="楷体"/>
                <w:bCs/>
                <w:color w:val="auto"/>
                <w:sz w:val="21"/>
                <w:szCs w:val="21"/>
                <w:highlight w:val="none"/>
                <w:lang w:eastAsia="zh-CN"/>
              </w:rPr>
              <w:t>GB/T 38597-2020 等现行有 效的企业标准、团体标准、地方标准及产品明示质量要求</w:t>
            </w:r>
          </w:p>
        </w:tc>
        <w:tc>
          <w:tcPr>
            <w:tcW w:w="4451" w:type="dxa"/>
            <w:noWrap w:val="0"/>
            <w:vAlign w:val="top"/>
          </w:tcPr>
          <w:p w14:paraId="27F79C4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left"/>
              <w:textAlignment w:val="auto"/>
              <w:rPr>
                <w:rFonts w:hint="eastAsia" w:ascii="楷体" w:hAnsi="楷体" w:eastAsia="楷体" w:cs="楷体"/>
                <w:bCs/>
                <w:color w:val="auto"/>
                <w:sz w:val="21"/>
                <w:szCs w:val="21"/>
                <w:highlight w:val="none"/>
                <w:lang w:val="en-US" w:eastAsia="zh-CN"/>
              </w:rPr>
            </w:pPr>
            <w:r>
              <w:rPr>
                <w:rFonts w:hint="eastAsia" w:ascii="楷体" w:hAnsi="楷体" w:eastAsia="楷体" w:cs="楷体"/>
                <w:bCs/>
                <w:color w:val="auto"/>
                <w:sz w:val="21"/>
                <w:szCs w:val="21"/>
                <w:highlight w:val="none"/>
                <w:lang w:eastAsia="zh-CN"/>
              </w:rPr>
              <w:t>VOC 含量</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eastAsia="zh-CN"/>
              </w:rPr>
              <w:t>甲醛含量</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eastAsia="zh-CN"/>
              </w:rPr>
              <w:t>苯系物总和含量</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eastAsia="zh-CN"/>
              </w:rPr>
              <w:t>总铅含量</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eastAsia="zh-CN"/>
              </w:rPr>
              <w:t>可溶性重金属含量（镉、铬、汞）</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eastAsia="zh-CN"/>
              </w:rPr>
              <w:t>低温稳定性</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val="en-US" w:eastAsia="zh-CN"/>
              </w:rPr>
              <w:t>耐水性</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eastAsia="zh-CN"/>
              </w:rPr>
              <w:t>耐碱性</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eastAsia="zh-CN"/>
              </w:rPr>
              <w:t>耐洗刷性</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eastAsia="zh-CN"/>
              </w:rPr>
              <w:t>对比率</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eastAsia="zh-CN"/>
              </w:rPr>
              <w:t>涂层耐温变性</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p>
        </w:tc>
        <w:tc>
          <w:tcPr>
            <w:tcW w:w="1672" w:type="dxa"/>
            <w:noWrap w:val="0"/>
            <w:vAlign w:val="center"/>
          </w:tcPr>
          <w:p w14:paraId="6E734849">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right"/>
              <w:textAlignment w:val="auto"/>
              <w:rPr>
                <w:rFonts w:hint="eastAsia" w:ascii="楷体" w:hAnsi="楷体" w:eastAsia="楷体" w:cs="楷体"/>
                <w:b w:val="0"/>
                <w:bCs/>
                <w:sz w:val="21"/>
                <w:szCs w:val="21"/>
                <w:highlight w:val="none"/>
                <w:lang w:val="en-US" w:eastAsia="zh-CN"/>
              </w:rPr>
            </w:pPr>
            <w:r>
              <w:rPr>
                <w:rFonts w:hint="eastAsia" w:ascii="楷体" w:hAnsi="楷体" w:eastAsia="楷体" w:cs="楷体"/>
                <w:b w:val="0"/>
                <w:bCs/>
                <w:sz w:val="21"/>
                <w:szCs w:val="21"/>
                <w:highlight w:val="none"/>
                <w:lang w:val="en-US" w:eastAsia="zh-CN"/>
              </w:rPr>
              <w:t>元</w:t>
            </w:r>
          </w:p>
        </w:tc>
      </w:tr>
      <w:tr w14:paraId="4508A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2" w:hRule="atLeast"/>
        </w:trPr>
        <w:tc>
          <w:tcPr>
            <w:tcW w:w="1204" w:type="dxa"/>
            <w:noWrap w:val="0"/>
            <w:vAlign w:val="center"/>
          </w:tcPr>
          <w:p w14:paraId="6B269B76">
            <w:pPr>
              <w:pageBreakBefore w:val="0"/>
              <w:overflowPunct/>
              <w:topLinePunct w:val="0"/>
              <w:bidi w:val="0"/>
              <w:snapToGrid/>
              <w:spacing w:line="360" w:lineRule="auto"/>
              <w:ind w:left="0" w:right="0" w:rightChars="0"/>
              <w:jc w:val="center"/>
              <w:rPr>
                <w:rFonts w:hint="eastAsia" w:ascii="楷体" w:hAnsi="楷体" w:eastAsia="楷体" w:cs="楷体"/>
                <w:b w:val="0"/>
                <w:bCs/>
                <w:sz w:val="21"/>
                <w:szCs w:val="21"/>
                <w:highlight w:val="none"/>
                <w:lang w:val="en-US" w:eastAsia="zh-CN"/>
              </w:rPr>
            </w:pPr>
            <w:r>
              <w:rPr>
                <w:rFonts w:hint="eastAsia" w:ascii="楷体" w:hAnsi="楷体" w:eastAsia="楷体" w:cs="楷体"/>
                <w:bCs/>
                <w:color w:val="auto"/>
                <w:sz w:val="21"/>
                <w:szCs w:val="21"/>
                <w:highlight w:val="none"/>
              </w:rPr>
              <w:t>建筑质感涂料</w:t>
            </w:r>
          </w:p>
        </w:tc>
        <w:tc>
          <w:tcPr>
            <w:tcW w:w="2431" w:type="dxa"/>
            <w:noWrap w:val="0"/>
            <w:vAlign w:val="center"/>
          </w:tcPr>
          <w:p w14:paraId="02A5C27A">
            <w:pPr>
              <w:pageBreakBefore w:val="0"/>
              <w:overflowPunct/>
              <w:topLinePunct w:val="0"/>
              <w:bidi w:val="0"/>
              <w:snapToGrid/>
              <w:spacing w:line="360" w:lineRule="auto"/>
              <w:ind w:left="0" w:right="0" w:rightChars="0"/>
              <w:jc w:val="left"/>
              <w:rPr>
                <w:rFonts w:hint="eastAsia" w:ascii="楷体" w:hAnsi="楷体" w:eastAsia="楷体" w:cs="楷体"/>
                <w:bCs/>
                <w:color w:val="auto"/>
                <w:sz w:val="21"/>
                <w:szCs w:val="21"/>
                <w:highlight w:val="none"/>
                <w:lang w:eastAsia="zh-CN"/>
              </w:rPr>
            </w:pPr>
            <w:r>
              <w:rPr>
                <w:rFonts w:hint="eastAsia" w:ascii="楷体" w:hAnsi="楷体" w:eastAsia="楷体" w:cs="楷体"/>
                <w:bCs/>
                <w:color w:val="auto"/>
                <w:sz w:val="21"/>
                <w:szCs w:val="21"/>
                <w:highlight w:val="none"/>
                <w:lang w:eastAsia="zh-CN"/>
              </w:rPr>
              <w:t>GB 18582-2020</w:t>
            </w:r>
          </w:p>
          <w:p w14:paraId="1C565FF2">
            <w:pPr>
              <w:pageBreakBefore w:val="0"/>
              <w:overflowPunct/>
              <w:topLinePunct w:val="0"/>
              <w:bidi w:val="0"/>
              <w:snapToGrid/>
              <w:spacing w:line="360" w:lineRule="auto"/>
              <w:ind w:left="0" w:right="0" w:rightChars="0"/>
              <w:jc w:val="left"/>
              <w:rPr>
                <w:rFonts w:hint="eastAsia" w:ascii="楷体" w:hAnsi="楷体" w:eastAsia="楷体" w:cs="楷体"/>
                <w:b w:val="0"/>
                <w:bCs/>
                <w:sz w:val="21"/>
                <w:szCs w:val="21"/>
                <w:highlight w:val="none"/>
                <w:lang w:val="en-US" w:eastAsia="zh-CN"/>
              </w:rPr>
            </w:pPr>
            <w:r>
              <w:rPr>
                <w:rFonts w:hint="eastAsia" w:ascii="楷体" w:hAnsi="楷体" w:eastAsia="楷体" w:cs="楷体"/>
                <w:bCs/>
                <w:color w:val="auto"/>
                <w:sz w:val="21"/>
                <w:szCs w:val="21"/>
                <w:highlight w:val="none"/>
                <w:lang w:eastAsia="zh-CN"/>
              </w:rPr>
              <w:t>GB/T 38597-2020 等现行有 效的企业标准、团体标准、 地方标准及产品明示质量要求</w:t>
            </w:r>
          </w:p>
        </w:tc>
        <w:tc>
          <w:tcPr>
            <w:tcW w:w="4451" w:type="dxa"/>
            <w:noWrap w:val="0"/>
            <w:vAlign w:val="top"/>
          </w:tcPr>
          <w:p w14:paraId="113CE73E">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left"/>
              <w:textAlignment w:val="auto"/>
              <w:rPr>
                <w:rFonts w:hint="eastAsia" w:ascii="楷体" w:hAnsi="楷体" w:eastAsia="楷体" w:cs="楷体"/>
                <w:bCs/>
                <w:color w:val="auto"/>
                <w:sz w:val="21"/>
                <w:szCs w:val="21"/>
                <w:highlight w:val="none"/>
                <w:lang w:val="en-US" w:eastAsia="zh-CN"/>
              </w:rPr>
            </w:pPr>
            <w:r>
              <w:rPr>
                <w:rFonts w:hint="eastAsia" w:ascii="楷体" w:hAnsi="楷体" w:eastAsia="楷体" w:cs="楷体"/>
                <w:bCs/>
                <w:color w:val="auto"/>
                <w:sz w:val="21"/>
                <w:szCs w:val="21"/>
                <w:highlight w:val="none"/>
                <w:lang w:eastAsia="zh-CN"/>
              </w:rPr>
              <w:t>VOC 含量</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eastAsia="zh-CN"/>
              </w:rPr>
              <w:t>甲醛含量</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eastAsia="zh-CN"/>
              </w:rPr>
              <w:t>苯系物总和含量</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eastAsia="zh-CN"/>
              </w:rPr>
              <w:t>总铅含量</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eastAsia="zh-CN"/>
              </w:rPr>
              <w:t>可溶性重金属含量（镉、铬、汞）</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p>
        </w:tc>
        <w:tc>
          <w:tcPr>
            <w:tcW w:w="1672" w:type="dxa"/>
            <w:noWrap w:val="0"/>
            <w:vAlign w:val="center"/>
          </w:tcPr>
          <w:p w14:paraId="7A90410F">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right"/>
              <w:textAlignment w:val="auto"/>
              <w:rPr>
                <w:rFonts w:hint="eastAsia" w:ascii="楷体" w:hAnsi="楷体" w:eastAsia="楷体" w:cs="楷体"/>
                <w:b w:val="0"/>
                <w:bCs/>
                <w:sz w:val="21"/>
                <w:szCs w:val="21"/>
                <w:highlight w:val="none"/>
                <w:lang w:val="en-US" w:eastAsia="zh-CN"/>
              </w:rPr>
            </w:pPr>
            <w:r>
              <w:rPr>
                <w:rFonts w:hint="eastAsia" w:ascii="楷体" w:hAnsi="楷体" w:eastAsia="楷体" w:cs="楷体"/>
                <w:b w:val="0"/>
                <w:bCs/>
                <w:sz w:val="21"/>
                <w:szCs w:val="21"/>
                <w:highlight w:val="none"/>
                <w:lang w:val="en-US" w:eastAsia="zh-CN"/>
              </w:rPr>
              <w:t>元</w:t>
            </w:r>
          </w:p>
        </w:tc>
      </w:tr>
      <w:tr w14:paraId="38E3D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2" w:hRule="atLeast"/>
        </w:trPr>
        <w:tc>
          <w:tcPr>
            <w:tcW w:w="1204" w:type="dxa"/>
            <w:noWrap w:val="0"/>
            <w:vAlign w:val="center"/>
          </w:tcPr>
          <w:p w14:paraId="40FCA0C8">
            <w:pPr>
              <w:pageBreakBefore w:val="0"/>
              <w:overflowPunct/>
              <w:topLinePunct w:val="0"/>
              <w:bidi w:val="0"/>
              <w:snapToGrid/>
              <w:spacing w:line="360" w:lineRule="auto"/>
              <w:ind w:left="0" w:right="0" w:rightChars="0"/>
              <w:jc w:val="center"/>
              <w:rPr>
                <w:rFonts w:hint="eastAsia" w:ascii="楷体" w:hAnsi="楷体" w:eastAsia="楷体" w:cs="楷体"/>
                <w:b w:val="0"/>
                <w:bCs/>
                <w:sz w:val="21"/>
                <w:szCs w:val="21"/>
                <w:highlight w:val="none"/>
                <w:lang w:val="en-US" w:eastAsia="zh-CN"/>
              </w:rPr>
            </w:pPr>
            <w:r>
              <w:rPr>
                <w:rFonts w:hint="eastAsia" w:ascii="楷体" w:hAnsi="楷体" w:eastAsia="楷体" w:cs="楷体"/>
                <w:bCs/>
                <w:color w:val="auto"/>
                <w:sz w:val="21"/>
                <w:szCs w:val="21"/>
                <w:highlight w:val="none"/>
              </w:rPr>
              <w:t>地坪涂料</w:t>
            </w:r>
          </w:p>
        </w:tc>
        <w:tc>
          <w:tcPr>
            <w:tcW w:w="2431" w:type="dxa"/>
            <w:noWrap w:val="0"/>
            <w:vAlign w:val="center"/>
          </w:tcPr>
          <w:p w14:paraId="1571A4AC">
            <w:pPr>
              <w:pageBreakBefore w:val="0"/>
              <w:overflowPunct/>
              <w:topLinePunct w:val="0"/>
              <w:bidi w:val="0"/>
              <w:snapToGrid/>
              <w:spacing w:line="360" w:lineRule="auto"/>
              <w:ind w:left="0" w:right="0" w:rightChars="0"/>
              <w:jc w:val="left"/>
              <w:rPr>
                <w:rFonts w:hint="eastAsia" w:ascii="楷体" w:hAnsi="楷体" w:eastAsia="楷体" w:cs="楷体"/>
                <w:bCs/>
                <w:color w:val="auto"/>
                <w:sz w:val="21"/>
                <w:szCs w:val="21"/>
                <w:highlight w:val="none"/>
                <w:lang w:eastAsia="zh-CN"/>
              </w:rPr>
            </w:pPr>
            <w:r>
              <w:rPr>
                <w:rFonts w:hint="eastAsia" w:ascii="楷体" w:hAnsi="楷体" w:eastAsia="楷体" w:cs="楷体"/>
                <w:bCs/>
                <w:color w:val="auto"/>
                <w:sz w:val="21"/>
                <w:szCs w:val="21"/>
                <w:highlight w:val="none"/>
                <w:lang w:eastAsia="zh-CN"/>
              </w:rPr>
              <w:t>GB 38468-2019</w:t>
            </w:r>
          </w:p>
          <w:p w14:paraId="2A50A916">
            <w:pPr>
              <w:pageBreakBefore w:val="0"/>
              <w:overflowPunct/>
              <w:topLinePunct w:val="0"/>
              <w:bidi w:val="0"/>
              <w:snapToGrid/>
              <w:spacing w:line="360" w:lineRule="auto"/>
              <w:ind w:left="0" w:right="0" w:rightChars="0"/>
              <w:jc w:val="left"/>
              <w:rPr>
                <w:rFonts w:hint="eastAsia" w:ascii="楷体" w:hAnsi="楷体" w:eastAsia="楷体" w:cs="楷体"/>
                <w:bCs/>
                <w:color w:val="auto"/>
                <w:sz w:val="21"/>
                <w:szCs w:val="21"/>
                <w:highlight w:val="none"/>
                <w:lang w:eastAsia="zh-CN"/>
              </w:rPr>
            </w:pPr>
            <w:r>
              <w:rPr>
                <w:rFonts w:hint="eastAsia" w:ascii="楷体" w:hAnsi="楷体" w:eastAsia="楷体" w:cs="楷体"/>
                <w:bCs/>
                <w:color w:val="auto"/>
                <w:sz w:val="21"/>
                <w:szCs w:val="21"/>
                <w:highlight w:val="none"/>
                <w:lang w:eastAsia="zh-CN"/>
              </w:rPr>
              <w:t>GB/T 38597-2020</w:t>
            </w:r>
          </w:p>
          <w:p w14:paraId="7503CB37">
            <w:pPr>
              <w:pageBreakBefore w:val="0"/>
              <w:overflowPunct/>
              <w:topLinePunct w:val="0"/>
              <w:bidi w:val="0"/>
              <w:snapToGrid/>
              <w:spacing w:line="360" w:lineRule="auto"/>
              <w:ind w:left="0" w:right="0" w:rightChars="0"/>
              <w:jc w:val="left"/>
              <w:rPr>
                <w:rFonts w:hint="eastAsia" w:ascii="楷体" w:hAnsi="楷体" w:eastAsia="楷体" w:cs="楷体"/>
                <w:b w:val="0"/>
                <w:bCs/>
                <w:sz w:val="21"/>
                <w:szCs w:val="21"/>
                <w:highlight w:val="none"/>
                <w:lang w:val="en-US" w:eastAsia="zh-CN"/>
              </w:rPr>
            </w:pPr>
            <w:r>
              <w:rPr>
                <w:rFonts w:hint="eastAsia" w:ascii="楷体" w:hAnsi="楷体" w:eastAsia="楷体" w:cs="楷体"/>
                <w:bCs/>
                <w:color w:val="auto"/>
                <w:sz w:val="21"/>
                <w:szCs w:val="21"/>
                <w:highlight w:val="none"/>
                <w:lang w:eastAsia="zh-CN"/>
              </w:rPr>
              <w:t>等现行有效的企业标准、团体标准、地方标准及产品明示质量要求</w:t>
            </w:r>
          </w:p>
        </w:tc>
        <w:tc>
          <w:tcPr>
            <w:tcW w:w="4451" w:type="dxa"/>
            <w:noWrap w:val="0"/>
            <w:vAlign w:val="top"/>
          </w:tcPr>
          <w:p w14:paraId="11C0EC9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left"/>
              <w:textAlignment w:val="auto"/>
              <w:rPr>
                <w:rFonts w:hint="eastAsia" w:ascii="楷体" w:hAnsi="楷体" w:eastAsia="楷体" w:cs="楷体"/>
                <w:bCs/>
                <w:color w:val="auto"/>
                <w:sz w:val="21"/>
                <w:szCs w:val="21"/>
                <w:highlight w:val="none"/>
                <w:lang w:val="en-US" w:eastAsia="zh-CN"/>
              </w:rPr>
            </w:pPr>
            <w:r>
              <w:rPr>
                <w:rFonts w:hint="eastAsia" w:ascii="楷体" w:hAnsi="楷体" w:eastAsia="楷体" w:cs="楷体"/>
                <w:bCs/>
                <w:color w:val="auto"/>
                <w:sz w:val="21"/>
                <w:szCs w:val="21"/>
                <w:highlight w:val="none"/>
                <w:lang w:eastAsia="zh-CN"/>
              </w:rPr>
              <w:t>挥发性有机化合物（VOC）含量</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eastAsia="zh-CN"/>
              </w:rPr>
              <w:t>苯、甲苯、乙苯和二甲苯总和（水性）</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eastAsia="zh-CN"/>
              </w:rPr>
              <w:t>苯（溶剂型、无溶剂型）</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eastAsia="zh-CN"/>
              </w:rPr>
              <w:t>甲苯、乙苯和二甲苯总和（溶剂型、无溶剂型）</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eastAsia="zh-CN"/>
              </w:rPr>
              <w:t>可溶性重金属含量（铅、镉、铬、汞）</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eastAsia="zh-CN"/>
              </w:rPr>
              <w:t>乙二醇醚及醚酯总和</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eastAsia="zh-CN"/>
              </w:rPr>
              <w:t>甲醛（水性）/游离甲醛</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p>
        </w:tc>
        <w:tc>
          <w:tcPr>
            <w:tcW w:w="1672" w:type="dxa"/>
            <w:noWrap w:val="0"/>
            <w:vAlign w:val="center"/>
          </w:tcPr>
          <w:p w14:paraId="4A193E37">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right"/>
              <w:textAlignment w:val="auto"/>
              <w:rPr>
                <w:rFonts w:hint="eastAsia" w:ascii="楷体" w:hAnsi="楷体" w:eastAsia="楷体" w:cs="楷体"/>
                <w:b w:val="0"/>
                <w:bCs/>
                <w:sz w:val="21"/>
                <w:szCs w:val="21"/>
                <w:highlight w:val="none"/>
                <w:lang w:val="en-US" w:eastAsia="zh-CN"/>
              </w:rPr>
            </w:pPr>
            <w:r>
              <w:rPr>
                <w:rFonts w:hint="eastAsia" w:ascii="楷体" w:hAnsi="楷体" w:eastAsia="楷体" w:cs="楷体"/>
                <w:b w:val="0"/>
                <w:bCs/>
                <w:sz w:val="21"/>
                <w:szCs w:val="21"/>
                <w:highlight w:val="none"/>
                <w:lang w:val="en-US" w:eastAsia="zh-CN"/>
              </w:rPr>
              <w:t>元</w:t>
            </w:r>
          </w:p>
        </w:tc>
      </w:tr>
      <w:tr w14:paraId="27812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2" w:hRule="atLeast"/>
        </w:trPr>
        <w:tc>
          <w:tcPr>
            <w:tcW w:w="1204" w:type="dxa"/>
            <w:noWrap w:val="0"/>
            <w:vAlign w:val="center"/>
          </w:tcPr>
          <w:p w14:paraId="046B8D39">
            <w:pPr>
              <w:pageBreakBefore w:val="0"/>
              <w:overflowPunct/>
              <w:topLinePunct w:val="0"/>
              <w:bidi w:val="0"/>
              <w:snapToGrid/>
              <w:spacing w:line="360" w:lineRule="auto"/>
              <w:ind w:left="0" w:right="0" w:rightChars="0"/>
              <w:jc w:val="center"/>
              <w:rPr>
                <w:rFonts w:hint="eastAsia" w:ascii="楷体" w:hAnsi="楷体" w:eastAsia="楷体" w:cs="楷体"/>
                <w:b w:val="0"/>
                <w:bCs/>
                <w:sz w:val="21"/>
                <w:szCs w:val="21"/>
                <w:highlight w:val="none"/>
                <w:lang w:val="en-US" w:eastAsia="zh-CN"/>
              </w:rPr>
            </w:pPr>
            <w:r>
              <w:rPr>
                <w:rFonts w:hint="eastAsia" w:ascii="楷体" w:hAnsi="楷体" w:eastAsia="楷体" w:cs="楷体"/>
                <w:bCs/>
                <w:color w:val="auto"/>
                <w:sz w:val="21"/>
                <w:szCs w:val="21"/>
                <w:highlight w:val="none"/>
              </w:rPr>
              <w:t>防水涂料</w:t>
            </w:r>
          </w:p>
        </w:tc>
        <w:tc>
          <w:tcPr>
            <w:tcW w:w="2431" w:type="dxa"/>
            <w:noWrap w:val="0"/>
            <w:vAlign w:val="center"/>
          </w:tcPr>
          <w:p w14:paraId="33D1EC99">
            <w:pPr>
              <w:pageBreakBefore w:val="0"/>
              <w:overflowPunct/>
              <w:topLinePunct w:val="0"/>
              <w:bidi w:val="0"/>
              <w:snapToGrid/>
              <w:spacing w:line="360" w:lineRule="auto"/>
              <w:ind w:left="0" w:right="0" w:rightChars="0"/>
              <w:jc w:val="left"/>
              <w:rPr>
                <w:rFonts w:hint="eastAsia" w:ascii="楷体" w:hAnsi="楷体" w:eastAsia="楷体" w:cs="楷体"/>
                <w:bCs/>
                <w:color w:val="auto"/>
                <w:sz w:val="21"/>
                <w:szCs w:val="21"/>
                <w:highlight w:val="none"/>
                <w:lang w:eastAsia="zh-CN"/>
              </w:rPr>
            </w:pPr>
            <w:r>
              <w:rPr>
                <w:rFonts w:hint="eastAsia" w:ascii="楷体" w:hAnsi="楷体" w:eastAsia="楷体" w:cs="楷体"/>
                <w:bCs/>
                <w:color w:val="auto"/>
                <w:sz w:val="21"/>
                <w:szCs w:val="21"/>
                <w:highlight w:val="none"/>
                <w:lang w:eastAsia="zh-CN"/>
              </w:rPr>
              <w:t>JC 1066-2008</w:t>
            </w:r>
          </w:p>
          <w:p w14:paraId="0473A42A">
            <w:pPr>
              <w:pageBreakBefore w:val="0"/>
              <w:overflowPunct/>
              <w:topLinePunct w:val="0"/>
              <w:bidi w:val="0"/>
              <w:snapToGrid/>
              <w:spacing w:line="360" w:lineRule="auto"/>
              <w:ind w:left="0" w:right="0" w:rightChars="0"/>
              <w:jc w:val="left"/>
              <w:rPr>
                <w:rFonts w:hint="eastAsia" w:ascii="楷体" w:hAnsi="楷体" w:eastAsia="楷体" w:cs="楷体"/>
                <w:bCs/>
                <w:color w:val="auto"/>
                <w:sz w:val="21"/>
                <w:szCs w:val="21"/>
                <w:highlight w:val="none"/>
                <w:lang w:eastAsia="zh-CN"/>
              </w:rPr>
            </w:pPr>
            <w:r>
              <w:rPr>
                <w:rFonts w:hint="eastAsia" w:ascii="楷体" w:hAnsi="楷体" w:eastAsia="楷体" w:cs="楷体"/>
                <w:bCs/>
                <w:color w:val="auto"/>
                <w:sz w:val="21"/>
                <w:szCs w:val="21"/>
                <w:highlight w:val="none"/>
                <w:lang w:eastAsia="zh-CN"/>
              </w:rPr>
              <w:t>GB/T 38597-2020</w:t>
            </w:r>
          </w:p>
          <w:p w14:paraId="0F43BA62">
            <w:pPr>
              <w:pageBreakBefore w:val="0"/>
              <w:overflowPunct/>
              <w:topLinePunct w:val="0"/>
              <w:bidi w:val="0"/>
              <w:snapToGrid/>
              <w:spacing w:line="360" w:lineRule="auto"/>
              <w:ind w:left="0" w:right="0" w:rightChars="0"/>
              <w:jc w:val="left"/>
              <w:rPr>
                <w:rFonts w:hint="eastAsia" w:ascii="楷体" w:hAnsi="楷体" w:eastAsia="楷体" w:cs="楷体"/>
                <w:b w:val="0"/>
                <w:bCs/>
                <w:sz w:val="21"/>
                <w:szCs w:val="21"/>
                <w:highlight w:val="none"/>
                <w:lang w:val="en-US" w:eastAsia="zh-CN"/>
              </w:rPr>
            </w:pPr>
            <w:r>
              <w:rPr>
                <w:rFonts w:hint="eastAsia" w:ascii="楷体" w:hAnsi="楷体" w:eastAsia="楷体" w:cs="楷体"/>
                <w:bCs/>
                <w:color w:val="auto"/>
                <w:sz w:val="21"/>
                <w:szCs w:val="21"/>
                <w:highlight w:val="none"/>
                <w:lang w:eastAsia="zh-CN"/>
              </w:rPr>
              <w:t>等现行有效的企业标准、团体标准、地方标准及产品明示质量要求</w:t>
            </w:r>
          </w:p>
        </w:tc>
        <w:tc>
          <w:tcPr>
            <w:tcW w:w="4451" w:type="dxa"/>
            <w:noWrap w:val="0"/>
            <w:vAlign w:val="top"/>
          </w:tcPr>
          <w:p w14:paraId="30918076">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left"/>
              <w:textAlignment w:val="auto"/>
              <w:rPr>
                <w:rFonts w:hint="eastAsia" w:ascii="楷体" w:hAnsi="楷体" w:eastAsia="楷体" w:cs="楷体"/>
                <w:bCs/>
                <w:color w:val="auto"/>
                <w:sz w:val="21"/>
                <w:szCs w:val="21"/>
                <w:highlight w:val="none"/>
                <w:lang w:val="en-US" w:eastAsia="zh-CN"/>
              </w:rPr>
            </w:pPr>
            <w:r>
              <w:rPr>
                <w:rFonts w:hint="eastAsia" w:ascii="楷体" w:hAnsi="楷体" w:eastAsia="楷体" w:cs="楷体"/>
                <w:bCs/>
                <w:color w:val="auto"/>
                <w:sz w:val="21"/>
                <w:szCs w:val="21"/>
                <w:highlight w:val="none"/>
                <w:lang w:eastAsia="zh-CN"/>
              </w:rPr>
              <w:t>挥发性有机化合物（VOC）含量</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eastAsia="zh-CN"/>
              </w:rPr>
              <w:t>游离甲醛（水性）</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eastAsia="zh-CN"/>
              </w:rPr>
              <w:t>苯、甲苯、乙苯和二甲苯总和</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eastAsia="zh-CN"/>
              </w:rPr>
              <w:t>可溶性重金属（铅、铬、镉、汞）</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eastAsia="zh-CN"/>
              </w:rPr>
              <w:t>苯（反应型、溶剂型）</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eastAsia="zh-CN"/>
              </w:rPr>
              <w:t>甲苯+乙苯+二甲苯（反应型、溶剂型）</w:t>
            </w:r>
            <w:r>
              <w:rPr>
                <w:rFonts w:hint="eastAsia" w:ascii="楷体" w:hAnsi="楷体" w:eastAsia="楷体" w:cs="楷体"/>
                <w:b w:val="0"/>
                <w:bCs/>
                <w:sz w:val="21"/>
                <w:szCs w:val="21"/>
                <w:highlight w:val="none"/>
                <w:lang w:val="en-US" w:eastAsia="zh-CN"/>
              </w:rPr>
              <w:t>。</w:t>
            </w:r>
          </w:p>
        </w:tc>
        <w:tc>
          <w:tcPr>
            <w:tcW w:w="1672" w:type="dxa"/>
            <w:noWrap w:val="0"/>
            <w:vAlign w:val="center"/>
          </w:tcPr>
          <w:p w14:paraId="34457294">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right"/>
              <w:textAlignment w:val="auto"/>
              <w:rPr>
                <w:rFonts w:hint="eastAsia" w:ascii="楷体" w:hAnsi="楷体" w:eastAsia="楷体" w:cs="楷体"/>
                <w:b w:val="0"/>
                <w:bCs/>
                <w:sz w:val="21"/>
                <w:szCs w:val="21"/>
                <w:highlight w:val="none"/>
                <w:lang w:val="en-US" w:eastAsia="zh-CN"/>
              </w:rPr>
            </w:pPr>
            <w:r>
              <w:rPr>
                <w:rFonts w:hint="eastAsia" w:ascii="楷体" w:hAnsi="楷体" w:eastAsia="楷体" w:cs="楷体"/>
                <w:b w:val="0"/>
                <w:bCs/>
                <w:sz w:val="21"/>
                <w:szCs w:val="21"/>
                <w:highlight w:val="none"/>
                <w:lang w:val="en-US" w:eastAsia="zh-CN"/>
              </w:rPr>
              <w:t>元</w:t>
            </w:r>
          </w:p>
        </w:tc>
      </w:tr>
      <w:tr w14:paraId="34206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2" w:hRule="atLeast"/>
        </w:trPr>
        <w:tc>
          <w:tcPr>
            <w:tcW w:w="1204" w:type="dxa"/>
            <w:noWrap w:val="0"/>
            <w:vAlign w:val="center"/>
          </w:tcPr>
          <w:p w14:paraId="343942D2">
            <w:pPr>
              <w:pageBreakBefore w:val="0"/>
              <w:overflowPunct/>
              <w:topLinePunct w:val="0"/>
              <w:bidi w:val="0"/>
              <w:snapToGrid/>
              <w:spacing w:line="360" w:lineRule="auto"/>
              <w:ind w:left="0" w:right="0" w:rightChars="0"/>
              <w:jc w:val="center"/>
              <w:rPr>
                <w:rFonts w:hint="eastAsia" w:ascii="楷体" w:hAnsi="楷体" w:eastAsia="楷体" w:cs="楷体"/>
                <w:b w:val="0"/>
                <w:bCs/>
                <w:sz w:val="21"/>
                <w:szCs w:val="21"/>
                <w:highlight w:val="none"/>
                <w:lang w:val="en-US" w:eastAsia="zh-CN"/>
              </w:rPr>
            </w:pPr>
            <w:r>
              <w:rPr>
                <w:rFonts w:hint="eastAsia" w:ascii="楷体" w:hAnsi="楷体" w:eastAsia="楷体" w:cs="楷体"/>
                <w:bCs/>
                <w:color w:val="auto"/>
                <w:sz w:val="21"/>
                <w:szCs w:val="21"/>
                <w:highlight w:val="none"/>
              </w:rPr>
              <w:t>溶剂型工业涂料</w:t>
            </w:r>
          </w:p>
        </w:tc>
        <w:tc>
          <w:tcPr>
            <w:tcW w:w="2431" w:type="dxa"/>
            <w:noWrap w:val="0"/>
            <w:vAlign w:val="center"/>
          </w:tcPr>
          <w:p w14:paraId="052438FA">
            <w:pPr>
              <w:pageBreakBefore w:val="0"/>
              <w:overflowPunct/>
              <w:topLinePunct w:val="0"/>
              <w:bidi w:val="0"/>
              <w:snapToGrid/>
              <w:spacing w:line="360" w:lineRule="auto"/>
              <w:ind w:left="0" w:right="0" w:rightChars="0"/>
              <w:jc w:val="left"/>
              <w:rPr>
                <w:rFonts w:hint="eastAsia" w:ascii="楷体" w:hAnsi="楷体" w:eastAsia="楷体" w:cs="楷体"/>
                <w:bCs/>
                <w:color w:val="auto"/>
                <w:sz w:val="21"/>
                <w:szCs w:val="21"/>
                <w:highlight w:val="none"/>
                <w:lang w:eastAsia="zh-CN"/>
              </w:rPr>
            </w:pPr>
            <w:r>
              <w:rPr>
                <w:rFonts w:hint="eastAsia" w:ascii="楷体" w:hAnsi="楷体" w:eastAsia="楷体" w:cs="楷体"/>
                <w:bCs/>
                <w:color w:val="auto"/>
                <w:sz w:val="21"/>
                <w:szCs w:val="21"/>
                <w:highlight w:val="none"/>
                <w:lang w:eastAsia="zh-CN"/>
              </w:rPr>
              <w:t>GB 30981-2020</w:t>
            </w:r>
          </w:p>
          <w:p w14:paraId="05761CAE">
            <w:pPr>
              <w:pageBreakBefore w:val="0"/>
              <w:overflowPunct/>
              <w:topLinePunct w:val="0"/>
              <w:bidi w:val="0"/>
              <w:snapToGrid/>
              <w:spacing w:line="360" w:lineRule="auto"/>
              <w:ind w:left="0" w:right="0" w:rightChars="0"/>
              <w:jc w:val="left"/>
              <w:rPr>
                <w:rFonts w:hint="eastAsia" w:ascii="楷体" w:hAnsi="楷体" w:eastAsia="楷体" w:cs="楷体"/>
                <w:b w:val="0"/>
                <w:bCs/>
                <w:sz w:val="21"/>
                <w:szCs w:val="21"/>
                <w:highlight w:val="none"/>
                <w:lang w:val="en-US" w:eastAsia="zh-CN"/>
              </w:rPr>
            </w:pPr>
            <w:r>
              <w:rPr>
                <w:rFonts w:hint="eastAsia" w:ascii="楷体" w:hAnsi="楷体" w:eastAsia="楷体" w:cs="楷体"/>
                <w:bCs/>
                <w:color w:val="auto"/>
                <w:sz w:val="21"/>
                <w:szCs w:val="21"/>
                <w:highlight w:val="none"/>
                <w:lang w:eastAsia="zh-CN"/>
              </w:rPr>
              <w:t>GB/T 38597-2020 等现行有效的企业标准、团体标准、地方标准及产品明示质量要求</w:t>
            </w:r>
          </w:p>
        </w:tc>
        <w:tc>
          <w:tcPr>
            <w:tcW w:w="4451" w:type="dxa"/>
            <w:noWrap w:val="0"/>
            <w:vAlign w:val="top"/>
          </w:tcPr>
          <w:p w14:paraId="7126C32D">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left"/>
              <w:textAlignment w:val="auto"/>
              <w:rPr>
                <w:rFonts w:hint="eastAsia" w:ascii="楷体" w:hAnsi="楷体" w:eastAsia="楷体" w:cs="楷体"/>
                <w:bCs/>
                <w:color w:val="auto"/>
                <w:sz w:val="21"/>
                <w:szCs w:val="21"/>
                <w:highlight w:val="none"/>
                <w:lang w:val="en-US" w:eastAsia="zh-CN"/>
              </w:rPr>
            </w:pPr>
            <w:r>
              <w:rPr>
                <w:rFonts w:hint="eastAsia" w:ascii="楷体" w:hAnsi="楷体" w:eastAsia="楷体" w:cs="楷体"/>
                <w:bCs/>
                <w:color w:val="auto"/>
                <w:sz w:val="21"/>
                <w:szCs w:val="21"/>
                <w:highlight w:val="none"/>
                <w:lang w:eastAsia="zh-CN"/>
              </w:rPr>
              <w:t>VOC含量</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eastAsia="zh-CN"/>
              </w:rPr>
              <w:t>苯含量（溶剂型涂料）</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eastAsia="zh-CN"/>
              </w:rPr>
              <w:t>甲苯与二甲苯（含乙苯）总和含量（溶剂型涂料）</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eastAsia="zh-CN"/>
              </w:rPr>
              <w:t>乙二醇醚及醚酯总和含量</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eastAsia="zh-CN"/>
              </w:rPr>
              <w:t>重金属含量（铅、镉、六价铬、汞）</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p>
        </w:tc>
        <w:tc>
          <w:tcPr>
            <w:tcW w:w="1672" w:type="dxa"/>
            <w:noWrap w:val="0"/>
            <w:vAlign w:val="center"/>
          </w:tcPr>
          <w:p w14:paraId="3BF7AD46">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right"/>
              <w:textAlignment w:val="auto"/>
              <w:rPr>
                <w:rFonts w:hint="eastAsia" w:ascii="楷体" w:hAnsi="楷体" w:eastAsia="楷体" w:cs="楷体"/>
                <w:b w:val="0"/>
                <w:bCs/>
                <w:sz w:val="21"/>
                <w:szCs w:val="21"/>
                <w:highlight w:val="none"/>
                <w:lang w:val="en-US" w:eastAsia="zh-CN"/>
              </w:rPr>
            </w:pPr>
            <w:r>
              <w:rPr>
                <w:rFonts w:hint="eastAsia" w:ascii="楷体" w:hAnsi="楷体" w:eastAsia="楷体" w:cs="楷体"/>
                <w:b w:val="0"/>
                <w:bCs/>
                <w:sz w:val="21"/>
                <w:szCs w:val="21"/>
                <w:highlight w:val="none"/>
                <w:lang w:val="en-US" w:eastAsia="zh-CN"/>
              </w:rPr>
              <w:t>元</w:t>
            </w:r>
          </w:p>
        </w:tc>
      </w:tr>
      <w:tr w14:paraId="033AE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2" w:hRule="atLeast"/>
        </w:trPr>
        <w:tc>
          <w:tcPr>
            <w:tcW w:w="1204" w:type="dxa"/>
            <w:noWrap w:val="0"/>
            <w:vAlign w:val="center"/>
          </w:tcPr>
          <w:p w14:paraId="31CFD8B3">
            <w:pPr>
              <w:pageBreakBefore w:val="0"/>
              <w:overflowPunct/>
              <w:topLinePunct w:val="0"/>
              <w:bidi w:val="0"/>
              <w:snapToGrid/>
              <w:spacing w:line="360" w:lineRule="auto"/>
              <w:ind w:left="0" w:right="0" w:rightChars="0"/>
              <w:jc w:val="center"/>
              <w:rPr>
                <w:rFonts w:hint="eastAsia" w:ascii="楷体" w:hAnsi="楷体" w:eastAsia="楷体" w:cs="楷体"/>
                <w:b w:val="0"/>
                <w:bCs/>
                <w:sz w:val="21"/>
                <w:szCs w:val="21"/>
                <w:highlight w:val="none"/>
                <w:lang w:val="en-US" w:eastAsia="zh-CN"/>
              </w:rPr>
            </w:pPr>
            <w:r>
              <w:rPr>
                <w:rFonts w:hint="eastAsia" w:ascii="楷体" w:hAnsi="楷体" w:eastAsia="楷体" w:cs="楷体"/>
                <w:bCs/>
                <w:color w:val="auto"/>
                <w:sz w:val="21"/>
                <w:szCs w:val="21"/>
                <w:highlight w:val="none"/>
              </w:rPr>
              <w:t>水性工业涂料</w:t>
            </w:r>
          </w:p>
        </w:tc>
        <w:tc>
          <w:tcPr>
            <w:tcW w:w="2431" w:type="dxa"/>
            <w:noWrap w:val="0"/>
            <w:vAlign w:val="center"/>
          </w:tcPr>
          <w:p w14:paraId="5A78183C">
            <w:pPr>
              <w:pageBreakBefore w:val="0"/>
              <w:overflowPunct/>
              <w:topLinePunct w:val="0"/>
              <w:bidi w:val="0"/>
              <w:snapToGrid/>
              <w:spacing w:line="360" w:lineRule="auto"/>
              <w:ind w:left="0" w:right="0" w:rightChars="0"/>
              <w:jc w:val="left"/>
              <w:rPr>
                <w:rFonts w:hint="eastAsia" w:ascii="楷体" w:hAnsi="楷体" w:eastAsia="楷体" w:cs="楷体"/>
                <w:bCs/>
                <w:color w:val="auto"/>
                <w:sz w:val="21"/>
                <w:szCs w:val="21"/>
                <w:highlight w:val="none"/>
                <w:lang w:eastAsia="zh-CN"/>
              </w:rPr>
            </w:pPr>
            <w:r>
              <w:rPr>
                <w:rFonts w:hint="eastAsia" w:ascii="楷体" w:hAnsi="楷体" w:eastAsia="楷体" w:cs="楷体"/>
                <w:bCs/>
                <w:color w:val="auto"/>
                <w:sz w:val="21"/>
                <w:szCs w:val="21"/>
                <w:highlight w:val="none"/>
                <w:lang w:eastAsia="zh-CN"/>
              </w:rPr>
              <w:t>GB 30981-2020</w:t>
            </w:r>
          </w:p>
          <w:p w14:paraId="453B1759">
            <w:pPr>
              <w:pageBreakBefore w:val="0"/>
              <w:overflowPunct/>
              <w:topLinePunct w:val="0"/>
              <w:bidi w:val="0"/>
              <w:snapToGrid/>
              <w:spacing w:line="360" w:lineRule="auto"/>
              <w:ind w:left="0" w:right="0" w:rightChars="0"/>
              <w:jc w:val="left"/>
              <w:rPr>
                <w:rFonts w:hint="eastAsia" w:ascii="楷体" w:hAnsi="楷体" w:eastAsia="楷体" w:cs="楷体"/>
                <w:b w:val="0"/>
                <w:bCs/>
                <w:sz w:val="21"/>
                <w:szCs w:val="21"/>
                <w:highlight w:val="none"/>
                <w:lang w:val="en-US" w:eastAsia="zh-CN"/>
              </w:rPr>
            </w:pPr>
            <w:r>
              <w:rPr>
                <w:rFonts w:hint="eastAsia" w:ascii="楷体" w:hAnsi="楷体" w:eastAsia="楷体" w:cs="楷体"/>
                <w:bCs/>
                <w:color w:val="auto"/>
                <w:sz w:val="21"/>
                <w:szCs w:val="21"/>
                <w:highlight w:val="none"/>
                <w:lang w:eastAsia="zh-CN"/>
              </w:rPr>
              <w:t>GB/T 38597-2020 等现行有效的企业标准、团体标准、地方标准及产品明示质量要求</w:t>
            </w:r>
          </w:p>
        </w:tc>
        <w:tc>
          <w:tcPr>
            <w:tcW w:w="4451" w:type="dxa"/>
            <w:noWrap w:val="0"/>
            <w:vAlign w:val="top"/>
          </w:tcPr>
          <w:p w14:paraId="564C862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left"/>
              <w:textAlignment w:val="auto"/>
              <w:rPr>
                <w:rFonts w:hint="eastAsia" w:ascii="楷体" w:hAnsi="楷体" w:eastAsia="楷体" w:cs="楷体"/>
                <w:bCs/>
                <w:color w:val="auto"/>
                <w:sz w:val="21"/>
                <w:szCs w:val="21"/>
                <w:highlight w:val="none"/>
                <w:lang w:val="en-US" w:eastAsia="zh-CN"/>
              </w:rPr>
            </w:pPr>
            <w:r>
              <w:rPr>
                <w:rFonts w:hint="eastAsia" w:ascii="楷体" w:hAnsi="楷体" w:eastAsia="楷体" w:cs="楷体"/>
                <w:bCs/>
                <w:color w:val="auto"/>
                <w:sz w:val="21"/>
                <w:szCs w:val="21"/>
                <w:highlight w:val="none"/>
                <w:lang w:eastAsia="zh-CN"/>
              </w:rPr>
              <w:t>VOC含量</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eastAsia="zh-CN"/>
              </w:rPr>
              <w:t>乙二醇醚及醚酯总和含量</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eastAsia="zh-CN"/>
              </w:rPr>
              <w:t>重金属含量（铅、镉、六价铬、汞）</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p>
        </w:tc>
        <w:tc>
          <w:tcPr>
            <w:tcW w:w="1672" w:type="dxa"/>
            <w:noWrap w:val="0"/>
            <w:vAlign w:val="center"/>
          </w:tcPr>
          <w:p w14:paraId="3421CFAD">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right"/>
              <w:textAlignment w:val="auto"/>
              <w:rPr>
                <w:rFonts w:hint="eastAsia" w:ascii="楷体" w:hAnsi="楷体" w:eastAsia="楷体" w:cs="楷体"/>
                <w:b w:val="0"/>
                <w:bCs/>
                <w:sz w:val="21"/>
                <w:szCs w:val="21"/>
                <w:highlight w:val="none"/>
                <w:lang w:val="en-US" w:eastAsia="zh-CN"/>
              </w:rPr>
            </w:pPr>
            <w:r>
              <w:rPr>
                <w:rFonts w:hint="eastAsia" w:ascii="楷体" w:hAnsi="楷体" w:eastAsia="楷体" w:cs="楷体"/>
                <w:b w:val="0"/>
                <w:bCs/>
                <w:sz w:val="21"/>
                <w:szCs w:val="21"/>
                <w:highlight w:val="none"/>
                <w:lang w:val="en-US" w:eastAsia="zh-CN"/>
              </w:rPr>
              <w:t>元</w:t>
            </w:r>
          </w:p>
        </w:tc>
      </w:tr>
      <w:tr w14:paraId="29D8E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2" w:hRule="atLeast"/>
        </w:trPr>
        <w:tc>
          <w:tcPr>
            <w:tcW w:w="1204" w:type="dxa"/>
            <w:noWrap w:val="0"/>
            <w:vAlign w:val="center"/>
          </w:tcPr>
          <w:p w14:paraId="5663F25D">
            <w:pPr>
              <w:pageBreakBefore w:val="0"/>
              <w:overflowPunct/>
              <w:topLinePunct w:val="0"/>
              <w:bidi w:val="0"/>
              <w:snapToGrid/>
              <w:spacing w:line="360" w:lineRule="auto"/>
              <w:ind w:left="0" w:right="0" w:rightChars="0"/>
              <w:jc w:val="center"/>
              <w:rPr>
                <w:rFonts w:hint="eastAsia" w:ascii="楷体" w:hAnsi="楷体" w:eastAsia="楷体" w:cs="楷体"/>
                <w:b w:val="0"/>
                <w:bCs/>
                <w:sz w:val="21"/>
                <w:szCs w:val="21"/>
                <w:highlight w:val="none"/>
                <w:lang w:val="en-US" w:eastAsia="zh-CN"/>
              </w:rPr>
            </w:pPr>
            <w:r>
              <w:rPr>
                <w:rFonts w:hint="eastAsia" w:ascii="楷体" w:hAnsi="楷体" w:eastAsia="楷体" w:cs="楷体"/>
                <w:bCs/>
                <w:color w:val="auto"/>
                <w:sz w:val="21"/>
                <w:szCs w:val="21"/>
                <w:highlight w:val="none"/>
              </w:rPr>
              <w:t>胶粘剂</w:t>
            </w:r>
          </w:p>
        </w:tc>
        <w:tc>
          <w:tcPr>
            <w:tcW w:w="2431" w:type="dxa"/>
            <w:noWrap w:val="0"/>
            <w:vAlign w:val="center"/>
          </w:tcPr>
          <w:p w14:paraId="31572642">
            <w:pPr>
              <w:pageBreakBefore w:val="0"/>
              <w:overflowPunct/>
              <w:topLinePunct w:val="0"/>
              <w:bidi w:val="0"/>
              <w:snapToGrid/>
              <w:spacing w:line="360" w:lineRule="auto"/>
              <w:ind w:left="0" w:right="0" w:rightChars="0"/>
              <w:jc w:val="left"/>
              <w:rPr>
                <w:rFonts w:hint="eastAsia" w:ascii="楷体" w:hAnsi="楷体" w:eastAsia="楷体" w:cs="楷体"/>
                <w:bCs/>
                <w:color w:val="auto"/>
                <w:sz w:val="21"/>
                <w:szCs w:val="21"/>
                <w:highlight w:val="none"/>
                <w:lang w:eastAsia="zh-CN"/>
              </w:rPr>
            </w:pPr>
            <w:r>
              <w:rPr>
                <w:rFonts w:hint="eastAsia" w:ascii="楷体" w:hAnsi="楷体" w:eastAsia="楷体" w:cs="楷体"/>
                <w:bCs/>
                <w:color w:val="auto"/>
                <w:sz w:val="21"/>
                <w:szCs w:val="21"/>
                <w:highlight w:val="none"/>
                <w:lang w:eastAsia="zh-CN"/>
              </w:rPr>
              <w:t xml:space="preserve">GB 33372-2020 </w:t>
            </w:r>
          </w:p>
          <w:p w14:paraId="5FD8B978">
            <w:pPr>
              <w:pageBreakBefore w:val="0"/>
              <w:overflowPunct/>
              <w:topLinePunct w:val="0"/>
              <w:bidi w:val="0"/>
              <w:snapToGrid/>
              <w:spacing w:line="360" w:lineRule="auto"/>
              <w:ind w:left="0" w:right="0" w:rightChars="0"/>
              <w:jc w:val="left"/>
              <w:rPr>
                <w:rFonts w:hint="eastAsia" w:ascii="楷体" w:hAnsi="楷体" w:eastAsia="楷体" w:cs="楷体"/>
                <w:bCs/>
                <w:color w:val="auto"/>
                <w:sz w:val="21"/>
                <w:szCs w:val="21"/>
                <w:highlight w:val="none"/>
                <w:lang w:eastAsia="zh-CN"/>
              </w:rPr>
            </w:pPr>
            <w:r>
              <w:rPr>
                <w:rFonts w:hint="eastAsia" w:ascii="楷体" w:hAnsi="楷体" w:eastAsia="楷体" w:cs="楷体"/>
                <w:bCs/>
                <w:color w:val="auto"/>
                <w:sz w:val="21"/>
                <w:szCs w:val="21"/>
                <w:highlight w:val="none"/>
                <w:lang w:eastAsia="zh-CN"/>
              </w:rPr>
              <w:t xml:space="preserve">GB 18583-2008 </w:t>
            </w:r>
          </w:p>
          <w:p w14:paraId="23EBE4AC">
            <w:pPr>
              <w:pageBreakBefore w:val="0"/>
              <w:overflowPunct/>
              <w:topLinePunct w:val="0"/>
              <w:bidi w:val="0"/>
              <w:snapToGrid/>
              <w:spacing w:line="360" w:lineRule="auto"/>
              <w:ind w:left="0" w:right="0" w:rightChars="0"/>
              <w:jc w:val="left"/>
              <w:rPr>
                <w:rFonts w:hint="eastAsia" w:ascii="楷体" w:hAnsi="楷体" w:eastAsia="楷体" w:cs="楷体"/>
                <w:bCs/>
                <w:color w:val="auto"/>
                <w:sz w:val="21"/>
                <w:szCs w:val="21"/>
                <w:highlight w:val="none"/>
                <w:lang w:eastAsia="zh-CN"/>
              </w:rPr>
            </w:pPr>
            <w:r>
              <w:rPr>
                <w:rFonts w:hint="eastAsia" w:ascii="楷体" w:hAnsi="楷体" w:eastAsia="楷体" w:cs="楷体"/>
                <w:bCs/>
                <w:color w:val="auto"/>
                <w:sz w:val="21"/>
                <w:szCs w:val="21"/>
                <w:highlight w:val="none"/>
                <w:lang w:eastAsia="zh-CN"/>
              </w:rPr>
              <w:t>GB 30982-2014</w:t>
            </w:r>
          </w:p>
          <w:p w14:paraId="3AE28C4E">
            <w:pPr>
              <w:pageBreakBefore w:val="0"/>
              <w:overflowPunct/>
              <w:topLinePunct w:val="0"/>
              <w:bidi w:val="0"/>
              <w:snapToGrid/>
              <w:spacing w:line="360" w:lineRule="auto"/>
              <w:ind w:left="0" w:right="0" w:rightChars="0"/>
              <w:jc w:val="left"/>
              <w:rPr>
                <w:rFonts w:hint="eastAsia" w:ascii="楷体" w:hAnsi="楷体" w:eastAsia="楷体" w:cs="楷体"/>
                <w:b w:val="0"/>
                <w:bCs/>
                <w:sz w:val="21"/>
                <w:szCs w:val="21"/>
                <w:highlight w:val="none"/>
                <w:lang w:val="en-US" w:eastAsia="zh-CN"/>
              </w:rPr>
            </w:pPr>
            <w:r>
              <w:rPr>
                <w:rFonts w:hint="eastAsia" w:ascii="楷体" w:hAnsi="楷体" w:eastAsia="楷体" w:cs="楷体"/>
                <w:bCs/>
                <w:color w:val="auto"/>
                <w:sz w:val="21"/>
                <w:szCs w:val="21"/>
                <w:highlight w:val="none"/>
                <w:lang w:eastAsia="zh-CN"/>
              </w:rPr>
              <w:t>等现行有效的企业标准、团体标准、地方标准及产品明示质量要求</w:t>
            </w:r>
          </w:p>
        </w:tc>
        <w:tc>
          <w:tcPr>
            <w:tcW w:w="4451" w:type="dxa"/>
            <w:noWrap w:val="0"/>
            <w:vAlign w:val="top"/>
          </w:tcPr>
          <w:p w14:paraId="1237C2B2">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left"/>
              <w:textAlignment w:val="auto"/>
              <w:rPr>
                <w:rFonts w:hint="eastAsia" w:ascii="楷体" w:hAnsi="楷体" w:eastAsia="楷体" w:cs="楷体"/>
                <w:bCs/>
                <w:color w:val="auto"/>
                <w:sz w:val="21"/>
                <w:szCs w:val="21"/>
                <w:highlight w:val="none"/>
                <w:lang w:val="en-US" w:eastAsia="zh-CN"/>
              </w:rPr>
            </w:pPr>
            <w:r>
              <w:rPr>
                <w:rFonts w:hint="eastAsia" w:ascii="楷体" w:hAnsi="楷体" w:eastAsia="楷体" w:cs="楷体"/>
                <w:bCs/>
                <w:color w:val="auto"/>
                <w:sz w:val="21"/>
                <w:szCs w:val="21"/>
                <w:highlight w:val="none"/>
                <w:lang w:eastAsia="zh-CN"/>
              </w:rPr>
              <w:t>游离甲醛</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eastAsia="zh-CN"/>
              </w:rPr>
              <w:t>苯</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eastAsia="zh-CN"/>
              </w:rPr>
              <w:t>甲苯+二甲苯</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eastAsia="zh-CN"/>
              </w:rPr>
              <w:t>甲苯二异氰酸酯</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eastAsia="zh-CN"/>
              </w:rPr>
              <w:t>总挥发性有机物</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p>
        </w:tc>
        <w:tc>
          <w:tcPr>
            <w:tcW w:w="1672" w:type="dxa"/>
            <w:noWrap w:val="0"/>
            <w:vAlign w:val="center"/>
          </w:tcPr>
          <w:p w14:paraId="3744ED54">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right"/>
              <w:textAlignment w:val="auto"/>
              <w:rPr>
                <w:rFonts w:hint="eastAsia" w:ascii="楷体" w:hAnsi="楷体" w:eastAsia="楷体" w:cs="楷体"/>
                <w:b w:val="0"/>
                <w:bCs/>
                <w:sz w:val="21"/>
                <w:szCs w:val="21"/>
                <w:highlight w:val="none"/>
                <w:lang w:val="en-US" w:eastAsia="zh-CN"/>
              </w:rPr>
            </w:pPr>
            <w:r>
              <w:rPr>
                <w:rFonts w:hint="eastAsia" w:ascii="楷体" w:hAnsi="楷体" w:eastAsia="楷体" w:cs="楷体"/>
                <w:b w:val="0"/>
                <w:bCs/>
                <w:sz w:val="21"/>
                <w:szCs w:val="21"/>
                <w:highlight w:val="none"/>
                <w:lang w:val="en-US" w:eastAsia="zh-CN"/>
              </w:rPr>
              <w:t>元</w:t>
            </w:r>
          </w:p>
        </w:tc>
      </w:tr>
      <w:tr w14:paraId="7D00C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2" w:hRule="atLeast"/>
        </w:trPr>
        <w:tc>
          <w:tcPr>
            <w:tcW w:w="1204" w:type="dxa"/>
            <w:shd w:val="clear" w:color="auto" w:fill="auto"/>
            <w:noWrap w:val="0"/>
            <w:vAlign w:val="center"/>
          </w:tcPr>
          <w:p w14:paraId="002FD28A">
            <w:pPr>
              <w:pageBreakBefore w:val="0"/>
              <w:overflowPunct/>
              <w:topLinePunct w:val="0"/>
              <w:bidi w:val="0"/>
              <w:snapToGrid/>
              <w:spacing w:line="360" w:lineRule="auto"/>
              <w:ind w:left="0" w:leftChars="0" w:right="0" w:rightChars="0"/>
              <w:jc w:val="left"/>
              <w:rPr>
                <w:rFonts w:hint="eastAsia" w:ascii="楷体" w:hAnsi="楷体" w:eastAsia="楷体" w:cs="楷体"/>
                <w:bCs/>
                <w:color w:val="auto"/>
                <w:kern w:val="2"/>
                <w:sz w:val="21"/>
                <w:szCs w:val="21"/>
                <w:highlight w:val="none"/>
                <w:lang w:val="en-US" w:eastAsia="zh-CN" w:bidi="ar-SA"/>
              </w:rPr>
            </w:pPr>
            <w:r>
              <w:rPr>
                <w:rFonts w:hint="eastAsia" w:ascii="楷体" w:hAnsi="楷体" w:eastAsia="楷体" w:cs="楷体"/>
                <w:bCs/>
                <w:color w:val="auto"/>
                <w:sz w:val="21"/>
                <w:szCs w:val="21"/>
                <w:highlight w:val="none"/>
              </w:rPr>
              <w:t>油墨</w:t>
            </w:r>
          </w:p>
        </w:tc>
        <w:tc>
          <w:tcPr>
            <w:tcW w:w="2431" w:type="dxa"/>
            <w:shd w:val="clear" w:color="auto" w:fill="auto"/>
            <w:noWrap w:val="0"/>
            <w:vAlign w:val="center"/>
          </w:tcPr>
          <w:p w14:paraId="249B2E26">
            <w:pPr>
              <w:pageBreakBefore w:val="0"/>
              <w:overflowPunct/>
              <w:topLinePunct w:val="0"/>
              <w:bidi w:val="0"/>
              <w:snapToGrid/>
              <w:spacing w:line="360" w:lineRule="auto"/>
              <w:ind w:left="0" w:right="0" w:rightChars="0"/>
              <w:jc w:val="left"/>
              <w:rPr>
                <w:rFonts w:hint="eastAsia" w:ascii="楷体" w:hAnsi="楷体" w:eastAsia="楷体" w:cs="楷体"/>
                <w:bCs/>
                <w:color w:val="auto"/>
                <w:sz w:val="21"/>
                <w:szCs w:val="21"/>
                <w:highlight w:val="none"/>
                <w:lang w:eastAsia="zh-CN"/>
              </w:rPr>
            </w:pPr>
            <w:r>
              <w:rPr>
                <w:rFonts w:hint="eastAsia" w:ascii="楷体" w:hAnsi="楷体" w:eastAsia="楷体" w:cs="楷体"/>
                <w:bCs/>
                <w:color w:val="auto"/>
                <w:sz w:val="21"/>
                <w:szCs w:val="21"/>
                <w:highlight w:val="none"/>
                <w:lang w:eastAsia="zh-CN"/>
              </w:rPr>
              <w:t>GB 38507-2020</w:t>
            </w:r>
          </w:p>
          <w:p w14:paraId="58E3E847">
            <w:pPr>
              <w:pageBreakBefore w:val="0"/>
              <w:overflowPunct/>
              <w:topLinePunct w:val="0"/>
              <w:bidi w:val="0"/>
              <w:snapToGrid/>
              <w:spacing w:line="360" w:lineRule="auto"/>
              <w:ind w:left="0" w:right="0" w:rightChars="0"/>
              <w:jc w:val="left"/>
              <w:rPr>
                <w:rFonts w:hint="eastAsia" w:ascii="楷体" w:hAnsi="楷体" w:eastAsia="楷体" w:cs="楷体"/>
                <w:bCs/>
                <w:color w:val="auto"/>
                <w:sz w:val="21"/>
                <w:szCs w:val="21"/>
                <w:highlight w:val="none"/>
                <w:lang w:eastAsia="zh-CN"/>
              </w:rPr>
            </w:pPr>
            <w:r>
              <w:rPr>
                <w:rFonts w:hint="eastAsia" w:ascii="楷体" w:hAnsi="楷体" w:eastAsia="楷体" w:cs="楷体"/>
                <w:bCs/>
                <w:color w:val="auto"/>
                <w:sz w:val="21"/>
                <w:szCs w:val="21"/>
                <w:highlight w:val="none"/>
                <w:lang w:eastAsia="zh-CN"/>
              </w:rPr>
              <w:t>GB/T 26461-2011</w:t>
            </w:r>
          </w:p>
          <w:p w14:paraId="13FAB3C6">
            <w:pPr>
              <w:pageBreakBefore w:val="0"/>
              <w:overflowPunct/>
              <w:topLinePunct w:val="0"/>
              <w:bidi w:val="0"/>
              <w:snapToGrid/>
              <w:spacing w:line="360" w:lineRule="auto"/>
              <w:ind w:left="0" w:leftChars="0" w:right="0" w:rightChars="0"/>
              <w:jc w:val="left"/>
              <w:rPr>
                <w:rFonts w:hint="eastAsia" w:ascii="楷体" w:hAnsi="楷体" w:eastAsia="楷体" w:cs="楷体"/>
                <w:bCs/>
                <w:color w:val="auto"/>
                <w:kern w:val="2"/>
                <w:sz w:val="21"/>
                <w:szCs w:val="21"/>
                <w:highlight w:val="none"/>
                <w:lang w:val="en-US" w:eastAsia="zh-CN" w:bidi="ar-SA"/>
              </w:rPr>
            </w:pPr>
            <w:r>
              <w:rPr>
                <w:rFonts w:hint="eastAsia" w:ascii="楷体" w:hAnsi="楷体" w:eastAsia="楷体" w:cs="楷体"/>
                <w:bCs/>
                <w:color w:val="auto"/>
                <w:sz w:val="21"/>
                <w:szCs w:val="21"/>
                <w:highlight w:val="none"/>
                <w:lang w:eastAsia="zh-CN"/>
              </w:rPr>
              <w:t>等现行有效的企业标准、团体标准、地方标准及产品明示质量要求</w:t>
            </w:r>
          </w:p>
        </w:tc>
        <w:tc>
          <w:tcPr>
            <w:tcW w:w="4451" w:type="dxa"/>
            <w:noWrap w:val="0"/>
            <w:vAlign w:val="top"/>
          </w:tcPr>
          <w:p w14:paraId="143B4DD9">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left"/>
              <w:textAlignment w:val="auto"/>
              <w:rPr>
                <w:rFonts w:hint="eastAsia" w:ascii="楷体" w:hAnsi="楷体" w:eastAsia="楷体" w:cs="楷体"/>
                <w:bCs/>
                <w:color w:val="auto"/>
                <w:sz w:val="21"/>
                <w:szCs w:val="21"/>
                <w:highlight w:val="none"/>
                <w:lang w:val="en-US" w:eastAsia="zh-CN"/>
              </w:rPr>
            </w:pPr>
            <w:r>
              <w:rPr>
                <w:rFonts w:hint="eastAsia" w:ascii="楷体" w:hAnsi="楷体" w:eastAsia="楷体" w:cs="楷体"/>
                <w:bCs/>
                <w:color w:val="auto"/>
                <w:sz w:val="21"/>
                <w:szCs w:val="21"/>
                <w:highlight w:val="none"/>
                <w:lang w:eastAsia="zh-CN"/>
              </w:rPr>
              <w:t>可挥发性有机化合物(VOCs)含量</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eastAsia="zh-CN"/>
              </w:rPr>
              <w:t>苯</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eastAsia="zh-CN"/>
              </w:rPr>
              <w:t>甲苯</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eastAsia="zh-CN"/>
              </w:rPr>
              <w:t>乙苯</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eastAsia="zh-CN"/>
              </w:rPr>
              <w:t>二甲苯</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eastAsia="zh-CN"/>
              </w:rPr>
              <w:t>颜色</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eastAsia="zh-CN"/>
              </w:rPr>
              <w:t>细度</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eastAsia="zh-CN"/>
              </w:rPr>
              <w:t>粘度</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eastAsia="zh-CN"/>
              </w:rPr>
              <w:t>着色力</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eastAsia="zh-CN"/>
              </w:rPr>
              <w:t>附着牢度</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eastAsia="zh-CN"/>
              </w:rPr>
              <w:t>耐光</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eastAsia="zh-CN"/>
              </w:rPr>
              <w:t>耐热性</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p>
        </w:tc>
        <w:tc>
          <w:tcPr>
            <w:tcW w:w="1672" w:type="dxa"/>
            <w:noWrap w:val="0"/>
            <w:vAlign w:val="center"/>
          </w:tcPr>
          <w:p w14:paraId="6FE70B61">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right"/>
              <w:textAlignment w:val="auto"/>
              <w:rPr>
                <w:rFonts w:hint="eastAsia" w:ascii="楷体" w:hAnsi="楷体" w:eastAsia="楷体" w:cs="楷体"/>
                <w:b w:val="0"/>
                <w:bCs/>
                <w:sz w:val="21"/>
                <w:szCs w:val="21"/>
                <w:highlight w:val="none"/>
                <w:lang w:val="en-US" w:eastAsia="zh-CN"/>
              </w:rPr>
            </w:pPr>
            <w:r>
              <w:rPr>
                <w:rFonts w:hint="eastAsia" w:ascii="楷体" w:hAnsi="楷体" w:eastAsia="楷体" w:cs="楷体"/>
                <w:b w:val="0"/>
                <w:bCs/>
                <w:sz w:val="21"/>
                <w:szCs w:val="21"/>
                <w:highlight w:val="none"/>
                <w:lang w:val="en-US" w:eastAsia="zh-CN"/>
              </w:rPr>
              <w:t>元</w:t>
            </w:r>
          </w:p>
        </w:tc>
      </w:tr>
      <w:tr w14:paraId="503B5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2" w:hRule="atLeast"/>
        </w:trPr>
        <w:tc>
          <w:tcPr>
            <w:tcW w:w="1204" w:type="dxa"/>
            <w:shd w:val="clear" w:color="auto" w:fill="auto"/>
            <w:noWrap w:val="0"/>
            <w:vAlign w:val="center"/>
          </w:tcPr>
          <w:p w14:paraId="545E5204">
            <w:pPr>
              <w:pageBreakBefore w:val="0"/>
              <w:overflowPunct/>
              <w:topLinePunct w:val="0"/>
              <w:bidi w:val="0"/>
              <w:snapToGrid/>
              <w:spacing w:line="360" w:lineRule="auto"/>
              <w:ind w:left="0" w:leftChars="0" w:right="0" w:rightChars="0"/>
              <w:jc w:val="left"/>
              <w:rPr>
                <w:rFonts w:hint="eastAsia" w:ascii="楷体" w:hAnsi="楷体" w:eastAsia="楷体" w:cs="楷体"/>
                <w:bCs/>
                <w:color w:val="auto"/>
                <w:kern w:val="2"/>
                <w:sz w:val="21"/>
                <w:szCs w:val="21"/>
                <w:highlight w:val="none"/>
                <w:lang w:val="en-US" w:eastAsia="zh-CN" w:bidi="ar-SA"/>
              </w:rPr>
            </w:pPr>
            <w:r>
              <w:rPr>
                <w:rFonts w:hint="eastAsia" w:ascii="楷体" w:hAnsi="楷体" w:eastAsia="楷体" w:cs="楷体"/>
                <w:bCs/>
                <w:color w:val="auto"/>
                <w:sz w:val="21"/>
                <w:szCs w:val="21"/>
                <w:highlight w:val="none"/>
                <w:lang w:eastAsia="zh-CN"/>
              </w:rPr>
              <w:t>清洗剂</w:t>
            </w:r>
          </w:p>
        </w:tc>
        <w:tc>
          <w:tcPr>
            <w:tcW w:w="2431" w:type="dxa"/>
            <w:shd w:val="clear" w:color="auto" w:fill="auto"/>
            <w:noWrap w:val="0"/>
            <w:vAlign w:val="center"/>
          </w:tcPr>
          <w:p w14:paraId="478D9B43">
            <w:pPr>
              <w:pageBreakBefore w:val="0"/>
              <w:overflowPunct/>
              <w:topLinePunct w:val="0"/>
              <w:bidi w:val="0"/>
              <w:snapToGrid/>
              <w:spacing w:line="360" w:lineRule="auto"/>
              <w:ind w:left="0" w:right="0" w:rightChars="0"/>
              <w:jc w:val="left"/>
              <w:rPr>
                <w:rFonts w:hint="eastAsia" w:ascii="楷体" w:hAnsi="楷体" w:eastAsia="楷体" w:cs="楷体"/>
                <w:bCs/>
                <w:color w:val="auto"/>
                <w:sz w:val="21"/>
                <w:szCs w:val="21"/>
                <w:highlight w:val="none"/>
                <w:lang w:eastAsia="zh-CN"/>
              </w:rPr>
            </w:pPr>
            <w:r>
              <w:rPr>
                <w:rFonts w:hint="eastAsia" w:ascii="楷体" w:hAnsi="楷体" w:eastAsia="楷体" w:cs="楷体"/>
                <w:bCs/>
                <w:color w:val="auto"/>
                <w:sz w:val="21"/>
                <w:szCs w:val="21"/>
                <w:highlight w:val="none"/>
                <w:lang w:eastAsia="zh-CN"/>
              </w:rPr>
              <w:t>GB 38508-2020</w:t>
            </w:r>
          </w:p>
          <w:p w14:paraId="38BE90EA">
            <w:pPr>
              <w:pageBreakBefore w:val="0"/>
              <w:overflowPunct/>
              <w:topLinePunct w:val="0"/>
              <w:bidi w:val="0"/>
              <w:snapToGrid/>
              <w:spacing w:line="360" w:lineRule="auto"/>
              <w:ind w:left="0" w:leftChars="0" w:right="0" w:rightChars="0"/>
              <w:jc w:val="left"/>
              <w:rPr>
                <w:rFonts w:hint="eastAsia" w:ascii="楷体" w:hAnsi="楷体" w:eastAsia="楷体" w:cs="楷体"/>
                <w:bCs/>
                <w:color w:val="auto"/>
                <w:kern w:val="2"/>
                <w:sz w:val="21"/>
                <w:szCs w:val="21"/>
                <w:highlight w:val="none"/>
                <w:lang w:val="en-US" w:eastAsia="zh-CN" w:bidi="ar-SA"/>
              </w:rPr>
            </w:pPr>
            <w:r>
              <w:rPr>
                <w:rFonts w:hint="eastAsia" w:ascii="楷体" w:hAnsi="楷体" w:eastAsia="楷体" w:cs="楷体"/>
                <w:bCs/>
                <w:color w:val="auto"/>
                <w:sz w:val="21"/>
                <w:szCs w:val="21"/>
                <w:highlight w:val="none"/>
                <w:lang w:eastAsia="zh-CN"/>
              </w:rPr>
              <w:t>等现行有效的企业标准、团体标准、地方标准及产品明示质量要求</w:t>
            </w:r>
          </w:p>
        </w:tc>
        <w:tc>
          <w:tcPr>
            <w:tcW w:w="4451" w:type="dxa"/>
            <w:noWrap w:val="0"/>
            <w:vAlign w:val="top"/>
          </w:tcPr>
          <w:p w14:paraId="64C7F849">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left"/>
              <w:textAlignment w:val="auto"/>
              <w:rPr>
                <w:rFonts w:hint="eastAsia" w:ascii="楷体" w:hAnsi="楷体" w:eastAsia="楷体" w:cs="楷体"/>
                <w:bCs/>
                <w:color w:val="auto"/>
                <w:sz w:val="21"/>
                <w:szCs w:val="21"/>
                <w:highlight w:val="none"/>
                <w:lang w:val="en-US" w:eastAsia="zh-CN"/>
              </w:rPr>
            </w:pPr>
            <w:r>
              <w:rPr>
                <w:rFonts w:hint="eastAsia" w:ascii="楷体" w:hAnsi="楷体" w:eastAsia="楷体" w:cs="楷体"/>
                <w:bCs/>
                <w:color w:val="auto"/>
                <w:sz w:val="21"/>
                <w:szCs w:val="21"/>
                <w:highlight w:val="none"/>
              </w:rPr>
              <w:t>VOC含量</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rPr>
              <w:t>甲醛</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rPr>
              <w:t>苯</w:t>
            </w:r>
            <w:r>
              <w:rPr>
                <w:rFonts w:hint="eastAsia" w:ascii="楷体" w:hAnsi="楷体" w:eastAsia="楷体" w:cs="楷体"/>
                <w:bCs/>
                <w:color w:val="auto"/>
                <w:sz w:val="21"/>
                <w:szCs w:val="21"/>
                <w:highlight w:val="none"/>
                <w:lang w:eastAsia="zh-CN"/>
              </w:rPr>
              <w:t>、</w:t>
            </w:r>
            <w:r>
              <w:rPr>
                <w:rFonts w:hint="eastAsia" w:ascii="楷体" w:hAnsi="楷体" w:eastAsia="楷体" w:cs="楷体"/>
                <w:bCs/>
                <w:color w:val="auto"/>
                <w:sz w:val="21"/>
                <w:szCs w:val="21"/>
                <w:highlight w:val="none"/>
              </w:rPr>
              <w:t>甲苯</w:t>
            </w:r>
            <w:r>
              <w:rPr>
                <w:rFonts w:hint="eastAsia" w:ascii="楷体" w:hAnsi="楷体" w:eastAsia="楷体" w:cs="楷体"/>
                <w:bCs/>
                <w:color w:val="auto"/>
                <w:sz w:val="21"/>
                <w:szCs w:val="21"/>
                <w:highlight w:val="none"/>
                <w:lang w:eastAsia="zh-CN"/>
              </w:rPr>
              <w:t>、</w:t>
            </w:r>
            <w:r>
              <w:rPr>
                <w:rFonts w:hint="eastAsia" w:ascii="楷体" w:hAnsi="楷体" w:eastAsia="楷体" w:cs="楷体"/>
                <w:bCs/>
                <w:color w:val="auto"/>
                <w:sz w:val="21"/>
                <w:szCs w:val="21"/>
                <w:highlight w:val="none"/>
              </w:rPr>
              <w:t>乙苯和二甲苯总和</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p>
        </w:tc>
        <w:tc>
          <w:tcPr>
            <w:tcW w:w="1672" w:type="dxa"/>
            <w:noWrap w:val="0"/>
            <w:vAlign w:val="center"/>
          </w:tcPr>
          <w:p w14:paraId="6F55CBD7">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right"/>
              <w:textAlignment w:val="auto"/>
              <w:rPr>
                <w:rFonts w:hint="eastAsia" w:ascii="楷体" w:hAnsi="楷体" w:eastAsia="楷体" w:cs="楷体"/>
                <w:b w:val="0"/>
                <w:bCs/>
                <w:sz w:val="21"/>
                <w:szCs w:val="21"/>
                <w:highlight w:val="none"/>
                <w:lang w:val="en-US" w:eastAsia="zh-CN"/>
              </w:rPr>
            </w:pPr>
            <w:r>
              <w:rPr>
                <w:rFonts w:hint="eastAsia" w:ascii="楷体" w:hAnsi="楷体" w:eastAsia="楷体" w:cs="楷体"/>
                <w:b w:val="0"/>
                <w:bCs/>
                <w:sz w:val="21"/>
                <w:szCs w:val="21"/>
                <w:highlight w:val="none"/>
                <w:lang w:val="en-US" w:eastAsia="zh-CN"/>
              </w:rPr>
              <w:t>元</w:t>
            </w:r>
          </w:p>
        </w:tc>
      </w:tr>
      <w:tr w14:paraId="54DC1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5" w:hRule="atLeast"/>
        </w:trPr>
        <w:tc>
          <w:tcPr>
            <w:tcW w:w="9758" w:type="dxa"/>
            <w:gridSpan w:val="4"/>
            <w:noWrap w:val="0"/>
            <w:vAlign w:val="center"/>
          </w:tcPr>
          <w:p w14:paraId="73F0FF23">
            <w:pPr>
              <w:keepNext w:val="0"/>
              <w:keepLines w:val="0"/>
              <w:pageBreakBefore w:val="0"/>
              <w:widowControl w:val="0"/>
              <w:kinsoku/>
              <w:wordWrap/>
              <w:overflowPunct/>
              <w:topLinePunct w:val="0"/>
              <w:autoSpaceDE/>
              <w:autoSpaceDN/>
              <w:bidi w:val="0"/>
              <w:adjustRightInd/>
              <w:snapToGrid/>
              <w:spacing w:line="360" w:lineRule="auto"/>
              <w:ind w:left="0" w:right="0" w:rightChars="0"/>
              <w:jc w:val="left"/>
              <w:textAlignment w:val="auto"/>
              <w:rPr>
                <w:rFonts w:hint="eastAsia" w:ascii="楷体" w:hAnsi="楷体" w:eastAsia="楷体" w:cs="楷体"/>
                <w:b w:val="0"/>
                <w:bCs/>
                <w:color w:val="auto"/>
                <w:sz w:val="21"/>
                <w:szCs w:val="21"/>
                <w:highlight w:val="none"/>
                <w:lang w:val="en-US" w:eastAsia="zh-CN"/>
              </w:rPr>
            </w:pPr>
            <w:r>
              <w:rPr>
                <w:rFonts w:hint="eastAsia" w:ascii="楷体" w:hAnsi="楷体" w:eastAsia="楷体" w:cs="楷体"/>
                <w:b w:val="0"/>
                <w:bCs/>
                <w:color w:val="auto"/>
                <w:sz w:val="21"/>
                <w:szCs w:val="21"/>
                <w:highlight w:val="none"/>
                <w:lang w:val="en-US" w:eastAsia="zh-CN"/>
              </w:rPr>
              <w:t>总报价（各产品单批次检测费用总和）：大写</w:t>
            </w:r>
            <w:r>
              <w:rPr>
                <w:rFonts w:hint="eastAsia" w:ascii="楷体" w:hAnsi="楷体" w:eastAsia="楷体" w:cs="楷体"/>
                <w:b w:val="0"/>
                <w:bCs/>
                <w:color w:val="auto"/>
                <w:sz w:val="21"/>
                <w:szCs w:val="21"/>
                <w:highlight w:val="none"/>
                <w:u w:val="single"/>
                <w:lang w:val="en-US" w:eastAsia="zh-CN"/>
              </w:rPr>
              <w:t xml:space="preserve">            </w:t>
            </w:r>
            <w:r>
              <w:rPr>
                <w:rFonts w:hint="eastAsia" w:ascii="楷体" w:hAnsi="楷体" w:eastAsia="楷体" w:cs="楷体"/>
                <w:b w:val="0"/>
                <w:bCs/>
                <w:color w:val="auto"/>
                <w:sz w:val="21"/>
                <w:szCs w:val="21"/>
                <w:highlight w:val="none"/>
                <w:lang w:val="en-US" w:eastAsia="zh-CN"/>
              </w:rPr>
              <w:t>（¥：</w:t>
            </w:r>
            <w:r>
              <w:rPr>
                <w:rFonts w:hint="eastAsia" w:ascii="楷体" w:hAnsi="楷体" w:eastAsia="楷体" w:cs="楷体"/>
                <w:b w:val="0"/>
                <w:bCs/>
                <w:color w:val="auto"/>
                <w:sz w:val="21"/>
                <w:szCs w:val="21"/>
                <w:highlight w:val="none"/>
                <w:u w:val="single"/>
                <w:lang w:val="en-US" w:eastAsia="zh-CN"/>
              </w:rPr>
              <w:t xml:space="preserve">       </w:t>
            </w:r>
            <w:r>
              <w:rPr>
                <w:rFonts w:hint="eastAsia" w:ascii="楷体" w:hAnsi="楷体" w:eastAsia="楷体" w:cs="楷体"/>
                <w:b w:val="0"/>
                <w:bCs/>
                <w:color w:val="auto"/>
                <w:sz w:val="21"/>
                <w:szCs w:val="21"/>
                <w:highlight w:val="none"/>
                <w:lang w:val="en-US" w:eastAsia="zh-CN"/>
              </w:rPr>
              <w:t>）</w:t>
            </w:r>
          </w:p>
          <w:p w14:paraId="19903682">
            <w:pPr>
              <w:pStyle w:val="29"/>
              <w:jc w:val="both"/>
              <w:rPr>
                <w:rFonts w:hint="eastAsia" w:ascii="楷体" w:hAnsi="楷体" w:eastAsia="楷体" w:cs="楷体"/>
                <w:b w:val="0"/>
                <w:bCs/>
                <w:color w:val="auto"/>
                <w:sz w:val="21"/>
                <w:szCs w:val="21"/>
                <w:highlight w:val="none"/>
                <w:lang w:val="en-US" w:eastAsia="zh-CN"/>
              </w:rPr>
            </w:pPr>
          </w:p>
          <w:p w14:paraId="61D989AA">
            <w:pPr>
              <w:pStyle w:val="29"/>
              <w:spacing w:line="360" w:lineRule="auto"/>
              <w:jc w:val="both"/>
              <w:rPr>
                <w:rFonts w:hint="eastAsia" w:ascii="楷体" w:hAnsi="楷体" w:eastAsia="楷体" w:cs="楷体"/>
                <w:b/>
                <w:bCs w:val="0"/>
                <w:color w:val="auto"/>
                <w:sz w:val="21"/>
                <w:szCs w:val="21"/>
                <w:highlight w:val="none"/>
                <w:lang w:val="en-US" w:eastAsia="zh-CN"/>
              </w:rPr>
            </w:pPr>
            <w:r>
              <w:rPr>
                <w:rFonts w:hint="eastAsia" w:ascii="楷体" w:hAnsi="楷体" w:eastAsia="楷体" w:cs="楷体"/>
                <w:b/>
                <w:bCs w:val="0"/>
                <w:color w:val="auto"/>
                <w:sz w:val="21"/>
                <w:szCs w:val="21"/>
                <w:highlight w:val="none"/>
                <w:lang w:val="en-US" w:eastAsia="zh-CN"/>
              </w:rPr>
              <w:t>备注：1、磋商一览表所列报价须与分项报价表中“总报价（各产品单批次检测费用总和）”保持一致，否则供应商应承担一切不利后果；</w:t>
            </w:r>
          </w:p>
          <w:p w14:paraId="10333105">
            <w:pPr>
              <w:pStyle w:val="29"/>
              <w:spacing w:line="360" w:lineRule="auto"/>
              <w:jc w:val="both"/>
              <w:rPr>
                <w:rFonts w:hint="eastAsia" w:ascii="楷体" w:hAnsi="楷体" w:eastAsia="楷体" w:cs="楷体"/>
                <w:b/>
                <w:bCs w:val="0"/>
                <w:color w:val="auto"/>
                <w:sz w:val="21"/>
                <w:szCs w:val="21"/>
                <w:highlight w:val="none"/>
                <w:lang w:val="en-US" w:eastAsia="zh-CN"/>
              </w:rPr>
            </w:pPr>
            <w:r>
              <w:rPr>
                <w:rFonts w:hint="eastAsia" w:ascii="楷体" w:hAnsi="楷体" w:eastAsia="楷体" w:cs="楷体"/>
                <w:b/>
                <w:bCs w:val="0"/>
                <w:color w:val="auto"/>
                <w:sz w:val="21"/>
                <w:szCs w:val="21"/>
                <w:highlight w:val="none"/>
                <w:lang w:val="en-US" w:eastAsia="zh-CN"/>
              </w:rPr>
              <w:t>2、表内报价内容以元为单位，保留小数点后两位；</w:t>
            </w:r>
          </w:p>
          <w:p w14:paraId="67D549E7">
            <w:pPr>
              <w:pStyle w:val="29"/>
              <w:spacing w:line="360" w:lineRule="auto"/>
              <w:jc w:val="both"/>
              <w:rPr>
                <w:rFonts w:hint="eastAsia" w:ascii="楷体" w:hAnsi="楷体" w:eastAsia="楷体" w:cs="楷体"/>
                <w:b/>
                <w:bCs w:val="0"/>
                <w:color w:val="auto"/>
                <w:sz w:val="21"/>
                <w:szCs w:val="21"/>
                <w:highlight w:val="none"/>
                <w:lang w:val="en-US" w:eastAsia="zh-CN"/>
              </w:rPr>
            </w:pPr>
            <w:r>
              <w:rPr>
                <w:rFonts w:hint="eastAsia" w:ascii="楷体" w:hAnsi="楷体" w:eastAsia="楷体" w:cs="楷体"/>
                <w:b/>
                <w:bCs w:val="0"/>
                <w:color w:val="auto"/>
                <w:sz w:val="21"/>
                <w:szCs w:val="21"/>
                <w:highlight w:val="none"/>
                <w:lang w:val="en-US" w:eastAsia="zh-CN"/>
              </w:rPr>
              <w:t>3、供应商的报价是供应商响应磋商项目要求的全部工作内容的价格体现，包括供应商完成本项目所需的一切费用（购样费、检验费等相关一切费用）。</w:t>
            </w:r>
          </w:p>
        </w:tc>
      </w:tr>
    </w:tbl>
    <w:p w14:paraId="785A2671">
      <w:pPr>
        <w:spacing w:line="360" w:lineRule="auto"/>
        <w:jc w:val="left"/>
        <w:rPr>
          <w:rFonts w:hint="default" w:ascii="楷体" w:hAnsi="楷体" w:eastAsia="楷体" w:cs="楷体"/>
          <w:color w:val="auto"/>
          <w:szCs w:val="24"/>
          <w:highlight w:val="none"/>
          <w:lang w:val="en-US" w:eastAsia="zh-CN"/>
        </w:rPr>
      </w:pPr>
      <w:r>
        <w:rPr>
          <w:rFonts w:hint="eastAsia" w:ascii="楷体" w:hAnsi="楷体" w:eastAsia="楷体" w:cs="楷体"/>
          <w:color w:val="auto"/>
          <w:szCs w:val="24"/>
          <w:highlight w:val="none"/>
          <w:lang w:val="en-US" w:eastAsia="zh-CN"/>
        </w:rPr>
        <w:t>供应商名称：</w:t>
      </w:r>
    </w:p>
    <w:p w14:paraId="398DD5F8">
      <w:pPr>
        <w:spacing w:line="360" w:lineRule="auto"/>
        <w:jc w:val="left"/>
        <w:rPr>
          <w:rFonts w:ascii="楷体" w:hAnsi="楷体" w:eastAsia="楷体" w:cs="楷体"/>
          <w:color w:val="auto"/>
          <w:szCs w:val="24"/>
          <w:highlight w:val="none"/>
        </w:rPr>
      </w:pPr>
      <w:r>
        <w:rPr>
          <w:rFonts w:hint="eastAsia" w:ascii="楷体" w:hAnsi="楷体" w:eastAsia="楷体" w:cs="楷体"/>
          <w:color w:val="auto"/>
          <w:szCs w:val="24"/>
          <w:highlight w:val="none"/>
        </w:rPr>
        <w:t>法定代表人/被授权人（</w:t>
      </w:r>
      <w:r>
        <w:rPr>
          <w:rFonts w:hint="eastAsia" w:ascii="楷体" w:hAnsi="楷体" w:eastAsia="楷体" w:cs="楷体"/>
          <w:color w:val="auto"/>
          <w:spacing w:val="4"/>
          <w:szCs w:val="24"/>
          <w:highlight w:val="none"/>
        </w:rPr>
        <w:t>签字或盖章</w:t>
      </w:r>
      <w:r>
        <w:rPr>
          <w:rFonts w:hint="eastAsia" w:ascii="楷体" w:hAnsi="楷体" w:eastAsia="楷体" w:cs="楷体"/>
          <w:color w:val="auto"/>
          <w:szCs w:val="24"/>
          <w:highlight w:val="none"/>
        </w:rPr>
        <w:t>）：</w:t>
      </w:r>
    </w:p>
    <w:p w14:paraId="453D70E9">
      <w:pPr>
        <w:adjustRightInd w:val="0"/>
        <w:snapToGrid w:val="0"/>
        <w:spacing w:line="360" w:lineRule="auto"/>
        <w:jc w:val="both"/>
        <w:outlineLvl w:val="2"/>
        <w:rPr>
          <w:rFonts w:hint="eastAsia" w:ascii="楷体" w:hAnsi="楷体" w:eastAsia="楷体" w:cs="楷体"/>
          <w:color w:val="auto"/>
          <w:szCs w:val="24"/>
          <w:highlight w:val="none"/>
        </w:rPr>
      </w:pPr>
      <w:r>
        <w:rPr>
          <w:rFonts w:hint="eastAsia" w:ascii="楷体" w:hAnsi="楷体" w:eastAsia="楷体" w:cs="楷体"/>
          <w:color w:val="auto"/>
          <w:szCs w:val="24"/>
          <w:highlight w:val="none"/>
        </w:rPr>
        <w:t>日    期：</w:t>
      </w:r>
    </w:p>
    <w:p w14:paraId="7BA598A1">
      <w:pPr>
        <w:adjustRightInd w:val="0"/>
        <w:snapToGrid w:val="0"/>
        <w:spacing w:line="360" w:lineRule="auto"/>
        <w:jc w:val="both"/>
        <w:outlineLvl w:val="2"/>
        <w:rPr>
          <w:rFonts w:hint="eastAsia" w:ascii="楷体" w:hAnsi="楷体" w:eastAsia="楷体" w:cs="楷体"/>
          <w:color w:val="auto"/>
          <w:szCs w:val="24"/>
          <w:highlight w:val="none"/>
        </w:rPr>
      </w:pPr>
    </w:p>
    <w:p w14:paraId="74F76D62">
      <w:pPr>
        <w:adjustRightInd w:val="0"/>
        <w:snapToGrid w:val="0"/>
        <w:spacing w:line="360" w:lineRule="auto"/>
        <w:jc w:val="both"/>
        <w:outlineLvl w:val="2"/>
        <w:rPr>
          <w:rFonts w:hint="eastAsia" w:ascii="楷体" w:hAnsi="楷体" w:eastAsia="楷体" w:cs="楷体"/>
          <w:color w:val="auto"/>
          <w:szCs w:val="24"/>
          <w:highlight w:val="none"/>
        </w:rPr>
      </w:pPr>
    </w:p>
    <w:p w14:paraId="3F3D2AEF">
      <w:pPr>
        <w:adjustRightInd w:val="0"/>
        <w:snapToGrid w:val="0"/>
        <w:spacing w:line="360" w:lineRule="auto"/>
        <w:jc w:val="both"/>
        <w:outlineLvl w:val="2"/>
        <w:rPr>
          <w:rFonts w:hint="eastAsia" w:ascii="楷体" w:hAnsi="楷体" w:eastAsia="楷体" w:cs="楷体"/>
          <w:color w:val="auto"/>
          <w:szCs w:val="24"/>
          <w:highlight w:val="none"/>
        </w:rPr>
      </w:pPr>
    </w:p>
    <w:p w14:paraId="1F02F913">
      <w:pPr>
        <w:adjustRightInd w:val="0"/>
        <w:snapToGrid w:val="0"/>
        <w:spacing w:line="360" w:lineRule="auto"/>
        <w:jc w:val="both"/>
        <w:outlineLvl w:val="2"/>
        <w:rPr>
          <w:rFonts w:hint="eastAsia" w:ascii="楷体" w:hAnsi="楷体" w:eastAsia="楷体" w:cs="楷体"/>
          <w:color w:val="auto"/>
          <w:szCs w:val="24"/>
          <w:highlight w:val="none"/>
        </w:rPr>
      </w:pPr>
    </w:p>
    <w:p w14:paraId="073EFE12">
      <w:pPr>
        <w:adjustRightInd w:val="0"/>
        <w:snapToGrid w:val="0"/>
        <w:spacing w:line="360" w:lineRule="auto"/>
        <w:jc w:val="both"/>
        <w:outlineLvl w:val="2"/>
        <w:rPr>
          <w:rFonts w:hint="eastAsia" w:ascii="楷体" w:hAnsi="楷体" w:eastAsia="楷体" w:cs="楷体"/>
          <w:color w:val="auto"/>
          <w:szCs w:val="24"/>
          <w:highlight w:val="none"/>
        </w:rPr>
      </w:pPr>
    </w:p>
    <w:p w14:paraId="0DDCB4B0">
      <w:pPr>
        <w:adjustRightInd w:val="0"/>
        <w:snapToGrid w:val="0"/>
        <w:spacing w:line="360" w:lineRule="auto"/>
        <w:jc w:val="both"/>
        <w:outlineLvl w:val="2"/>
        <w:rPr>
          <w:rFonts w:hint="eastAsia" w:ascii="楷体" w:hAnsi="楷体" w:eastAsia="楷体" w:cs="楷体"/>
          <w:color w:val="auto"/>
          <w:szCs w:val="24"/>
          <w:highlight w:val="none"/>
        </w:rPr>
      </w:pPr>
    </w:p>
    <w:p w14:paraId="1AAB9722">
      <w:pPr>
        <w:adjustRightInd w:val="0"/>
        <w:snapToGrid w:val="0"/>
        <w:spacing w:line="360" w:lineRule="auto"/>
        <w:jc w:val="both"/>
        <w:outlineLvl w:val="2"/>
        <w:rPr>
          <w:rFonts w:hint="eastAsia" w:ascii="楷体" w:hAnsi="楷体" w:eastAsia="楷体" w:cs="楷体"/>
          <w:color w:val="auto"/>
          <w:szCs w:val="24"/>
          <w:highlight w:val="none"/>
        </w:rPr>
      </w:pPr>
    </w:p>
    <w:p w14:paraId="58F6DB03">
      <w:pPr>
        <w:adjustRightInd w:val="0"/>
        <w:snapToGrid w:val="0"/>
        <w:spacing w:line="360" w:lineRule="auto"/>
        <w:jc w:val="both"/>
        <w:outlineLvl w:val="2"/>
        <w:rPr>
          <w:rFonts w:hint="eastAsia" w:ascii="楷体" w:hAnsi="楷体" w:eastAsia="楷体" w:cs="楷体"/>
          <w:color w:val="auto"/>
          <w:szCs w:val="24"/>
          <w:highlight w:val="none"/>
        </w:rPr>
      </w:pPr>
    </w:p>
    <w:p w14:paraId="35F5A0E8">
      <w:pPr>
        <w:adjustRightInd w:val="0"/>
        <w:snapToGrid w:val="0"/>
        <w:spacing w:line="360" w:lineRule="auto"/>
        <w:jc w:val="both"/>
        <w:outlineLvl w:val="2"/>
        <w:rPr>
          <w:rFonts w:hint="eastAsia" w:ascii="楷体" w:hAnsi="楷体" w:eastAsia="楷体" w:cs="楷体"/>
          <w:color w:val="auto"/>
          <w:szCs w:val="24"/>
          <w:highlight w:val="none"/>
        </w:rPr>
      </w:pPr>
    </w:p>
    <w:p w14:paraId="3BD50ADB">
      <w:pPr>
        <w:adjustRightInd w:val="0"/>
        <w:snapToGrid w:val="0"/>
        <w:spacing w:line="360" w:lineRule="auto"/>
        <w:jc w:val="both"/>
        <w:outlineLvl w:val="2"/>
        <w:rPr>
          <w:rFonts w:hint="eastAsia" w:ascii="楷体" w:hAnsi="楷体" w:eastAsia="楷体" w:cs="楷体"/>
          <w:color w:val="auto"/>
          <w:szCs w:val="24"/>
          <w:highlight w:val="none"/>
        </w:rPr>
      </w:pPr>
    </w:p>
    <w:p w14:paraId="31B1F654">
      <w:pPr>
        <w:adjustRightInd w:val="0"/>
        <w:snapToGrid w:val="0"/>
        <w:spacing w:line="360" w:lineRule="auto"/>
        <w:jc w:val="both"/>
        <w:outlineLvl w:val="2"/>
        <w:rPr>
          <w:rFonts w:hint="eastAsia" w:ascii="楷体" w:hAnsi="楷体" w:eastAsia="楷体" w:cs="楷体"/>
          <w:color w:val="auto"/>
          <w:szCs w:val="24"/>
          <w:highlight w:val="none"/>
        </w:rPr>
      </w:pPr>
    </w:p>
    <w:p w14:paraId="5CA77957">
      <w:pPr>
        <w:adjustRightInd w:val="0"/>
        <w:snapToGrid w:val="0"/>
        <w:spacing w:line="360" w:lineRule="auto"/>
        <w:jc w:val="both"/>
        <w:outlineLvl w:val="2"/>
        <w:rPr>
          <w:rFonts w:hint="eastAsia" w:ascii="楷体" w:hAnsi="楷体" w:eastAsia="楷体" w:cs="楷体"/>
          <w:color w:val="auto"/>
          <w:szCs w:val="24"/>
          <w:highlight w:val="none"/>
        </w:rPr>
      </w:pPr>
    </w:p>
    <w:p w14:paraId="13EBCFAE">
      <w:pPr>
        <w:adjustRightInd w:val="0"/>
        <w:snapToGrid w:val="0"/>
        <w:spacing w:line="360" w:lineRule="auto"/>
        <w:jc w:val="both"/>
        <w:outlineLvl w:val="2"/>
        <w:rPr>
          <w:rFonts w:hint="eastAsia" w:ascii="楷体" w:hAnsi="楷体" w:eastAsia="楷体" w:cs="楷体"/>
          <w:color w:val="auto"/>
          <w:szCs w:val="24"/>
          <w:highlight w:val="none"/>
        </w:rPr>
      </w:pPr>
    </w:p>
    <w:p w14:paraId="29D86EC0">
      <w:pPr>
        <w:adjustRightInd w:val="0"/>
        <w:snapToGrid w:val="0"/>
        <w:spacing w:line="360" w:lineRule="auto"/>
        <w:jc w:val="both"/>
        <w:outlineLvl w:val="2"/>
        <w:rPr>
          <w:rFonts w:hint="eastAsia" w:ascii="楷体" w:hAnsi="楷体" w:eastAsia="楷体" w:cs="楷体"/>
          <w:color w:val="auto"/>
          <w:szCs w:val="24"/>
          <w:highlight w:val="none"/>
        </w:rPr>
      </w:pPr>
    </w:p>
    <w:p w14:paraId="2345EE35">
      <w:pPr>
        <w:adjustRightInd w:val="0"/>
        <w:snapToGrid w:val="0"/>
        <w:spacing w:line="360" w:lineRule="auto"/>
        <w:jc w:val="both"/>
        <w:outlineLvl w:val="2"/>
        <w:rPr>
          <w:rFonts w:hint="eastAsia" w:ascii="楷体" w:hAnsi="楷体" w:eastAsia="楷体" w:cs="楷体"/>
          <w:color w:val="auto"/>
          <w:szCs w:val="24"/>
          <w:highlight w:val="none"/>
        </w:rPr>
      </w:pPr>
    </w:p>
    <w:p w14:paraId="1FBAB995">
      <w:pPr>
        <w:adjustRightInd w:val="0"/>
        <w:snapToGrid w:val="0"/>
        <w:spacing w:line="360" w:lineRule="auto"/>
        <w:jc w:val="both"/>
        <w:outlineLvl w:val="2"/>
        <w:rPr>
          <w:rFonts w:hint="eastAsia" w:ascii="楷体" w:hAnsi="楷体" w:eastAsia="楷体" w:cs="楷体"/>
          <w:color w:val="auto"/>
          <w:szCs w:val="24"/>
          <w:highlight w:val="none"/>
        </w:rPr>
      </w:pPr>
    </w:p>
    <w:p w14:paraId="41F0A4C7">
      <w:pPr>
        <w:spacing w:line="360" w:lineRule="auto"/>
        <w:jc w:val="left"/>
        <w:rPr>
          <w:rFonts w:hint="eastAsia" w:hAnsi="宋体" w:cs="宋体"/>
          <w:b/>
          <w:sz w:val="21"/>
          <w:szCs w:val="21"/>
          <w:highlight w:val="none"/>
          <w:lang w:val="en-US" w:eastAsia="zh-CN"/>
        </w:rPr>
      </w:pPr>
      <w:r>
        <w:rPr>
          <w:rFonts w:hint="eastAsia" w:ascii="宋体" w:hAnsi="宋体" w:eastAsia="宋体" w:cs="宋体"/>
          <w:b/>
          <w:sz w:val="21"/>
          <w:szCs w:val="21"/>
          <w:highlight w:val="none"/>
          <w:lang w:val="en-US" w:eastAsia="zh-CN"/>
        </w:rPr>
        <w:t>采购包</w:t>
      </w:r>
      <w:r>
        <w:rPr>
          <w:rFonts w:hint="eastAsia" w:hAnsi="宋体" w:cs="宋体"/>
          <w:b/>
          <w:sz w:val="21"/>
          <w:szCs w:val="21"/>
          <w:highlight w:val="none"/>
          <w:lang w:val="en-US" w:eastAsia="zh-CN"/>
        </w:rPr>
        <w:t>3</w:t>
      </w:r>
    </w:p>
    <w:tbl>
      <w:tblPr>
        <w:tblStyle w:val="18"/>
        <w:tblW w:w="9758" w:type="dxa"/>
        <w:tblInd w:w="-1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4"/>
        <w:gridCol w:w="2431"/>
        <w:gridCol w:w="4451"/>
        <w:gridCol w:w="1672"/>
      </w:tblGrid>
      <w:tr w14:paraId="522F4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4" w:hRule="atLeast"/>
        </w:trPr>
        <w:tc>
          <w:tcPr>
            <w:tcW w:w="1204" w:type="dxa"/>
            <w:noWrap w:val="0"/>
            <w:vAlign w:val="center"/>
          </w:tcPr>
          <w:p w14:paraId="1AC27B65">
            <w:pPr>
              <w:pageBreakBefore w:val="0"/>
              <w:overflowPunct/>
              <w:topLinePunct w:val="0"/>
              <w:bidi w:val="0"/>
              <w:snapToGrid/>
              <w:spacing w:line="360" w:lineRule="auto"/>
              <w:ind w:left="0" w:right="0" w:rightChars="0"/>
              <w:jc w:val="center"/>
              <w:rPr>
                <w:rFonts w:hint="eastAsia" w:ascii="楷体" w:hAnsi="楷体" w:eastAsia="楷体" w:cs="楷体"/>
                <w:b w:val="0"/>
                <w:bCs/>
                <w:sz w:val="21"/>
                <w:szCs w:val="21"/>
                <w:highlight w:val="none"/>
                <w:lang w:val="en-US" w:eastAsia="zh-CN"/>
              </w:rPr>
            </w:pPr>
            <w:r>
              <w:rPr>
                <w:rFonts w:hint="eastAsia" w:ascii="楷体" w:hAnsi="楷体" w:eastAsia="楷体" w:cs="楷体"/>
                <w:b w:val="0"/>
                <w:bCs/>
                <w:sz w:val="21"/>
                <w:szCs w:val="21"/>
                <w:highlight w:val="none"/>
                <w:lang w:val="en-US" w:eastAsia="zh-CN"/>
              </w:rPr>
              <w:t>产品名称</w:t>
            </w:r>
          </w:p>
        </w:tc>
        <w:tc>
          <w:tcPr>
            <w:tcW w:w="2431" w:type="dxa"/>
            <w:noWrap w:val="0"/>
            <w:vAlign w:val="center"/>
          </w:tcPr>
          <w:p w14:paraId="1EF9FFB2">
            <w:pPr>
              <w:pageBreakBefore w:val="0"/>
              <w:overflowPunct/>
              <w:topLinePunct w:val="0"/>
              <w:bidi w:val="0"/>
              <w:snapToGrid/>
              <w:spacing w:line="360" w:lineRule="auto"/>
              <w:ind w:left="0" w:right="0" w:rightChars="0"/>
              <w:jc w:val="center"/>
              <w:rPr>
                <w:rFonts w:hint="eastAsia" w:ascii="楷体" w:hAnsi="楷体" w:eastAsia="楷体" w:cs="楷体"/>
                <w:b w:val="0"/>
                <w:bCs/>
                <w:sz w:val="21"/>
                <w:szCs w:val="21"/>
                <w:highlight w:val="none"/>
                <w:lang w:val="en-US" w:eastAsia="zh-CN"/>
              </w:rPr>
            </w:pPr>
            <w:r>
              <w:rPr>
                <w:rFonts w:hint="eastAsia" w:ascii="楷体" w:hAnsi="楷体" w:eastAsia="楷体" w:cs="楷体"/>
                <w:b w:val="0"/>
                <w:bCs/>
                <w:sz w:val="21"/>
                <w:szCs w:val="21"/>
                <w:highlight w:val="none"/>
                <w:lang w:val="en-US" w:eastAsia="zh-CN"/>
              </w:rPr>
              <w:t>执行标准</w:t>
            </w:r>
          </w:p>
        </w:tc>
        <w:tc>
          <w:tcPr>
            <w:tcW w:w="4451" w:type="dxa"/>
            <w:noWrap w:val="0"/>
            <w:vAlign w:val="center"/>
          </w:tcPr>
          <w:p w14:paraId="2B86F9A1">
            <w:pPr>
              <w:pageBreakBefore w:val="0"/>
              <w:overflowPunct/>
              <w:topLinePunct w:val="0"/>
              <w:bidi w:val="0"/>
              <w:snapToGrid/>
              <w:spacing w:line="360" w:lineRule="auto"/>
              <w:ind w:left="0" w:right="0" w:rightChars="0"/>
              <w:jc w:val="center"/>
              <w:rPr>
                <w:rFonts w:hint="eastAsia" w:ascii="楷体" w:hAnsi="楷体" w:eastAsia="楷体" w:cs="楷体"/>
                <w:b w:val="0"/>
                <w:bCs/>
                <w:sz w:val="21"/>
                <w:szCs w:val="21"/>
                <w:highlight w:val="none"/>
                <w:lang w:val="en-US" w:eastAsia="zh-CN"/>
              </w:rPr>
            </w:pPr>
            <w:r>
              <w:rPr>
                <w:rFonts w:hint="eastAsia" w:ascii="楷体" w:hAnsi="楷体" w:eastAsia="楷体" w:cs="楷体"/>
                <w:b w:val="0"/>
                <w:bCs/>
                <w:sz w:val="21"/>
                <w:szCs w:val="21"/>
                <w:highlight w:val="none"/>
                <w:lang w:val="en-US" w:eastAsia="zh-CN"/>
              </w:rPr>
              <w:t>检测项目分项报价</w:t>
            </w:r>
          </w:p>
        </w:tc>
        <w:tc>
          <w:tcPr>
            <w:tcW w:w="1672" w:type="dxa"/>
            <w:noWrap w:val="0"/>
            <w:vAlign w:val="center"/>
          </w:tcPr>
          <w:p w14:paraId="2FD7B859">
            <w:pPr>
              <w:pageBreakBefore w:val="0"/>
              <w:overflowPunct/>
              <w:topLinePunct w:val="0"/>
              <w:bidi w:val="0"/>
              <w:snapToGrid/>
              <w:spacing w:line="360" w:lineRule="auto"/>
              <w:ind w:left="0" w:right="0" w:rightChars="0"/>
              <w:jc w:val="center"/>
              <w:rPr>
                <w:rFonts w:hint="eastAsia" w:ascii="楷体" w:hAnsi="楷体" w:eastAsia="楷体" w:cs="楷体"/>
                <w:b w:val="0"/>
                <w:bCs/>
                <w:sz w:val="21"/>
                <w:szCs w:val="21"/>
                <w:highlight w:val="none"/>
                <w:lang w:val="en-US" w:eastAsia="zh-CN"/>
              </w:rPr>
            </w:pPr>
            <w:r>
              <w:rPr>
                <w:rFonts w:hint="eastAsia" w:ascii="楷体" w:hAnsi="楷体" w:eastAsia="楷体" w:cs="楷体"/>
                <w:b w:val="0"/>
                <w:bCs/>
                <w:sz w:val="21"/>
                <w:szCs w:val="21"/>
                <w:highlight w:val="none"/>
                <w:lang w:val="en-US" w:eastAsia="zh-CN"/>
              </w:rPr>
              <w:t>各产品单批次检测费用总和</w:t>
            </w:r>
          </w:p>
        </w:tc>
      </w:tr>
      <w:tr w14:paraId="781E1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3" w:hRule="atLeast"/>
        </w:trPr>
        <w:tc>
          <w:tcPr>
            <w:tcW w:w="1204" w:type="dxa"/>
            <w:noWrap w:val="0"/>
            <w:vAlign w:val="center"/>
          </w:tcPr>
          <w:p w14:paraId="25B59FF3">
            <w:pPr>
              <w:pageBreakBefore w:val="0"/>
              <w:overflowPunct/>
              <w:topLinePunct w:val="0"/>
              <w:bidi w:val="0"/>
              <w:snapToGrid/>
              <w:spacing w:line="360" w:lineRule="auto"/>
              <w:ind w:left="0" w:right="0" w:rightChars="0"/>
              <w:jc w:val="center"/>
              <w:rPr>
                <w:rFonts w:hint="eastAsia" w:ascii="楷体" w:hAnsi="楷体" w:eastAsia="楷体" w:cs="楷体"/>
                <w:b w:val="0"/>
                <w:bCs/>
                <w:sz w:val="21"/>
                <w:szCs w:val="21"/>
                <w:highlight w:val="none"/>
                <w:lang w:val="en-US" w:eastAsia="zh-CN"/>
              </w:rPr>
            </w:pPr>
            <w:r>
              <w:rPr>
                <w:rFonts w:hint="eastAsia" w:ascii="楷体" w:hAnsi="楷体" w:eastAsia="楷体" w:cs="楷体"/>
                <w:b w:val="0"/>
                <w:bCs/>
                <w:sz w:val="21"/>
                <w:szCs w:val="21"/>
                <w:highlight w:val="none"/>
                <w:lang w:val="en-US" w:eastAsia="zh-CN"/>
              </w:rPr>
              <w:t>家用燃气快速热水器</w:t>
            </w:r>
          </w:p>
        </w:tc>
        <w:tc>
          <w:tcPr>
            <w:tcW w:w="2431" w:type="dxa"/>
            <w:noWrap w:val="0"/>
            <w:vAlign w:val="center"/>
          </w:tcPr>
          <w:p w14:paraId="102F8EA7">
            <w:pPr>
              <w:pageBreakBefore w:val="0"/>
              <w:overflowPunct/>
              <w:topLinePunct w:val="0"/>
              <w:bidi w:val="0"/>
              <w:snapToGrid/>
              <w:spacing w:line="360" w:lineRule="auto"/>
              <w:ind w:left="0" w:right="0" w:rightChars="0"/>
              <w:jc w:val="left"/>
              <w:rPr>
                <w:rFonts w:hint="eastAsia" w:ascii="楷体" w:hAnsi="楷体" w:eastAsia="楷体" w:cs="楷体"/>
                <w:bCs/>
                <w:sz w:val="21"/>
                <w:szCs w:val="21"/>
                <w:highlight w:val="none"/>
                <w:lang w:val="en-US" w:eastAsia="zh-CN"/>
              </w:rPr>
            </w:pPr>
            <w:r>
              <w:rPr>
                <w:rFonts w:hint="eastAsia" w:ascii="楷体" w:hAnsi="楷体" w:eastAsia="楷体" w:cs="楷体"/>
                <w:bCs/>
                <w:sz w:val="21"/>
                <w:szCs w:val="21"/>
                <w:highlight w:val="none"/>
                <w:lang w:val="en-US" w:eastAsia="zh-CN"/>
              </w:rPr>
              <w:t>GB 6932-2015</w:t>
            </w:r>
          </w:p>
          <w:p w14:paraId="00AD4DC9">
            <w:pPr>
              <w:pageBreakBefore w:val="0"/>
              <w:overflowPunct/>
              <w:topLinePunct w:val="0"/>
              <w:bidi w:val="0"/>
              <w:snapToGrid/>
              <w:spacing w:line="360" w:lineRule="auto"/>
              <w:ind w:left="0" w:right="0" w:rightChars="0"/>
              <w:jc w:val="left"/>
              <w:rPr>
                <w:rFonts w:hint="eastAsia" w:ascii="楷体" w:hAnsi="楷体" w:eastAsia="楷体" w:cs="楷体"/>
                <w:b w:val="0"/>
                <w:bCs/>
                <w:sz w:val="21"/>
                <w:szCs w:val="21"/>
                <w:highlight w:val="none"/>
                <w:lang w:val="en-US" w:eastAsia="zh-CN"/>
              </w:rPr>
            </w:pPr>
            <w:r>
              <w:rPr>
                <w:rFonts w:hint="eastAsia" w:ascii="楷体" w:hAnsi="楷体" w:eastAsia="楷体" w:cs="楷体"/>
                <w:bCs/>
                <w:sz w:val="21"/>
                <w:szCs w:val="21"/>
                <w:highlight w:val="none"/>
                <w:lang w:val="en-US" w:eastAsia="zh-CN"/>
              </w:rPr>
              <w:t>GB 20665—2015</w:t>
            </w:r>
            <w:r>
              <w:rPr>
                <w:rFonts w:hint="eastAsia" w:ascii="楷体" w:hAnsi="楷体" w:eastAsia="楷体" w:cs="楷体"/>
                <w:color w:val="auto"/>
                <w:sz w:val="21"/>
                <w:szCs w:val="21"/>
                <w:highlight w:val="none"/>
                <w:lang w:eastAsia="zh-CN"/>
              </w:rPr>
              <w:t>等</w:t>
            </w:r>
            <w:r>
              <w:rPr>
                <w:rFonts w:hint="eastAsia" w:ascii="楷体" w:hAnsi="楷体" w:eastAsia="楷体" w:cs="楷体"/>
                <w:color w:val="auto"/>
                <w:sz w:val="21"/>
                <w:szCs w:val="21"/>
                <w:highlight w:val="none"/>
              </w:rPr>
              <w:t>现行有效的企业标准、团体标准、地方标准及产品明示质量要求</w:t>
            </w:r>
          </w:p>
        </w:tc>
        <w:tc>
          <w:tcPr>
            <w:tcW w:w="4451" w:type="dxa"/>
            <w:noWrap w:val="0"/>
            <w:vAlign w:val="top"/>
          </w:tcPr>
          <w:p w14:paraId="51EE4A1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left"/>
              <w:textAlignment w:val="auto"/>
              <w:rPr>
                <w:rFonts w:hint="eastAsia" w:ascii="楷体" w:hAnsi="楷体" w:eastAsia="楷体" w:cs="楷体"/>
                <w:b w:val="0"/>
                <w:bCs/>
                <w:sz w:val="21"/>
                <w:szCs w:val="21"/>
                <w:highlight w:val="none"/>
                <w:lang w:val="en-US" w:eastAsia="zh-CN"/>
              </w:rPr>
            </w:pPr>
            <w:r>
              <w:rPr>
                <w:rFonts w:hint="eastAsia" w:ascii="楷体" w:hAnsi="楷体" w:eastAsia="楷体" w:cs="楷体"/>
                <w:bCs/>
                <w:sz w:val="21"/>
                <w:szCs w:val="21"/>
                <w:highlight w:val="none"/>
                <w:lang w:val="en-US" w:eastAsia="zh-CN"/>
              </w:rPr>
              <w:t>燃气系统气密性</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sz w:val="21"/>
                <w:szCs w:val="21"/>
                <w:highlight w:val="none"/>
                <w:lang w:val="en-US" w:eastAsia="zh-CN"/>
              </w:rPr>
              <w:t>燃烧工况—无风状态（火焰稳定性、燃烧噪声、熄火噪声、烟气中CO含量）</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sz w:val="21"/>
                <w:szCs w:val="21"/>
                <w:highlight w:val="none"/>
                <w:lang w:val="en-US" w:eastAsia="zh-CN"/>
              </w:rPr>
              <w:t>安全装置（熄火保护装置、烟道堵塞安全装置（强制排气式）</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sz w:val="21"/>
                <w:szCs w:val="21"/>
                <w:highlight w:val="none"/>
                <w:lang w:val="en-US" w:eastAsia="zh-CN"/>
              </w:rPr>
              <w:t>风压过大安全装置（强制排气式</w:t>
            </w:r>
            <w:r>
              <w:rPr>
                <w:rFonts w:hint="eastAsia" w:ascii="楷体" w:hAnsi="楷体" w:eastAsia="楷体" w:cs="楷体"/>
                <w:bCs/>
                <w:color w:val="auto"/>
                <w:sz w:val="21"/>
                <w:szCs w:val="21"/>
                <w:highlight w:val="none"/>
                <w:lang w:eastAsia="zh-CN"/>
              </w:rPr>
              <w:t>)</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sz w:val="21"/>
                <w:szCs w:val="21"/>
                <w:highlight w:val="none"/>
                <w:lang w:val="en-US" w:eastAsia="zh-CN"/>
              </w:rPr>
              <w:t>防干烧安全装置</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sz w:val="21"/>
                <w:szCs w:val="21"/>
                <w:highlight w:val="none"/>
                <w:lang w:val="en-US" w:eastAsia="zh-CN"/>
              </w:rPr>
              <w:t>防止不完全燃烧安全装置（自然排气式）</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sz w:val="21"/>
                <w:szCs w:val="21"/>
                <w:highlight w:val="none"/>
                <w:lang w:val="en-US" w:eastAsia="zh-CN"/>
              </w:rPr>
              <w:t>电气部分（使用交流电源）—电气安全（接地措施、电气强度）</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sz w:val="21"/>
                <w:szCs w:val="21"/>
                <w:highlight w:val="none"/>
                <w:lang w:val="en-US" w:eastAsia="zh-CN"/>
              </w:rPr>
              <w:t>热效率</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u w:val="none"/>
                <w:lang w:val="en-US" w:eastAsia="zh-CN"/>
              </w:rPr>
              <w:t>元</w:t>
            </w:r>
            <w:r>
              <w:rPr>
                <w:rFonts w:hint="eastAsia" w:ascii="楷体" w:hAnsi="楷体" w:eastAsia="楷体" w:cs="楷体"/>
                <w:bCs/>
                <w:sz w:val="21"/>
                <w:szCs w:val="21"/>
                <w:highlight w:val="none"/>
                <w:lang w:val="en-US" w:eastAsia="zh-CN"/>
              </w:rPr>
              <w:t>；热水产率</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u w:val="none"/>
                <w:lang w:val="en-US" w:eastAsia="zh-CN"/>
              </w:rPr>
              <w:t>元</w:t>
            </w:r>
            <w:r>
              <w:rPr>
                <w:rFonts w:hint="eastAsia" w:ascii="楷体" w:hAnsi="楷体" w:eastAsia="楷体" w:cs="楷体"/>
                <w:b w:val="0"/>
                <w:bCs/>
                <w:sz w:val="21"/>
                <w:szCs w:val="21"/>
                <w:highlight w:val="none"/>
                <w:lang w:val="en-US" w:eastAsia="zh-CN"/>
              </w:rPr>
              <w:t>。</w:t>
            </w:r>
            <w:bookmarkStart w:id="275" w:name="_GoBack"/>
            <w:bookmarkEnd w:id="275"/>
          </w:p>
        </w:tc>
        <w:tc>
          <w:tcPr>
            <w:tcW w:w="1672" w:type="dxa"/>
            <w:noWrap w:val="0"/>
            <w:vAlign w:val="center"/>
          </w:tcPr>
          <w:p w14:paraId="21BBDBAC">
            <w:pPr>
              <w:keepNext w:val="0"/>
              <w:keepLines w:val="0"/>
              <w:pageBreakBefore w:val="0"/>
              <w:widowControl w:val="0"/>
              <w:kinsoku/>
              <w:wordWrap/>
              <w:overflowPunct/>
              <w:topLinePunct w:val="0"/>
              <w:autoSpaceDE/>
              <w:autoSpaceDN/>
              <w:bidi w:val="0"/>
              <w:adjustRightInd/>
              <w:snapToGrid/>
              <w:spacing w:line="360" w:lineRule="auto"/>
              <w:ind w:left="0" w:right="0" w:rightChars="0"/>
              <w:jc w:val="right"/>
              <w:textAlignment w:val="auto"/>
              <w:rPr>
                <w:rFonts w:hint="eastAsia" w:ascii="楷体" w:hAnsi="楷体" w:eastAsia="楷体" w:cs="楷体"/>
                <w:b w:val="0"/>
                <w:bCs/>
                <w:sz w:val="21"/>
                <w:szCs w:val="21"/>
                <w:highlight w:val="none"/>
                <w:lang w:val="en-US" w:eastAsia="zh-CN"/>
              </w:rPr>
            </w:pPr>
            <w:r>
              <w:rPr>
                <w:rFonts w:hint="eastAsia" w:ascii="楷体" w:hAnsi="楷体" w:eastAsia="楷体" w:cs="楷体"/>
                <w:b w:val="0"/>
                <w:bCs/>
                <w:sz w:val="21"/>
                <w:szCs w:val="21"/>
                <w:highlight w:val="none"/>
                <w:lang w:val="en-US" w:eastAsia="zh-CN"/>
              </w:rPr>
              <w:t>元</w:t>
            </w:r>
          </w:p>
        </w:tc>
      </w:tr>
      <w:tr w14:paraId="2EF71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3" w:hRule="atLeast"/>
        </w:trPr>
        <w:tc>
          <w:tcPr>
            <w:tcW w:w="1204" w:type="dxa"/>
            <w:noWrap w:val="0"/>
            <w:vAlign w:val="center"/>
          </w:tcPr>
          <w:p w14:paraId="693067E7">
            <w:pPr>
              <w:pageBreakBefore w:val="0"/>
              <w:overflowPunct/>
              <w:topLinePunct w:val="0"/>
              <w:bidi w:val="0"/>
              <w:snapToGrid/>
              <w:spacing w:line="360" w:lineRule="auto"/>
              <w:ind w:left="0" w:right="0" w:rightChars="0"/>
              <w:jc w:val="center"/>
              <w:rPr>
                <w:rFonts w:hint="eastAsia" w:ascii="楷体" w:hAnsi="楷体" w:eastAsia="楷体" w:cs="楷体"/>
                <w:b w:val="0"/>
                <w:bCs/>
                <w:sz w:val="21"/>
                <w:szCs w:val="21"/>
                <w:highlight w:val="none"/>
                <w:lang w:val="en-US" w:eastAsia="zh-CN"/>
              </w:rPr>
            </w:pPr>
            <w:r>
              <w:rPr>
                <w:rFonts w:hint="eastAsia" w:ascii="楷体" w:hAnsi="楷体" w:eastAsia="楷体" w:cs="楷体"/>
                <w:b w:val="0"/>
                <w:bCs/>
                <w:sz w:val="21"/>
                <w:szCs w:val="21"/>
                <w:highlight w:val="none"/>
                <w:lang w:val="en-US" w:eastAsia="zh-CN"/>
              </w:rPr>
              <w:t>家用燃气灶</w:t>
            </w:r>
          </w:p>
        </w:tc>
        <w:tc>
          <w:tcPr>
            <w:tcW w:w="2431" w:type="dxa"/>
            <w:noWrap w:val="0"/>
            <w:vAlign w:val="center"/>
          </w:tcPr>
          <w:p w14:paraId="72187261">
            <w:pPr>
              <w:pageBreakBefore w:val="0"/>
              <w:overflowPunct/>
              <w:topLinePunct w:val="0"/>
              <w:bidi w:val="0"/>
              <w:snapToGrid/>
              <w:spacing w:line="360" w:lineRule="auto"/>
              <w:ind w:left="0" w:right="0" w:rightChars="0"/>
              <w:jc w:val="left"/>
              <w:rPr>
                <w:rFonts w:hint="eastAsia" w:ascii="楷体" w:hAnsi="楷体" w:eastAsia="楷体" w:cs="楷体"/>
                <w:bCs/>
                <w:sz w:val="21"/>
                <w:szCs w:val="21"/>
                <w:highlight w:val="none"/>
                <w:lang w:val="en-US" w:eastAsia="zh-CN"/>
              </w:rPr>
            </w:pPr>
            <w:r>
              <w:rPr>
                <w:rFonts w:hint="eastAsia" w:ascii="楷体" w:hAnsi="楷体" w:eastAsia="楷体" w:cs="楷体"/>
                <w:bCs/>
                <w:sz w:val="21"/>
                <w:szCs w:val="21"/>
                <w:highlight w:val="none"/>
                <w:lang w:val="en-US" w:eastAsia="zh-CN"/>
              </w:rPr>
              <w:t>GB 16410-2020</w:t>
            </w:r>
          </w:p>
          <w:p w14:paraId="107AE9AE">
            <w:pPr>
              <w:pageBreakBefore w:val="0"/>
              <w:overflowPunct/>
              <w:topLinePunct w:val="0"/>
              <w:bidi w:val="0"/>
              <w:snapToGrid/>
              <w:spacing w:line="360" w:lineRule="auto"/>
              <w:ind w:left="0" w:right="0" w:rightChars="0"/>
              <w:jc w:val="left"/>
              <w:rPr>
                <w:rFonts w:hint="eastAsia" w:ascii="楷体" w:hAnsi="楷体" w:eastAsia="楷体" w:cs="楷体"/>
                <w:b w:val="0"/>
                <w:bCs/>
                <w:sz w:val="21"/>
                <w:szCs w:val="21"/>
                <w:highlight w:val="none"/>
                <w:lang w:val="en-US" w:eastAsia="zh-CN"/>
              </w:rPr>
            </w:pPr>
            <w:r>
              <w:rPr>
                <w:rFonts w:hint="eastAsia" w:ascii="楷体" w:hAnsi="楷体" w:eastAsia="楷体" w:cs="楷体"/>
                <w:bCs/>
                <w:sz w:val="21"/>
                <w:szCs w:val="21"/>
                <w:highlight w:val="none"/>
                <w:lang w:val="en-US" w:eastAsia="zh-CN"/>
              </w:rPr>
              <w:t>GB 30720—2014</w:t>
            </w:r>
            <w:r>
              <w:rPr>
                <w:rFonts w:hint="eastAsia" w:ascii="楷体" w:hAnsi="楷体" w:eastAsia="楷体" w:cs="楷体"/>
                <w:color w:val="auto"/>
                <w:sz w:val="21"/>
                <w:szCs w:val="21"/>
                <w:highlight w:val="none"/>
                <w:lang w:eastAsia="zh-CN"/>
              </w:rPr>
              <w:t>等</w:t>
            </w:r>
            <w:r>
              <w:rPr>
                <w:rFonts w:hint="eastAsia" w:ascii="楷体" w:hAnsi="楷体" w:eastAsia="楷体" w:cs="楷体"/>
                <w:color w:val="auto"/>
                <w:sz w:val="21"/>
                <w:szCs w:val="21"/>
                <w:highlight w:val="none"/>
              </w:rPr>
              <w:t>现行有效的企业标准、团体标准、地方标准及产品明示质量要求</w:t>
            </w:r>
          </w:p>
        </w:tc>
        <w:tc>
          <w:tcPr>
            <w:tcW w:w="4451" w:type="dxa"/>
            <w:noWrap w:val="0"/>
            <w:vAlign w:val="top"/>
          </w:tcPr>
          <w:p w14:paraId="6EC3B511">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left"/>
              <w:textAlignment w:val="auto"/>
              <w:rPr>
                <w:rFonts w:hint="eastAsia" w:ascii="楷体" w:hAnsi="楷体" w:eastAsia="楷体" w:cs="楷体"/>
                <w:bCs/>
                <w:color w:val="auto"/>
                <w:sz w:val="21"/>
                <w:szCs w:val="21"/>
                <w:highlight w:val="none"/>
                <w:lang w:eastAsia="zh-CN"/>
              </w:rPr>
            </w:pPr>
            <w:r>
              <w:rPr>
                <w:rFonts w:hint="eastAsia" w:ascii="楷体" w:hAnsi="楷体" w:eastAsia="楷体" w:cs="楷体"/>
                <w:bCs/>
                <w:sz w:val="21"/>
                <w:szCs w:val="21"/>
                <w:highlight w:val="none"/>
                <w:lang w:val="en-US" w:eastAsia="zh-CN"/>
              </w:rPr>
              <w:t>气密性</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sz w:val="21"/>
                <w:szCs w:val="21"/>
                <w:highlight w:val="none"/>
                <w:lang w:val="en-US" w:eastAsia="zh-CN"/>
              </w:rPr>
              <w:t>热负荷</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sz w:val="21"/>
                <w:szCs w:val="21"/>
                <w:highlight w:val="none"/>
                <w:lang w:val="en-US" w:eastAsia="zh-CN"/>
              </w:rPr>
              <w:t>燃烧工况（离焰、熄火、回火、燃烧噪声、熄火噪声、干烟气中CO浓度（α=1体积分数））</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sz w:val="21"/>
                <w:szCs w:val="21"/>
                <w:highlight w:val="none"/>
                <w:lang w:val="en-US" w:eastAsia="zh-CN"/>
              </w:rPr>
              <w:t>、温升</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sz w:val="21"/>
                <w:szCs w:val="21"/>
                <w:highlight w:val="none"/>
                <w:lang w:val="en-US" w:eastAsia="zh-CN"/>
              </w:rPr>
              <w:t>熄火保护装置</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sz w:val="21"/>
                <w:szCs w:val="21"/>
                <w:highlight w:val="none"/>
                <w:lang w:val="en-US" w:eastAsia="zh-CN"/>
              </w:rPr>
              <w:t>燃气导管</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sz w:val="21"/>
                <w:szCs w:val="21"/>
                <w:highlight w:val="none"/>
                <w:lang w:val="en-US" w:eastAsia="zh-CN"/>
              </w:rPr>
              <w:t>耐热冲击</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sz w:val="21"/>
                <w:szCs w:val="21"/>
                <w:highlight w:val="none"/>
                <w:lang w:val="en-US" w:eastAsia="zh-CN"/>
              </w:rPr>
              <w:t>耐重力冲击</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sz w:val="21"/>
                <w:szCs w:val="21"/>
                <w:highlight w:val="none"/>
                <w:lang w:val="en-US" w:eastAsia="zh-CN"/>
              </w:rPr>
              <w:t>热效率</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u w:val="none"/>
                <w:lang w:val="en-US" w:eastAsia="zh-CN"/>
              </w:rPr>
              <w:t>元</w:t>
            </w:r>
            <w:r>
              <w:rPr>
                <w:rFonts w:hint="eastAsia" w:ascii="楷体" w:hAnsi="楷体" w:eastAsia="楷体" w:cs="楷体"/>
                <w:b w:val="0"/>
                <w:bCs/>
                <w:sz w:val="21"/>
                <w:szCs w:val="21"/>
                <w:highlight w:val="none"/>
                <w:lang w:val="en-US" w:eastAsia="zh-CN"/>
              </w:rPr>
              <w:t>。</w:t>
            </w:r>
          </w:p>
        </w:tc>
        <w:tc>
          <w:tcPr>
            <w:tcW w:w="1672" w:type="dxa"/>
            <w:noWrap w:val="0"/>
            <w:vAlign w:val="center"/>
          </w:tcPr>
          <w:p w14:paraId="38848FFA">
            <w:pPr>
              <w:keepNext w:val="0"/>
              <w:keepLines w:val="0"/>
              <w:pageBreakBefore w:val="0"/>
              <w:widowControl w:val="0"/>
              <w:kinsoku/>
              <w:wordWrap/>
              <w:overflowPunct/>
              <w:topLinePunct w:val="0"/>
              <w:autoSpaceDE/>
              <w:autoSpaceDN/>
              <w:bidi w:val="0"/>
              <w:adjustRightInd/>
              <w:snapToGrid/>
              <w:spacing w:line="360" w:lineRule="auto"/>
              <w:ind w:left="0" w:right="0" w:rightChars="0"/>
              <w:jc w:val="right"/>
              <w:textAlignment w:val="auto"/>
              <w:rPr>
                <w:rFonts w:hint="eastAsia" w:ascii="楷体" w:hAnsi="楷体" w:eastAsia="楷体" w:cs="楷体"/>
                <w:b w:val="0"/>
                <w:bCs/>
                <w:sz w:val="21"/>
                <w:szCs w:val="21"/>
                <w:highlight w:val="none"/>
                <w:lang w:val="en-US" w:eastAsia="zh-CN"/>
              </w:rPr>
            </w:pPr>
            <w:r>
              <w:rPr>
                <w:rFonts w:hint="eastAsia" w:ascii="楷体" w:hAnsi="楷体" w:eastAsia="楷体" w:cs="楷体"/>
                <w:b w:val="0"/>
                <w:bCs/>
                <w:sz w:val="21"/>
                <w:szCs w:val="21"/>
                <w:highlight w:val="none"/>
                <w:lang w:val="en-US" w:eastAsia="zh-CN"/>
              </w:rPr>
              <w:t>元</w:t>
            </w:r>
          </w:p>
        </w:tc>
      </w:tr>
      <w:tr w14:paraId="110A6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3" w:hRule="atLeast"/>
        </w:trPr>
        <w:tc>
          <w:tcPr>
            <w:tcW w:w="1204" w:type="dxa"/>
            <w:shd w:val="clear" w:color="auto" w:fill="auto"/>
            <w:noWrap w:val="0"/>
            <w:vAlign w:val="center"/>
          </w:tcPr>
          <w:p w14:paraId="723A7958">
            <w:pPr>
              <w:pageBreakBefore w:val="0"/>
              <w:overflowPunct/>
              <w:topLinePunct w:val="0"/>
              <w:bidi w:val="0"/>
              <w:snapToGrid/>
              <w:spacing w:line="360" w:lineRule="auto"/>
              <w:ind w:left="0" w:right="0" w:rightChars="0"/>
              <w:jc w:val="center"/>
              <w:rPr>
                <w:rFonts w:hint="eastAsia" w:ascii="楷体" w:hAnsi="楷体" w:eastAsia="楷体" w:cs="楷体"/>
                <w:b w:val="0"/>
                <w:bCs/>
                <w:sz w:val="21"/>
                <w:szCs w:val="21"/>
                <w:highlight w:val="none"/>
                <w:lang w:val="en-US" w:eastAsia="zh-CN"/>
              </w:rPr>
            </w:pPr>
            <w:r>
              <w:rPr>
                <w:rFonts w:hint="eastAsia" w:ascii="楷体" w:hAnsi="楷体" w:eastAsia="楷体" w:cs="楷体"/>
                <w:b w:val="0"/>
                <w:bCs/>
                <w:sz w:val="21"/>
                <w:szCs w:val="21"/>
                <w:highlight w:val="none"/>
                <w:lang w:val="en-US" w:eastAsia="zh-CN"/>
              </w:rPr>
              <w:t>燃气采暖热水炉</w:t>
            </w:r>
          </w:p>
        </w:tc>
        <w:tc>
          <w:tcPr>
            <w:tcW w:w="2431" w:type="dxa"/>
            <w:shd w:val="clear" w:color="auto" w:fill="auto"/>
            <w:noWrap w:val="0"/>
            <w:vAlign w:val="center"/>
          </w:tcPr>
          <w:p w14:paraId="2F8D81A2">
            <w:pPr>
              <w:pageBreakBefore w:val="0"/>
              <w:overflowPunct/>
              <w:topLinePunct w:val="0"/>
              <w:bidi w:val="0"/>
              <w:snapToGrid/>
              <w:spacing w:line="360" w:lineRule="auto"/>
              <w:ind w:left="0" w:right="0" w:rightChars="0"/>
              <w:jc w:val="center"/>
              <w:rPr>
                <w:rFonts w:hint="eastAsia" w:ascii="楷体" w:hAnsi="楷体" w:eastAsia="楷体" w:cs="楷体"/>
                <w:b w:val="0"/>
                <w:bCs/>
                <w:sz w:val="21"/>
                <w:szCs w:val="21"/>
                <w:highlight w:val="none"/>
                <w:lang w:val="en-US" w:eastAsia="zh-CN"/>
              </w:rPr>
            </w:pPr>
            <w:r>
              <w:rPr>
                <w:rFonts w:hint="eastAsia" w:ascii="楷体" w:hAnsi="楷体" w:eastAsia="楷体" w:cs="楷体"/>
                <w:b w:val="0"/>
                <w:bCs/>
                <w:sz w:val="21"/>
                <w:szCs w:val="21"/>
                <w:highlight w:val="none"/>
                <w:lang w:val="en-US" w:eastAsia="zh-CN"/>
              </w:rPr>
              <w:t>GB 25034-2020等现行有效的企业标准、团体标准、地方标准及产品明示质量要求</w:t>
            </w:r>
          </w:p>
        </w:tc>
        <w:tc>
          <w:tcPr>
            <w:tcW w:w="4451" w:type="dxa"/>
            <w:noWrap w:val="0"/>
            <w:vAlign w:val="top"/>
          </w:tcPr>
          <w:p w14:paraId="449CA38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left"/>
              <w:textAlignment w:val="auto"/>
              <w:rPr>
                <w:rFonts w:hint="eastAsia" w:ascii="楷体" w:hAnsi="楷体" w:eastAsia="楷体" w:cs="楷体"/>
                <w:bCs/>
                <w:color w:val="auto"/>
                <w:sz w:val="21"/>
                <w:szCs w:val="21"/>
                <w:highlight w:val="none"/>
                <w:lang w:eastAsia="zh-CN"/>
              </w:rPr>
            </w:pPr>
            <w:r>
              <w:rPr>
                <w:rFonts w:hint="eastAsia" w:ascii="楷体" w:hAnsi="楷体" w:eastAsia="楷体" w:cs="楷体"/>
                <w:bCs/>
                <w:sz w:val="21"/>
                <w:szCs w:val="21"/>
                <w:highlight w:val="none"/>
                <w:lang w:val="en-US" w:eastAsia="zh-CN"/>
              </w:rPr>
              <w:t>燃气系统密封性</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sz w:val="21"/>
                <w:szCs w:val="21"/>
                <w:highlight w:val="none"/>
                <w:lang w:val="en-US" w:eastAsia="zh-CN"/>
              </w:rPr>
              <w:t>电源运行安全性</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sz w:val="21"/>
                <w:szCs w:val="21"/>
                <w:highlight w:val="none"/>
                <w:lang w:val="en-US" w:eastAsia="zh-CN"/>
              </w:rPr>
              <w:t>采暖额定热输出</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sz w:val="21"/>
                <w:szCs w:val="21"/>
                <w:highlight w:val="none"/>
                <w:lang w:val="en-US" w:eastAsia="zh-CN"/>
              </w:rPr>
              <w:t>、热效率</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sz w:val="21"/>
                <w:szCs w:val="21"/>
                <w:highlight w:val="none"/>
                <w:lang w:val="en-US" w:eastAsia="zh-CN"/>
              </w:rPr>
              <w:t>、额定热负荷时CO含量</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sz w:val="21"/>
                <w:szCs w:val="21"/>
                <w:highlight w:val="none"/>
                <w:lang w:val="en-US" w:eastAsia="zh-CN"/>
              </w:rPr>
              <w:t>工作温度下的电气强度</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sz w:val="21"/>
                <w:szCs w:val="21"/>
                <w:highlight w:val="none"/>
                <w:lang w:val="en-US" w:eastAsia="zh-CN"/>
              </w:rPr>
              <w:t>工作温度下的泄漏电流</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sz w:val="21"/>
                <w:szCs w:val="21"/>
                <w:highlight w:val="none"/>
                <w:lang w:val="en-US" w:eastAsia="zh-CN"/>
              </w:rPr>
              <w:t>接地措施（含低电阻值）</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u w:val="none"/>
                <w:lang w:val="en-US" w:eastAsia="zh-CN"/>
              </w:rPr>
              <w:t>元</w:t>
            </w:r>
            <w:r>
              <w:rPr>
                <w:rFonts w:hint="eastAsia" w:ascii="楷体" w:hAnsi="楷体" w:eastAsia="楷体" w:cs="楷体"/>
                <w:b w:val="0"/>
                <w:bCs/>
                <w:sz w:val="21"/>
                <w:szCs w:val="21"/>
                <w:highlight w:val="none"/>
                <w:lang w:val="en-US" w:eastAsia="zh-CN"/>
              </w:rPr>
              <w:t>。</w:t>
            </w:r>
          </w:p>
        </w:tc>
        <w:tc>
          <w:tcPr>
            <w:tcW w:w="1672" w:type="dxa"/>
            <w:noWrap w:val="0"/>
            <w:vAlign w:val="center"/>
          </w:tcPr>
          <w:p w14:paraId="65F57BFF">
            <w:pPr>
              <w:keepNext w:val="0"/>
              <w:keepLines w:val="0"/>
              <w:pageBreakBefore w:val="0"/>
              <w:widowControl w:val="0"/>
              <w:kinsoku/>
              <w:wordWrap/>
              <w:overflowPunct/>
              <w:topLinePunct w:val="0"/>
              <w:autoSpaceDE/>
              <w:autoSpaceDN/>
              <w:bidi w:val="0"/>
              <w:adjustRightInd/>
              <w:snapToGrid/>
              <w:spacing w:line="360" w:lineRule="auto"/>
              <w:ind w:left="0" w:right="0" w:rightChars="0"/>
              <w:jc w:val="right"/>
              <w:textAlignment w:val="auto"/>
              <w:rPr>
                <w:rFonts w:hint="eastAsia" w:ascii="楷体" w:hAnsi="楷体" w:eastAsia="楷体" w:cs="楷体"/>
                <w:b w:val="0"/>
                <w:bCs/>
                <w:sz w:val="21"/>
                <w:szCs w:val="21"/>
                <w:highlight w:val="none"/>
                <w:lang w:val="en-US" w:eastAsia="zh-CN"/>
              </w:rPr>
            </w:pPr>
            <w:r>
              <w:rPr>
                <w:rFonts w:hint="eastAsia" w:ascii="楷体" w:hAnsi="楷体" w:eastAsia="楷体" w:cs="楷体"/>
                <w:b w:val="0"/>
                <w:bCs/>
                <w:sz w:val="21"/>
                <w:szCs w:val="21"/>
                <w:highlight w:val="none"/>
                <w:lang w:val="en-US" w:eastAsia="zh-CN"/>
              </w:rPr>
              <w:t>元</w:t>
            </w:r>
          </w:p>
        </w:tc>
      </w:tr>
      <w:tr w14:paraId="49AB3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1204" w:type="dxa"/>
            <w:noWrap w:val="0"/>
            <w:vAlign w:val="center"/>
          </w:tcPr>
          <w:p w14:paraId="4206A180">
            <w:pPr>
              <w:pageBreakBefore w:val="0"/>
              <w:overflowPunct/>
              <w:topLinePunct w:val="0"/>
              <w:bidi w:val="0"/>
              <w:snapToGrid/>
              <w:spacing w:line="360" w:lineRule="auto"/>
              <w:ind w:left="0" w:right="0" w:rightChars="0"/>
              <w:jc w:val="center"/>
              <w:rPr>
                <w:rFonts w:hint="eastAsia" w:ascii="楷体" w:hAnsi="楷体" w:eastAsia="楷体" w:cs="楷体"/>
                <w:b w:val="0"/>
                <w:bCs/>
                <w:sz w:val="21"/>
                <w:szCs w:val="21"/>
                <w:highlight w:val="none"/>
                <w:lang w:val="en-US" w:eastAsia="zh-CN"/>
              </w:rPr>
            </w:pPr>
            <w:r>
              <w:rPr>
                <w:rFonts w:hint="eastAsia" w:ascii="楷体" w:hAnsi="楷体" w:eastAsia="楷体" w:cs="楷体"/>
                <w:b w:val="0"/>
                <w:bCs/>
                <w:sz w:val="21"/>
                <w:szCs w:val="21"/>
                <w:highlight w:val="none"/>
                <w:lang w:val="en-US" w:eastAsia="zh-CN"/>
              </w:rPr>
              <w:t>瓶装液化石油气调压器</w:t>
            </w:r>
          </w:p>
        </w:tc>
        <w:tc>
          <w:tcPr>
            <w:tcW w:w="2431" w:type="dxa"/>
            <w:noWrap w:val="0"/>
            <w:vAlign w:val="center"/>
          </w:tcPr>
          <w:p w14:paraId="654A75A8">
            <w:pPr>
              <w:pageBreakBefore w:val="0"/>
              <w:overflowPunct/>
              <w:topLinePunct w:val="0"/>
              <w:bidi w:val="0"/>
              <w:snapToGrid/>
              <w:spacing w:line="360" w:lineRule="auto"/>
              <w:ind w:left="0" w:right="0" w:rightChars="0"/>
              <w:jc w:val="left"/>
              <w:rPr>
                <w:rFonts w:hint="eastAsia" w:ascii="楷体" w:hAnsi="楷体" w:eastAsia="楷体" w:cs="楷体"/>
                <w:b w:val="0"/>
                <w:bCs/>
                <w:sz w:val="21"/>
                <w:szCs w:val="21"/>
                <w:highlight w:val="none"/>
                <w:lang w:val="en-US" w:eastAsia="zh-CN"/>
              </w:rPr>
            </w:pPr>
            <w:r>
              <w:rPr>
                <w:rFonts w:hint="eastAsia" w:ascii="楷体" w:hAnsi="楷体" w:eastAsia="楷体" w:cs="楷体"/>
                <w:bCs/>
                <w:sz w:val="21"/>
                <w:szCs w:val="21"/>
                <w:highlight w:val="none"/>
                <w:lang w:val="en-US" w:eastAsia="zh-CN"/>
              </w:rPr>
              <w:t>GB 35844-2018</w:t>
            </w:r>
            <w:r>
              <w:rPr>
                <w:rFonts w:hint="eastAsia" w:ascii="楷体" w:hAnsi="楷体" w:eastAsia="楷体" w:cs="楷体"/>
                <w:color w:val="auto"/>
                <w:sz w:val="21"/>
                <w:szCs w:val="21"/>
                <w:highlight w:val="none"/>
                <w:lang w:eastAsia="zh-CN"/>
              </w:rPr>
              <w:t>等</w:t>
            </w:r>
            <w:r>
              <w:rPr>
                <w:rFonts w:hint="eastAsia" w:ascii="楷体" w:hAnsi="楷体" w:eastAsia="楷体" w:cs="楷体"/>
                <w:color w:val="auto"/>
                <w:sz w:val="21"/>
                <w:szCs w:val="21"/>
                <w:highlight w:val="none"/>
              </w:rPr>
              <w:t>现行有效的企业标准、团体标准、地方标准及产品明示质量要求</w:t>
            </w:r>
          </w:p>
        </w:tc>
        <w:tc>
          <w:tcPr>
            <w:tcW w:w="4451" w:type="dxa"/>
            <w:noWrap w:val="0"/>
            <w:vAlign w:val="top"/>
          </w:tcPr>
          <w:p w14:paraId="248C9B99">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left"/>
              <w:textAlignment w:val="auto"/>
              <w:rPr>
                <w:rFonts w:hint="eastAsia" w:ascii="楷体" w:hAnsi="楷体" w:eastAsia="楷体" w:cs="楷体"/>
                <w:bCs/>
                <w:color w:val="auto"/>
                <w:sz w:val="21"/>
                <w:szCs w:val="21"/>
                <w:highlight w:val="none"/>
                <w:lang w:eastAsia="zh-CN"/>
              </w:rPr>
            </w:pPr>
            <w:r>
              <w:rPr>
                <w:rFonts w:hint="eastAsia" w:ascii="楷体" w:hAnsi="楷体" w:eastAsia="楷体" w:cs="楷体"/>
                <w:bCs/>
                <w:sz w:val="21"/>
                <w:szCs w:val="21"/>
                <w:highlight w:val="none"/>
                <w:lang w:val="en-US" w:eastAsia="zh-CN"/>
              </w:rPr>
              <w:t>结构</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sz w:val="21"/>
                <w:szCs w:val="21"/>
                <w:highlight w:val="none"/>
                <w:lang w:val="en-US" w:eastAsia="zh-CN"/>
              </w:rPr>
              <w:t>气密性</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sz w:val="21"/>
                <w:szCs w:val="21"/>
                <w:highlight w:val="none"/>
                <w:lang w:val="en-US" w:eastAsia="zh-CN"/>
              </w:rPr>
              <w:t>调压静特性</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sz w:val="21"/>
                <w:szCs w:val="21"/>
                <w:highlight w:val="none"/>
                <w:lang w:val="en-US" w:eastAsia="zh-CN"/>
              </w:rPr>
              <w:t>、耐冲击性</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sz w:val="21"/>
                <w:szCs w:val="21"/>
                <w:highlight w:val="none"/>
                <w:lang w:val="en-US" w:eastAsia="zh-CN"/>
              </w:rPr>
              <w:t>、连接接头机械强度</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sz w:val="21"/>
                <w:szCs w:val="21"/>
                <w:highlight w:val="none"/>
                <w:lang w:val="en-US" w:eastAsia="zh-CN"/>
              </w:rPr>
              <w:t>材料</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u w:val="none"/>
                <w:lang w:val="en-US" w:eastAsia="zh-CN"/>
              </w:rPr>
              <w:t>元</w:t>
            </w:r>
            <w:r>
              <w:rPr>
                <w:rFonts w:hint="eastAsia" w:ascii="楷体" w:hAnsi="楷体" w:eastAsia="楷体" w:cs="楷体"/>
                <w:b w:val="0"/>
                <w:bCs/>
                <w:sz w:val="21"/>
                <w:szCs w:val="21"/>
                <w:highlight w:val="none"/>
                <w:lang w:val="en-US" w:eastAsia="zh-CN"/>
              </w:rPr>
              <w:t>。</w:t>
            </w:r>
          </w:p>
        </w:tc>
        <w:tc>
          <w:tcPr>
            <w:tcW w:w="1672" w:type="dxa"/>
            <w:noWrap w:val="0"/>
            <w:vAlign w:val="center"/>
          </w:tcPr>
          <w:p w14:paraId="58D227F1">
            <w:pPr>
              <w:keepNext w:val="0"/>
              <w:keepLines w:val="0"/>
              <w:pageBreakBefore w:val="0"/>
              <w:widowControl w:val="0"/>
              <w:kinsoku/>
              <w:wordWrap/>
              <w:overflowPunct/>
              <w:topLinePunct w:val="0"/>
              <w:autoSpaceDE/>
              <w:autoSpaceDN/>
              <w:bidi w:val="0"/>
              <w:adjustRightInd/>
              <w:snapToGrid/>
              <w:spacing w:line="360" w:lineRule="auto"/>
              <w:ind w:left="0" w:right="0" w:rightChars="0"/>
              <w:jc w:val="right"/>
              <w:textAlignment w:val="auto"/>
              <w:rPr>
                <w:rFonts w:hint="eastAsia" w:ascii="楷体" w:hAnsi="楷体" w:eastAsia="楷体" w:cs="楷体"/>
                <w:b w:val="0"/>
                <w:bCs/>
                <w:sz w:val="21"/>
                <w:szCs w:val="21"/>
                <w:highlight w:val="none"/>
                <w:lang w:val="en-US" w:eastAsia="zh-CN"/>
              </w:rPr>
            </w:pPr>
            <w:r>
              <w:rPr>
                <w:rFonts w:hint="eastAsia" w:ascii="楷体" w:hAnsi="楷体" w:eastAsia="楷体" w:cs="楷体"/>
                <w:b w:val="0"/>
                <w:bCs/>
                <w:sz w:val="21"/>
                <w:szCs w:val="21"/>
                <w:highlight w:val="none"/>
                <w:lang w:val="en-US" w:eastAsia="zh-CN"/>
              </w:rPr>
              <w:t>元</w:t>
            </w:r>
          </w:p>
        </w:tc>
      </w:tr>
      <w:tr w14:paraId="6B64B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2" w:hRule="atLeast"/>
        </w:trPr>
        <w:tc>
          <w:tcPr>
            <w:tcW w:w="1204" w:type="dxa"/>
            <w:noWrap w:val="0"/>
            <w:vAlign w:val="center"/>
          </w:tcPr>
          <w:p w14:paraId="6D926F27">
            <w:pPr>
              <w:pageBreakBefore w:val="0"/>
              <w:overflowPunct/>
              <w:topLinePunct w:val="0"/>
              <w:bidi w:val="0"/>
              <w:snapToGrid/>
              <w:spacing w:line="360" w:lineRule="auto"/>
              <w:ind w:left="0" w:right="0" w:rightChars="0"/>
              <w:jc w:val="center"/>
              <w:rPr>
                <w:rFonts w:hint="eastAsia" w:ascii="楷体" w:hAnsi="楷体" w:eastAsia="楷体" w:cs="楷体"/>
                <w:b w:val="0"/>
                <w:bCs/>
                <w:sz w:val="21"/>
                <w:szCs w:val="21"/>
                <w:highlight w:val="none"/>
                <w:lang w:val="en-US" w:eastAsia="zh-CN"/>
              </w:rPr>
            </w:pPr>
            <w:r>
              <w:rPr>
                <w:rFonts w:hint="eastAsia" w:ascii="楷体" w:hAnsi="楷体" w:eastAsia="楷体" w:cs="楷体"/>
                <w:b w:val="0"/>
                <w:bCs/>
                <w:sz w:val="21"/>
                <w:szCs w:val="21"/>
                <w:highlight w:val="none"/>
                <w:lang w:val="en-US" w:eastAsia="zh-CN"/>
              </w:rPr>
              <w:t>燃气泄露报警器</w:t>
            </w:r>
          </w:p>
        </w:tc>
        <w:tc>
          <w:tcPr>
            <w:tcW w:w="2431" w:type="dxa"/>
            <w:noWrap w:val="0"/>
            <w:vAlign w:val="center"/>
          </w:tcPr>
          <w:p w14:paraId="1DA20A32">
            <w:pPr>
              <w:pageBreakBefore w:val="0"/>
              <w:overflowPunct/>
              <w:topLinePunct w:val="0"/>
              <w:bidi w:val="0"/>
              <w:snapToGrid/>
              <w:spacing w:line="360" w:lineRule="auto"/>
              <w:ind w:left="0" w:right="0" w:rightChars="0"/>
              <w:jc w:val="left"/>
              <w:rPr>
                <w:rFonts w:hint="eastAsia" w:ascii="楷体" w:hAnsi="楷体" w:eastAsia="楷体" w:cs="楷体"/>
                <w:bCs/>
                <w:sz w:val="21"/>
                <w:szCs w:val="21"/>
                <w:highlight w:val="none"/>
                <w:lang w:val="en-US" w:eastAsia="zh-CN"/>
              </w:rPr>
            </w:pPr>
            <w:r>
              <w:rPr>
                <w:rFonts w:hint="eastAsia" w:ascii="楷体" w:hAnsi="楷体" w:eastAsia="楷体" w:cs="楷体"/>
                <w:bCs/>
                <w:sz w:val="21"/>
                <w:szCs w:val="21"/>
                <w:highlight w:val="none"/>
                <w:lang w:val="en-US" w:eastAsia="zh-CN"/>
              </w:rPr>
              <w:t>GB 15322.1-2019、</w:t>
            </w:r>
          </w:p>
          <w:p w14:paraId="680C5435">
            <w:pPr>
              <w:pageBreakBefore w:val="0"/>
              <w:overflowPunct/>
              <w:topLinePunct w:val="0"/>
              <w:bidi w:val="0"/>
              <w:snapToGrid/>
              <w:spacing w:line="360" w:lineRule="auto"/>
              <w:ind w:left="0" w:right="0" w:rightChars="0"/>
              <w:jc w:val="left"/>
              <w:rPr>
                <w:rFonts w:hint="eastAsia" w:ascii="楷体" w:hAnsi="楷体" w:eastAsia="楷体" w:cs="楷体"/>
                <w:bCs/>
                <w:sz w:val="21"/>
                <w:szCs w:val="21"/>
                <w:highlight w:val="none"/>
                <w:lang w:val="en-US" w:eastAsia="zh-CN"/>
              </w:rPr>
            </w:pPr>
            <w:r>
              <w:rPr>
                <w:rFonts w:hint="eastAsia" w:ascii="楷体" w:hAnsi="楷体" w:eastAsia="楷体" w:cs="楷体"/>
                <w:bCs/>
                <w:sz w:val="21"/>
                <w:szCs w:val="21"/>
                <w:highlight w:val="none"/>
                <w:lang w:val="en-US" w:eastAsia="zh-CN"/>
              </w:rPr>
              <w:t>GB 15322.2-2019、</w:t>
            </w:r>
          </w:p>
          <w:p w14:paraId="477E09C1">
            <w:pPr>
              <w:pageBreakBefore w:val="0"/>
              <w:overflowPunct/>
              <w:topLinePunct w:val="0"/>
              <w:bidi w:val="0"/>
              <w:snapToGrid/>
              <w:spacing w:line="360" w:lineRule="auto"/>
              <w:ind w:left="0" w:right="0" w:rightChars="0"/>
              <w:jc w:val="left"/>
              <w:rPr>
                <w:rFonts w:hint="eastAsia" w:ascii="楷体" w:hAnsi="楷体" w:eastAsia="楷体" w:cs="楷体"/>
                <w:b w:val="0"/>
                <w:bCs/>
                <w:sz w:val="21"/>
                <w:szCs w:val="21"/>
                <w:highlight w:val="none"/>
                <w:lang w:val="en-US" w:eastAsia="zh-CN"/>
              </w:rPr>
            </w:pPr>
            <w:r>
              <w:rPr>
                <w:rFonts w:hint="eastAsia" w:ascii="楷体" w:hAnsi="楷体" w:eastAsia="楷体" w:cs="楷体"/>
                <w:bCs/>
                <w:sz w:val="21"/>
                <w:szCs w:val="21"/>
                <w:highlight w:val="none"/>
                <w:lang w:val="en-US" w:eastAsia="zh-CN"/>
              </w:rPr>
              <w:t>GB 15322.3-2019</w:t>
            </w:r>
            <w:r>
              <w:rPr>
                <w:rFonts w:hint="eastAsia" w:ascii="楷体" w:hAnsi="楷体" w:eastAsia="楷体" w:cs="楷体"/>
                <w:color w:val="auto"/>
                <w:sz w:val="21"/>
                <w:szCs w:val="21"/>
                <w:highlight w:val="none"/>
                <w:lang w:eastAsia="zh-CN"/>
              </w:rPr>
              <w:t>等</w:t>
            </w:r>
            <w:r>
              <w:rPr>
                <w:rFonts w:hint="eastAsia" w:ascii="楷体" w:hAnsi="楷体" w:eastAsia="楷体" w:cs="楷体"/>
                <w:color w:val="auto"/>
                <w:sz w:val="21"/>
                <w:szCs w:val="21"/>
                <w:highlight w:val="none"/>
              </w:rPr>
              <w:t>现行有效的企业标准、团体标准、地方标准及产品明示质量要求</w:t>
            </w:r>
          </w:p>
        </w:tc>
        <w:tc>
          <w:tcPr>
            <w:tcW w:w="4451" w:type="dxa"/>
            <w:noWrap w:val="0"/>
            <w:vAlign w:val="top"/>
          </w:tcPr>
          <w:p w14:paraId="75922E55">
            <w:pPr>
              <w:keepNext w:val="0"/>
              <w:keepLines w:val="0"/>
              <w:pageBreakBefore w:val="0"/>
              <w:widowControl w:val="0"/>
              <w:kinsoku/>
              <w:wordWrap/>
              <w:overflowPunct/>
              <w:topLinePunct w:val="0"/>
              <w:autoSpaceDE/>
              <w:autoSpaceDN/>
              <w:bidi w:val="0"/>
              <w:adjustRightInd/>
              <w:snapToGrid/>
              <w:spacing w:line="360" w:lineRule="auto"/>
              <w:ind w:left="0" w:right="0" w:rightChars="0"/>
              <w:jc w:val="left"/>
              <w:textAlignment w:val="auto"/>
              <w:rPr>
                <w:rFonts w:hint="eastAsia" w:ascii="楷体" w:hAnsi="楷体" w:eastAsia="楷体" w:cs="楷体"/>
                <w:bCs/>
                <w:sz w:val="21"/>
                <w:szCs w:val="21"/>
                <w:highlight w:val="none"/>
                <w:lang w:val="en-US" w:eastAsia="zh-CN"/>
              </w:rPr>
            </w:pPr>
            <w:r>
              <w:rPr>
                <w:rFonts w:hint="eastAsia" w:ascii="楷体" w:hAnsi="楷体" w:eastAsia="楷体" w:cs="楷体"/>
                <w:bCs/>
                <w:sz w:val="21"/>
                <w:szCs w:val="21"/>
                <w:highlight w:val="none"/>
                <w:lang w:val="en-US" w:eastAsia="zh-CN"/>
              </w:rPr>
              <w:t>工业及商业用途点型可燃气体探测器：</w:t>
            </w:r>
          </w:p>
          <w:p w14:paraId="7332E3A3">
            <w:pPr>
              <w:keepNext w:val="0"/>
              <w:keepLines w:val="0"/>
              <w:pageBreakBefore w:val="0"/>
              <w:widowControl w:val="0"/>
              <w:kinsoku/>
              <w:wordWrap/>
              <w:overflowPunct/>
              <w:topLinePunct w:val="0"/>
              <w:autoSpaceDE/>
              <w:autoSpaceDN/>
              <w:bidi w:val="0"/>
              <w:adjustRightInd/>
              <w:snapToGrid/>
              <w:spacing w:line="360" w:lineRule="auto"/>
              <w:ind w:left="0" w:right="0" w:rightChars="0"/>
              <w:jc w:val="left"/>
              <w:textAlignment w:val="auto"/>
              <w:rPr>
                <w:rFonts w:hint="eastAsia" w:ascii="楷体" w:hAnsi="楷体" w:eastAsia="楷体" w:cs="楷体"/>
                <w:b w:val="0"/>
                <w:bCs/>
                <w:sz w:val="21"/>
                <w:szCs w:val="21"/>
                <w:highlight w:val="none"/>
                <w:lang w:val="en-US" w:eastAsia="zh-CN"/>
              </w:rPr>
            </w:pPr>
            <w:r>
              <w:rPr>
                <w:rFonts w:hint="eastAsia" w:ascii="楷体" w:hAnsi="楷体" w:eastAsia="楷体" w:cs="楷体"/>
                <w:bCs/>
                <w:sz w:val="21"/>
                <w:szCs w:val="21"/>
                <w:highlight w:val="none"/>
                <w:lang w:val="en-US" w:eastAsia="zh-CN"/>
              </w:rPr>
              <w:t>标志</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sz w:val="21"/>
                <w:szCs w:val="21"/>
                <w:highlight w:val="none"/>
                <w:lang w:val="en-US" w:eastAsia="zh-CN"/>
              </w:rPr>
              <w:t>报警动作值</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sz w:val="21"/>
                <w:szCs w:val="21"/>
                <w:highlight w:val="none"/>
                <w:lang w:val="en-US" w:eastAsia="zh-CN"/>
              </w:rPr>
              <w:t>报警重复性</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sz w:val="21"/>
                <w:szCs w:val="21"/>
                <w:highlight w:val="none"/>
                <w:lang w:val="en-US" w:eastAsia="zh-CN"/>
              </w:rPr>
              <w:t>、跌落试验</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sz w:val="21"/>
                <w:szCs w:val="21"/>
                <w:highlight w:val="none"/>
                <w:lang w:val="en-US" w:eastAsia="zh-CN"/>
              </w:rPr>
              <w:t>、绝缘电阻</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sz w:val="21"/>
                <w:szCs w:val="21"/>
                <w:highlight w:val="none"/>
                <w:lang w:val="en-US" w:eastAsia="zh-CN"/>
              </w:rPr>
              <w:t>电气强度</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u w:val="none"/>
                <w:lang w:val="en-US" w:eastAsia="zh-CN"/>
              </w:rPr>
              <w:t>元；</w:t>
            </w:r>
            <w:r>
              <w:rPr>
                <w:rFonts w:hint="eastAsia" w:ascii="楷体" w:hAnsi="楷体" w:eastAsia="楷体" w:cs="楷体"/>
                <w:bCs/>
                <w:sz w:val="21"/>
                <w:szCs w:val="21"/>
                <w:highlight w:val="none"/>
                <w:lang w:val="en-US" w:eastAsia="zh-CN"/>
              </w:rPr>
              <w:t>方位试验</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u w:val="none"/>
                <w:lang w:val="en-US" w:eastAsia="zh-CN"/>
              </w:rPr>
              <w:t>元</w:t>
            </w:r>
            <w:r>
              <w:rPr>
                <w:rFonts w:hint="eastAsia" w:ascii="楷体" w:hAnsi="楷体" w:eastAsia="楷体" w:cs="楷体"/>
                <w:b w:val="0"/>
                <w:bCs/>
                <w:sz w:val="21"/>
                <w:szCs w:val="21"/>
                <w:highlight w:val="none"/>
                <w:lang w:val="en-US" w:eastAsia="zh-CN"/>
              </w:rPr>
              <w:t>。</w:t>
            </w:r>
          </w:p>
          <w:p w14:paraId="78ED9A8A">
            <w:pPr>
              <w:keepNext w:val="0"/>
              <w:keepLines w:val="0"/>
              <w:pageBreakBefore w:val="0"/>
              <w:widowControl w:val="0"/>
              <w:kinsoku/>
              <w:wordWrap/>
              <w:overflowPunct/>
              <w:topLinePunct w:val="0"/>
              <w:autoSpaceDE/>
              <w:autoSpaceDN/>
              <w:bidi w:val="0"/>
              <w:adjustRightInd/>
              <w:snapToGrid/>
              <w:spacing w:line="360" w:lineRule="auto"/>
              <w:ind w:left="0" w:right="0" w:rightChars="0"/>
              <w:jc w:val="left"/>
              <w:textAlignment w:val="auto"/>
              <w:rPr>
                <w:rFonts w:hint="eastAsia" w:ascii="楷体" w:hAnsi="楷体" w:eastAsia="楷体" w:cs="楷体"/>
                <w:bCs/>
                <w:sz w:val="21"/>
                <w:szCs w:val="21"/>
                <w:highlight w:val="none"/>
                <w:lang w:val="en-US" w:eastAsia="zh-CN"/>
              </w:rPr>
            </w:pPr>
            <w:r>
              <w:rPr>
                <w:rFonts w:hint="eastAsia" w:ascii="楷体" w:hAnsi="楷体" w:eastAsia="楷体" w:cs="楷体"/>
                <w:bCs/>
                <w:sz w:val="21"/>
                <w:szCs w:val="21"/>
                <w:highlight w:val="none"/>
                <w:lang w:val="en-US" w:eastAsia="zh-CN"/>
              </w:rPr>
              <w:t>家用可燃气体探测器：</w:t>
            </w:r>
          </w:p>
          <w:p w14:paraId="7F7D449F">
            <w:pPr>
              <w:keepNext w:val="0"/>
              <w:keepLines w:val="0"/>
              <w:pageBreakBefore w:val="0"/>
              <w:widowControl w:val="0"/>
              <w:kinsoku/>
              <w:wordWrap/>
              <w:overflowPunct/>
              <w:topLinePunct w:val="0"/>
              <w:autoSpaceDE/>
              <w:autoSpaceDN/>
              <w:bidi w:val="0"/>
              <w:adjustRightInd/>
              <w:snapToGrid/>
              <w:spacing w:line="360" w:lineRule="auto"/>
              <w:ind w:left="0" w:right="0" w:rightChars="0"/>
              <w:jc w:val="left"/>
              <w:textAlignment w:val="auto"/>
              <w:rPr>
                <w:rFonts w:hint="eastAsia" w:ascii="楷体" w:hAnsi="楷体" w:eastAsia="楷体" w:cs="楷体"/>
                <w:b w:val="0"/>
                <w:bCs/>
                <w:sz w:val="21"/>
                <w:szCs w:val="21"/>
                <w:highlight w:val="none"/>
                <w:lang w:val="en-US" w:eastAsia="zh-CN"/>
              </w:rPr>
            </w:pPr>
            <w:r>
              <w:rPr>
                <w:rFonts w:hint="eastAsia" w:ascii="楷体" w:hAnsi="楷体" w:eastAsia="楷体" w:cs="楷体"/>
                <w:bCs/>
                <w:sz w:val="21"/>
                <w:szCs w:val="21"/>
                <w:highlight w:val="none"/>
                <w:lang w:val="en-US" w:eastAsia="zh-CN"/>
              </w:rPr>
              <w:t>标志</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sz w:val="21"/>
                <w:szCs w:val="21"/>
                <w:highlight w:val="none"/>
                <w:lang w:val="en-US" w:eastAsia="zh-CN"/>
              </w:rPr>
              <w:t>报警动作值</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sz w:val="21"/>
                <w:szCs w:val="21"/>
                <w:highlight w:val="none"/>
                <w:lang w:val="en-US" w:eastAsia="zh-CN"/>
              </w:rPr>
              <w:t>报警重复性</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sz w:val="21"/>
                <w:szCs w:val="21"/>
                <w:highlight w:val="none"/>
                <w:lang w:val="en-US" w:eastAsia="zh-CN"/>
              </w:rPr>
              <w:t>、跌落试验</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sz w:val="21"/>
                <w:szCs w:val="21"/>
                <w:highlight w:val="none"/>
                <w:lang w:val="en-US" w:eastAsia="zh-CN"/>
              </w:rPr>
              <w:t>、绝缘电阻</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sz w:val="21"/>
                <w:szCs w:val="21"/>
                <w:highlight w:val="none"/>
                <w:lang w:val="en-US" w:eastAsia="zh-CN"/>
              </w:rPr>
              <w:t>电气强度</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u w:val="none"/>
                <w:lang w:val="en-US" w:eastAsia="zh-CN"/>
              </w:rPr>
              <w:t>元；</w:t>
            </w:r>
            <w:r>
              <w:rPr>
                <w:rFonts w:hint="eastAsia" w:ascii="楷体" w:hAnsi="楷体" w:eastAsia="楷体" w:cs="楷体"/>
                <w:bCs/>
                <w:sz w:val="21"/>
                <w:szCs w:val="21"/>
                <w:highlight w:val="none"/>
                <w:lang w:val="en-US" w:eastAsia="zh-CN"/>
              </w:rPr>
              <w:t>方位试验</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u w:val="none"/>
                <w:lang w:val="en-US" w:eastAsia="zh-CN"/>
              </w:rPr>
              <w:t>元</w:t>
            </w:r>
            <w:r>
              <w:rPr>
                <w:rFonts w:hint="eastAsia" w:ascii="楷体" w:hAnsi="楷体" w:eastAsia="楷体" w:cs="楷体"/>
                <w:b w:val="0"/>
                <w:bCs/>
                <w:sz w:val="21"/>
                <w:szCs w:val="21"/>
                <w:highlight w:val="none"/>
                <w:lang w:val="en-US" w:eastAsia="zh-CN"/>
              </w:rPr>
              <w:t>。</w:t>
            </w:r>
          </w:p>
          <w:p w14:paraId="1B0054E4">
            <w:pPr>
              <w:keepNext w:val="0"/>
              <w:keepLines w:val="0"/>
              <w:pageBreakBefore w:val="0"/>
              <w:widowControl w:val="0"/>
              <w:kinsoku/>
              <w:wordWrap/>
              <w:overflowPunct/>
              <w:topLinePunct w:val="0"/>
              <w:autoSpaceDE/>
              <w:autoSpaceDN/>
              <w:bidi w:val="0"/>
              <w:adjustRightInd/>
              <w:snapToGrid/>
              <w:spacing w:line="360" w:lineRule="auto"/>
              <w:ind w:left="0" w:right="0" w:rightChars="0"/>
              <w:jc w:val="left"/>
              <w:textAlignment w:val="auto"/>
              <w:rPr>
                <w:rFonts w:hint="eastAsia" w:ascii="楷体" w:hAnsi="楷体" w:eastAsia="楷体" w:cs="楷体"/>
                <w:b w:val="0"/>
                <w:bCs/>
                <w:sz w:val="21"/>
                <w:szCs w:val="21"/>
                <w:highlight w:val="none"/>
                <w:lang w:val="en-US" w:eastAsia="zh-CN"/>
              </w:rPr>
            </w:pPr>
            <w:r>
              <w:rPr>
                <w:rFonts w:hint="eastAsia" w:ascii="楷体" w:hAnsi="楷体" w:eastAsia="楷体" w:cs="楷体"/>
                <w:bCs/>
                <w:sz w:val="21"/>
                <w:szCs w:val="21"/>
                <w:highlight w:val="none"/>
                <w:lang w:val="en-US" w:eastAsia="zh-CN"/>
              </w:rPr>
              <w:t>工业及商业用途便携式可燃气体探测器：</w:t>
            </w:r>
          </w:p>
          <w:p w14:paraId="3D5C697E">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left"/>
              <w:textAlignment w:val="auto"/>
              <w:rPr>
                <w:rFonts w:hint="eastAsia" w:ascii="楷体" w:hAnsi="楷体" w:eastAsia="楷体" w:cs="楷体"/>
                <w:bCs/>
                <w:sz w:val="21"/>
                <w:szCs w:val="21"/>
                <w:highlight w:val="none"/>
                <w:lang w:val="en-US" w:eastAsia="zh-CN"/>
              </w:rPr>
            </w:pPr>
            <w:r>
              <w:rPr>
                <w:rFonts w:hint="eastAsia" w:ascii="楷体" w:hAnsi="楷体" w:eastAsia="楷体" w:cs="楷体"/>
                <w:bCs/>
                <w:sz w:val="21"/>
                <w:szCs w:val="21"/>
                <w:highlight w:val="none"/>
                <w:lang w:val="en-US" w:eastAsia="zh-CN"/>
              </w:rPr>
              <w:t>标志</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sz w:val="21"/>
                <w:szCs w:val="21"/>
                <w:highlight w:val="none"/>
                <w:lang w:val="en-US" w:eastAsia="zh-CN"/>
              </w:rPr>
              <w:t>报警动作值</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sz w:val="21"/>
                <w:szCs w:val="21"/>
                <w:highlight w:val="none"/>
                <w:lang w:val="en-US" w:eastAsia="zh-CN"/>
              </w:rPr>
              <w:t>报警重复性</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sz w:val="21"/>
                <w:szCs w:val="21"/>
                <w:highlight w:val="none"/>
                <w:lang w:val="en-US" w:eastAsia="zh-CN"/>
              </w:rPr>
              <w:t>；跌落试验</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sz w:val="21"/>
                <w:szCs w:val="21"/>
                <w:highlight w:val="none"/>
                <w:lang w:val="en-US" w:eastAsia="zh-CN"/>
              </w:rPr>
              <w:t>方位试验</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u w:val="none"/>
                <w:lang w:val="en-US" w:eastAsia="zh-CN"/>
              </w:rPr>
              <w:t>元</w:t>
            </w:r>
            <w:r>
              <w:rPr>
                <w:rFonts w:hint="eastAsia" w:ascii="楷体" w:hAnsi="楷体" w:eastAsia="楷体" w:cs="楷体"/>
                <w:b w:val="0"/>
                <w:bCs/>
                <w:sz w:val="21"/>
                <w:szCs w:val="21"/>
                <w:highlight w:val="none"/>
                <w:lang w:val="en-US" w:eastAsia="zh-CN"/>
              </w:rPr>
              <w:t>。</w:t>
            </w:r>
          </w:p>
        </w:tc>
        <w:tc>
          <w:tcPr>
            <w:tcW w:w="1672" w:type="dxa"/>
            <w:noWrap w:val="0"/>
            <w:vAlign w:val="center"/>
          </w:tcPr>
          <w:p w14:paraId="3A2C52FD">
            <w:pPr>
              <w:keepNext w:val="0"/>
              <w:keepLines w:val="0"/>
              <w:pageBreakBefore w:val="0"/>
              <w:widowControl w:val="0"/>
              <w:kinsoku/>
              <w:wordWrap/>
              <w:overflowPunct/>
              <w:topLinePunct w:val="0"/>
              <w:autoSpaceDE/>
              <w:autoSpaceDN/>
              <w:bidi w:val="0"/>
              <w:adjustRightInd/>
              <w:snapToGrid/>
              <w:spacing w:line="360" w:lineRule="auto"/>
              <w:ind w:left="0" w:right="0" w:rightChars="0"/>
              <w:jc w:val="right"/>
              <w:textAlignment w:val="auto"/>
              <w:rPr>
                <w:rFonts w:hint="eastAsia" w:ascii="楷体" w:hAnsi="楷体" w:eastAsia="楷体" w:cs="楷体"/>
                <w:b w:val="0"/>
                <w:bCs/>
                <w:sz w:val="21"/>
                <w:szCs w:val="21"/>
                <w:highlight w:val="none"/>
                <w:lang w:val="en-US" w:eastAsia="zh-CN"/>
              </w:rPr>
            </w:pPr>
            <w:r>
              <w:rPr>
                <w:rFonts w:hint="eastAsia" w:ascii="楷体" w:hAnsi="楷体" w:eastAsia="楷体" w:cs="楷体"/>
                <w:b w:val="0"/>
                <w:bCs/>
                <w:sz w:val="21"/>
                <w:szCs w:val="21"/>
                <w:highlight w:val="none"/>
                <w:lang w:val="en-US" w:eastAsia="zh-CN"/>
              </w:rPr>
              <w:t>元</w:t>
            </w:r>
          </w:p>
        </w:tc>
      </w:tr>
      <w:tr w14:paraId="4714E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2" w:hRule="atLeast"/>
        </w:trPr>
        <w:tc>
          <w:tcPr>
            <w:tcW w:w="1204" w:type="dxa"/>
            <w:shd w:val="clear" w:color="auto" w:fill="auto"/>
            <w:noWrap w:val="0"/>
            <w:vAlign w:val="center"/>
          </w:tcPr>
          <w:p w14:paraId="3BA1ECDE">
            <w:pPr>
              <w:pageBreakBefore w:val="0"/>
              <w:overflowPunct/>
              <w:topLinePunct w:val="0"/>
              <w:bidi w:val="0"/>
              <w:snapToGrid/>
              <w:spacing w:line="360" w:lineRule="auto"/>
              <w:ind w:left="0" w:right="0" w:rightChars="0"/>
              <w:jc w:val="center"/>
              <w:rPr>
                <w:rFonts w:hint="eastAsia" w:ascii="楷体" w:hAnsi="楷体" w:eastAsia="楷体" w:cs="楷体"/>
                <w:b w:val="0"/>
                <w:bCs/>
                <w:sz w:val="21"/>
                <w:szCs w:val="21"/>
                <w:highlight w:val="none"/>
                <w:lang w:val="en-US" w:eastAsia="zh-CN"/>
              </w:rPr>
            </w:pPr>
            <w:r>
              <w:rPr>
                <w:rFonts w:hint="eastAsia" w:ascii="楷体" w:hAnsi="楷体" w:eastAsia="楷体" w:cs="楷体"/>
                <w:b w:val="0"/>
                <w:bCs/>
                <w:sz w:val="21"/>
                <w:szCs w:val="21"/>
                <w:highlight w:val="none"/>
                <w:lang w:val="en-US" w:eastAsia="zh-CN"/>
              </w:rPr>
              <w:t>商用燃气灶</w:t>
            </w:r>
          </w:p>
        </w:tc>
        <w:tc>
          <w:tcPr>
            <w:tcW w:w="2431" w:type="dxa"/>
            <w:shd w:val="clear" w:color="auto" w:fill="auto"/>
            <w:noWrap w:val="0"/>
            <w:vAlign w:val="center"/>
          </w:tcPr>
          <w:p w14:paraId="190D2FEB">
            <w:pPr>
              <w:pageBreakBefore w:val="0"/>
              <w:overflowPunct/>
              <w:topLinePunct w:val="0"/>
              <w:bidi w:val="0"/>
              <w:snapToGrid/>
              <w:spacing w:line="360" w:lineRule="auto"/>
              <w:ind w:left="0" w:right="0" w:rightChars="0"/>
              <w:jc w:val="center"/>
              <w:rPr>
                <w:rFonts w:hint="eastAsia" w:ascii="楷体" w:hAnsi="楷体" w:eastAsia="楷体" w:cs="楷体"/>
                <w:b w:val="0"/>
                <w:bCs/>
                <w:sz w:val="21"/>
                <w:szCs w:val="21"/>
                <w:highlight w:val="none"/>
                <w:lang w:val="en-US" w:eastAsia="zh-CN"/>
              </w:rPr>
            </w:pPr>
            <w:r>
              <w:rPr>
                <w:rFonts w:hint="eastAsia" w:ascii="楷体" w:hAnsi="楷体" w:eastAsia="楷体" w:cs="楷体"/>
                <w:b w:val="0"/>
                <w:bCs/>
                <w:sz w:val="21"/>
                <w:szCs w:val="21"/>
                <w:highlight w:val="none"/>
                <w:lang w:val="en-US" w:eastAsia="zh-CN"/>
              </w:rPr>
              <w:t>GB 35848-2024等现行有效的企业标准、团体标准、地方标准及产品明示质量要求</w:t>
            </w:r>
          </w:p>
        </w:tc>
        <w:tc>
          <w:tcPr>
            <w:tcW w:w="4451" w:type="dxa"/>
            <w:noWrap w:val="0"/>
            <w:vAlign w:val="top"/>
          </w:tcPr>
          <w:p w14:paraId="3A4C7298">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left"/>
              <w:textAlignment w:val="auto"/>
              <w:rPr>
                <w:rFonts w:hint="eastAsia" w:ascii="楷体" w:hAnsi="楷体" w:eastAsia="楷体" w:cs="楷体"/>
                <w:bCs/>
                <w:color w:val="auto"/>
                <w:sz w:val="21"/>
                <w:szCs w:val="21"/>
                <w:highlight w:val="none"/>
                <w:lang w:val="en-US" w:eastAsia="zh-CN"/>
              </w:rPr>
            </w:pPr>
            <w:r>
              <w:rPr>
                <w:rFonts w:hint="eastAsia" w:ascii="楷体" w:hAnsi="楷体" w:eastAsia="楷体" w:cs="楷体"/>
                <w:b w:val="0"/>
                <w:bCs/>
                <w:kern w:val="2"/>
                <w:sz w:val="21"/>
                <w:szCs w:val="21"/>
                <w:highlight w:val="none"/>
                <w:lang w:val="en-US" w:eastAsia="zh-CN" w:bidi="ar-SA"/>
              </w:rPr>
              <w:t>通用结构</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 w:val="0"/>
                <w:bCs/>
                <w:kern w:val="2"/>
                <w:sz w:val="21"/>
                <w:szCs w:val="21"/>
                <w:highlight w:val="none"/>
                <w:lang w:val="en-US" w:eastAsia="zh-CN" w:bidi="ar-SA"/>
              </w:rPr>
              <w:t>燃气系统零部件</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 w:val="0"/>
                <w:bCs/>
                <w:kern w:val="2"/>
                <w:sz w:val="21"/>
                <w:szCs w:val="21"/>
                <w:highlight w:val="none"/>
                <w:lang w:val="en-US" w:eastAsia="zh-CN" w:bidi="ar-SA"/>
              </w:rPr>
              <w:t>燃气系统密封性</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sz w:val="21"/>
                <w:szCs w:val="21"/>
                <w:highlight w:val="none"/>
                <w:lang w:val="en-US" w:eastAsia="zh-CN"/>
              </w:rPr>
              <w:t>；</w:t>
            </w:r>
            <w:r>
              <w:rPr>
                <w:rFonts w:hint="eastAsia" w:ascii="楷体" w:hAnsi="楷体" w:eastAsia="楷体" w:cs="楷体"/>
                <w:b w:val="0"/>
                <w:bCs/>
                <w:kern w:val="2"/>
                <w:sz w:val="21"/>
                <w:szCs w:val="21"/>
                <w:highlight w:val="none"/>
                <w:lang w:val="en-US" w:eastAsia="zh-CN" w:bidi="ar-SA"/>
              </w:rPr>
              <w:t>热负荷准确度</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sz w:val="21"/>
                <w:szCs w:val="21"/>
                <w:highlight w:val="none"/>
                <w:lang w:val="en-US" w:eastAsia="zh-CN"/>
              </w:rPr>
              <w:t>；</w:t>
            </w:r>
            <w:r>
              <w:rPr>
                <w:rFonts w:hint="eastAsia" w:ascii="楷体" w:hAnsi="楷体" w:eastAsia="楷体" w:cs="楷体"/>
                <w:b w:val="0"/>
                <w:bCs/>
                <w:kern w:val="2"/>
                <w:sz w:val="21"/>
                <w:szCs w:val="21"/>
                <w:highlight w:val="none"/>
                <w:lang w:val="en-US" w:eastAsia="zh-CN" w:bidi="ar-SA"/>
              </w:rPr>
              <w:t>燃烧工况（运行噪声）</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 w:val="0"/>
                <w:bCs/>
                <w:kern w:val="2"/>
                <w:sz w:val="21"/>
                <w:szCs w:val="21"/>
                <w:highlight w:val="none"/>
                <w:lang w:val="en-US" w:eastAsia="zh-CN" w:bidi="ar-SA"/>
              </w:rPr>
              <w:t>熄火噪声</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 w:val="0"/>
                <w:bCs/>
                <w:kern w:val="2"/>
                <w:sz w:val="21"/>
                <w:szCs w:val="21"/>
                <w:highlight w:val="none"/>
                <w:lang w:val="en-US" w:eastAsia="zh-CN" w:bidi="ar-SA"/>
              </w:rPr>
              <w:t>干烟气中CO（α=1）含量）</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 w:val="0"/>
                <w:bCs/>
                <w:kern w:val="2"/>
                <w:sz w:val="21"/>
                <w:szCs w:val="21"/>
                <w:highlight w:val="none"/>
                <w:lang w:val="en-US" w:eastAsia="zh-CN" w:bidi="ar-SA"/>
              </w:rPr>
              <w:t>熄火保护装置</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u w:val="none"/>
                <w:lang w:val="en-US" w:eastAsia="zh-CN"/>
              </w:rPr>
              <w:t>元；</w:t>
            </w:r>
            <w:r>
              <w:rPr>
                <w:rFonts w:hint="eastAsia" w:ascii="楷体" w:hAnsi="楷体" w:eastAsia="楷体" w:cs="楷体"/>
                <w:b w:val="0"/>
                <w:bCs/>
                <w:kern w:val="2"/>
                <w:sz w:val="21"/>
                <w:szCs w:val="21"/>
                <w:highlight w:val="none"/>
                <w:lang w:val="en-US" w:eastAsia="zh-CN" w:bidi="ar-SA"/>
              </w:rPr>
              <w:t>能源合理利用</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u w:val="none"/>
                <w:lang w:val="en-US" w:eastAsia="zh-CN"/>
              </w:rPr>
              <w:t>元；</w:t>
            </w:r>
            <w:r>
              <w:rPr>
                <w:rFonts w:hint="eastAsia" w:ascii="楷体" w:hAnsi="楷体" w:eastAsia="楷体" w:cs="楷体"/>
                <w:b w:val="0"/>
                <w:bCs/>
                <w:kern w:val="2"/>
                <w:sz w:val="21"/>
                <w:szCs w:val="21"/>
                <w:highlight w:val="none"/>
                <w:lang w:val="en-US" w:eastAsia="zh-CN" w:bidi="ar-SA"/>
              </w:rPr>
              <w:t>电气性能</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u w:val="none"/>
                <w:lang w:val="en-US" w:eastAsia="zh-CN"/>
              </w:rPr>
              <w:t>元</w:t>
            </w:r>
            <w:r>
              <w:rPr>
                <w:rFonts w:hint="eastAsia" w:ascii="楷体" w:hAnsi="楷体" w:eastAsia="楷体" w:cs="楷体"/>
                <w:b w:val="0"/>
                <w:bCs/>
                <w:kern w:val="2"/>
                <w:sz w:val="21"/>
                <w:szCs w:val="21"/>
                <w:highlight w:val="none"/>
                <w:lang w:val="en-US" w:eastAsia="zh-CN" w:bidi="ar-SA"/>
              </w:rPr>
              <w:t>。</w:t>
            </w:r>
          </w:p>
        </w:tc>
        <w:tc>
          <w:tcPr>
            <w:tcW w:w="1672" w:type="dxa"/>
            <w:noWrap w:val="0"/>
            <w:vAlign w:val="center"/>
          </w:tcPr>
          <w:p w14:paraId="377B5C6B">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right"/>
              <w:textAlignment w:val="auto"/>
              <w:rPr>
                <w:rFonts w:hint="eastAsia" w:ascii="楷体" w:hAnsi="楷体" w:eastAsia="楷体" w:cs="楷体"/>
                <w:b w:val="0"/>
                <w:bCs/>
                <w:sz w:val="21"/>
                <w:szCs w:val="21"/>
                <w:highlight w:val="none"/>
                <w:lang w:val="en-US" w:eastAsia="zh-CN"/>
              </w:rPr>
            </w:pPr>
            <w:r>
              <w:rPr>
                <w:rFonts w:hint="eastAsia" w:ascii="楷体" w:hAnsi="楷体" w:eastAsia="楷体" w:cs="楷体"/>
                <w:b w:val="0"/>
                <w:bCs/>
                <w:sz w:val="21"/>
                <w:szCs w:val="21"/>
                <w:highlight w:val="none"/>
                <w:lang w:val="en-US" w:eastAsia="zh-CN"/>
              </w:rPr>
              <w:t>元</w:t>
            </w:r>
          </w:p>
        </w:tc>
      </w:tr>
      <w:tr w14:paraId="69497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2" w:hRule="atLeast"/>
        </w:trPr>
        <w:tc>
          <w:tcPr>
            <w:tcW w:w="1204" w:type="dxa"/>
            <w:shd w:val="clear" w:color="auto" w:fill="auto"/>
            <w:noWrap w:val="0"/>
            <w:vAlign w:val="center"/>
          </w:tcPr>
          <w:p w14:paraId="54906303">
            <w:pPr>
              <w:pageBreakBefore w:val="0"/>
              <w:overflowPunct/>
              <w:topLinePunct w:val="0"/>
              <w:bidi w:val="0"/>
              <w:snapToGrid/>
              <w:spacing w:line="360" w:lineRule="auto"/>
              <w:ind w:left="0" w:right="0" w:rightChars="0"/>
              <w:jc w:val="center"/>
              <w:rPr>
                <w:rFonts w:hint="eastAsia" w:ascii="楷体" w:hAnsi="楷体" w:eastAsia="楷体" w:cs="楷体"/>
                <w:bCs/>
                <w:color w:val="auto"/>
                <w:kern w:val="2"/>
                <w:sz w:val="21"/>
                <w:szCs w:val="21"/>
                <w:highlight w:val="none"/>
                <w:lang w:val="en-US" w:eastAsia="zh-CN" w:bidi="ar-SA"/>
              </w:rPr>
            </w:pPr>
            <w:r>
              <w:rPr>
                <w:rFonts w:hint="eastAsia" w:ascii="楷体" w:hAnsi="楷体" w:eastAsia="楷体" w:cs="楷体"/>
                <w:b w:val="0"/>
                <w:bCs/>
                <w:sz w:val="21"/>
                <w:szCs w:val="21"/>
                <w:highlight w:val="none"/>
                <w:lang w:val="en-US" w:eastAsia="zh-CN"/>
              </w:rPr>
              <w:t>电磁式燃气紧急切断阀</w:t>
            </w:r>
          </w:p>
        </w:tc>
        <w:tc>
          <w:tcPr>
            <w:tcW w:w="2431" w:type="dxa"/>
            <w:noWrap w:val="0"/>
            <w:vAlign w:val="center"/>
          </w:tcPr>
          <w:p w14:paraId="60102D75">
            <w:pPr>
              <w:pageBreakBefore w:val="0"/>
              <w:overflowPunct/>
              <w:topLinePunct w:val="0"/>
              <w:bidi w:val="0"/>
              <w:snapToGrid/>
              <w:spacing w:line="360" w:lineRule="auto"/>
              <w:ind w:left="0" w:right="0" w:rightChars="0"/>
              <w:jc w:val="left"/>
              <w:rPr>
                <w:rFonts w:hint="eastAsia" w:ascii="楷体" w:hAnsi="楷体" w:eastAsia="楷体" w:cs="楷体"/>
                <w:b w:val="0"/>
                <w:bCs/>
                <w:sz w:val="21"/>
                <w:szCs w:val="21"/>
                <w:highlight w:val="none"/>
                <w:lang w:val="en-US" w:eastAsia="zh-CN"/>
              </w:rPr>
            </w:pPr>
            <w:r>
              <w:rPr>
                <w:rFonts w:hint="eastAsia" w:ascii="楷体" w:hAnsi="楷体" w:eastAsia="楷体" w:cs="楷体"/>
                <w:b w:val="0"/>
                <w:bCs/>
                <w:sz w:val="21"/>
                <w:szCs w:val="21"/>
                <w:highlight w:val="none"/>
                <w:lang w:val="en-US" w:eastAsia="zh-CN"/>
              </w:rPr>
              <w:t>GB 44016—2024等现行有效的企业标准、团体标准、地方标准及产品明示质量要求</w:t>
            </w:r>
          </w:p>
        </w:tc>
        <w:tc>
          <w:tcPr>
            <w:tcW w:w="4451" w:type="dxa"/>
            <w:noWrap w:val="0"/>
            <w:vAlign w:val="top"/>
          </w:tcPr>
          <w:p w14:paraId="389A675A">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left"/>
              <w:textAlignment w:val="auto"/>
              <w:rPr>
                <w:rFonts w:hint="eastAsia" w:ascii="楷体" w:hAnsi="楷体" w:eastAsia="楷体" w:cs="楷体"/>
                <w:bCs/>
                <w:color w:val="auto"/>
                <w:sz w:val="21"/>
                <w:szCs w:val="21"/>
                <w:highlight w:val="none"/>
                <w:lang w:val="en-US" w:eastAsia="zh-CN"/>
              </w:rPr>
            </w:pPr>
            <w:r>
              <w:rPr>
                <w:rFonts w:hint="eastAsia" w:ascii="楷体" w:hAnsi="楷体" w:eastAsia="楷体" w:cs="楷体"/>
                <w:bCs/>
                <w:sz w:val="21"/>
                <w:szCs w:val="21"/>
                <w:highlight w:val="none"/>
                <w:lang w:val="en-US" w:eastAsia="zh-CN"/>
              </w:rPr>
              <w:t>气密性</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sz w:val="21"/>
                <w:szCs w:val="21"/>
                <w:highlight w:val="none"/>
                <w:lang w:val="en-US" w:eastAsia="zh-CN"/>
              </w:rPr>
              <w:t>紧急切断性能</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sz w:val="21"/>
                <w:szCs w:val="21"/>
                <w:highlight w:val="none"/>
                <w:lang w:val="en-US" w:eastAsia="zh-CN"/>
              </w:rPr>
              <w:t>电气安全性</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sz w:val="21"/>
                <w:szCs w:val="21"/>
                <w:highlight w:val="none"/>
                <w:lang w:val="en-US" w:eastAsia="zh-CN"/>
              </w:rPr>
              <w:t>承压件强度</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u w:val="none"/>
                <w:lang w:val="en-US" w:eastAsia="zh-CN"/>
              </w:rPr>
              <w:t>元</w:t>
            </w:r>
            <w:r>
              <w:rPr>
                <w:rFonts w:hint="eastAsia" w:ascii="楷体" w:hAnsi="楷体" w:eastAsia="楷体" w:cs="楷体"/>
                <w:b w:val="0"/>
                <w:bCs/>
                <w:kern w:val="2"/>
                <w:sz w:val="21"/>
                <w:szCs w:val="21"/>
                <w:highlight w:val="none"/>
                <w:lang w:val="en-US" w:eastAsia="zh-CN" w:bidi="ar-SA"/>
              </w:rPr>
              <w:t>。</w:t>
            </w:r>
          </w:p>
        </w:tc>
        <w:tc>
          <w:tcPr>
            <w:tcW w:w="1672" w:type="dxa"/>
            <w:noWrap w:val="0"/>
            <w:vAlign w:val="center"/>
          </w:tcPr>
          <w:p w14:paraId="3171E89A">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right"/>
              <w:textAlignment w:val="auto"/>
              <w:rPr>
                <w:rFonts w:hint="eastAsia" w:ascii="楷体" w:hAnsi="楷体" w:eastAsia="楷体" w:cs="楷体"/>
                <w:b w:val="0"/>
                <w:bCs/>
                <w:sz w:val="21"/>
                <w:szCs w:val="21"/>
                <w:highlight w:val="none"/>
                <w:lang w:val="en-US" w:eastAsia="zh-CN"/>
              </w:rPr>
            </w:pPr>
            <w:r>
              <w:rPr>
                <w:rFonts w:hint="eastAsia" w:ascii="楷体" w:hAnsi="楷体" w:eastAsia="楷体" w:cs="楷体"/>
                <w:b w:val="0"/>
                <w:bCs/>
                <w:sz w:val="21"/>
                <w:szCs w:val="21"/>
                <w:highlight w:val="none"/>
                <w:lang w:val="en-US" w:eastAsia="zh-CN"/>
              </w:rPr>
              <w:t>元</w:t>
            </w:r>
          </w:p>
        </w:tc>
      </w:tr>
      <w:tr w14:paraId="5B11F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2" w:hRule="atLeast"/>
        </w:trPr>
        <w:tc>
          <w:tcPr>
            <w:tcW w:w="1204" w:type="dxa"/>
            <w:shd w:val="clear" w:color="auto" w:fill="auto"/>
            <w:noWrap w:val="0"/>
            <w:vAlign w:val="center"/>
          </w:tcPr>
          <w:p w14:paraId="2ABFDAB8">
            <w:pPr>
              <w:pageBreakBefore w:val="0"/>
              <w:overflowPunct/>
              <w:topLinePunct w:val="0"/>
              <w:bidi w:val="0"/>
              <w:snapToGrid/>
              <w:spacing w:line="360" w:lineRule="auto"/>
              <w:ind w:left="0" w:right="0" w:rightChars="0"/>
              <w:jc w:val="center"/>
              <w:rPr>
                <w:rFonts w:hint="eastAsia" w:ascii="楷体" w:hAnsi="楷体" w:eastAsia="楷体" w:cs="楷体"/>
                <w:b w:val="0"/>
                <w:bCs/>
                <w:sz w:val="21"/>
                <w:szCs w:val="21"/>
                <w:highlight w:val="none"/>
                <w:lang w:val="en-US" w:eastAsia="zh-CN"/>
              </w:rPr>
            </w:pPr>
            <w:r>
              <w:rPr>
                <w:rFonts w:hint="eastAsia" w:ascii="楷体" w:hAnsi="楷体" w:eastAsia="楷体" w:cs="楷体"/>
                <w:b w:val="0"/>
                <w:bCs/>
                <w:sz w:val="21"/>
                <w:szCs w:val="21"/>
                <w:highlight w:val="none"/>
                <w:lang w:val="en-US" w:eastAsia="zh-CN"/>
              </w:rPr>
              <w:t>管道燃气自闭阀</w:t>
            </w:r>
          </w:p>
        </w:tc>
        <w:tc>
          <w:tcPr>
            <w:tcW w:w="2431" w:type="dxa"/>
            <w:shd w:val="clear" w:color="auto" w:fill="auto"/>
            <w:noWrap w:val="0"/>
            <w:vAlign w:val="center"/>
          </w:tcPr>
          <w:p w14:paraId="7E31F172">
            <w:pPr>
              <w:pageBreakBefore w:val="0"/>
              <w:overflowPunct/>
              <w:topLinePunct w:val="0"/>
              <w:bidi w:val="0"/>
              <w:snapToGrid/>
              <w:spacing w:line="360" w:lineRule="auto"/>
              <w:ind w:left="0" w:right="0" w:rightChars="0"/>
              <w:jc w:val="center"/>
              <w:rPr>
                <w:rFonts w:hint="eastAsia" w:ascii="楷体" w:hAnsi="楷体" w:eastAsia="楷体" w:cs="楷体"/>
                <w:b w:val="0"/>
                <w:bCs/>
                <w:sz w:val="21"/>
                <w:szCs w:val="21"/>
                <w:highlight w:val="none"/>
                <w:lang w:val="en-US" w:eastAsia="zh-CN"/>
              </w:rPr>
            </w:pPr>
            <w:r>
              <w:rPr>
                <w:rFonts w:hint="eastAsia" w:ascii="楷体" w:hAnsi="楷体" w:eastAsia="楷体" w:cs="楷体"/>
                <w:b w:val="0"/>
                <w:bCs/>
                <w:sz w:val="21"/>
                <w:szCs w:val="21"/>
                <w:highlight w:val="none"/>
                <w:lang w:val="en-US" w:eastAsia="zh-CN"/>
              </w:rPr>
              <w:t>CJ/T 447-2014等现行有效的企业标准、团体标准、地方标准及产品明示质量要求</w:t>
            </w:r>
          </w:p>
        </w:tc>
        <w:tc>
          <w:tcPr>
            <w:tcW w:w="4451" w:type="dxa"/>
            <w:noWrap w:val="0"/>
            <w:vAlign w:val="top"/>
          </w:tcPr>
          <w:p w14:paraId="5727DA1F">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left"/>
              <w:textAlignment w:val="auto"/>
              <w:rPr>
                <w:rFonts w:hint="eastAsia" w:ascii="楷体" w:hAnsi="楷体" w:eastAsia="楷体" w:cs="楷体"/>
                <w:bCs/>
                <w:color w:val="auto"/>
                <w:sz w:val="21"/>
                <w:szCs w:val="21"/>
                <w:highlight w:val="none"/>
                <w:lang w:val="en-US" w:eastAsia="zh-CN"/>
              </w:rPr>
            </w:pPr>
            <w:r>
              <w:rPr>
                <w:rFonts w:hint="eastAsia" w:ascii="楷体" w:hAnsi="楷体" w:eastAsia="楷体" w:cs="楷体"/>
                <w:bCs/>
                <w:sz w:val="21"/>
                <w:szCs w:val="21"/>
                <w:highlight w:val="none"/>
                <w:lang w:val="en-US" w:eastAsia="zh-CN"/>
              </w:rPr>
              <w:t>气密性</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元；自动关闭性能</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u w:val="none"/>
                <w:lang w:val="en-US" w:eastAsia="zh-CN"/>
              </w:rPr>
              <w:t>元</w:t>
            </w:r>
            <w:r>
              <w:rPr>
                <w:rFonts w:hint="eastAsia" w:ascii="楷体" w:hAnsi="楷体" w:eastAsia="楷体" w:cs="楷体"/>
                <w:b w:val="0"/>
                <w:bCs/>
                <w:kern w:val="2"/>
                <w:sz w:val="21"/>
                <w:szCs w:val="21"/>
                <w:highlight w:val="none"/>
                <w:lang w:val="en-US" w:eastAsia="zh-CN" w:bidi="ar-SA"/>
              </w:rPr>
              <w:t>。</w:t>
            </w:r>
          </w:p>
        </w:tc>
        <w:tc>
          <w:tcPr>
            <w:tcW w:w="1672" w:type="dxa"/>
            <w:noWrap w:val="0"/>
            <w:vAlign w:val="center"/>
          </w:tcPr>
          <w:p w14:paraId="05114C2C">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right"/>
              <w:textAlignment w:val="auto"/>
              <w:rPr>
                <w:rFonts w:hint="eastAsia" w:ascii="楷体" w:hAnsi="楷体" w:eastAsia="楷体" w:cs="楷体"/>
                <w:b w:val="0"/>
                <w:bCs/>
                <w:sz w:val="21"/>
                <w:szCs w:val="21"/>
                <w:highlight w:val="none"/>
                <w:lang w:val="en-US" w:eastAsia="zh-CN"/>
              </w:rPr>
            </w:pPr>
            <w:r>
              <w:rPr>
                <w:rFonts w:hint="eastAsia" w:ascii="楷体" w:hAnsi="楷体" w:eastAsia="楷体" w:cs="楷体"/>
                <w:b w:val="0"/>
                <w:bCs/>
                <w:sz w:val="21"/>
                <w:szCs w:val="21"/>
                <w:highlight w:val="none"/>
                <w:lang w:val="en-US" w:eastAsia="zh-CN"/>
              </w:rPr>
              <w:t>元</w:t>
            </w:r>
          </w:p>
        </w:tc>
      </w:tr>
      <w:tr w14:paraId="04512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2" w:hRule="atLeast"/>
        </w:trPr>
        <w:tc>
          <w:tcPr>
            <w:tcW w:w="1204" w:type="dxa"/>
            <w:shd w:val="clear" w:color="auto" w:fill="auto"/>
            <w:noWrap w:val="0"/>
            <w:vAlign w:val="center"/>
          </w:tcPr>
          <w:p w14:paraId="6E9AF71D">
            <w:pPr>
              <w:pageBreakBefore w:val="0"/>
              <w:overflowPunct/>
              <w:topLinePunct w:val="0"/>
              <w:bidi w:val="0"/>
              <w:snapToGrid/>
              <w:spacing w:line="360" w:lineRule="auto"/>
              <w:ind w:left="0" w:right="0" w:rightChars="0"/>
              <w:jc w:val="center"/>
              <w:rPr>
                <w:rFonts w:hint="eastAsia" w:ascii="楷体" w:hAnsi="楷体" w:eastAsia="楷体" w:cs="楷体"/>
                <w:bCs/>
                <w:color w:val="auto"/>
                <w:kern w:val="2"/>
                <w:sz w:val="21"/>
                <w:szCs w:val="21"/>
                <w:highlight w:val="none"/>
                <w:lang w:val="en-US" w:eastAsia="zh-CN" w:bidi="ar-SA"/>
              </w:rPr>
            </w:pPr>
            <w:r>
              <w:rPr>
                <w:rFonts w:hint="eastAsia" w:ascii="楷体" w:hAnsi="楷体" w:eastAsia="楷体" w:cs="楷体"/>
                <w:b w:val="0"/>
                <w:bCs/>
                <w:sz w:val="21"/>
                <w:szCs w:val="21"/>
                <w:highlight w:val="none"/>
                <w:lang w:val="en-US" w:eastAsia="zh-CN"/>
              </w:rPr>
              <w:t>燃气用具连接用软管</w:t>
            </w:r>
          </w:p>
        </w:tc>
        <w:tc>
          <w:tcPr>
            <w:tcW w:w="2431" w:type="dxa"/>
            <w:shd w:val="clear" w:color="auto" w:fill="auto"/>
            <w:noWrap w:val="0"/>
            <w:vAlign w:val="center"/>
          </w:tcPr>
          <w:p w14:paraId="1A979903">
            <w:pPr>
              <w:pageBreakBefore w:val="0"/>
              <w:overflowPunct/>
              <w:topLinePunct w:val="0"/>
              <w:bidi w:val="0"/>
              <w:snapToGrid/>
              <w:spacing w:line="360" w:lineRule="auto"/>
              <w:ind w:left="0" w:leftChars="0" w:right="0" w:rightChars="0"/>
              <w:jc w:val="left"/>
              <w:rPr>
                <w:rFonts w:hint="eastAsia" w:ascii="楷体" w:hAnsi="楷体" w:eastAsia="楷体" w:cs="楷体"/>
                <w:bCs/>
                <w:color w:val="auto"/>
                <w:kern w:val="2"/>
                <w:sz w:val="21"/>
                <w:szCs w:val="21"/>
                <w:highlight w:val="none"/>
                <w:lang w:val="en-US" w:eastAsia="zh-CN" w:bidi="ar-SA"/>
              </w:rPr>
            </w:pPr>
            <w:r>
              <w:rPr>
                <w:rFonts w:hint="eastAsia" w:ascii="楷体" w:hAnsi="楷体" w:eastAsia="楷体" w:cs="楷体"/>
                <w:bCs/>
                <w:sz w:val="21"/>
                <w:szCs w:val="21"/>
                <w:highlight w:val="none"/>
                <w:lang w:val="en-US" w:eastAsia="zh-CN"/>
              </w:rPr>
              <w:t>GB 41317-2024、GB 44017-2024、GB 44023-2024</w:t>
            </w:r>
            <w:r>
              <w:rPr>
                <w:rFonts w:hint="eastAsia" w:ascii="楷体" w:hAnsi="楷体" w:eastAsia="楷体" w:cs="楷体"/>
                <w:color w:val="auto"/>
                <w:sz w:val="21"/>
                <w:szCs w:val="21"/>
                <w:highlight w:val="none"/>
                <w:lang w:eastAsia="zh-CN"/>
              </w:rPr>
              <w:t>等</w:t>
            </w:r>
            <w:r>
              <w:rPr>
                <w:rFonts w:hint="eastAsia" w:ascii="楷体" w:hAnsi="楷体" w:eastAsia="楷体" w:cs="楷体"/>
                <w:color w:val="auto"/>
                <w:sz w:val="21"/>
                <w:szCs w:val="21"/>
                <w:highlight w:val="none"/>
              </w:rPr>
              <w:t>现行有效的企业标准、团体标准、地方标准及产品明示质量要求</w:t>
            </w:r>
          </w:p>
        </w:tc>
        <w:tc>
          <w:tcPr>
            <w:tcW w:w="4451" w:type="dxa"/>
            <w:noWrap w:val="0"/>
            <w:vAlign w:val="top"/>
          </w:tcPr>
          <w:p w14:paraId="1B848232">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left"/>
              <w:textAlignment w:val="auto"/>
              <w:rPr>
                <w:rFonts w:hint="eastAsia" w:ascii="楷体" w:hAnsi="楷体" w:eastAsia="楷体" w:cs="楷体"/>
                <w:bCs/>
                <w:sz w:val="21"/>
                <w:szCs w:val="21"/>
                <w:highlight w:val="none"/>
                <w:lang w:val="en-US" w:eastAsia="zh-CN"/>
              </w:rPr>
            </w:pPr>
            <w:r>
              <w:rPr>
                <w:rFonts w:hint="eastAsia" w:ascii="楷体" w:hAnsi="楷体" w:eastAsia="楷体" w:cs="楷体"/>
                <w:bCs/>
                <w:sz w:val="21"/>
                <w:szCs w:val="21"/>
                <w:highlight w:val="none"/>
                <w:lang w:val="en-US" w:eastAsia="zh-CN"/>
              </w:rPr>
              <w:t>燃气用具连接用不锈钢波纹软管：</w:t>
            </w:r>
          </w:p>
          <w:p w14:paraId="66558E58">
            <w:pPr>
              <w:keepNext w:val="0"/>
              <w:keepLines w:val="0"/>
              <w:pageBreakBefore w:val="0"/>
              <w:widowControl w:val="0"/>
              <w:kinsoku/>
              <w:wordWrap/>
              <w:overflowPunct/>
              <w:topLinePunct w:val="0"/>
              <w:autoSpaceDE/>
              <w:autoSpaceDN/>
              <w:bidi w:val="0"/>
              <w:adjustRightInd/>
              <w:snapToGrid/>
              <w:spacing w:line="360" w:lineRule="auto"/>
              <w:ind w:left="0" w:right="0" w:rightChars="0"/>
              <w:jc w:val="left"/>
              <w:textAlignment w:val="auto"/>
              <w:rPr>
                <w:rFonts w:hint="eastAsia" w:ascii="楷体" w:hAnsi="楷体" w:eastAsia="楷体" w:cs="楷体"/>
                <w:b w:val="0"/>
                <w:bCs/>
                <w:kern w:val="2"/>
                <w:sz w:val="21"/>
                <w:szCs w:val="21"/>
                <w:highlight w:val="none"/>
                <w:lang w:val="en-US" w:eastAsia="zh-CN" w:bidi="ar-SA"/>
              </w:rPr>
            </w:pPr>
            <w:r>
              <w:rPr>
                <w:rFonts w:hint="eastAsia" w:ascii="楷体" w:hAnsi="楷体" w:eastAsia="楷体" w:cs="楷体"/>
                <w:bCs/>
                <w:sz w:val="21"/>
                <w:szCs w:val="21"/>
                <w:highlight w:val="none"/>
                <w:lang w:val="en-US" w:eastAsia="zh-CN"/>
              </w:rPr>
              <w:t>气密性</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sz w:val="21"/>
                <w:szCs w:val="21"/>
                <w:highlight w:val="none"/>
                <w:lang w:val="en-US" w:eastAsia="zh-CN"/>
              </w:rPr>
              <w:t>耐压性</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u w:val="none"/>
                <w:lang w:val="en-US" w:eastAsia="zh-CN"/>
              </w:rPr>
              <w:t>元；</w:t>
            </w:r>
            <w:r>
              <w:rPr>
                <w:rFonts w:hint="eastAsia" w:ascii="楷体" w:hAnsi="楷体" w:eastAsia="楷体" w:cs="楷体"/>
                <w:bCs/>
                <w:sz w:val="21"/>
                <w:szCs w:val="21"/>
                <w:highlight w:val="none"/>
                <w:lang w:val="en-US" w:eastAsia="zh-CN"/>
              </w:rPr>
              <w:t>弯曲性</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sz w:val="21"/>
                <w:szCs w:val="21"/>
                <w:highlight w:val="none"/>
                <w:lang w:val="en-US" w:eastAsia="zh-CN"/>
              </w:rPr>
              <w:t>耐安装强度</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u w:val="none"/>
                <w:lang w:val="en-US" w:eastAsia="zh-CN"/>
              </w:rPr>
              <w:t>元</w:t>
            </w:r>
            <w:r>
              <w:rPr>
                <w:rFonts w:hint="eastAsia" w:ascii="楷体" w:hAnsi="楷体" w:eastAsia="楷体" w:cs="楷体"/>
                <w:b w:val="0"/>
                <w:bCs/>
                <w:kern w:val="2"/>
                <w:sz w:val="21"/>
                <w:szCs w:val="21"/>
                <w:highlight w:val="none"/>
                <w:lang w:val="en-US" w:eastAsia="zh-CN" w:bidi="ar-SA"/>
              </w:rPr>
              <w:t>。</w:t>
            </w:r>
          </w:p>
          <w:p w14:paraId="3A43573F">
            <w:pPr>
              <w:keepNext w:val="0"/>
              <w:keepLines w:val="0"/>
              <w:pageBreakBefore w:val="0"/>
              <w:widowControl w:val="0"/>
              <w:kinsoku/>
              <w:wordWrap/>
              <w:overflowPunct/>
              <w:topLinePunct w:val="0"/>
              <w:autoSpaceDE/>
              <w:autoSpaceDN/>
              <w:bidi w:val="0"/>
              <w:adjustRightInd/>
              <w:snapToGrid/>
              <w:spacing w:line="360" w:lineRule="auto"/>
              <w:ind w:left="0" w:right="0" w:rightChars="0"/>
              <w:jc w:val="left"/>
              <w:textAlignment w:val="auto"/>
              <w:rPr>
                <w:rFonts w:hint="eastAsia" w:ascii="楷体" w:hAnsi="楷体" w:eastAsia="楷体" w:cs="楷体"/>
                <w:bCs/>
                <w:sz w:val="21"/>
                <w:szCs w:val="21"/>
                <w:highlight w:val="none"/>
                <w:lang w:val="en-US" w:eastAsia="zh-CN" w:bidi="ar-SA"/>
              </w:rPr>
            </w:pPr>
            <w:r>
              <w:rPr>
                <w:rFonts w:hint="eastAsia" w:ascii="楷体" w:hAnsi="楷体" w:eastAsia="楷体" w:cs="楷体"/>
                <w:bCs/>
                <w:sz w:val="21"/>
                <w:szCs w:val="21"/>
                <w:highlight w:val="none"/>
                <w:lang w:val="en-US" w:eastAsia="zh-CN" w:bidi="ar-SA"/>
              </w:rPr>
              <w:t>燃气用具连接用金属包覆软管：</w:t>
            </w:r>
          </w:p>
          <w:p w14:paraId="29B4834E">
            <w:pPr>
              <w:keepNext w:val="0"/>
              <w:keepLines w:val="0"/>
              <w:pageBreakBefore w:val="0"/>
              <w:widowControl w:val="0"/>
              <w:kinsoku/>
              <w:wordWrap/>
              <w:overflowPunct/>
              <w:topLinePunct w:val="0"/>
              <w:autoSpaceDE/>
              <w:autoSpaceDN/>
              <w:bidi w:val="0"/>
              <w:adjustRightInd/>
              <w:snapToGrid/>
              <w:spacing w:line="360" w:lineRule="auto"/>
              <w:ind w:left="0" w:right="0" w:rightChars="0"/>
              <w:jc w:val="left"/>
              <w:textAlignment w:val="auto"/>
              <w:rPr>
                <w:rFonts w:hint="eastAsia" w:ascii="楷体" w:hAnsi="楷体" w:eastAsia="楷体" w:cs="楷体"/>
                <w:b w:val="0"/>
                <w:bCs/>
                <w:kern w:val="2"/>
                <w:sz w:val="21"/>
                <w:szCs w:val="21"/>
                <w:highlight w:val="none"/>
                <w:lang w:val="en-US" w:eastAsia="zh-CN" w:bidi="ar-SA"/>
              </w:rPr>
            </w:pPr>
            <w:r>
              <w:rPr>
                <w:rFonts w:hint="eastAsia" w:ascii="楷体" w:hAnsi="楷体" w:eastAsia="楷体" w:cs="楷体"/>
                <w:bCs/>
                <w:sz w:val="21"/>
                <w:szCs w:val="21"/>
                <w:highlight w:val="none"/>
                <w:lang w:val="en-US" w:eastAsia="zh-CN"/>
              </w:rPr>
              <w:t>气密性</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sz w:val="21"/>
                <w:szCs w:val="21"/>
                <w:highlight w:val="none"/>
                <w:lang w:val="en-US" w:eastAsia="zh-CN" w:bidi="ar-SA"/>
              </w:rPr>
              <w:t>内层胶管（拉伸强度、拉断伸长率）</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u w:val="none"/>
                <w:lang w:val="en-US" w:eastAsia="zh-CN"/>
              </w:rPr>
              <w:t>元；</w:t>
            </w:r>
            <w:r>
              <w:rPr>
                <w:rFonts w:hint="eastAsia" w:ascii="楷体" w:hAnsi="楷体" w:eastAsia="楷体" w:cs="楷体"/>
                <w:bCs/>
                <w:sz w:val="21"/>
                <w:szCs w:val="21"/>
                <w:highlight w:val="none"/>
                <w:lang w:val="en-US" w:eastAsia="zh-CN" w:bidi="ar-SA"/>
              </w:rPr>
              <w:t>耐压性</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sz w:val="21"/>
                <w:szCs w:val="21"/>
                <w:highlight w:val="none"/>
                <w:lang w:val="en-US" w:eastAsia="zh-CN"/>
              </w:rPr>
              <w:t>耐安装强度</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u w:val="none"/>
                <w:lang w:val="en-US" w:eastAsia="zh-CN"/>
              </w:rPr>
              <w:t>元</w:t>
            </w:r>
            <w:r>
              <w:rPr>
                <w:rFonts w:hint="eastAsia" w:ascii="楷体" w:hAnsi="楷体" w:eastAsia="楷体" w:cs="楷体"/>
                <w:b w:val="0"/>
                <w:bCs/>
                <w:kern w:val="2"/>
                <w:sz w:val="21"/>
                <w:szCs w:val="21"/>
                <w:highlight w:val="none"/>
                <w:lang w:val="en-US" w:eastAsia="zh-CN" w:bidi="ar-SA"/>
              </w:rPr>
              <w:t>。</w:t>
            </w:r>
          </w:p>
          <w:p w14:paraId="79496B28">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left"/>
              <w:textAlignment w:val="auto"/>
              <w:rPr>
                <w:rFonts w:hint="eastAsia" w:ascii="楷体" w:hAnsi="楷体" w:eastAsia="楷体" w:cs="楷体"/>
                <w:bCs/>
                <w:sz w:val="21"/>
                <w:szCs w:val="21"/>
                <w:highlight w:val="none"/>
                <w:lang w:val="en-US" w:eastAsia="zh-CN" w:bidi="ar-SA"/>
              </w:rPr>
            </w:pPr>
          </w:p>
        </w:tc>
        <w:tc>
          <w:tcPr>
            <w:tcW w:w="1672" w:type="dxa"/>
            <w:noWrap w:val="0"/>
            <w:vAlign w:val="center"/>
          </w:tcPr>
          <w:p w14:paraId="00FEDE84">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right"/>
              <w:textAlignment w:val="auto"/>
              <w:rPr>
                <w:rFonts w:hint="eastAsia" w:ascii="楷体" w:hAnsi="楷体" w:eastAsia="楷体" w:cs="楷体"/>
                <w:b w:val="0"/>
                <w:bCs/>
                <w:sz w:val="21"/>
                <w:szCs w:val="21"/>
                <w:highlight w:val="none"/>
                <w:lang w:val="en-US" w:eastAsia="zh-CN"/>
              </w:rPr>
            </w:pPr>
            <w:r>
              <w:rPr>
                <w:rFonts w:hint="eastAsia" w:ascii="楷体" w:hAnsi="楷体" w:eastAsia="楷体" w:cs="楷体"/>
                <w:b w:val="0"/>
                <w:bCs/>
                <w:sz w:val="21"/>
                <w:szCs w:val="21"/>
                <w:highlight w:val="none"/>
                <w:lang w:val="en-US" w:eastAsia="zh-CN"/>
              </w:rPr>
              <w:t>元</w:t>
            </w:r>
          </w:p>
        </w:tc>
      </w:tr>
      <w:tr w14:paraId="4B884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2" w:hRule="atLeast"/>
        </w:trPr>
        <w:tc>
          <w:tcPr>
            <w:tcW w:w="1204" w:type="dxa"/>
            <w:shd w:val="clear" w:color="auto" w:fill="auto"/>
            <w:noWrap w:val="0"/>
            <w:vAlign w:val="center"/>
          </w:tcPr>
          <w:p w14:paraId="54FCB3A2">
            <w:pPr>
              <w:pageBreakBefore w:val="0"/>
              <w:overflowPunct/>
              <w:topLinePunct w:val="0"/>
              <w:bidi w:val="0"/>
              <w:snapToGrid/>
              <w:spacing w:line="360" w:lineRule="auto"/>
              <w:ind w:left="0" w:right="0" w:rightChars="0"/>
              <w:jc w:val="center"/>
              <w:rPr>
                <w:rFonts w:hint="eastAsia" w:ascii="楷体" w:hAnsi="楷体" w:eastAsia="楷体" w:cs="楷体"/>
                <w:b w:val="0"/>
                <w:bCs/>
                <w:sz w:val="21"/>
                <w:szCs w:val="21"/>
                <w:highlight w:val="none"/>
                <w:lang w:val="en-US" w:eastAsia="zh-CN"/>
              </w:rPr>
            </w:pPr>
            <w:r>
              <w:rPr>
                <w:rFonts w:hint="eastAsia" w:ascii="楷体" w:hAnsi="楷体" w:eastAsia="楷体" w:cs="楷体"/>
                <w:b w:val="0"/>
                <w:bCs/>
                <w:sz w:val="21"/>
                <w:szCs w:val="21"/>
                <w:highlight w:val="none"/>
                <w:lang w:val="en-US" w:eastAsia="zh-CN"/>
              </w:rPr>
              <w:t>户外燃气燃烧器具</w:t>
            </w:r>
          </w:p>
        </w:tc>
        <w:tc>
          <w:tcPr>
            <w:tcW w:w="2431" w:type="dxa"/>
            <w:shd w:val="clear" w:color="auto" w:fill="auto"/>
            <w:noWrap w:val="0"/>
            <w:vAlign w:val="center"/>
          </w:tcPr>
          <w:p w14:paraId="25216632">
            <w:pPr>
              <w:pageBreakBefore w:val="0"/>
              <w:overflowPunct/>
              <w:topLinePunct w:val="0"/>
              <w:bidi w:val="0"/>
              <w:snapToGrid/>
              <w:spacing w:line="360" w:lineRule="auto"/>
              <w:ind w:left="0" w:right="0" w:rightChars="0"/>
              <w:jc w:val="center"/>
              <w:rPr>
                <w:rFonts w:hint="eastAsia" w:ascii="楷体" w:hAnsi="楷体" w:eastAsia="楷体" w:cs="楷体"/>
                <w:b w:val="0"/>
                <w:bCs/>
                <w:sz w:val="21"/>
                <w:szCs w:val="21"/>
                <w:highlight w:val="none"/>
                <w:lang w:val="en-US" w:eastAsia="zh-CN"/>
              </w:rPr>
            </w:pPr>
            <w:r>
              <w:rPr>
                <w:rFonts w:hint="eastAsia" w:ascii="楷体" w:hAnsi="楷体" w:eastAsia="楷体" w:cs="楷体"/>
                <w:b w:val="0"/>
                <w:bCs/>
                <w:sz w:val="21"/>
                <w:szCs w:val="21"/>
                <w:highlight w:val="none"/>
                <w:lang w:val="en-US" w:eastAsia="zh-CN"/>
              </w:rPr>
              <w:t>GB/T 38522-2020等现行有效的企业标准、团体标准、地方标准及产品明示质量要求</w:t>
            </w:r>
          </w:p>
        </w:tc>
        <w:tc>
          <w:tcPr>
            <w:tcW w:w="4451" w:type="dxa"/>
            <w:noWrap w:val="0"/>
            <w:vAlign w:val="top"/>
          </w:tcPr>
          <w:p w14:paraId="2B964682">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left"/>
              <w:textAlignment w:val="auto"/>
              <w:rPr>
                <w:rFonts w:hint="eastAsia" w:ascii="楷体" w:hAnsi="楷体" w:eastAsia="楷体" w:cs="楷体"/>
                <w:bCs/>
                <w:color w:val="auto"/>
                <w:sz w:val="21"/>
                <w:szCs w:val="21"/>
                <w:highlight w:val="none"/>
                <w:lang w:val="en-US" w:eastAsia="zh-CN"/>
              </w:rPr>
            </w:pPr>
            <w:r>
              <w:rPr>
                <w:rFonts w:hint="eastAsia" w:ascii="楷体" w:hAnsi="楷体" w:eastAsia="楷体" w:cs="楷体"/>
                <w:bCs/>
                <w:sz w:val="21"/>
                <w:szCs w:val="21"/>
                <w:highlight w:val="none"/>
                <w:lang w:val="en-US" w:eastAsia="zh-CN" w:bidi="ar-SA"/>
              </w:rPr>
              <w:t>燃烧工况（火焰传递、火焰状态、运行噪声、熄火噪声）</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sz w:val="21"/>
                <w:szCs w:val="21"/>
                <w:highlight w:val="none"/>
                <w:lang w:val="en-US" w:eastAsia="zh-CN" w:bidi="ar-SA"/>
              </w:rPr>
              <w:t>点火器性能</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sz w:val="21"/>
                <w:szCs w:val="21"/>
                <w:highlight w:val="none"/>
                <w:lang w:val="en-US" w:eastAsia="zh-CN" w:bidi="ar-SA"/>
              </w:rPr>
              <w:t>表面温升</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sz w:val="21"/>
                <w:szCs w:val="21"/>
                <w:highlight w:val="none"/>
                <w:lang w:val="en-US" w:eastAsia="zh-CN"/>
              </w:rPr>
              <w:t>、</w:t>
            </w:r>
            <w:r>
              <w:rPr>
                <w:rFonts w:hint="eastAsia" w:ascii="楷体" w:hAnsi="楷体" w:eastAsia="楷体" w:cs="楷体"/>
                <w:bCs/>
                <w:sz w:val="21"/>
                <w:szCs w:val="21"/>
                <w:highlight w:val="none"/>
                <w:lang w:val="en-US" w:eastAsia="zh-CN" w:bidi="ar-SA"/>
              </w:rPr>
              <w:t>燃具稳定性</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sz w:val="21"/>
                <w:szCs w:val="21"/>
                <w:highlight w:val="none"/>
                <w:lang w:val="en-US" w:eastAsia="zh-CN"/>
              </w:rPr>
              <w:t>、</w:t>
            </w:r>
            <w:r>
              <w:rPr>
                <w:rFonts w:hint="eastAsia" w:ascii="楷体" w:hAnsi="楷体" w:eastAsia="楷体" w:cs="楷体"/>
                <w:bCs/>
                <w:sz w:val="21"/>
                <w:szCs w:val="21"/>
                <w:highlight w:val="none"/>
                <w:lang w:val="en-US" w:eastAsia="zh-CN" w:bidi="ar-SA"/>
              </w:rPr>
              <w:t>小气瓶燃具的特殊要求（气密性、燃气通路的耐压、过压切断装置）</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 w:val="0"/>
                <w:bCs/>
                <w:kern w:val="2"/>
                <w:sz w:val="21"/>
                <w:szCs w:val="21"/>
                <w:highlight w:val="none"/>
                <w:lang w:val="en-US" w:eastAsia="zh-CN" w:bidi="ar-SA"/>
              </w:rPr>
              <w:t>。</w:t>
            </w:r>
          </w:p>
        </w:tc>
        <w:tc>
          <w:tcPr>
            <w:tcW w:w="1672" w:type="dxa"/>
            <w:noWrap w:val="0"/>
            <w:vAlign w:val="center"/>
          </w:tcPr>
          <w:p w14:paraId="2C21892C">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right"/>
              <w:textAlignment w:val="auto"/>
              <w:rPr>
                <w:rFonts w:hint="eastAsia" w:ascii="楷体" w:hAnsi="楷体" w:eastAsia="楷体" w:cs="楷体"/>
                <w:b w:val="0"/>
                <w:bCs/>
                <w:sz w:val="21"/>
                <w:szCs w:val="21"/>
                <w:highlight w:val="none"/>
                <w:lang w:val="en-US" w:eastAsia="zh-CN"/>
              </w:rPr>
            </w:pPr>
            <w:r>
              <w:rPr>
                <w:rFonts w:hint="eastAsia" w:ascii="楷体" w:hAnsi="楷体" w:eastAsia="楷体" w:cs="楷体"/>
                <w:b w:val="0"/>
                <w:bCs/>
                <w:sz w:val="21"/>
                <w:szCs w:val="21"/>
                <w:highlight w:val="none"/>
                <w:lang w:val="en-US" w:eastAsia="zh-CN"/>
              </w:rPr>
              <w:t>元</w:t>
            </w:r>
          </w:p>
        </w:tc>
      </w:tr>
      <w:tr w14:paraId="5C7AC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5" w:hRule="atLeast"/>
        </w:trPr>
        <w:tc>
          <w:tcPr>
            <w:tcW w:w="9758" w:type="dxa"/>
            <w:gridSpan w:val="4"/>
            <w:noWrap w:val="0"/>
            <w:vAlign w:val="center"/>
          </w:tcPr>
          <w:p w14:paraId="0D1CC2CA">
            <w:pPr>
              <w:keepNext w:val="0"/>
              <w:keepLines w:val="0"/>
              <w:pageBreakBefore w:val="0"/>
              <w:widowControl w:val="0"/>
              <w:kinsoku/>
              <w:wordWrap/>
              <w:overflowPunct/>
              <w:topLinePunct w:val="0"/>
              <w:autoSpaceDE/>
              <w:autoSpaceDN/>
              <w:bidi w:val="0"/>
              <w:adjustRightInd/>
              <w:snapToGrid/>
              <w:spacing w:line="360" w:lineRule="auto"/>
              <w:ind w:left="0" w:right="0" w:rightChars="0"/>
              <w:jc w:val="left"/>
              <w:textAlignment w:val="auto"/>
              <w:rPr>
                <w:rFonts w:hint="eastAsia" w:ascii="楷体" w:hAnsi="楷体" w:eastAsia="楷体" w:cs="楷体"/>
                <w:b w:val="0"/>
                <w:bCs/>
                <w:color w:val="auto"/>
                <w:sz w:val="21"/>
                <w:szCs w:val="21"/>
                <w:highlight w:val="none"/>
                <w:lang w:val="en-US" w:eastAsia="zh-CN"/>
              </w:rPr>
            </w:pPr>
            <w:r>
              <w:rPr>
                <w:rFonts w:hint="eastAsia" w:ascii="楷体" w:hAnsi="楷体" w:eastAsia="楷体" w:cs="楷体"/>
                <w:b w:val="0"/>
                <w:bCs/>
                <w:color w:val="auto"/>
                <w:sz w:val="21"/>
                <w:szCs w:val="21"/>
                <w:highlight w:val="none"/>
                <w:lang w:val="en-US" w:eastAsia="zh-CN"/>
              </w:rPr>
              <w:t>总报价（各产品单批次检测费用总和）：大写</w:t>
            </w:r>
            <w:r>
              <w:rPr>
                <w:rFonts w:hint="eastAsia" w:ascii="楷体" w:hAnsi="楷体" w:eastAsia="楷体" w:cs="楷体"/>
                <w:b w:val="0"/>
                <w:bCs/>
                <w:color w:val="auto"/>
                <w:sz w:val="21"/>
                <w:szCs w:val="21"/>
                <w:highlight w:val="none"/>
                <w:u w:val="single"/>
                <w:lang w:val="en-US" w:eastAsia="zh-CN"/>
              </w:rPr>
              <w:t xml:space="preserve">            </w:t>
            </w:r>
            <w:r>
              <w:rPr>
                <w:rFonts w:hint="eastAsia" w:ascii="楷体" w:hAnsi="楷体" w:eastAsia="楷体" w:cs="楷体"/>
                <w:b w:val="0"/>
                <w:bCs/>
                <w:color w:val="auto"/>
                <w:sz w:val="21"/>
                <w:szCs w:val="21"/>
                <w:highlight w:val="none"/>
                <w:lang w:val="en-US" w:eastAsia="zh-CN"/>
              </w:rPr>
              <w:t>（¥：</w:t>
            </w:r>
            <w:r>
              <w:rPr>
                <w:rFonts w:hint="eastAsia" w:ascii="楷体" w:hAnsi="楷体" w:eastAsia="楷体" w:cs="楷体"/>
                <w:b w:val="0"/>
                <w:bCs/>
                <w:color w:val="auto"/>
                <w:sz w:val="21"/>
                <w:szCs w:val="21"/>
                <w:highlight w:val="none"/>
                <w:u w:val="single"/>
                <w:lang w:val="en-US" w:eastAsia="zh-CN"/>
              </w:rPr>
              <w:t xml:space="preserve">       </w:t>
            </w:r>
            <w:r>
              <w:rPr>
                <w:rFonts w:hint="eastAsia" w:ascii="楷体" w:hAnsi="楷体" w:eastAsia="楷体" w:cs="楷体"/>
                <w:b w:val="0"/>
                <w:bCs/>
                <w:color w:val="auto"/>
                <w:sz w:val="21"/>
                <w:szCs w:val="21"/>
                <w:highlight w:val="none"/>
                <w:lang w:val="en-US" w:eastAsia="zh-CN"/>
              </w:rPr>
              <w:t>）</w:t>
            </w:r>
          </w:p>
          <w:p w14:paraId="271A522E">
            <w:pPr>
              <w:pStyle w:val="29"/>
              <w:jc w:val="both"/>
              <w:rPr>
                <w:rFonts w:hint="eastAsia" w:ascii="楷体" w:hAnsi="楷体" w:eastAsia="楷体" w:cs="楷体"/>
                <w:b w:val="0"/>
                <w:bCs/>
                <w:color w:val="auto"/>
                <w:sz w:val="21"/>
                <w:szCs w:val="21"/>
                <w:highlight w:val="none"/>
                <w:lang w:val="en-US" w:eastAsia="zh-CN"/>
              </w:rPr>
            </w:pPr>
          </w:p>
          <w:p w14:paraId="1D4DC501">
            <w:pPr>
              <w:pStyle w:val="29"/>
              <w:spacing w:line="360" w:lineRule="auto"/>
              <w:jc w:val="both"/>
              <w:rPr>
                <w:rFonts w:hint="eastAsia" w:ascii="楷体" w:hAnsi="楷体" w:eastAsia="楷体" w:cs="楷体"/>
                <w:b/>
                <w:bCs w:val="0"/>
                <w:color w:val="auto"/>
                <w:sz w:val="21"/>
                <w:szCs w:val="21"/>
                <w:highlight w:val="none"/>
                <w:lang w:val="en-US" w:eastAsia="zh-CN"/>
              </w:rPr>
            </w:pPr>
            <w:r>
              <w:rPr>
                <w:rFonts w:hint="eastAsia" w:ascii="楷体" w:hAnsi="楷体" w:eastAsia="楷体" w:cs="楷体"/>
                <w:b/>
                <w:bCs w:val="0"/>
                <w:color w:val="auto"/>
                <w:sz w:val="21"/>
                <w:szCs w:val="21"/>
                <w:highlight w:val="none"/>
                <w:lang w:val="en-US" w:eastAsia="zh-CN"/>
              </w:rPr>
              <w:t>备注：1、磋商一览表所列报价须与分项报价表中“总报价（各产品单批次检测费用总和）”保持一致，否则供应商应承担一切不利后果；</w:t>
            </w:r>
          </w:p>
          <w:p w14:paraId="34203AB3">
            <w:pPr>
              <w:pStyle w:val="29"/>
              <w:spacing w:line="360" w:lineRule="auto"/>
              <w:jc w:val="both"/>
              <w:rPr>
                <w:rFonts w:hint="eastAsia" w:ascii="楷体" w:hAnsi="楷体" w:eastAsia="楷体" w:cs="楷体"/>
                <w:b/>
                <w:bCs w:val="0"/>
                <w:color w:val="auto"/>
                <w:sz w:val="21"/>
                <w:szCs w:val="21"/>
                <w:highlight w:val="none"/>
                <w:lang w:val="en-US" w:eastAsia="zh-CN"/>
              </w:rPr>
            </w:pPr>
            <w:r>
              <w:rPr>
                <w:rFonts w:hint="eastAsia" w:ascii="楷体" w:hAnsi="楷体" w:eastAsia="楷体" w:cs="楷体"/>
                <w:b/>
                <w:bCs w:val="0"/>
                <w:color w:val="auto"/>
                <w:sz w:val="21"/>
                <w:szCs w:val="21"/>
                <w:highlight w:val="none"/>
                <w:lang w:val="en-US" w:eastAsia="zh-CN"/>
              </w:rPr>
              <w:t>2、表内报价内容以元为单位，保留小数点后两位；</w:t>
            </w:r>
          </w:p>
          <w:p w14:paraId="3A659CF8">
            <w:pPr>
              <w:pStyle w:val="29"/>
              <w:spacing w:line="360" w:lineRule="auto"/>
              <w:jc w:val="both"/>
              <w:rPr>
                <w:rFonts w:hint="eastAsia" w:ascii="楷体" w:hAnsi="楷体" w:eastAsia="楷体" w:cs="楷体"/>
                <w:b/>
                <w:bCs w:val="0"/>
                <w:color w:val="auto"/>
                <w:sz w:val="21"/>
                <w:szCs w:val="21"/>
                <w:highlight w:val="none"/>
                <w:lang w:val="en-US" w:eastAsia="zh-CN"/>
              </w:rPr>
            </w:pPr>
            <w:r>
              <w:rPr>
                <w:rFonts w:hint="eastAsia" w:ascii="楷体" w:hAnsi="楷体" w:eastAsia="楷体" w:cs="楷体"/>
                <w:b/>
                <w:bCs w:val="0"/>
                <w:color w:val="auto"/>
                <w:sz w:val="21"/>
                <w:szCs w:val="21"/>
                <w:highlight w:val="none"/>
                <w:lang w:val="en-US" w:eastAsia="zh-CN"/>
              </w:rPr>
              <w:t>3、供应商的报价是供应商响应磋商项目要求的全部工作内容的价格体现，包括供应商完成本项目所需的一切费用（购样费、检验费等相关一切费用）。</w:t>
            </w:r>
          </w:p>
        </w:tc>
      </w:tr>
    </w:tbl>
    <w:p w14:paraId="73B4CF18">
      <w:pPr>
        <w:spacing w:line="360" w:lineRule="auto"/>
        <w:jc w:val="left"/>
        <w:rPr>
          <w:rFonts w:hint="default" w:ascii="楷体" w:hAnsi="楷体" w:eastAsia="楷体" w:cs="楷体"/>
          <w:color w:val="auto"/>
          <w:szCs w:val="24"/>
          <w:highlight w:val="none"/>
          <w:lang w:val="en-US" w:eastAsia="zh-CN"/>
        </w:rPr>
      </w:pPr>
      <w:r>
        <w:rPr>
          <w:rFonts w:hint="eastAsia" w:ascii="楷体" w:hAnsi="楷体" w:eastAsia="楷体" w:cs="楷体"/>
          <w:color w:val="auto"/>
          <w:szCs w:val="24"/>
          <w:highlight w:val="none"/>
          <w:lang w:val="en-US" w:eastAsia="zh-CN"/>
        </w:rPr>
        <w:t>供应商名称：</w:t>
      </w:r>
    </w:p>
    <w:p w14:paraId="32C4679F">
      <w:pPr>
        <w:spacing w:line="360" w:lineRule="auto"/>
        <w:jc w:val="left"/>
        <w:rPr>
          <w:rFonts w:ascii="楷体" w:hAnsi="楷体" w:eastAsia="楷体" w:cs="楷体"/>
          <w:color w:val="auto"/>
          <w:szCs w:val="24"/>
          <w:highlight w:val="none"/>
        </w:rPr>
      </w:pPr>
      <w:r>
        <w:rPr>
          <w:rFonts w:hint="eastAsia" w:ascii="楷体" w:hAnsi="楷体" w:eastAsia="楷体" w:cs="楷体"/>
          <w:color w:val="auto"/>
          <w:szCs w:val="24"/>
          <w:highlight w:val="none"/>
        </w:rPr>
        <w:t>法定代表人/被授权人（</w:t>
      </w:r>
      <w:r>
        <w:rPr>
          <w:rFonts w:hint="eastAsia" w:ascii="楷体" w:hAnsi="楷体" w:eastAsia="楷体" w:cs="楷体"/>
          <w:color w:val="auto"/>
          <w:spacing w:val="4"/>
          <w:szCs w:val="24"/>
          <w:highlight w:val="none"/>
        </w:rPr>
        <w:t>签字或盖章</w:t>
      </w:r>
      <w:r>
        <w:rPr>
          <w:rFonts w:hint="eastAsia" w:ascii="楷体" w:hAnsi="楷体" w:eastAsia="楷体" w:cs="楷体"/>
          <w:color w:val="auto"/>
          <w:szCs w:val="24"/>
          <w:highlight w:val="none"/>
        </w:rPr>
        <w:t>）：</w:t>
      </w:r>
    </w:p>
    <w:p w14:paraId="31FE6A90">
      <w:pPr>
        <w:adjustRightInd w:val="0"/>
        <w:snapToGrid w:val="0"/>
        <w:spacing w:line="360" w:lineRule="auto"/>
        <w:jc w:val="both"/>
        <w:outlineLvl w:val="2"/>
        <w:rPr>
          <w:rFonts w:hint="eastAsia" w:ascii="楷体" w:hAnsi="楷体" w:eastAsia="楷体" w:cs="楷体"/>
          <w:color w:val="auto"/>
          <w:szCs w:val="24"/>
          <w:highlight w:val="none"/>
        </w:rPr>
      </w:pPr>
      <w:r>
        <w:rPr>
          <w:rFonts w:hint="eastAsia" w:ascii="楷体" w:hAnsi="楷体" w:eastAsia="楷体" w:cs="楷体"/>
          <w:color w:val="auto"/>
          <w:szCs w:val="24"/>
          <w:highlight w:val="none"/>
        </w:rPr>
        <w:t>日    期：</w:t>
      </w:r>
    </w:p>
    <w:p w14:paraId="63431B16">
      <w:pPr>
        <w:adjustRightInd w:val="0"/>
        <w:snapToGrid w:val="0"/>
        <w:spacing w:line="360" w:lineRule="auto"/>
        <w:jc w:val="both"/>
        <w:outlineLvl w:val="2"/>
        <w:rPr>
          <w:rFonts w:hint="eastAsia" w:ascii="楷体" w:hAnsi="楷体" w:eastAsia="楷体" w:cs="楷体"/>
          <w:color w:val="auto"/>
          <w:szCs w:val="24"/>
          <w:highlight w:val="none"/>
        </w:rPr>
      </w:pPr>
    </w:p>
    <w:p w14:paraId="4362A385">
      <w:pPr>
        <w:adjustRightInd w:val="0"/>
        <w:snapToGrid w:val="0"/>
        <w:spacing w:line="360" w:lineRule="auto"/>
        <w:jc w:val="both"/>
        <w:outlineLvl w:val="2"/>
        <w:rPr>
          <w:rFonts w:hint="eastAsia" w:ascii="楷体" w:hAnsi="楷体" w:eastAsia="楷体" w:cs="楷体"/>
          <w:color w:val="auto"/>
          <w:szCs w:val="24"/>
          <w:highlight w:val="none"/>
        </w:rPr>
      </w:pPr>
    </w:p>
    <w:p w14:paraId="4E034387">
      <w:pPr>
        <w:adjustRightInd w:val="0"/>
        <w:snapToGrid w:val="0"/>
        <w:spacing w:line="360" w:lineRule="auto"/>
        <w:jc w:val="both"/>
        <w:outlineLvl w:val="2"/>
        <w:rPr>
          <w:rFonts w:hint="eastAsia" w:ascii="楷体" w:hAnsi="楷体" w:eastAsia="楷体" w:cs="楷体"/>
          <w:color w:val="auto"/>
          <w:szCs w:val="24"/>
          <w:highlight w:val="none"/>
        </w:rPr>
      </w:pPr>
    </w:p>
    <w:p w14:paraId="4247E48A">
      <w:pPr>
        <w:adjustRightInd w:val="0"/>
        <w:snapToGrid w:val="0"/>
        <w:spacing w:line="360" w:lineRule="auto"/>
        <w:jc w:val="both"/>
        <w:outlineLvl w:val="2"/>
        <w:rPr>
          <w:rFonts w:hint="eastAsia" w:ascii="楷体" w:hAnsi="楷体" w:eastAsia="楷体" w:cs="楷体"/>
          <w:color w:val="auto"/>
          <w:szCs w:val="24"/>
          <w:highlight w:val="none"/>
        </w:rPr>
      </w:pPr>
    </w:p>
    <w:p w14:paraId="0ABB0496">
      <w:pPr>
        <w:adjustRightInd w:val="0"/>
        <w:snapToGrid w:val="0"/>
        <w:spacing w:line="360" w:lineRule="auto"/>
        <w:jc w:val="both"/>
        <w:outlineLvl w:val="2"/>
        <w:rPr>
          <w:rFonts w:hint="eastAsia" w:ascii="楷体" w:hAnsi="楷体" w:eastAsia="楷体" w:cs="楷体"/>
          <w:color w:val="auto"/>
          <w:szCs w:val="24"/>
          <w:highlight w:val="none"/>
        </w:rPr>
      </w:pPr>
    </w:p>
    <w:p w14:paraId="2B73F4C0">
      <w:pPr>
        <w:adjustRightInd w:val="0"/>
        <w:snapToGrid w:val="0"/>
        <w:spacing w:line="360" w:lineRule="auto"/>
        <w:jc w:val="both"/>
        <w:outlineLvl w:val="2"/>
        <w:rPr>
          <w:rFonts w:hint="eastAsia" w:ascii="楷体" w:hAnsi="楷体" w:eastAsia="楷体" w:cs="楷体"/>
          <w:color w:val="auto"/>
          <w:szCs w:val="24"/>
          <w:highlight w:val="none"/>
        </w:rPr>
      </w:pPr>
    </w:p>
    <w:p w14:paraId="17DD93ED">
      <w:pPr>
        <w:adjustRightInd w:val="0"/>
        <w:snapToGrid w:val="0"/>
        <w:spacing w:line="360" w:lineRule="auto"/>
        <w:jc w:val="both"/>
        <w:outlineLvl w:val="2"/>
        <w:rPr>
          <w:rFonts w:hint="eastAsia" w:ascii="楷体" w:hAnsi="楷体" w:eastAsia="楷体" w:cs="楷体"/>
          <w:color w:val="auto"/>
          <w:szCs w:val="24"/>
          <w:highlight w:val="none"/>
        </w:rPr>
      </w:pPr>
    </w:p>
    <w:p w14:paraId="148EA628">
      <w:pPr>
        <w:adjustRightInd w:val="0"/>
        <w:snapToGrid w:val="0"/>
        <w:spacing w:line="360" w:lineRule="auto"/>
        <w:jc w:val="both"/>
        <w:outlineLvl w:val="2"/>
        <w:rPr>
          <w:rFonts w:hint="eastAsia" w:ascii="楷体" w:hAnsi="楷体" w:eastAsia="楷体" w:cs="楷体"/>
          <w:color w:val="auto"/>
          <w:szCs w:val="24"/>
          <w:highlight w:val="none"/>
        </w:rPr>
      </w:pPr>
    </w:p>
    <w:p w14:paraId="6533D7FF">
      <w:pPr>
        <w:adjustRightInd w:val="0"/>
        <w:snapToGrid w:val="0"/>
        <w:spacing w:line="360" w:lineRule="auto"/>
        <w:jc w:val="both"/>
        <w:outlineLvl w:val="2"/>
        <w:rPr>
          <w:rFonts w:hint="eastAsia" w:ascii="楷体" w:hAnsi="楷体" w:eastAsia="楷体" w:cs="楷体"/>
          <w:color w:val="auto"/>
          <w:szCs w:val="24"/>
          <w:highlight w:val="none"/>
        </w:rPr>
      </w:pPr>
    </w:p>
    <w:p w14:paraId="0A70C926">
      <w:pPr>
        <w:adjustRightInd w:val="0"/>
        <w:snapToGrid w:val="0"/>
        <w:spacing w:line="360" w:lineRule="auto"/>
        <w:jc w:val="both"/>
        <w:outlineLvl w:val="2"/>
        <w:rPr>
          <w:rFonts w:hint="eastAsia" w:ascii="楷体" w:hAnsi="楷体" w:eastAsia="楷体" w:cs="楷体"/>
          <w:color w:val="auto"/>
          <w:szCs w:val="24"/>
          <w:highlight w:val="none"/>
        </w:rPr>
      </w:pPr>
    </w:p>
    <w:p w14:paraId="784E6517">
      <w:pPr>
        <w:adjustRightInd w:val="0"/>
        <w:snapToGrid w:val="0"/>
        <w:spacing w:line="360" w:lineRule="auto"/>
        <w:jc w:val="both"/>
        <w:outlineLvl w:val="2"/>
        <w:rPr>
          <w:rFonts w:hint="eastAsia" w:ascii="楷体" w:hAnsi="楷体" w:eastAsia="楷体" w:cs="楷体"/>
          <w:color w:val="auto"/>
          <w:szCs w:val="24"/>
          <w:highlight w:val="none"/>
        </w:rPr>
      </w:pPr>
    </w:p>
    <w:p w14:paraId="334E8A20">
      <w:pPr>
        <w:adjustRightInd w:val="0"/>
        <w:snapToGrid w:val="0"/>
        <w:spacing w:line="360" w:lineRule="auto"/>
        <w:jc w:val="both"/>
        <w:outlineLvl w:val="2"/>
        <w:rPr>
          <w:rFonts w:hint="eastAsia" w:ascii="楷体" w:hAnsi="楷体" w:eastAsia="楷体" w:cs="楷体"/>
          <w:color w:val="auto"/>
          <w:szCs w:val="24"/>
          <w:highlight w:val="none"/>
        </w:rPr>
      </w:pPr>
    </w:p>
    <w:p w14:paraId="6E64EB4D">
      <w:pPr>
        <w:adjustRightInd w:val="0"/>
        <w:snapToGrid w:val="0"/>
        <w:spacing w:line="360" w:lineRule="auto"/>
        <w:jc w:val="both"/>
        <w:outlineLvl w:val="2"/>
        <w:rPr>
          <w:rFonts w:hint="eastAsia" w:ascii="楷体" w:hAnsi="楷体" w:eastAsia="楷体" w:cs="楷体"/>
          <w:color w:val="auto"/>
          <w:szCs w:val="24"/>
          <w:highlight w:val="none"/>
        </w:rPr>
      </w:pPr>
    </w:p>
    <w:p w14:paraId="0722B636">
      <w:pPr>
        <w:adjustRightInd w:val="0"/>
        <w:snapToGrid w:val="0"/>
        <w:spacing w:line="360" w:lineRule="auto"/>
        <w:jc w:val="both"/>
        <w:outlineLvl w:val="2"/>
        <w:rPr>
          <w:rFonts w:hint="eastAsia" w:ascii="楷体" w:hAnsi="楷体" w:eastAsia="楷体" w:cs="楷体"/>
          <w:color w:val="auto"/>
          <w:szCs w:val="24"/>
          <w:highlight w:val="none"/>
        </w:rPr>
      </w:pPr>
    </w:p>
    <w:p w14:paraId="74DF851F">
      <w:pPr>
        <w:adjustRightInd w:val="0"/>
        <w:snapToGrid w:val="0"/>
        <w:spacing w:line="360" w:lineRule="auto"/>
        <w:jc w:val="both"/>
        <w:outlineLvl w:val="2"/>
        <w:rPr>
          <w:rFonts w:hint="eastAsia" w:ascii="楷体" w:hAnsi="楷体" w:eastAsia="楷体" w:cs="楷体"/>
          <w:color w:val="auto"/>
          <w:szCs w:val="24"/>
          <w:highlight w:val="none"/>
        </w:rPr>
      </w:pPr>
    </w:p>
    <w:p w14:paraId="75E710F5">
      <w:pPr>
        <w:spacing w:line="360" w:lineRule="auto"/>
        <w:jc w:val="left"/>
        <w:rPr>
          <w:rFonts w:hint="eastAsia" w:hAnsi="宋体" w:cs="宋体"/>
          <w:b/>
          <w:sz w:val="21"/>
          <w:szCs w:val="21"/>
          <w:highlight w:val="none"/>
          <w:lang w:val="en-US" w:eastAsia="zh-CN"/>
        </w:rPr>
      </w:pPr>
      <w:r>
        <w:rPr>
          <w:rFonts w:hint="eastAsia" w:ascii="宋体" w:hAnsi="宋体" w:eastAsia="宋体" w:cs="宋体"/>
          <w:b/>
          <w:sz w:val="21"/>
          <w:szCs w:val="21"/>
          <w:highlight w:val="none"/>
          <w:lang w:val="en-US" w:eastAsia="zh-CN"/>
        </w:rPr>
        <w:t>采购包</w:t>
      </w:r>
      <w:r>
        <w:rPr>
          <w:rFonts w:hint="eastAsia" w:hAnsi="宋体" w:cs="宋体"/>
          <w:b/>
          <w:sz w:val="21"/>
          <w:szCs w:val="21"/>
          <w:highlight w:val="none"/>
          <w:lang w:val="en-US" w:eastAsia="zh-CN"/>
        </w:rPr>
        <w:t>4</w:t>
      </w:r>
    </w:p>
    <w:tbl>
      <w:tblPr>
        <w:tblStyle w:val="18"/>
        <w:tblW w:w="9758" w:type="dxa"/>
        <w:tblInd w:w="-1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4"/>
        <w:gridCol w:w="2431"/>
        <w:gridCol w:w="4451"/>
        <w:gridCol w:w="1672"/>
      </w:tblGrid>
      <w:tr w14:paraId="72AAC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4" w:hRule="atLeast"/>
        </w:trPr>
        <w:tc>
          <w:tcPr>
            <w:tcW w:w="1204" w:type="dxa"/>
            <w:noWrap w:val="0"/>
            <w:vAlign w:val="center"/>
          </w:tcPr>
          <w:p w14:paraId="5869CEAD">
            <w:pPr>
              <w:pageBreakBefore w:val="0"/>
              <w:overflowPunct/>
              <w:topLinePunct w:val="0"/>
              <w:bidi w:val="0"/>
              <w:snapToGrid/>
              <w:spacing w:line="360" w:lineRule="auto"/>
              <w:ind w:left="0" w:right="0" w:rightChars="0"/>
              <w:jc w:val="center"/>
              <w:rPr>
                <w:rFonts w:hint="eastAsia" w:ascii="楷体" w:hAnsi="楷体" w:eastAsia="楷体" w:cs="楷体"/>
                <w:b w:val="0"/>
                <w:bCs/>
                <w:sz w:val="21"/>
                <w:szCs w:val="21"/>
                <w:highlight w:val="none"/>
                <w:lang w:val="en-US" w:eastAsia="zh-CN"/>
              </w:rPr>
            </w:pPr>
            <w:r>
              <w:rPr>
                <w:rFonts w:hint="eastAsia" w:ascii="楷体" w:hAnsi="楷体" w:eastAsia="楷体" w:cs="楷体"/>
                <w:b w:val="0"/>
                <w:bCs/>
                <w:sz w:val="21"/>
                <w:szCs w:val="21"/>
                <w:highlight w:val="none"/>
                <w:lang w:val="en-US" w:eastAsia="zh-CN"/>
              </w:rPr>
              <w:t>产品名称</w:t>
            </w:r>
          </w:p>
        </w:tc>
        <w:tc>
          <w:tcPr>
            <w:tcW w:w="2431" w:type="dxa"/>
            <w:noWrap w:val="0"/>
            <w:vAlign w:val="center"/>
          </w:tcPr>
          <w:p w14:paraId="531F83EF">
            <w:pPr>
              <w:pageBreakBefore w:val="0"/>
              <w:overflowPunct/>
              <w:topLinePunct w:val="0"/>
              <w:bidi w:val="0"/>
              <w:snapToGrid/>
              <w:spacing w:line="360" w:lineRule="auto"/>
              <w:ind w:left="0" w:right="0" w:rightChars="0"/>
              <w:jc w:val="center"/>
              <w:rPr>
                <w:rFonts w:hint="eastAsia" w:ascii="楷体" w:hAnsi="楷体" w:eastAsia="楷体" w:cs="楷体"/>
                <w:b w:val="0"/>
                <w:bCs/>
                <w:sz w:val="21"/>
                <w:szCs w:val="21"/>
                <w:highlight w:val="none"/>
                <w:lang w:val="en-US" w:eastAsia="zh-CN"/>
              </w:rPr>
            </w:pPr>
            <w:r>
              <w:rPr>
                <w:rFonts w:hint="eastAsia" w:ascii="楷体" w:hAnsi="楷体" w:eastAsia="楷体" w:cs="楷体"/>
                <w:b w:val="0"/>
                <w:bCs/>
                <w:sz w:val="21"/>
                <w:szCs w:val="21"/>
                <w:highlight w:val="none"/>
                <w:lang w:val="en-US" w:eastAsia="zh-CN"/>
              </w:rPr>
              <w:t>执行标准</w:t>
            </w:r>
          </w:p>
        </w:tc>
        <w:tc>
          <w:tcPr>
            <w:tcW w:w="4451" w:type="dxa"/>
            <w:noWrap w:val="0"/>
            <w:vAlign w:val="center"/>
          </w:tcPr>
          <w:p w14:paraId="3840F123">
            <w:pPr>
              <w:pageBreakBefore w:val="0"/>
              <w:overflowPunct/>
              <w:topLinePunct w:val="0"/>
              <w:bidi w:val="0"/>
              <w:snapToGrid/>
              <w:spacing w:line="360" w:lineRule="auto"/>
              <w:ind w:left="0" w:right="0" w:rightChars="0"/>
              <w:jc w:val="center"/>
              <w:rPr>
                <w:rFonts w:hint="eastAsia" w:ascii="楷体" w:hAnsi="楷体" w:eastAsia="楷体" w:cs="楷体"/>
                <w:b w:val="0"/>
                <w:bCs/>
                <w:sz w:val="21"/>
                <w:szCs w:val="21"/>
                <w:highlight w:val="none"/>
                <w:lang w:val="en-US" w:eastAsia="zh-CN"/>
              </w:rPr>
            </w:pPr>
            <w:r>
              <w:rPr>
                <w:rFonts w:hint="eastAsia" w:ascii="楷体" w:hAnsi="楷体" w:eastAsia="楷体" w:cs="楷体"/>
                <w:b w:val="0"/>
                <w:bCs/>
                <w:sz w:val="21"/>
                <w:szCs w:val="21"/>
                <w:highlight w:val="none"/>
                <w:lang w:val="en-US" w:eastAsia="zh-CN"/>
              </w:rPr>
              <w:t>检测项目分项报价</w:t>
            </w:r>
          </w:p>
        </w:tc>
        <w:tc>
          <w:tcPr>
            <w:tcW w:w="1672" w:type="dxa"/>
            <w:noWrap w:val="0"/>
            <w:vAlign w:val="center"/>
          </w:tcPr>
          <w:p w14:paraId="63CB22D1">
            <w:pPr>
              <w:pageBreakBefore w:val="0"/>
              <w:overflowPunct/>
              <w:topLinePunct w:val="0"/>
              <w:bidi w:val="0"/>
              <w:snapToGrid/>
              <w:spacing w:line="360" w:lineRule="auto"/>
              <w:ind w:left="0" w:right="0" w:rightChars="0"/>
              <w:jc w:val="center"/>
              <w:rPr>
                <w:rFonts w:hint="eastAsia" w:ascii="楷体" w:hAnsi="楷体" w:eastAsia="楷体" w:cs="楷体"/>
                <w:b w:val="0"/>
                <w:bCs/>
                <w:sz w:val="21"/>
                <w:szCs w:val="21"/>
                <w:highlight w:val="none"/>
                <w:lang w:val="en-US" w:eastAsia="zh-CN"/>
              </w:rPr>
            </w:pPr>
            <w:r>
              <w:rPr>
                <w:rFonts w:hint="eastAsia" w:ascii="楷体" w:hAnsi="楷体" w:eastAsia="楷体" w:cs="楷体"/>
                <w:b w:val="0"/>
                <w:bCs/>
                <w:sz w:val="21"/>
                <w:szCs w:val="21"/>
                <w:highlight w:val="none"/>
                <w:lang w:val="en-US" w:eastAsia="zh-CN"/>
              </w:rPr>
              <w:t>各产品单批次检测费用总和</w:t>
            </w:r>
          </w:p>
        </w:tc>
      </w:tr>
      <w:tr w14:paraId="68CFE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3" w:hRule="atLeast"/>
        </w:trPr>
        <w:tc>
          <w:tcPr>
            <w:tcW w:w="1204" w:type="dxa"/>
            <w:noWrap w:val="0"/>
            <w:vAlign w:val="center"/>
          </w:tcPr>
          <w:p w14:paraId="79DC73EA">
            <w:pPr>
              <w:pageBreakBefore w:val="0"/>
              <w:overflowPunct/>
              <w:topLinePunct w:val="0"/>
              <w:bidi w:val="0"/>
              <w:snapToGrid/>
              <w:spacing w:line="360" w:lineRule="auto"/>
              <w:ind w:left="0" w:right="0" w:rightChars="0"/>
              <w:jc w:val="center"/>
              <w:rPr>
                <w:rFonts w:hint="eastAsia" w:ascii="楷体" w:hAnsi="楷体" w:eastAsia="楷体" w:cs="楷体"/>
                <w:b w:val="0"/>
                <w:bCs/>
                <w:sz w:val="21"/>
                <w:szCs w:val="21"/>
                <w:highlight w:val="none"/>
                <w:lang w:val="en-US" w:eastAsia="zh-CN"/>
              </w:rPr>
            </w:pPr>
            <w:r>
              <w:rPr>
                <w:rFonts w:hint="eastAsia" w:ascii="楷体" w:hAnsi="楷体" w:eastAsia="楷体" w:cs="楷体"/>
                <w:bCs/>
                <w:color w:val="auto"/>
                <w:sz w:val="21"/>
                <w:szCs w:val="21"/>
                <w:highlight w:val="none"/>
                <w:lang w:eastAsia="zh-CN"/>
              </w:rPr>
              <w:t>手提式干粉灭火器</w:t>
            </w:r>
          </w:p>
        </w:tc>
        <w:tc>
          <w:tcPr>
            <w:tcW w:w="2431" w:type="dxa"/>
            <w:noWrap w:val="0"/>
            <w:vAlign w:val="center"/>
          </w:tcPr>
          <w:p w14:paraId="34BE04D2">
            <w:pPr>
              <w:pageBreakBefore w:val="0"/>
              <w:overflowPunct/>
              <w:topLinePunct w:val="0"/>
              <w:bidi w:val="0"/>
              <w:snapToGrid/>
              <w:spacing w:line="360" w:lineRule="auto"/>
              <w:ind w:left="0" w:right="0" w:rightChars="0"/>
              <w:jc w:val="left"/>
              <w:rPr>
                <w:rFonts w:hint="eastAsia" w:ascii="楷体" w:hAnsi="楷体" w:eastAsia="楷体" w:cs="楷体"/>
                <w:bCs/>
                <w:color w:val="auto"/>
                <w:sz w:val="21"/>
                <w:szCs w:val="21"/>
                <w:highlight w:val="none"/>
                <w:lang w:eastAsia="zh-CN"/>
              </w:rPr>
            </w:pPr>
            <w:r>
              <w:rPr>
                <w:rFonts w:hint="eastAsia" w:ascii="楷体" w:hAnsi="楷体" w:eastAsia="楷体" w:cs="楷体"/>
                <w:bCs/>
                <w:color w:val="auto"/>
                <w:sz w:val="21"/>
                <w:szCs w:val="21"/>
                <w:highlight w:val="none"/>
                <w:lang w:eastAsia="zh-CN"/>
              </w:rPr>
              <w:t>GB 4351-2023等现行有效的企业标准、团体标准、地方标准及产品明示质量要求</w:t>
            </w:r>
          </w:p>
          <w:p w14:paraId="2D9559EA">
            <w:pPr>
              <w:pageBreakBefore w:val="0"/>
              <w:overflowPunct/>
              <w:topLinePunct w:val="0"/>
              <w:bidi w:val="0"/>
              <w:snapToGrid/>
              <w:spacing w:line="360" w:lineRule="auto"/>
              <w:ind w:left="0" w:right="0" w:rightChars="0"/>
              <w:jc w:val="left"/>
              <w:rPr>
                <w:rFonts w:hint="eastAsia" w:ascii="楷体" w:hAnsi="楷体" w:eastAsia="楷体" w:cs="楷体"/>
                <w:b w:val="0"/>
                <w:bCs/>
                <w:sz w:val="21"/>
                <w:szCs w:val="21"/>
                <w:highlight w:val="none"/>
                <w:lang w:val="en-US" w:eastAsia="zh-CN"/>
              </w:rPr>
            </w:pPr>
          </w:p>
        </w:tc>
        <w:tc>
          <w:tcPr>
            <w:tcW w:w="4451" w:type="dxa"/>
            <w:noWrap w:val="0"/>
            <w:vAlign w:val="top"/>
          </w:tcPr>
          <w:p w14:paraId="1D4477B3">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left"/>
              <w:textAlignment w:val="auto"/>
              <w:rPr>
                <w:rFonts w:hint="eastAsia" w:ascii="楷体" w:hAnsi="楷体" w:eastAsia="楷体" w:cs="楷体"/>
                <w:b w:val="0"/>
                <w:bCs/>
                <w:sz w:val="21"/>
                <w:szCs w:val="21"/>
                <w:highlight w:val="none"/>
                <w:lang w:val="en-US" w:eastAsia="zh-CN"/>
              </w:rPr>
            </w:pPr>
            <w:r>
              <w:rPr>
                <w:rFonts w:hint="eastAsia" w:ascii="楷体" w:hAnsi="楷体" w:eastAsia="楷体" w:cs="楷体"/>
                <w:bCs/>
                <w:color w:val="auto"/>
                <w:sz w:val="21"/>
                <w:szCs w:val="21"/>
                <w:highlight w:val="none"/>
                <w:lang w:eastAsia="zh-CN"/>
              </w:rPr>
              <w:t>充装要求</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eastAsia="zh-CN"/>
              </w:rPr>
              <w:t>20℃喷射性能</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sz w:val="21"/>
                <w:szCs w:val="21"/>
                <w:highlight w:val="none"/>
                <w:lang w:val="en-US" w:eastAsia="zh-CN"/>
              </w:rPr>
              <w:t>、</w:t>
            </w:r>
            <w:r>
              <w:rPr>
                <w:rFonts w:hint="eastAsia" w:ascii="楷体" w:hAnsi="楷体" w:eastAsia="楷体" w:cs="楷体"/>
                <w:bCs/>
                <w:color w:val="auto"/>
                <w:sz w:val="21"/>
                <w:szCs w:val="21"/>
                <w:highlight w:val="none"/>
                <w:lang w:eastAsia="zh-CN"/>
              </w:rPr>
              <w:t>灭火器开启力</w:t>
            </w:r>
            <w:r>
              <w:rPr>
                <w:rFonts w:hint="eastAsia" w:ascii="楷体" w:hAnsi="楷体" w:eastAsia="楷体" w:cs="楷体"/>
                <w:bCs/>
                <w:sz w:val="21"/>
                <w:szCs w:val="21"/>
                <w:highlight w:val="none"/>
                <w:lang w:val="en-US" w:eastAsia="zh-CN"/>
              </w:rPr>
              <w:t>）</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eastAsia="zh-CN"/>
              </w:rPr>
              <w:t>保险装置</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eastAsia="zh-CN"/>
              </w:rPr>
              <w:t>低压瓶体爆破性能</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eastAsia="zh-CN"/>
              </w:rPr>
              <w:t>瓶体水压试验</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eastAsia="zh-CN"/>
              </w:rPr>
              <w:t>灭火器阀门组件试验（提压把的长度、厚度、宽度）</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元；压力指示器外观检查</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u w:val="none"/>
                <w:lang w:val="en-US" w:eastAsia="zh-CN"/>
              </w:rPr>
              <w:t>元</w:t>
            </w:r>
            <w:r>
              <w:rPr>
                <w:rFonts w:hint="eastAsia" w:ascii="楷体" w:hAnsi="楷体" w:eastAsia="楷体" w:cs="楷体"/>
                <w:bCs/>
                <w:sz w:val="21"/>
                <w:szCs w:val="21"/>
                <w:highlight w:val="none"/>
                <w:lang w:val="en-US" w:eastAsia="zh-CN"/>
              </w:rPr>
              <w:t>；</w:t>
            </w:r>
            <w:r>
              <w:rPr>
                <w:rFonts w:hint="eastAsia" w:ascii="楷体" w:hAnsi="楷体" w:eastAsia="楷体" w:cs="楷体"/>
                <w:bCs/>
                <w:color w:val="auto"/>
                <w:sz w:val="21"/>
                <w:szCs w:val="21"/>
                <w:highlight w:val="none"/>
                <w:lang w:eastAsia="zh-CN"/>
              </w:rPr>
              <w:t>干粉灭火剂主要成分</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u w:val="none"/>
                <w:lang w:val="en-US" w:eastAsia="zh-CN"/>
              </w:rPr>
              <w:t>元</w:t>
            </w:r>
            <w:r>
              <w:rPr>
                <w:rFonts w:hint="eastAsia" w:ascii="楷体" w:hAnsi="楷体" w:eastAsia="楷体" w:cs="楷体"/>
                <w:b w:val="0"/>
                <w:bCs/>
                <w:sz w:val="21"/>
                <w:szCs w:val="21"/>
                <w:highlight w:val="none"/>
                <w:lang w:val="en-US" w:eastAsia="zh-CN"/>
              </w:rPr>
              <w:t>。</w:t>
            </w:r>
          </w:p>
        </w:tc>
        <w:tc>
          <w:tcPr>
            <w:tcW w:w="1672" w:type="dxa"/>
            <w:noWrap w:val="0"/>
            <w:vAlign w:val="center"/>
          </w:tcPr>
          <w:p w14:paraId="15F77F01">
            <w:pPr>
              <w:keepNext w:val="0"/>
              <w:keepLines w:val="0"/>
              <w:pageBreakBefore w:val="0"/>
              <w:widowControl w:val="0"/>
              <w:kinsoku/>
              <w:wordWrap/>
              <w:overflowPunct/>
              <w:topLinePunct w:val="0"/>
              <w:autoSpaceDE/>
              <w:autoSpaceDN/>
              <w:bidi w:val="0"/>
              <w:adjustRightInd/>
              <w:snapToGrid/>
              <w:spacing w:line="360" w:lineRule="auto"/>
              <w:ind w:left="0" w:right="0" w:rightChars="0"/>
              <w:jc w:val="right"/>
              <w:textAlignment w:val="auto"/>
              <w:rPr>
                <w:rFonts w:hint="eastAsia" w:ascii="楷体" w:hAnsi="楷体" w:eastAsia="楷体" w:cs="楷体"/>
                <w:b w:val="0"/>
                <w:bCs/>
                <w:sz w:val="21"/>
                <w:szCs w:val="21"/>
                <w:highlight w:val="none"/>
                <w:lang w:val="en-US" w:eastAsia="zh-CN"/>
              </w:rPr>
            </w:pPr>
            <w:r>
              <w:rPr>
                <w:rFonts w:hint="eastAsia" w:ascii="楷体" w:hAnsi="楷体" w:eastAsia="楷体" w:cs="楷体"/>
                <w:b w:val="0"/>
                <w:bCs/>
                <w:sz w:val="21"/>
                <w:szCs w:val="21"/>
                <w:highlight w:val="none"/>
                <w:lang w:val="en-US" w:eastAsia="zh-CN"/>
              </w:rPr>
              <w:t>元</w:t>
            </w:r>
          </w:p>
        </w:tc>
      </w:tr>
      <w:tr w14:paraId="68F1D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3" w:hRule="atLeast"/>
        </w:trPr>
        <w:tc>
          <w:tcPr>
            <w:tcW w:w="1204" w:type="dxa"/>
            <w:shd w:val="clear" w:color="auto" w:fill="auto"/>
            <w:noWrap w:val="0"/>
            <w:vAlign w:val="center"/>
          </w:tcPr>
          <w:p w14:paraId="3D228046">
            <w:pPr>
              <w:pageBreakBefore w:val="0"/>
              <w:overflowPunct/>
              <w:topLinePunct w:val="0"/>
              <w:bidi w:val="0"/>
              <w:snapToGrid/>
              <w:spacing w:line="360" w:lineRule="auto"/>
              <w:ind w:left="0" w:leftChars="0" w:right="0" w:rightChars="0"/>
              <w:jc w:val="left"/>
              <w:rPr>
                <w:rFonts w:hint="eastAsia" w:ascii="楷体" w:hAnsi="楷体" w:eastAsia="楷体" w:cs="楷体"/>
                <w:bCs/>
                <w:color w:val="auto"/>
                <w:kern w:val="2"/>
                <w:sz w:val="21"/>
                <w:szCs w:val="21"/>
                <w:highlight w:val="none"/>
                <w:lang w:val="en-US" w:eastAsia="zh-CN" w:bidi="ar-SA"/>
              </w:rPr>
            </w:pPr>
            <w:r>
              <w:rPr>
                <w:rFonts w:hint="eastAsia" w:ascii="楷体" w:hAnsi="楷体" w:eastAsia="楷体" w:cs="楷体"/>
                <w:bCs/>
                <w:color w:val="auto"/>
                <w:sz w:val="21"/>
                <w:szCs w:val="21"/>
                <w:highlight w:val="none"/>
                <w:lang w:eastAsia="zh-CN"/>
              </w:rPr>
              <w:t>消防水带</w:t>
            </w:r>
          </w:p>
        </w:tc>
        <w:tc>
          <w:tcPr>
            <w:tcW w:w="2431" w:type="dxa"/>
            <w:shd w:val="clear" w:color="auto" w:fill="auto"/>
            <w:noWrap w:val="0"/>
            <w:vAlign w:val="center"/>
          </w:tcPr>
          <w:p w14:paraId="26C9F6E7">
            <w:pPr>
              <w:pageBreakBefore w:val="0"/>
              <w:overflowPunct/>
              <w:topLinePunct w:val="0"/>
              <w:bidi w:val="0"/>
              <w:snapToGrid/>
              <w:spacing w:line="360" w:lineRule="auto"/>
              <w:ind w:left="0" w:right="0" w:rightChars="0"/>
              <w:jc w:val="left"/>
              <w:rPr>
                <w:rFonts w:hint="eastAsia" w:ascii="楷体" w:hAnsi="楷体" w:eastAsia="楷体" w:cs="楷体"/>
                <w:bCs/>
                <w:color w:val="auto"/>
                <w:sz w:val="21"/>
                <w:szCs w:val="21"/>
                <w:highlight w:val="none"/>
                <w:lang w:eastAsia="zh-CN"/>
              </w:rPr>
            </w:pPr>
            <w:r>
              <w:rPr>
                <w:rFonts w:hint="eastAsia" w:ascii="楷体" w:hAnsi="楷体" w:eastAsia="楷体" w:cs="楷体"/>
                <w:bCs/>
                <w:color w:val="auto"/>
                <w:sz w:val="21"/>
                <w:szCs w:val="21"/>
                <w:highlight w:val="none"/>
                <w:lang w:eastAsia="zh-CN"/>
              </w:rPr>
              <w:t>GB 6246-2011等现行有效的企业标准、团体标准、地方标准及产品明示质量要求</w:t>
            </w:r>
          </w:p>
          <w:p w14:paraId="2B7FEBD5">
            <w:pPr>
              <w:pageBreakBefore w:val="0"/>
              <w:overflowPunct/>
              <w:topLinePunct w:val="0"/>
              <w:bidi w:val="0"/>
              <w:snapToGrid/>
              <w:spacing w:line="360" w:lineRule="auto"/>
              <w:ind w:left="0" w:leftChars="0" w:right="0" w:rightChars="0"/>
              <w:jc w:val="left"/>
              <w:rPr>
                <w:rFonts w:hint="eastAsia" w:ascii="楷体" w:hAnsi="楷体" w:eastAsia="楷体" w:cs="楷体"/>
                <w:bCs/>
                <w:color w:val="auto"/>
                <w:kern w:val="2"/>
                <w:sz w:val="21"/>
                <w:szCs w:val="21"/>
                <w:highlight w:val="none"/>
                <w:lang w:val="en-US" w:eastAsia="zh-CN" w:bidi="ar-SA"/>
              </w:rPr>
            </w:pPr>
          </w:p>
        </w:tc>
        <w:tc>
          <w:tcPr>
            <w:tcW w:w="4451" w:type="dxa"/>
            <w:noWrap w:val="0"/>
            <w:vAlign w:val="top"/>
          </w:tcPr>
          <w:p w14:paraId="4873ED5B">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left"/>
              <w:textAlignment w:val="auto"/>
              <w:rPr>
                <w:rFonts w:hint="eastAsia" w:ascii="楷体" w:hAnsi="楷体" w:eastAsia="楷体" w:cs="楷体"/>
                <w:bCs/>
                <w:color w:val="auto"/>
                <w:sz w:val="21"/>
                <w:szCs w:val="21"/>
                <w:highlight w:val="none"/>
                <w:lang w:eastAsia="zh-CN"/>
              </w:rPr>
            </w:pPr>
            <w:r>
              <w:rPr>
                <w:rFonts w:hint="eastAsia" w:ascii="楷体" w:hAnsi="楷体" w:eastAsia="楷体" w:cs="楷体"/>
                <w:bCs/>
                <w:color w:val="auto"/>
                <w:sz w:val="21"/>
                <w:szCs w:val="21"/>
                <w:highlight w:val="none"/>
                <w:lang w:eastAsia="zh-CN"/>
              </w:rPr>
              <w:t>附着强度试验</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eastAsia="zh-CN"/>
              </w:rPr>
              <w:t>扯断伸长率和扯断强度</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eastAsia="zh-CN"/>
              </w:rPr>
              <w:t>热空气老化试验</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eastAsia="zh-CN"/>
              </w:rPr>
              <w:t>内径测量</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eastAsia="zh-CN"/>
              </w:rPr>
              <w:t>长度测量</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eastAsia="zh-CN"/>
              </w:rPr>
              <w:t>水压试验与爆破试验</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eastAsia="zh-CN"/>
              </w:rPr>
              <w:t>单位长度质量检查</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u w:val="none"/>
                <w:lang w:val="en-US" w:eastAsia="zh-CN"/>
              </w:rPr>
              <w:t>元</w:t>
            </w:r>
            <w:r>
              <w:rPr>
                <w:rFonts w:hint="eastAsia" w:ascii="楷体" w:hAnsi="楷体" w:eastAsia="楷体" w:cs="楷体"/>
                <w:bCs/>
                <w:sz w:val="21"/>
                <w:szCs w:val="21"/>
                <w:highlight w:val="none"/>
                <w:lang w:val="en-US" w:eastAsia="zh-CN"/>
              </w:rPr>
              <w:t>；</w:t>
            </w:r>
            <w:r>
              <w:rPr>
                <w:rFonts w:hint="eastAsia" w:ascii="楷体" w:hAnsi="楷体" w:eastAsia="楷体" w:cs="楷体"/>
                <w:bCs/>
                <w:color w:val="auto"/>
                <w:sz w:val="21"/>
                <w:szCs w:val="21"/>
                <w:highlight w:val="none"/>
                <w:lang w:eastAsia="zh-CN"/>
              </w:rPr>
              <w:t>延伸率、膨胀率及扭转方向试验</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u w:val="none"/>
                <w:lang w:val="en-US" w:eastAsia="zh-CN"/>
              </w:rPr>
              <w:t>元</w:t>
            </w:r>
            <w:r>
              <w:rPr>
                <w:rFonts w:hint="eastAsia" w:ascii="楷体" w:hAnsi="楷体" w:eastAsia="楷体" w:cs="楷体"/>
                <w:b w:val="0"/>
                <w:bCs/>
                <w:sz w:val="21"/>
                <w:szCs w:val="21"/>
                <w:highlight w:val="none"/>
                <w:lang w:val="en-US" w:eastAsia="zh-CN"/>
              </w:rPr>
              <w:t>。</w:t>
            </w:r>
          </w:p>
        </w:tc>
        <w:tc>
          <w:tcPr>
            <w:tcW w:w="1672" w:type="dxa"/>
            <w:noWrap w:val="0"/>
            <w:vAlign w:val="center"/>
          </w:tcPr>
          <w:p w14:paraId="6CAAF2DE">
            <w:pPr>
              <w:keepNext w:val="0"/>
              <w:keepLines w:val="0"/>
              <w:pageBreakBefore w:val="0"/>
              <w:widowControl w:val="0"/>
              <w:kinsoku/>
              <w:wordWrap/>
              <w:overflowPunct/>
              <w:topLinePunct w:val="0"/>
              <w:autoSpaceDE/>
              <w:autoSpaceDN/>
              <w:bidi w:val="0"/>
              <w:adjustRightInd/>
              <w:snapToGrid/>
              <w:spacing w:line="360" w:lineRule="auto"/>
              <w:ind w:left="0" w:right="0" w:rightChars="0"/>
              <w:jc w:val="right"/>
              <w:textAlignment w:val="auto"/>
              <w:rPr>
                <w:rFonts w:hint="eastAsia" w:ascii="楷体" w:hAnsi="楷体" w:eastAsia="楷体" w:cs="楷体"/>
                <w:b w:val="0"/>
                <w:bCs/>
                <w:sz w:val="21"/>
                <w:szCs w:val="21"/>
                <w:highlight w:val="none"/>
                <w:lang w:val="en-US" w:eastAsia="zh-CN"/>
              </w:rPr>
            </w:pPr>
            <w:r>
              <w:rPr>
                <w:rFonts w:hint="eastAsia" w:ascii="楷体" w:hAnsi="楷体" w:eastAsia="楷体" w:cs="楷体"/>
                <w:b w:val="0"/>
                <w:bCs/>
                <w:sz w:val="21"/>
                <w:szCs w:val="21"/>
                <w:highlight w:val="none"/>
                <w:lang w:val="en-US" w:eastAsia="zh-CN"/>
              </w:rPr>
              <w:t>元</w:t>
            </w:r>
          </w:p>
        </w:tc>
      </w:tr>
      <w:tr w14:paraId="27701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3" w:hRule="atLeast"/>
        </w:trPr>
        <w:tc>
          <w:tcPr>
            <w:tcW w:w="1204" w:type="dxa"/>
            <w:shd w:val="clear" w:color="auto" w:fill="auto"/>
            <w:noWrap w:val="0"/>
            <w:vAlign w:val="center"/>
          </w:tcPr>
          <w:p w14:paraId="18D668E2">
            <w:pPr>
              <w:pageBreakBefore w:val="0"/>
              <w:overflowPunct/>
              <w:topLinePunct w:val="0"/>
              <w:bidi w:val="0"/>
              <w:snapToGrid/>
              <w:spacing w:line="360" w:lineRule="auto"/>
              <w:ind w:left="0" w:leftChars="0" w:right="0" w:rightChars="0"/>
              <w:jc w:val="left"/>
              <w:rPr>
                <w:rFonts w:hint="eastAsia" w:ascii="楷体" w:hAnsi="楷体" w:eastAsia="楷体" w:cs="楷体"/>
                <w:bCs/>
                <w:color w:val="auto"/>
                <w:kern w:val="2"/>
                <w:sz w:val="21"/>
                <w:szCs w:val="21"/>
                <w:highlight w:val="none"/>
                <w:lang w:val="en-US" w:eastAsia="zh-CN" w:bidi="ar-SA"/>
              </w:rPr>
            </w:pPr>
            <w:r>
              <w:rPr>
                <w:rFonts w:hint="eastAsia" w:ascii="楷体" w:hAnsi="楷体" w:eastAsia="楷体" w:cs="楷体"/>
                <w:bCs/>
                <w:color w:val="auto"/>
                <w:sz w:val="21"/>
                <w:szCs w:val="21"/>
                <w:highlight w:val="none"/>
                <w:lang w:eastAsia="zh-CN"/>
              </w:rPr>
              <w:t>室内消火栓</w:t>
            </w:r>
          </w:p>
        </w:tc>
        <w:tc>
          <w:tcPr>
            <w:tcW w:w="2431" w:type="dxa"/>
            <w:shd w:val="clear" w:color="auto" w:fill="auto"/>
            <w:noWrap w:val="0"/>
            <w:vAlign w:val="center"/>
          </w:tcPr>
          <w:p w14:paraId="3D7F17D6">
            <w:pPr>
              <w:pageBreakBefore w:val="0"/>
              <w:overflowPunct/>
              <w:topLinePunct w:val="0"/>
              <w:bidi w:val="0"/>
              <w:snapToGrid/>
              <w:spacing w:line="360" w:lineRule="auto"/>
              <w:ind w:left="0" w:right="0" w:rightChars="0"/>
              <w:jc w:val="left"/>
              <w:rPr>
                <w:rFonts w:hint="eastAsia" w:ascii="楷体" w:hAnsi="楷体" w:eastAsia="楷体" w:cs="楷体"/>
                <w:bCs/>
                <w:color w:val="auto"/>
                <w:sz w:val="21"/>
                <w:szCs w:val="21"/>
                <w:highlight w:val="none"/>
                <w:lang w:eastAsia="zh-CN"/>
              </w:rPr>
            </w:pPr>
            <w:r>
              <w:rPr>
                <w:rFonts w:hint="eastAsia" w:ascii="楷体" w:hAnsi="楷体" w:eastAsia="楷体" w:cs="楷体"/>
                <w:bCs/>
                <w:color w:val="auto"/>
                <w:sz w:val="21"/>
                <w:szCs w:val="21"/>
                <w:highlight w:val="none"/>
                <w:lang w:eastAsia="zh-CN"/>
              </w:rPr>
              <w:t>GB 3445-2018等现行有效的企业标准、团体标准、地方标准及产品明示质量要求</w:t>
            </w:r>
          </w:p>
          <w:p w14:paraId="313590F9">
            <w:pPr>
              <w:pageBreakBefore w:val="0"/>
              <w:overflowPunct/>
              <w:topLinePunct w:val="0"/>
              <w:bidi w:val="0"/>
              <w:snapToGrid/>
              <w:spacing w:line="360" w:lineRule="auto"/>
              <w:ind w:left="0" w:leftChars="0" w:right="0" w:rightChars="0"/>
              <w:jc w:val="left"/>
              <w:rPr>
                <w:rFonts w:hint="eastAsia" w:ascii="楷体" w:hAnsi="楷体" w:eastAsia="楷体" w:cs="楷体"/>
                <w:bCs/>
                <w:color w:val="auto"/>
                <w:kern w:val="2"/>
                <w:sz w:val="21"/>
                <w:szCs w:val="21"/>
                <w:highlight w:val="none"/>
                <w:lang w:val="en-US" w:eastAsia="zh-CN" w:bidi="ar-SA"/>
              </w:rPr>
            </w:pPr>
          </w:p>
        </w:tc>
        <w:tc>
          <w:tcPr>
            <w:tcW w:w="4451" w:type="dxa"/>
            <w:noWrap w:val="0"/>
            <w:vAlign w:val="top"/>
          </w:tcPr>
          <w:p w14:paraId="5ABB6B0E">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left"/>
              <w:textAlignment w:val="auto"/>
              <w:rPr>
                <w:rFonts w:hint="eastAsia" w:ascii="楷体" w:hAnsi="楷体" w:eastAsia="楷体" w:cs="楷体"/>
                <w:bCs/>
                <w:color w:val="auto"/>
                <w:sz w:val="21"/>
                <w:szCs w:val="21"/>
                <w:highlight w:val="none"/>
                <w:lang w:eastAsia="zh-CN"/>
              </w:rPr>
            </w:pPr>
            <w:r>
              <w:rPr>
                <w:rFonts w:hint="eastAsia" w:ascii="楷体" w:hAnsi="楷体" w:eastAsia="楷体" w:cs="楷体"/>
                <w:bCs/>
                <w:color w:val="auto"/>
                <w:sz w:val="21"/>
                <w:szCs w:val="21"/>
                <w:highlight w:val="none"/>
                <w:lang w:eastAsia="zh-CN"/>
              </w:rPr>
              <w:t>水压强度</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u w:val="none"/>
                <w:lang w:val="en-US" w:eastAsia="zh-CN"/>
              </w:rPr>
              <w:t>元；</w:t>
            </w:r>
            <w:r>
              <w:rPr>
                <w:rFonts w:hint="eastAsia" w:ascii="楷体" w:hAnsi="楷体" w:eastAsia="楷体" w:cs="楷体"/>
                <w:bCs/>
                <w:color w:val="auto"/>
                <w:sz w:val="21"/>
                <w:szCs w:val="21"/>
                <w:highlight w:val="none"/>
                <w:lang w:eastAsia="zh-CN"/>
              </w:rPr>
              <w:t>密封性能</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u w:val="none"/>
                <w:lang w:val="en-US" w:eastAsia="zh-CN"/>
              </w:rPr>
              <w:t>元</w:t>
            </w:r>
            <w:r>
              <w:rPr>
                <w:rFonts w:hint="eastAsia" w:ascii="楷体" w:hAnsi="楷体" w:eastAsia="楷体" w:cs="楷体"/>
                <w:b w:val="0"/>
                <w:bCs/>
                <w:sz w:val="21"/>
                <w:szCs w:val="21"/>
                <w:highlight w:val="none"/>
                <w:lang w:val="en-US" w:eastAsia="zh-CN"/>
              </w:rPr>
              <w:t>。</w:t>
            </w:r>
          </w:p>
        </w:tc>
        <w:tc>
          <w:tcPr>
            <w:tcW w:w="1672" w:type="dxa"/>
            <w:noWrap w:val="0"/>
            <w:vAlign w:val="center"/>
          </w:tcPr>
          <w:p w14:paraId="7F5CA81B">
            <w:pPr>
              <w:keepNext w:val="0"/>
              <w:keepLines w:val="0"/>
              <w:pageBreakBefore w:val="0"/>
              <w:widowControl w:val="0"/>
              <w:kinsoku/>
              <w:wordWrap/>
              <w:overflowPunct/>
              <w:topLinePunct w:val="0"/>
              <w:autoSpaceDE/>
              <w:autoSpaceDN/>
              <w:bidi w:val="0"/>
              <w:adjustRightInd/>
              <w:snapToGrid/>
              <w:spacing w:line="360" w:lineRule="auto"/>
              <w:ind w:left="0" w:right="0" w:rightChars="0"/>
              <w:jc w:val="right"/>
              <w:textAlignment w:val="auto"/>
              <w:rPr>
                <w:rFonts w:hint="eastAsia" w:ascii="楷体" w:hAnsi="楷体" w:eastAsia="楷体" w:cs="楷体"/>
                <w:b w:val="0"/>
                <w:bCs/>
                <w:sz w:val="21"/>
                <w:szCs w:val="21"/>
                <w:highlight w:val="none"/>
                <w:lang w:val="en-US" w:eastAsia="zh-CN"/>
              </w:rPr>
            </w:pPr>
            <w:r>
              <w:rPr>
                <w:rFonts w:hint="eastAsia" w:ascii="楷体" w:hAnsi="楷体" w:eastAsia="楷体" w:cs="楷体"/>
                <w:b w:val="0"/>
                <w:bCs/>
                <w:sz w:val="21"/>
                <w:szCs w:val="21"/>
                <w:highlight w:val="none"/>
                <w:lang w:val="en-US" w:eastAsia="zh-CN"/>
              </w:rPr>
              <w:t>元</w:t>
            </w:r>
          </w:p>
        </w:tc>
      </w:tr>
      <w:tr w14:paraId="4054E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1204" w:type="dxa"/>
            <w:shd w:val="clear" w:color="auto" w:fill="auto"/>
            <w:noWrap w:val="0"/>
            <w:vAlign w:val="center"/>
          </w:tcPr>
          <w:p w14:paraId="124414E2">
            <w:pPr>
              <w:pageBreakBefore w:val="0"/>
              <w:overflowPunct/>
              <w:topLinePunct w:val="0"/>
              <w:bidi w:val="0"/>
              <w:snapToGrid/>
              <w:spacing w:line="360" w:lineRule="auto"/>
              <w:ind w:left="0" w:leftChars="0" w:right="0" w:rightChars="0"/>
              <w:jc w:val="left"/>
              <w:rPr>
                <w:rFonts w:hint="eastAsia" w:ascii="楷体" w:hAnsi="楷体" w:eastAsia="楷体" w:cs="楷体"/>
                <w:bCs/>
                <w:color w:val="auto"/>
                <w:kern w:val="2"/>
                <w:sz w:val="21"/>
                <w:szCs w:val="21"/>
                <w:highlight w:val="none"/>
                <w:lang w:val="en-US" w:eastAsia="zh-CN" w:bidi="ar-SA"/>
              </w:rPr>
            </w:pPr>
            <w:r>
              <w:rPr>
                <w:rFonts w:hint="eastAsia" w:ascii="楷体" w:hAnsi="楷体" w:eastAsia="楷体" w:cs="楷体"/>
                <w:bCs/>
                <w:color w:val="auto"/>
                <w:sz w:val="21"/>
                <w:szCs w:val="21"/>
                <w:highlight w:val="none"/>
                <w:lang w:eastAsia="zh-CN"/>
              </w:rPr>
              <w:t>防火门</w:t>
            </w:r>
          </w:p>
        </w:tc>
        <w:tc>
          <w:tcPr>
            <w:tcW w:w="2431" w:type="dxa"/>
            <w:shd w:val="clear" w:color="auto" w:fill="auto"/>
            <w:noWrap w:val="0"/>
            <w:vAlign w:val="center"/>
          </w:tcPr>
          <w:p w14:paraId="6C7B2E48">
            <w:pPr>
              <w:pageBreakBefore w:val="0"/>
              <w:overflowPunct/>
              <w:topLinePunct w:val="0"/>
              <w:bidi w:val="0"/>
              <w:snapToGrid/>
              <w:spacing w:line="360" w:lineRule="auto"/>
              <w:ind w:left="0" w:right="0" w:rightChars="0"/>
              <w:jc w:val="left"/>
              <w:rPr>
                <w:rFonts w:hint="eastAsia" w:ascii="楷体" w:hAnsi="楷体" w:eastAsia="楷体" w:cs="楷体"/>
                <w:bCs/>
                <w:color w:val="auto"/>
                <w:sz w:val="21"/>
                <w:szCs w:val="21"/>
                <w:highlight w:val="none"/>
                <w:lang w:eastAsia="zh-CN"/>
              </w:rPr>
            </w:pPr>
            <w:r>
              <w:rPr>
                <w:rFonts w:hint="eastAsia" w:ascii="楷体" w:hAnsi="楷体" w:eastAsia="楷体" w:cs="楷体"/>
                <w:bCs/>
                <w:color w:val="auto"/>
                <w:sz w:val="21"/>
                <w:szCs w:val="21"/>
                <w:highlight w:val="none"/>
                <w:lang w:eastAsia="zh-CN"/>
              </w:rPr>
              <w:t>GB 12955-</w:t>
            </w:r>
            <w:r>
              <w:rPr>
                <w:rFonts w:hint="eastAsia" w:ascii="楷体" w:hAnsi="楷体" w:eastAsia="楷体" w:cs="楷体"/>
                <w:bCs/>
                <w:color w:val="auto"/>
                <w:sz w:val="21"/>
                <w:szCs w:val="21"/>
                <w:highlight w:val="none"/>
                <w:lang w:val="en-US" w:eastAsia="zh-CN"/>
              </w:rPr>
              <w:t>2008</w:t>
            </w:r>
            <w:r>
              <w:rPr>
                <w:rFonts w:hint="eastAsia" w:ascii="楷体" w:hAnsi="楷体" w:eastAsia="楷体" w:cs="楷体"/>
                <w:bCs/>
                <w:color w:val="auto"/>
                <w:sz w:val="21"/>
                <w:szCs w:val="21"/>
                <w:highlight w:val="none"/>
                <w:lang w:eastAsia="zh-CN"/>
              </w:rPr>
              <w:t>等现行有效的企业标准、团体标准、地方标准及产品明示质量要求</w:t>
            </w:r>
          </w:p>
          <w:p w14:paraId="267B5DD9">
            <w:pPr>
              <w:pageBreakBefore w:val="0"/>
              <w:overflowPunct/>
              <w:topLinePunct w:val="0"/>
              <w:bidi w:val="0"/>
              <w:snapToGrid/>
              <w:spacing w:line="360" w:lineRule="auto"/>
              <w:ind w:left="0" w:leftChars="0" w:right="0" w:rightChars="0"/>
              <w:jc w:val="left"/>
              <w:rPr>
                <w:rFonts w:hint="eastAsia" w:ascii="楷体" w:hAnsi="楷体" w:eastAsia="楷体" w:cs="楷体"/>
                <w:bCs/>
                <w:color w:val="auto"/>
                <w:kern w:val="2"/>
                <w:sz w:val="21"/>
                <w:szCs w:val="21"/>
                <w:highlight w:val="none"/>
                <w:lang w:val="en-US" w:eastAsia="zh-CN" w:bidi="ar-SA"/>
              </w:rPr>
            </w:pPr>
          </w:p>
        </w:tc>
        <w:tc>
          <w:tcPr>
            <w:tcW w:w="4451" w:type="dxa"/>
            <w:noWrap w:val="0"/>
            <w:vAlign w:val="top"/>
          </w:tcPr>
          <w:p w14:paraId="2B1A21C2">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left"/>
              <w:textAlignment w:val="auto"/>
              <w:rPr>
                <w:rFonts w:hint="eastAsia" w:ascii="楷体" w:hAnsi="楷体" w:eastAsia="楷体" w:cs="楷体"/>
                <w:bCs/>
                <w:color w:val="auto"/>
                <w:sz w:val="21"/>
                <w:szCs w:val="21"/>
                <w:highlight w:val="none"/>
                <w:lang w:eastAsia="zh-CN"/>
              </w:rPr>
            </w:pPr>
            <w:r>
              <w:rPr>
                <w:rFonts w:hint="eastAsia" w:ascii="楷体" w:hAnsi="楷体" w:eastAsia="楷体" w:cs="楷体"/>
                <w:bCs/>
                <w:color w:val="auto"/>
                <w:sz w:val="21"/>
                <w:szCs w:val="21"/>
                <w:highlight w:val="none"/>
                <w:lang w:eastAsia="zh-CN"/>
              </w:rPr>
              <w:t>钢材-材质-冷轧钢材尺寸</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eastAsia="zh-CN"/>
              </w:rPr>
              <w:t>钢材-材质-热轧钢材尺寸</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eastAsia="zh-CN"/>
              </w:rPr>
              <w:t>人造板-含水率</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eastAsia="zh-CN"/>
              </w:rPr>
              <w:t>钢材-材料厚度</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eastAsia="zh-CN"/>
              </w:rPr>
              <w:t>防火插销</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eastAsia="zh-CN"/>
              </w:rPr>
              <w:t>盖缝板</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eastAsia="zh-CN"/>
              </w:rPr>
              <w:t>门扇质量</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u w:val="none"/>
                <w:lang w:val="en-US" w:eastAsia="zh-CN"/>
              </w:rPr>
              <w:t>元</w:t>
            </w:r>
            <w:r>
              <w:rPr>
                <w:rFonts w:hint="eastAsia" w:ascii="楷体" w:hAnsi="楷体" w:eastAsia="楷体" w:cs="楷体"/>
                <w:bCs/>
                <w:sz w:val="21"/>
                <w:szCs w:val="21"/>
                <w:highlight w:val="none"/>
                <w:lang w:val="en-US" w:eastAsia="zh-CN"/>
              </w:rPr>
              <w:t>；</w:t>
            </w:r>
            <w:r>
              <w:rPr>
                <w:rFonts w:hint="eastAsia" w:ascii="楷体" w:hAnsi="楷体" w:eastAsia="楷体" w:cs="楷体"/>
                <w:bCs/>
                <w:color w:val="auto"/>
                <w:sz w:val="21"/>
                <w:szCs w:val="21"/>
                <w:highlight w:val="none"/>
                <w:lang w:eastAsia="zh-CN"/>
              </w:rPr>
              <w:t>门扇高度</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u w:val="none"/>
                <w:lang w:val="en-US" w:eastAsia="zh-CN"/>
              </w:rPr>
              <w:t>元；</w:t>
            </w:r>
            <w:r>
              <w:rPr>
                <w:rFonts w:hint="eastAsia" w:ascii="楷体" w:hAnsi="楷体" w:eastAsia="楷体" w:cs="楷体"/>
                <w:bCs/>
                <w:color w:val="auto"/>
                <w:sz w:val="21"/>
                <w:szCs w:val="21"/>
                <w:highlight w:val="none"/>
                <w:lang w:eastAsia="zh-CN"/>
              </w:rPr>
              <w:t>门扇宽度</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u w:val="none"/>
                <w:lang w:val="en-US" w:eastAsia="zh-CN"/>
              </w:rPr>
              <w:t>元；</w:t>
            </w:r>
            <w:r>
              <w:rPr>
                <w:rFonts w:hint="eastAsia" w:ascii="楷体" w:hAnsi="楷体" w:eastAsia="楷体" w:cs="楷体"/>
                <w:bCs/>
                <w:color w:val="auto"/>
                <w:sz w:val="21"/>
                <w:szCs w:val="21"/>
                <w:highlight w:val="none"/>
                <w:lang w:eastAsia="zh-CN"/>
              </w:rPr>
              <w:t>门扇厚度</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eastAsia="zh-CN"/>
              </w:rPr>
              <w:t>门框内裁口高度</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eastAsia="zh-CN"/>
              </w:rPr>
              <w:t>门框内裁口宽度</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eastAsia="zh-CN"/>
              </w:rPr>
              <w:t>门框侧壁宽度</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eastAsia="zh-CN"/>
              </w:rPr>
              <w:t>门扇两对角线长度差</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eastAsia="zh-CN"/>
              </w:rPr>
              <w:t>门扇扭曲度</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eastAsia="zh-CN"/>
              </w:rPr>
              <w:t>门扇宽度（高度）方向弯曲度</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u w:val="none"/>
                <w:lang w:val="en-US" w:eastAsia="zh-CN"/>
              </w:rPr>
              <w:t>元</w:t>
            </w:r>
            <w:r>
              <w:rPr>
                <w:rFonts w:hint="eastAsia" w:ascii="楷体" w:hAnsi="楷体" w:eastAsia="楷体" w:cs="楷体"/>
                <w:bCs/>
                <w:sz w:val="21"/>
                <w:szCs w:val="21"/>
                <w:highlight w:val="none"/>
                <w:lang w:val="en-US" w:eastAsia="zh-CN"/>
              </w:rPr>
              <w:t>；</w:t>
            </w:r>
            <w:r>
              <w:rPr>
                <w:rFonts w:hint="eastAsia" w:ascii="楷体" w:hAnsi="楷体" w:eastAsia="楷体" w:cs="楷体"/>
                <w:bCs/>
                <w:color w:val="auto"/>
                <w:sz w:val="21"/>
                <w:szCs w:val="21"/>
                <w:highlight w:val="none"/>
                <w:lang w:eastAsia="zh-CN"/>
              </w:rPr>
              <w:t>门扇内裁口两对角线长度差</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u w:val="none"/>
                <w:lang w:val="en-US" w:eastAsia="zh-CN"/>
              </w:rPr>
              <w:t>元；</w:t>
            </w:r>
            <w:r>
              <w:rPr>
                <w:rFonts w:hint="eastAsia" w:ascii="楷体" w:hAnsi="楷体" w:eastAsia="楷体" w:cs="楷体"/>
                <w:bCs/>
                <w:color w:val="auto"/>
                <w:sz w:val="21"/>
                <w:szCs w:val="21"/>
                <w:highlight w:val="none"/>
                <w:lang w:eastAsia="zh-CN"/>
              </w:rPr>
              <w:t>门扇与门框的搭接尺寸</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u w:val="none"/>
                <w:lang w:val="en-US" w:eastAsia="zh-CN"/>
              </w:rPr>
              <w:t>元；</w:t>
            </w:r>
            <w:r>
              <w:rPr>
                <w:rFonts w:hint="eastAsia" w:ascii="楷体" w:hAnsi="楷体" w:eastAsia="楷体" w:cs="楷体"/>
                <w:bCs/>
                <w:color w:val="auto"/>
                <w:sz w:val="21"/>
                <w:szCs w:val="21"/>
                <w:highlight w:val="none"/>
                <w:lang w:eastAsia="zh-CN"/>
              </w:rPr>
              <w:t>门扇与门框的配合活动间隙</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u w:val="none"/>
                <w:lang w:val="en-US" w:eastAsia="zh-CN"/>
              </w:rPr>
              <w:t>元</w:t>
            </w:r>
            <w:r>
              <w:rPr>
                <w:rFonts w:hint="eastAsia" w:ascii="楷体" w:hAnsi="楷体" w:eastAsia="楷体" w:cs="楷体"/>
                <w:bCs/>
                <w:sz w:val="21"/>
                <w:szCs w:val="21"/>
                <w:highlight w:val="none"/>
                <w:lang w:val="en-US" w:eastAsia="zh-CN"/>
              </w:rPr>
              <w:t>；</w:t>
            </w:r>
            <w:r>
              <w:rPr>
                <w:rFonts w:hint="eastAsia" w:ascii="楷体" w:hAnsi="楷体" w:eastAsia="楷体" w:cs="楷体"/>
                <w:bCs/>
                <w:color w:val="auto"/>
                <w:sz w:val="21"/>
                <w:szCs w:val="21"/>
                <w:highlight w:val="none"/>
                <w:lang w:eastAsia="zh-CN"/>
              </w:rPr>
              <w:t>门扇与门框的贴合面间隙</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u w:val="none"/>
                <w:lang w:val="en-US" w:eastAsia="zh-CN"/>
              </w:rPr>
              <w:t>元；</w:t>
            </w:r>
            <w:r>
              <w:rPr>
                <w:rFonts w:hint="eastAsia" w:ascii="楷体" w:hAnsi="楷体" w:eastAsia="楷体" w:cs="楷体"/>
                <w:bCs/>
                <w:color w:val="auto"/>
                <w:sz w:val="21"/>
                <w:szCs w:val="21"/>
                <w:highlight w:val="none"/>
                <w:lang w:eastAsia="zh-CN"/>
              </w:rPr>
              <w:t>门的开面上门框与门扇的平面高低差</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u w:val="none"/>
                <w:lang w:val="en-US" w:eastAsia="zh-CN"/>
              </w:rPr>
              <w:t>元；</w:t>
            </w:r>
            <w:r>
              <w:rPr>
                <w:rFonts w:hint="eastAsia" w:ascii="楷体" w:hAnsi="楷体" w:eastAsia="楷体" w:cs="楷体"/>
                <w:bCs/>
                <w:color w:val="auto"/>
                <w:sz w:val="21"/>
                <w:szCs w:val="21"/>
                <w:highlight w:val="none"/>
                <w:lang w:eastAsia="zh-CN"/>
              </w:rPr>
              <w:t>灵活性</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u w:val="none"/>
                <w:lang w:val="en-US" w:eastAsia="zh-CN"/>
              </w:rPr>
              <w:t>元</w:t>
            </w:r>
            <w:r>
              <w:rPr>
                <w:rFonts w:hint="eastAsia" w:ascii="楷体" w:hAnsi="楷体" w:eastAsia="楷体" w:cs="楷体"/>
                <w:bCs/>
                <w:sz w:val="21"/>
                <w:szCs w:val="21"/>
                <w:highlight w:val="none"/>
                <w:lang w:val="en-US" w:eastAsia="zh-CN"/>
              </w:rPr>
              <w:t>；启闭</w:t>
            </w:r>
            <w:r>
              <w:rPr>
                <w:rFonts w:hint="eastAsia" w:ascii="楷体" w:hAnsi="楷体" w:eastAsia="楷体" w:cs="楷体"/>
                <w:bCs/>
                <w:color w:val="auto"/>
                <w:sz w:val="21"/>
                <w:szCs w:val="21"/>
                <w:highlight w:val="none"/>
                <w:lang w:eastAsia="zh-CN"/>
              </w:rPr>
              <w:t>灵活性</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u w:val="none"/>
                <w:lang w:val="en-US" w:eastAsia="zh-CN"/>
              </w:rPr>
              <w:t>元</w:t>
            </w:r>
            <w:r>
              <w:rPr>
                <w:rFonts w:hint="eastAsia" w:ascii="楷体" w:hAnsi="楷体" w:eastAsia="楷体" w:cs="楷体"/>
                <w:bCs/>
                <w:sz w:val="21"/>
                <w:szCs w:val="21"/>
                <w:highlight w:val="none"/>
                <w:lang w:val="en-US" w:eastAsia="zh-CN"/>
              </w:rPr>
              <w:t>；</w:t>
            </w:r>
            <w:r>
              <w:rPr>
                <w:rFonts w:hint="eastAsia" w:ascii="楷体" w:hAnsi="楷体" w:eastAsia="楷体" w:cs="楷体"/>
                <w:bCs/>
                <w:color w:val="auto"/>
                <w:sz w:val="21"/>
                <w:szCs w:val="21"/>
                <w:highlight w:val="none"/>
                <w:lang w:eastAsia="zh-CN"/>
              </w:rPr>
              <w:t>门扇开启力</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u w:val="none"/>
                <w:lang w:val="en-US" w:eastAsia="zh-CN"/>
              </w:rPr>
              <w:t>元；</w:t>
            </w:r>
            <w:r>
              <w:rPr>
                <w:rFonts w:hint="eastAsia" w:ascii="楷体" w:hAnsi="楷体" w:eastAsia="楷体" w:cs="楷体"/>
                <w:bCs/>
                <w:color w:val="auto"/>
                <w:sz w:val="21"/>
                <w:szCs w:val="21"/>
                <w:highlight w:val="none"/>
                <w:lang w:eastAsia="zh-CN"/>
              </w:rPr>
              <w:t>耐火性能</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u w:val="none"/>
                <w:lang w:val="en-US" w:eastAsia="zh-CN"/>
              </w:rPr>
              <w:t>元。</w:t>
            </w:r>
          </w:p>
        </w:tc>
        <w:tc>
          <w:tcPr>
            <w:tcW w:w="1672" w:type="dxa"/>
            <w:noWrap w:val="0"/>
            <w:vAlign w:val="center"/>
          </w:tcPr>
          <w:p w14:paraId="6A020C7E">
            <w:pPr>
              <w:keepNext w:val="0"/>
              <w:keepLines w:val="0"/>
              <w:pageBreakBefore w:val="0"/>
              <w:widowControl w:val="0"/>
              <w:kinsoku/>
              <w:wordWrap/>
              <w:overflowPunct/>
              <w:topLinePunct w:val="0"/>
              <w:autoSpaceDE/>
              <w:autoSpaceDN/>
              <w:bidi w:val="0"/>
              <w:adjustRightInd/>
              <w:snapToGrid/>
              <w:spacing w:line="360" w:lineRule="auto"/>
              <w:ind w:left="0" w:right="0" w:rightChars="0"/>
              <w:jc w:val="right"/>
              <w:textAlignment w:val="auto"/>
              <w:rPr>
                <w:rFonts w:hint="eastAsia" w:ascii="楷体" w:hAnsi="楷体" w:eastAsia="楷体" w:cs="楷体"/>
                <w:b w:val="0"/>
                <w:bCs/>
                <w:sz w:val="21"/>
                <w:szCs w:val="21"/>
                <w:highlight w:val="none"/>
                <w:lang w:val="en-US" w:eastAsia="zh-CN"/>
              </w:rPr>
            </w:pPr>
            <w:r>
              <w:rPr>
                <w:rFonts w:hint="eastAsia" w:ascii="楷体" w:hAnsi="楷体" w:eastAsia="楷体" w:cs="楷体"/>
                <w:b w:val="0"/>
                <w:bCs/>
                <w:sz w:val="21"/>
                <w:szCs w:val="21"/>
                <w:highlight w:val="none"/>
                <w:lang w:val="en-US" w:eastAsia="zh-CN"/>
              </w:rPr>
              <w:t>元</w:t>
            </w:r>
          </w:p>
        </w:tc>
      </w:tr>
      <w:tr w14:paraId="42F04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2" w:hRule="atLeast"/>
        </w:trPr>
        <w:tc>
          <w:tcPr>
            <w:tcW w:w="1204" w:type="dxa"/>
            <w:shd w:val="clear" w:color="auto" w:fill="auto"/>
            <w:noWrap w:val="0"/>
            <w:vAlign w:val="center"/>
          </w:tcPr>
          <w:p w14:paraId="5E3CBD22">
            <w:pPr>
              <w:pageBreakBefore w:val="0"/>
              <w:overflowPunct/>
              <w:topLinePunct w:val="0"/>
              <w:bidi w:val="0"/>
              <w:snapToGrid/>
              <w:spacing w:line="360" w:lineRule="auto"/>
              <w:ind w:left="0" w:leftChars="0" w:right="0" w:rightChars="0"/>
              <w:jc w:val="left"/>
              <w:rPr>
                <w:rFonts w:hint="eastAsia" w:ascii="楷体" w:hAnsi="楷体" w:eastAsia="楷体" w:cs="楷体"/>
                <w:bCs/>
                <w:color w:val="auto"/>
                <w:kern w:val="2"/>
                <w:sz w:val="21"/>
                <w:szCs w:val="21"/>
                <w:highlight w:val="none"/>
                <w:lang w:val="en-US" w:eastAsia="zh-CN" w:bidi="ar-SA"/>
              </w:rPr>
            </w:pPr>
            <w:r>
              <w:rPr>
                <w:rFonts w:hint="eastAsia" w:ascii="楷体" w:hAnsi="楷体" w:eastAsia="楷体" w:cs="楷体"/>
                <w:bCs/>
                <w:color w:val="auto"/>
                <w:sz w:val="21"/>
                <w:szCs w:val="21"/>
                <w:highlight w:val="none"/>
                <w:lang w:eastAsia="zh-CN"/>
              </w:rPr>
              <w:t>防火玻璃</w:t>
            </w:r>
          </w:p>
        </w:tc>
        <w:tc>
          <w:tcPr>
            <w:tcW w:w="2431" w:type="dxa"/>
            <w:shd w:val="clear" w:color="auto" w:fill="auto"/>
            <w:noWrap w:val="0"/>
            <w:vAlign w:val="center"/>
          </w:tcPr>
          <w:p w14:paraId="317881D6">
            <w:pPr>
              <w:pageBreakBefore w:val="0"/>
              <w:overflowPunct/>
              <w:topLinePunct w:val="0"/>
              <w:bidi w:val="0"/>
              <w:snapToGrid/>
              <w:spacing w:line="360" w:lineRule="auto"/>
              <w:ind w:left="0" w:right="0" w:rightChars="0"/>
              <w:jc w:val="left"/>
              <w:rPr>
                <w:rFonts w:hint="eastAsia" w:ascii="楷体" w:hAnsi="楷体" w:eastAsia="楷体" w:cs="楷体"/>
                <w:bCs/>
                <w:color w:val="auto"/>
                <w:sz w:val="21"/>
                <w:szCs w:val="21"/>
                <w:highlight w:val="none"/>
                <w:lang w:eastAsia="zh-CN"/>
              </w:rPr>
            </w:pPr>
            <w:r>
              <w:rPr>
                <w:rFonts w:hint="eastAsia" w:ascii="楷体" w:hAnsi="楷体" w:eastAsia="楷体" w:cs="楷体"/>
                <w:bCs/>
                <w:color w:val="auto"/>
                <w:sz w:val="21"/>
                <w:szCs w:val="21"/>
                <w:highlight w:val="none"/>
                <w:lang w:eastAsia="zh-CN"/>
              </w:rPr>
              <w:t>GB 15763.1-2009等现行有效的企业标准、团体标准、地方标准及产品明示质量要求</w:t>
            </w:r>
          </w:p>
          <w:p w14:paraId="79186A17">
            <w:pPr>
              <w:pageBreakBefore w:val="0"/>
              <w:overflowPunct/>
              <w:topLinePunct w:val="0"/>
              <w:bidi w:val="0"/>
              <w:snapToGrid/>
              <w:spacing w:line="360" w:lineRule="auto"/>
              <w:ind w:left="0" w:leftChars="0" w:right="0" w:rightChars="0"/>
              <w:jc w:val="left"/>
              <w:rPr>
                <w:rFonts w:hint="eastAsia" w:ascii="楷体" w:hAnsi="楷体" w:eastAsia="楷体" w:cs="楷体"/>
                <w:bCs/>
                <w:color w:val="auto"/>
                <w:kern w:val="2"/>
                <w:sz w:val="21"/>
                <w:szCs w:val="21"/>
                <w:highlight w:val="none"/>
                <w:lang w:val="en-US" w:eastAsia="zh-CN" w:bidi="ar-SA"/>
              </w:rPr>
            </w:pPr>
          </w:p>
        </w:tc>
        <w:tc>
          <w:tcPr>
            <w:tcW w:w="4451" w:type="dxa"/>
            <w:noWrap w:val="0"/>
            <w:vAlign w:val="top"/>
          </w:tcPr>
          <w:p w14:paraId="7152E69E">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left"/>
              <w:textAlignment w:val="auto"/>
              <w:rPr>
                <w:rFonts w:hint="eastAsia" w:ascii="楷体" w:hAnsi="楷体" w:eastAsia="楷体" w:cs="楷体"/>
                <w:bCs/>
                <w:sz w:val="21"/>
                <w:szCs w:val="21"/>
                <w:highlight w:val="none"/>
                <w:lang w:val="en-US" w:eastAsia="zh-CN"/>
              </w:rPr>
            </w:pPr>
            <w:r>
              <w:rPr>
                <w:rFonts w:hint="eastAsia" w:ascii="楷体" w:hAnsi="楷体" w:eastAsia="楷体" w:cs="楷体"/>
                <w:bCs/>
                <w:color w:val="auto"/>
                <w:sz w:val="21"/>
                <w:szCs w:val="21"/>
                <w:highlight w:val="none"/>
                <w:lang w:eastAsia="zh-CN"/>
              </w:rPr>
              <w:t>耐热性能</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eastAsia="zh-CN"/>
              </w:rPr>
              <w:t>耐寒性能</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eastAsia="zh-CN"/>
              </w:rPr>
              <w:t>耐火性能</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eastAsia="zh-CN"/>
              </w:rPr>
              <w:t>可见光透射比</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u w:val="none"/>
                <w:lang w:val="en-US" w:eastAsia="zh-CN"/>
              </w:rPr>
              <w:t>元</w:t>
            </w:r>
            <w:r>
              <w:rPr>
                <w:rFonts w:hint="eastAsia" w:ascii="楷体" w:hAnsi="楷体" w:eastAsia="楷体" w:cs="楷体"/>
                <w:b w:val="0"/>
                <w:bCs/>
                <w:sz w:val="21"/>
                <w:szCs w:val="21"/>
                <w:highlight w:val="none"/>
                <w:lang w:val="en-US" w:eastAsia="zh-CN"/>
              </w:rPr>
              <w:t>。</w:t>
            </w:r>
          </w:p>
        </w:tc>
        <w:tc>
          <w:tcPr>
            <w:tcW w:w="1672" w:type="dxa"/>
            <w:noWrap w:val="0"/>
            <w:vAlign w:val="center"/>
          </w:tcPr>
          <w:p w14:paraId="58B19622">
            <w:pPr>
              <w:keepNext w:val="0"/>
              <w:keepLines w:val="0"/>
              <w:pageBreakBefore w:val="0"/>
              <w:widowControl w:val="0"/>
              <w:kinsoku/>
              <w:wordWrap/>
              <w:overflowPunct/>
              <w:topLinePunct w:val="0"/>
              <w:autoSpaceDE/>
              <w:autoSpaceDN/>
              <w:bidi w:val="0"/>
              <w:adjustRightInd/>
              <w:snapToGrid/>
              <w:spacing w:line="360" w:lineRule="auto"/>
              <w:ind w:left="0" w:right="0" w:rightChars="0"/>
              <w:jc w:val="right"/>
              <w:textAlignment w:val="auto"/>
              <w:rPr>
                <w:rFonts w:hint="eastAsia" w:ascii="楷体" w:hAnsi="楷体" w:eastAsia="楷体" w:cs="楷体"/>
                <w:b w:val="0"/>
                <w:bCs/>
                <w:sz w:val="21"/>
                <w:szCs w:val="21"/>
                <w:highlight w:val="none"/>
                <w:lang w:val="en-US" w:eastAsia="zh-CN"/>
              </w:rPr>
            </w:pPr>
            <w:r>
              <w:rPr>
                <w:rFonts w:hint="eastAsia" w:ascii="楷体" w:hAnsi="楷体" w:eastAsia="楷体" w:cs="楷体"/>
                <w:b w:val="0"/>
                <w:bCs/>
                <w:sz w:val="21"/>
                <w:szCs w:val="21"/>
                <w:highlight w:val="none"/>
                <w:lang w:val="en-US" w:eastAsia="zh-CN"/>
              </w:rPr>
              <w:t>元</w:t>
            </w:r>
          </w:p>
        </w:tc>
      </w:tr>
      <w:tr w14:paraId="21679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2" w:hRule="atLeast"/>
        </w:trPr>
        <w:tc>
          <w:tcPr>
            <w:tcW w:w="1204" w:type="dxa"/>
            <w:shd w:val="clear" w:color="auto" w:fill="auto"/>
            <w:noWrap w:val="0"/>
            <w:vAlign w:val="center"/>
          </w:tcPr>
          <w:p w14:paraId="3055BC7F">
            <w:pPr>
              <w:pageBreakBefore w:val="0"/>
              <w:overflowPunct/>
              <w:topLinePunct w:val="0"/>
              <w:bidi w:val="0"/>
              <w:snapToGrid/>
              <w:spacing w:line="360" w:lineRule="auto"/>
              <w:ind w:left="0" w:leftChars="0" w:right="0" w:rightChars="0"/>
              <w:jc w:val="left"/>
              <w:rPr>
                <w:rFonts w:hint="eastAsia" w:ascii="楷体" w:hAnsi="楷体" w:eastAsia="楷体" w:cs="楷体"/>
                <w:b w:val="0"/>
                <w:bCs/>
                <w:sz w:val="21"/>
                <w:szCs w:val="21"/>
                <w:highlight w:val="none"/>
                <w:lang w:val="en-US" w:eastAsia="zh-CN"/>
              </w:rPr>
            </w:pPr>
            <w:r>
              <w:rPr>
                <w:rFonts w:hint="eastAsia" w:ascii="楷体" w:hAnsi="楷体" w:eastAsia="楷体" w:cs="楷体"/>
                <w:bCs/>
                <w:color w:val="auto"/>
                <w:sz w:val="21"/>
                <w:szCs w:val="21"/>
                <w:highlight w:val="none"/>
                <w:lang w:eastAsia="zh-CN"/>
              </w:rPr>
              <w:t>防火窗</w:t>
            </w:r>
          </w:p>
        </w:tc>
        <w:tc>
          <w:tcPr>
            <w:tcW w:w="2431" w:type="dxa"/>
            <w:shd w:val="clear" w:color="auto" w:fill="auto"/>
            <w:noWrap w:val="0"/>
            <w:vAlign w:val="center"/>
          </w:tcPr>
          <w:p w14:paraId="035171F9">
            <w:pPr>
              <w:pageBreakBefore w:val="0"/>
              <w:overflowPunct/>
              <w:topLinePunct w:val="0"/>
              <w:bidi w:val="0"/>
              <w:snapToGrid/>
              <w:spacing w:line="360" w:lineRule="auto"/>
              <w:ind w:left="0" w:right="0" w:rightChars="0"/>
              <w:jc w:val="left"/>
              <w:rPr>
                <w:rFonts w:hint="eastAsia" w:ascii="楷体" w:hAnsi="楷体" w:eastAsia="楷体" w:cs="楷体"/>
                <w:bCs/>
                <w:color w:val="auto"/>
                <w:sz w:val="21"/>
                <w:szCs w:val="21"/>
                <w:highlight w:val="none"/>
                <w:lang w:eastAsia="zh-CN"/>
              </w:rPr>
            </w:pPr>
            <w:r>
              <w:rPr>
                <w:rFonts w:hint="eastAsia" w:ascii="楷体" w:hAnsi="楷体" w:eastAsia="楷体" w:cs="楷体"/>
                <w:bCs/>
                <w:color w:val="auto"/>
                <w:sz w:val="21"/>
                <w:szCs w:val="21"/>
                <w:highlight w:val="none"/>
                <w:lang w:eastAsia="zh-CN"/>
              </w:rPr>
              <w:t>GB 16809-</w:t>
            </w:r>
            <w:r>
              <w:rPr>
                <w:rFonts w:hint="eastAsia" w:ascii="楷体" w:hAnsi="楷体" w:eastAsia="楷体" w:cs="楷体"/>
                <w:bCs/>
                <w:color w:val="auto"/>
                <w:sz w:val="21"/>
                <w:szCs w:val="21"/>
                <w:highlight w:val="none"/>
                <w:lang w:val="en-US" w:eastAsia="zh-CN"/>
              </w:rPr>
              <w:t>2008</w:t>
            </w:r>
            <w:r>
              <w:rPr>
                <w:rFonts w:hint="eastAsia" w:ascii="楷体" w:hAnsi="楷体" w:eastAsia="楷体" w:cs="楷体"/>
                <w:bCs/>
                <w:color w:val="auto"/>
                <w:sz w:val="21"/>
                <w:szCs w:val="21"/>
                <w:highlight w:val="none"/>
                <w:lang w:eastAsia="zh-CN"/>
              </w:rPr>
              <w:t>等现行有效的企业标准、团体标准、地方标准及产品明示质量要求</w:t>
            </w:r>
          </w:p>
          <w:p w14:paraId="7777AE75">
            <w:pPr>
              <w:pageBreakBefore w:val="0"/>
              <w:overflowPunct/>
              <w:topLinePunct w:val="0"/>
              <w:bidi w:val="0"/>
              <w:snapToGrid/>
              <w:spacing w:line="360" w:lineRule="auto"/>
              <w:ind w:left="0" w:leftChars="0" w:right="0" w:rightChars="0"/>
              <w:jc w:val="left"/>
              <w:rPr>
                <w:rFonts w:hint="eastAsia" w:ascii="楷体" w:hAnsi="楷体" w:eastAsia="楷体" w:cs="楷体"/>
                <w:b w:val="0"/>
                <w:bCs/>
                <w:sz w:val="21"/>
                <w:szCs w:val="21"/>
                <w:highlight w:val="none"/>
                <w:lang w:val="en-US" w:eastAsia="zh-CN"/>
              </w:rPr>
            </w:pPr>
          </w:p>
        </w:tc>
        <w:tc>
          <w:tcPr>
            <w:tcW w:w="4451" w:type="dxa"/>
            <w:noWrap w:val="0"/>
            <w:vAlign w:val="top"/>
          </w:tcPr>
          <w:p w14:paraId="24063DC8">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left"/>
              <w:textAlignment w:val="auto"/>
              <w:rPr>
                <w:rFonts w:hint="eastAsia" w:ascii="楷体" w:hAnsi="楷体" w:eastAsia="楷体" w:cs="楷体"/>
                <w:bCs/>
                <w:color w:val="auto"/>
                <w:sz w:val="21"/>
                <w:szCs w:val="21"/>
                <w:highlight w:val="none"/>
                <w:lang w:val="en-US" w:eastAsia="zh-CN"/>
              </w:rPr>
            </w:pPr>
            <w:r>
              <w:rPr>
                <w:rFonts w:hint="eastAsia" w:ascii="楷体" w:hAnsi="楷体" w:eastAsia="楷体" w:cs="楷体"/>
                <w:bCs/>
                <w:color w:val="auto"/>
                <w:sz w:val="21"/>
                <w:szCs w:val="21"/>
                <w:highlight w:val="none"/>
                <w:lang w:eastAsia="zh-CN"/>
              </w:rPr>
              <w:t>防火窗的尺寸偏差</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eastAsia="zh-CN"/>
              </w:rPr>
              <w:t>活动窗扇的尺寸偏差</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eastAsia="zh-CN"/>
              </w:rPr>
              <w:t>活动窗扇与窗框的搭接宽度偏差</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eastAsia="zh-CN"/>
              </w:rPr>
              <w:t>窗扇扭曲度</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eastAsia="zh-CN"/>
              </w:rPr>
              <w:t>窗扇关闭可靠性</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eastAsia="zh-CN"/>
              </w:rPr>
              <w:t>窗扇自动关闭时间</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eastAsia="zh-CN"/>
              </w:rPr>
              <w:t>耐火性能</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u w:val="none"/>
                <w:lang w:val="en-US" w:eastAsia="zh-CN"/>
              </w:rPr>
              <w:t>元</w:t>
            </w:r>
            <w:r>
              <w:rPr>
                <w:rFonts w:hint="eastAsia" w:ascii="楷体" w:hAnsi="楷体" w:eastAsia="楷体" w:cs="楷体"/>
                <w:b w:val="0"/>
                <w:bCs/>
                <w:sz w:val="21"/>
                <w:szCs w:val="21"/>
                <w:highlight w:val="none"/>
                <w:lang w:val="en-US" w:eastAsia="zh-CN"/>
              </w:rPr>
              <w:t>。</w:t>
            </w:r>
          </w:p>
        </w:tc>
        <w:tc>
          <w:tcPr>
            <w:tcW w:w="1672" w:type="dxa"/>
            <w:noWrap w:val="0"/>
            <w:vAlign w:val="center"/>
          </w:tcPr>
          <w:p w14:paraId="27B58210">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right"/>
              <w:textAlignment w:val="auto"/>
              <w:rPr>
                <w:rFonts w:hint="eastAsia" w:ascii="楷体" w:hAnsi="楷体" w:eastAsia="楷体" w:cs="楷体"/>
                <w:b w:val="0"/>
                <w:bCs/>
                <w:sz w:val="21"/>
                <w:szCs w:val="21"/>
                <w:highlight w:val="none"/>
                <w:lang w:val="en-US" w:eastAsia="zh-CN"/>
              </w:rPr>
            </w:pPr>
            <w:r>
              <w:rPr>
                <w:rFonts w:hint="eastAsia" w:ascii="楷体" w:hAnsi="楷体" w:eastAsia="楷体" w:cs="楷体"/>
                <w:b w:val="0"/>
                <w:bCs/>
                <w:sz w:val="21"/>
                <w:szCs w:val="21"/>
                <w:highlight w:val="none"/>
                <w:lang w:val="en-US" w:eastAsia="zh-CN"/>
              </w:rPr>
              <w:t>元</w:t>
            </w:r>
          </w:p>
        </w:tc>
      </w:tr>
      <w:tr w14:paraId="76BCB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2" w:hRule="atLeast"/>
        </w:trPr>
        <w:tc>
          <w:tcPr>
            <w:tcW w:w="1204" w:type="dxa"/>
            <w:shd w:val="clear" w:color="auto" w:fill="auto"/>
            <w:noWrap w:val="0"/>
            <w:vAlign w:val="center"/>
          </w:tcPr>
          <w:p w14:paraId="12610799">
            <w:pPr>
              <w:pageBreakBefore w:val="0"/>
              <w:overflowPunct/>
              <w:topLinePunct w:val="0"/>
              <w:bidi w:val="0"/>
              <w:snapToGrid/>
              <w:spacing w:line="360" w:lineRule="auto"/>
              <w:ind w:left="0" w:leftChars="0" w:right="0" w:rightChars="0"/>
              <w:jc w:val="left"/>
              <w:rPr>
                <w:rFonts w:hint="eastAsia" w:ascii="楷体" w:hAnsi="楷体" w:eastAsia="楷体" w:cs="楷体"/>
                <w:bCs/>
                <w:color w:val="auto"/>
                <w:kern w:val="2"/>
                <w:sz w:val="21"/>
                <w:szCs w:val="21"/>
                <w:highlight w:val="none"/>
                <w:lang w:val="en-US" w:eastAsia="zh-CN" w:bidi="ar-SA"/>
              </w:rPr>
            </w:pPr>
            <w:r>
              <w:rPr>
                <w:rFonts w:hint="eastAsia" w:ascii="楷体" w:hAnsi="楷体" w:eastAsia="楷体" w:cs="楷体"/>
                <w:bCs/>
                <w:color w:val="auto"/>
                <w:sz w:val="21"/>
                <w:szCs w:val="21"/>
                <w:highlight w:val="none"/>
                <w:lang w:eastAsia="zh-CN"/>
              </w:rPr>
              <w:t>消防水枪</w:t>
            </w:r>
          </w:p>
        </w:tc>
        <w:tc>
          <w:tcPr>
            <w:tcW w:w="2431" w:type="dxa"/>
            <w:shd w:val="clear" w:color="auto" w:fill="auto"/>
            <w:noWrap w:val="0"/>
            <w:vAlign w:val="center"/>
          </w:tcPr>
          <w:p w14:paraId="60E9E1E6">
            <w:pPr>
              <w:pageBreakBefore w:val="0"/>
              <w:overflowPunct/>
              <w:topLinePunct w:val="0"/>
              <w:bidi w:val="0"/>
              <w:snapToGrid/>
              <w:spacing w:line="360" w:lineRule="auto"/>
              <w:ind w:left="0" w:right="0" w:rightChars="0"/>
              <w:jc w:val="left"/>
              <w:rPr>
                <w:rFonts w:hint="eastAsia" w:ascii="楷体" w:hAnsi="楷体" w:eastAsia="楷体" w:cs="楷体"/>
                <w:bCs/>
                <w:color w:val="auto"/>
                <w:sz w:val="21"/>
                <w:szCs w:val="21"/>
                <w:highlight w:val="none"/>
                <w:lang w:eastAsia="zh-CN"/>
              </w:rPr>
            </w:pPr>
            <w:r>
              <w:rPr>
                <w:rFonts w:hint="eastAsia" w:ascii="楷体" w:hAnsi="楷体" w:eastAsia="楷体" w:cs="楷体"/>
                <w:bCs/>
                <w:color w:val="auto"/>
                <w:sz w:val="21"/>
                <w:szCs w:val="21"/>
                <w:highlight w:val="none"/>
                <w:lang w:eastAsia="zh-CN"/>
              </w:rPr>
              <w:t>GB 8181-2005等现行有效的企业标准、团体标准、地方标准及产品明示质量要求</w:t>
            </w:r>
          </w:p>
          <w:p w14:paraId="24C4CB03">
            <w:pPr>
              <w:pageBreakBefore w:val="0"/>
              <w:overflowPunct/>
              <w:topLinePunct w:val="0"/>
              <w:bidi w:val="0"/>
              <w:snapToGrid/>
              <w:spacing w:line="360" w:lineRule="auto"/>
              <w:ind w:left="0" w:leftChars="0" w:right="0" w:rightChars="0"/>
              <w:jc w:val="left"/>
              <w:rPr>
                <w:rFonts w:hint="eastAsia" w:ascii="楷体" w:hAnsi="楷体" w:eastAsia="楷体" w:cs="楷体"/>
                <w:bCs/>
                <w:color w:val="auto"/>
                <w:kern w:val="2"/>
                <w:sz w:val="21"/>
                <w:szCs w:val="21"/>
                <w:highlight w:val="none"/>
                <w:lang w:val="en-US" w:eastAsia="zh-CN" w:bidi="ar-SA"/>
              </w:rPr>
            </w:pPr>
          </w:p>
        </w:tc>
        <w:tc>
          <w:tcPr>
            <w:tcW w:w="4451" w:type="dxa"/>
            <w:noWrap w:val="0"/>
            <w:vAlign w:val="top"/>
          </w:tcPr>
          <w:p w14:paraId="00C3871D">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left"/>
              <w:textAlignment w:val="auto"/>
              <w:rPr>
                <w:rFonts w:hint="eastAsia" w:ascii="楷体" w:hAnsi="楷体" w:eastAsia="楷体" w:cs="楷体"/>
                <w:bCs/>
                <w:color w:val="auto"/>
                <w:sz w:val="21"/>
                <w:szCs w:val="21"/>
                <w:highlight w:val="none"/>
                <w:lang w:val="en-US" w:eastAsia="zh-CN"/>
              </w:rPr>
            </w:pPr>
            <w:r>
              <w:rPr>
                <w:rFonts w:hint="eastAsia" w:ascii="楷体" w:hAnsi="楷体" w:eastAsia="楷体" w:cs="楷体"/>
                <w:bCs/>
                <w:color w:val="auto"/>
                <w:sz w:val="21"/>
                <w:szCs w:val="21"/>
                <w:highlight w:val="none"/>
                <w:lang w:eastAsia="zh-CN"/>
              </w:rPr>
              <w:t>操作力矩测定</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eastAsia="zh-CN"/>
              </w:rPr>
              <w:t>密封性能</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eastAsia="zh-CN"/>
              </w:rPr>
              <w:t>耐水压强度试验</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eastAsia="zh-CN"/>
              </w:rPr>
              <w:t>跌落试验</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eastAsia="zh-CN"/>
              </w:rPr>
              <w:t>盐雾试验</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u w:val="none"/>
                <w:lang w:val="en-US" w:eastAsia="zh-CN"/>
              </w:rPr>
              <w:t>元</w:t>
            </w:r>
            <w:r>
              <w:rPr>
                <w:rFonts w:hint="eastAsia" w:ascii="楷体" w:hAnsi="楷体" w:eastAsia="楷体" w:cs="楷体"/>
                <w:b w:val="0"/>
                <w:bCs/>
                <w:sz w:val="21"/>
                <w:szCs w:val="21"/>
                <w:highlight w:val="none"/>
                <w:lang w:val="en-US" w:eastAsia="zh-CN"/>
              </w:rPr>
              <w:t>。</w:t>
            </w:r>
          </w:p>
        </w:tc>
        <w:tc>
          <w:tcPr>
            <w:tcW w:w="1672" w:type="dxa"/>
            <w:noWrap w:val="0"/>
            <w:vAlign w:val="center"/>
          </w:tcPr>
          <w:p w14:paraId="34C86CE8">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right"/>
              <w:textAlignment w:val="auto"/>
              <w:rPr>
                <w:rFonts w:hint="eastAsia" w:ascii="楷体" w:hAnsi="楷体" w:eastAsia="楷体" w:cs="楷体"/>
                <w:b w:val="0"/>
                <w:bCs/>
                <w:sz w:val="21"/>
                <w:szCs w:val="21"/>
                <w:highlight w:val="none"/>
                <w:lang w:val="en-US" w:eastAsia="zh-CN"/>
              </w:rPr>
            </w:pPr>
            <w:r>
              <w:rPr>
                <w:rFonts w:hint="eastAsia" w:ascii="楷体" w:hAnsi="楷体" w:eastAsia="楷体" w:cs="楷体"/>
                <w:b w:val="0"/>
                <w:bCs/>
                <w:sz w:val="21"/>
                <w:szCs w:val="21"/>
                <w:highlight w:val="none"/>
                <w:lang w:val="en-US" w:eastAsia="zh-CN"/>
              </w:rPr>
              <w:t>元</w:t>
            </w:r>
          </w:p>
        </w:tc>
      </w:tr>
      <w:tr w14:paraId="706E7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2" w:hRule="atLeast"/>
        </w:trPr>
        <w:tc>
          <w:tcPr>
            <w:tcW w:w="1204" w:type="dxa"/>
            <w:shd w:val="clear" w:color="auto" w:fill="auto"/>
            <w:noWrap w:val="0"/>
            <w:vAlign w:val="center"/>
          </w:tcPr>
          <w:p w14:paraId="791BF469">
            <w:pPr>
              <w:pageBreakBefore w:val="0"/>
              <w:overflowPunct/>
              <w:topLinePunct w:val="0"/>
              <w:bidi w:val="0"/>
              <w:snapToGrid/>
              <w:spacing w:line="360" w:lineRule="auto"/>
              <w:ind w:left="0" w:leftChars="0" w:right="0" w:rightChars="0"/>
              <w:jc w:val="left"/>
              <w:rPr>
                <w:rFonts w:hint="eastAsia" w:ascii="楷体" w:hAnsi="楷体" w:eastAsia="楷体" w:cs="楷体"/>
                <w:bCs/>
                <w:color w:val="auto"/>
                <w:kern w:val="2"/>
                <w:sz w:val="21"/>
                <w:szCs w:val="21"/>
                <w:highlight w:val="none"/>
                <w:lang w:val="en-US" w:eastAsia="zh-CN" w:bidi="ar-SA"/>
              </w:rPr>
            </w:pPr>
            <w:r>
              <w:rPr>
                <w:rFonts w:hint="eastAsia" w:ascii="楷体" w:hAnsi="楷体" w:eastAsia="楷体" w:cs="楷体"/>
                <w:bCs/>
                <w:color w:val="auto"/>
                <w:sz w:val="21"/>
                <w:szCs w:val="21"/>
                <w:highlight w:val="none"/>
                <w:lang w:eastAsia="zh-CN"/>
              </w:rPr>
              <w:t>消防应急灯具</w:t>
            </w:r>
          </w:p>
        </w:tc>
        <w:tc>
          <w:tcPr>
            <w:tcW w:w="2431" w:type="dxa"/>
            <w:shd w:val="clear" w:color="auto" w:fill="auto"/>
            <w:noWrap w:val="0"/>
            <w:vAlign w:val="center"/>
          </w:tcPr>
          <w:p w14:paraId="0E09D4DD">
            <w:pPr>
              <w:pageBreakBefore w:val="0"/>
              <w:overflowPunct/>
              <w:topLinePunct w:val="0"/>
              <w:bidi w:val="0"/>
              <w:snapToGrid/>
              <w:spacing w:line="360" w:lineRule="auto"/>
              <w:ind w:left="0" w:right="0" w:rightChars="0"/>
              <w:jc w:val="left"/>
              <w:rPr>
                <w:rFonts w:hint="eastAsia" w:ascii="楷体" w:hAnsi="楷体" w:eastAsia="楷体" w:cs="楷体"/>
                <w:bCs/>
                <w:color w:val="auto"/>
                <w:sz w:val="21"/>
                <w:szCs w:val="21"/>
                <w:highlight w:val="none"/>
                <w:lang w:eastAsia="zh-CN"/>
              </w:rPr>
            </w:pPr>
            <w:r>
              <w:rPr>
                <w:rFonts w:hint="eastAsia" w:ascii="楷体" w:hAnsi="楷体" w:eastAsia="楷体" w:cs="楷体"/>
                <w:bCs/>
                <w:color w:val="auto"/>
                <w:sz w:val="21"/>
                <w:szCs w:val="21"/>
                <w:highlight w:val="none"/>
                <w:lang w:eastAsia="zh-CN"/>
              </w:rPr>
              <w:t>GB 17945-2010等现行有效的企业标准、团体标准、地方标准及产品明示质量要求</w:t>
            </w:r>
          </w:p>
          <w:p w14:paraId="007FACA0">
            <w:pPr>
              <w:pageBreakBefore w:val="0"/>
              <w:overflowPunct/>
              <w:topLinePunct w:val="0"/>
              <w:bidi w:val="0"/>
              <w:snapToGrid/>
              <w:spacing w:line="360" w:lineRule="auto"/>
              <w:ind w:left="0" w:leftChars="0" w:right="0" w:rightChars="0"/>
              <w:jc w:val="left"/>
              <w:rPr>
                <w:rFonts w:hint="eastAsia" w:ascii="楷体" w:hAnsi="楷体" w:eastAsia="楷体" w:cs="楷体"/>
                <w:bCs/>
                <w:color w:val="auto"/>
                <w:kern w:val="2"/>
                <w:sz w:val="21"/>
                <w:szCs w:val="21"/>
                <w:highlight w:val="none"/>
                <w:lang w:val="en-US" w:eastAsia="zh-CN" w:bidi="ar-SA"/>
              </w:rPr>
            </w:pPr>
          </w:p>
        </w:tc>
        <w:tc>
          <w:tcPr>
            <w:tcW w:w="4451" w:type="dxa"/>
            <w:noWrap w:val="0"/>
            <w:vAlign w:val="top"/>
          </w:tcPr>
          <w:p w14:paraId="610BD462">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left"/>
              <w:textAlignment w:val="auto"/>
              <w:rPr>
                <w:rFonts w:hint="eastAsia" w:ascii="楷体" w:hAnsi="楷体" w:eastAsia="楷体" w:cs="楷体"/>
                <w:bCs/>
                <w:color w:val="auto"/>
                <w:sz w:val="21"/>
                <w:szCs w:val="21"/>
                <w:highlight w:val="none"/>
                <w:lang w:val="en-US" w:eastAsia="zh-CN"/>
              </w:rPr>
            </w:pPr>
            <w:r>
              <w:rPr>
                <w:rFonts w:hint="eastAsia" w:ascii="楷体" w:hAnsi="楷体" w:eastAsia="楷体" w:cs="楷体"/>
                <w:bCs/>
                <w:color w:val="auto"/>
                <w:sz w:val="21"/>
                <w:szCs w:val="21"/>
                <w:highlight w:val="none"/>
                <w:lang w:eastAsia="zh-CN"/>
              </w:rPr>
              <w:t>基本功能试验</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eastAsia="zh-CN"/>
              </w:rPr>
              <w:t>充、放电试验</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val="en-US" w:eastAsia="zh-CN"/>
              </w:rPr>
              <w:t>重复转换试验</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eastAsia="zh-CN"/>
              </w:rPr>
              <w:t>电压波动试验</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eastAsia="zh-CN"/>
              </w:rPr>
              <w:t>转换电压试验</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eastAsia="zh-CN"/>
              </w:rPr>
              <w:t>充、放电耐久试验</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eastAsia="zh-CN"/>
              </w:rPr>
              <w:t>绝缘电阻试验</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元；接</w:t>
            </w:r>
            <w:r>
              <w:rPr>
                <w:rFonts w:hint="eastAsia" w:ascii="楷体" w:hAnsi="楷体" w:eastAsia="楷体" w:cs="楷体"/>
                <w:bCs/>
                <w:color w:val="auto"/>
                <w:sz w:val="21"/>
                <w:szCs w:val="21"/>
                <w:highlight w:val="none"/>
                <w:lang w:eastAsia="zh-CN"/>
              </w:rPr>
              <w:t>地电阻试验</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eastAsia="zh-CN"/>
              </w:rPr>
              <w:t>耐压试验</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eastAsia="zh-CN"/>
              </w:rPr>
              <w:t>；抗冲击试验</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eastAsia="zh-CN"/>
              </w:rPr>
              <w:t>；色温</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eastAsia="zh-CN"/>
              </w:rPr>
              <w:t>；光通量</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eastAsia="zh-CN"/>
              </w:rPr>
              <w:t>。</w:t>
            </w:r>
          </w:p>
        </w:tc>
        <w:tc>
          <w:tcPr>
            <w:tcW w:w="1672" w:type="dxa"/>
            <w:noWrap w:val="0"/>
            <w:vAlign w:val="center"/>
          </w:tcPr>
          <w:p w14:paraId="6510D213">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right"/>
              <w:textAlignment w:val="auto"/>
              <w:rPr>
                <w:rFonts w:hint="eastAsia" w:ascii="楷体" w:hAnsi="楷体" w:eastAsia="楷体" w:cs="楷体"/>
                <w:b w:val="0"/>
                <w:bCs/>
                <w:sz w:val="21"/>
                <w:szCs w:val="21"/>
                <w:highlight w:val="none"/>
                <w:lang w:val="en-US" w:eastAsia="zh-CN"/>
              </w:rPr>
            </w:pPr>
            <w:r>
              <w:rPr>
                <w:rFonts w:hint="eastAsia" w:ascii="楷体" w:hAnsi="楷体" w:eastAsia="楷体" w:cs="楷体"/>
                <w:b w:val="0"/>
                <w:bCs/>
                <w:sz w:val="21"/>
                <w:szCs w:val="21"/>
                <w:highlight w:val="none"/>
                <w:lang w:val="en-US" w:eastAsia="zh-CN"/>
              </w:rPr>
              <w:t>元</w:t>
            </w:r>
          </w:p>
        </w:tc>
      </w:tr>
      <w:tr w14:paraId="7D753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2" w:hRule="atLeast"/>
        </w:trPr>
        <w:tc>
          <w:tcPr>
            <w:tcW w:w="1204" w:type="dxa"/>
            <w:shd w:val="clear" w:color="auto" w:fill="auto"/>
            <w:noWrap w:val="0"/>
            <w:vAlign w:val="center"/>
          </w:tcPr>
          <w:p w14:paraId="1572DF79">
            <w:pPr>
              <w:pageBreakBefore w:val="0"/>
              <w:overflowPunct/>
              <w:topLinePunct w:val="0"/>
              <w:bidi w:val="0"/>
              <w:snapToGrid/>
              <w:spacing w:line="360" w:lineRule="auto"/>
              <w:ind w:left="0" w:leftChars="0" w:right="0" w:rightChars="0"/>
              <w:jc w:val="left"/>
              <w:rPr>
                <w:rFonts w:hint="eastAsia" w:ascii="楷体" w:hAnsi="楷体" w:eastAsia="楷体" w:cs="楷体"/>
                <w:bCs/>
                <w:color w:val="auto"/>
                <w:kern w:val="2"/>
                <w:sz w:val="21"/>
                <w:szCs w:val="21"/>
                <w:highlight w:val="none"/>
                <w:lang w:val="en-US" w:eastAsia="zh-CN" w:bidi="ar-SA"/>
              </w:rPr>
            </w:pPr>
            <w:r>
              <w:rPr>
                <w:rFonts w:hint="eastAsia" w:ascii="楷体" w:hAnsi="楷体" w:eastAsia="楷体" w:cs="楷体"/>
                <w:bCs/>
                <w:color w:val="auto"/>
                <w:sz w:val="21"/>
                <w:szCs w:val="21"/>
                <w:highlight w:val="none"/>
                <w:lang w:eastAsia="zh-CN"/>
              </w:rPr>
              <w:t>消防软管卷盘</w:t>
            </w:r>
          </w:p>
        </w:tc>
        <w:tc>
          <w:tcPr>
            <w:tcW w:w="2431" w:type="dxa"/>
            <w:shd w:val="clear" w:color="auto" w:fill="auto"/>
            <w:noWrap w:val="0"/>
            <w:vAlign w:val="center"/>
          </w:tcPr>
          <w:p w14:paraId="71E38AEB">
            <w:pPr>
              <w:pageBreakBefore w:val="0"/>
              <w:overflowPunct/>
              <w:topLinePunct w:val="0"/>
              <w:bidi w:val="0"/>
              <w:snapToGrid/>
              <w:spacing w:line="360" w:lineRule="auto"/>
              <w:ind w:left="0" w:right="0" w:rightChars="0"/>
              <w:jc w:val="left"/>
              <w:rPr>
                <w:rFonts w:hint="eastAsia" w:ascii="楷体" w:hAnsi="楷体" w:eastAsia="楷体" w:cs="楷体"/>
                <w:bCs/>
                <w:color w:val="auto"/>
                <w:sz w:val="21"/>
                <w:szCs w:val="21"/>
                <w:highlight w:val="none"/>
                <w:lang w:eastAsia="zh-CN"/>
              </w:rPr>
            </w:pPr>
            <w:r>
              <w:rPr>
                <w:rFonts w:hint="eastAsia" w:ascii="楷体" w:hAnsi="楷体" w:eastAsia="楷体" w:cs="楷体"/>
                <w:bCs/>
                <w:color w:val="auto"/>
                <w:sz w:val="21"/>
                <w:szCs w:val="21"/>
                <w:highlight w:val="none"/>
                <w:lang w:eastAsia="zh-CN"/>
              </w:rPr>
              <w:t>GB 15090-2005等现行有效的企业标准、团体标准、地方标准及产品明示质量要求</w:t>
            </w:r>
          </w:p>
          <w:p w14:paraId="62B780A2">
            <w:pPr>
              <w:pageBreakBefore w:val="0"/>
              <w:overflowPunct/>
              <w:topLinePunct w:val="0"/>
              <w:bidi w:val="0"/>
              <w:snapToGrid/>
              <w:spacing w:line="360" w:lineRule="auto"/>
              <w:ind w:left="0" w:leftChars="0" w:right="0" w:rightChars="0"/>
              <w:jc w:val="left"/>
              <w:rPr>
                <w:rFonts w:hint="eastAsia" w:ascii="楷体" w:hAnsi="楷体" w:eastAsia="楷体" w:cs="楷体"/>
                <w:bCs/>
                <w:color w:val="auto"/>
                <w:kern w:val="2"/>
                <w:sz w:val="21"/>
                <w:szCs w:val="21"/>
                <w:highlight w:val="none"/>
                <w:lang w:val="en-US" w:eastAsia="zh-CN" w:bidi="ar-SA"/>
              </w:rPr>
            </w:pPr>
          </w:p>
        </w:tc>
        <w:tc>
          <w:tcPr>
            <w:tcW w:w="4451" w:type="dxa"/>
            <w:noWrap w:val="0"/>
            <w:vAlign w:val="top"/>
          </w:tcPr>
          <w:p w14:paraId="52865FAD">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left"/>
              <w:textAlignment w:val="auto"/>
              <w:rPr>
                <w:rFonts w:hint="eastAsia" w:ascii="楷体" w:hAnsi="楷体" w:eastAsia="楷体" w:cs="楷体"/>
                <w:bCs/>
                <w:sz w:val="21"/>
                <w:szCs w:val="21"/>
                <w:highlight w:val="none"/>
                <w:lang w:val="en-US" w:eastAsia="zh-CN" w:bidi="ar-SA"/>
              </w:rPr>
            </w:pPr>
            <w:r>
              <w:rPr>
                <w:rFonts w:hint="eastAsia" w:ascii="楷体" w:hAnsi="楷体" w:eastAsia="楷体" w:cs="楷体"/>
                <w:bCs/>
                <w:color w:val="auto"/>
                <w:sz w:val="21"/>
                <w:szCs w:val="21"/>
                <w:highlight w:val="none"/>
                <w:lang w:eastAsia="zh-CN"/>
              </w:rPr>
              <w:t>喷射试验</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eastAsia="zh-CN"/>
              </w:rPr>
              <w:t>密封试验</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eastAsia="zh-CN"/>
              </w:rPr>
              <w:t>耐压试验</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eastAsia="zh-CN"/>
              </w:rPr>
              <w:t>软管性能试验</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eastAsia="zh-CN"/>
              </w:rPr>
              <w:t>。</w:t>
            </w:r>
          </w:p>
        </w:tc>
        <w:tc>
          <w:tcPr>
            <w:tcW w:w="1672" w:type="dxa"/>
            <w:noWrap w:val="0"/>
            <w:vAlign w:val="center"/>
          </w:tcPr>
          <w:p w14:paraId="42B754F2">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right"/>
              <w:textAlignment w:val="auto"/>
              <w:rPr>
                <w:rFonts w:hint="eastAsia" w:ascii="楷体" w:hAnsi="楷体" w:eastAsia="楷体" w:cs="楷体"/>
                <w:b w:val="0"/>
                <w:bCs/>
                <w:sz w:val="21"/>
                <w:szCs w:val="21"/>
                <w:highlight w:val="none"/>
                <w:lang w:val="en-US" w:eastAsia="zh-CN"/>
              </w:rPr>
            </w:pPr>
            <w:r>
              <w:rPr>
                <w:rFonts w:hint="eastAsia" w:ascii="楷体" w:hAnsi="楷体" w:eastAsia="楷体" w:cs="楷体"/>
                <w:b w:val="0"/>
                <w:bCs/>
                <w:sz w:val="21"/>
                <w:szCs w:val="21"/>
                <w:highlight w:val="none"/>
                <w:lang w:val="en-US" w:eastAsia="zh-CN"/>
              </w:rPr>
              <w:t>元</w:t>
            </w:r>
          </w:p>
        </w:tc>
      </w:tr>
      <w:tr w14:paraId="17A4C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5" w:hRule="atLeast"/>
        </w:trPr>
        <w:tc>
          <w:tcPr>
            <w:tcW w:w="1204" w:type="dxa"/>
            <w:shd w:val="clear" w:color="auto" w:fill="auto"/>
            <w:noWrap w:val="0"/>
            <w:vAlign w:val="center"/>
          </w:tcPr>
          <w:p w14:paraId="6DAE485A">
            <w:pPr>
              <w:pageBreakBefore w:val="0"/>
              <w:overflowPunct/>
              <w:topLinePunct w:val="0"/>
              <w:bidi w:val="0"/>
              <w:snapToGrid/>
              <w:spacing w:line="360" w:lineRule="auto"/>
              <w:ind w:left="0" w:leftChars="0" w:right="0" w:rightChars="0"/>
              <w:jc w:val="left"/>
              <w:rPr>
                <w:rFonts w:hint="eastAsia" w:ascii="楷体" w:hAnsi="楷体" w:eastAsia="楷体" w:cs="楷体"/>
                <w:bCs/>
                <w:color w:val="auto"/>
                <w:kern w:val="2"/>
                <w:sz w:val="21"/>
                <w:szCs w:val="21"/>
                <w:highlight w:val="none"/>
                <w:lang w:val="en-US" w:eastAsia="zh-CN" w:bidi="ar-SA"/>
              </w:rPr>
            </w:pPr>
            <w:r>
              <w:rPr>
                <w:rFonts w:hint="eastAsia" w:ascii="楷体" w:hAnsi="楷体" w:eastAsia="楷体" w:cs="楷体"/>
                <w:bCs/>
                <w:color w:val="auto"/>
                <w:sz w:val="21"/>
                <w:szCs w:val="21"/>
                <w:highlight w:val="none"/>
                <w:lang w:eastAsia="zh-CN"/>
              </w:rPr>
              <w:t>灭火毯</w:t>
            </w:r>
          </w:p>
        </w:tc>
        <w:tc>
          <w:tcPr>
            <w:tcW w:w="2431" w:type="dxa"/>
            <w:shd w:val="clear" w:color="auto" w:fill="auto"/>
            <w:noWrap w:val="0"/>
            <w:vAlign w:val="center"/>
          </w:tcPr>
          <w:p w14:paraId="68808E53">
            <w:pPr>
              <w:pageBreakBefore w:val="0"/>
              <w:overflowPunct/>
              <w:topLinePunct w:val="0"/>
              <w:bidi w:val="0"/>
              <w:snapToGrid/>
              <w:spacing w:line="360" w:lineRule="auto"/>
              <w:ind w:left="0" w:right="0" w:rightChars="0"/>
              <w:jc w:val="left"/>
              <w:rPr>
                <w:rFonts w:hint="eastAsia" w:ascii="楷体" w:hAnsi="楷体" w:eastAsia="楷体" w:cs="楷体"/>
                <w:bCs/>
                <w:color w:val="auto"/>
                <w:sz w:val="21"/>
                <w:szCs w:val="21"/>
                <w:highlight w:val="none"/>
                <w:lang w:eastAsia="zh-CN"/>
              </w:rPr>
            </w:pPr>
            <w:r>
              <w:rPr>
                <w:rFonts w:hint="eastAsia" w:ascii="楷体" w:hAnsi="楷体" w:eastAsia="楷体" w:cs="楷体"/>
                <w:bCs/>
                <w:color w:val="auto"/>
                <w:sz w:val="21"/>
                <w:szCs w:val="21"/>
                <w:highlight w:val="none"/>
                <w:lang w:eastAsia="zh-CN"/>
              </w:rPr>
              <w:t>XF 1205-2014等现行有效的企业标准、团体标准、地方标准及产品明示质量要求</w:t>
            </w:r>
          </w:p>
          <w:p w14:paraId="254C1651">
            <w:pPr>
              <w:pageBreakBefore w:val="0"/>
              <w:overflowPunct/>
              <w:topLinePunct w:val="0"/>
              <w:bidi w:val="0"/>
              <w:snapToGrid/>
              <w:spacing w:line="360" w:lineRule="auto"/>
              <w:ind w:left="0" w:leftChars="0" w:right="0" w:rightChars="0"/>
              <w:jc w:val="left"/>
              <w:rPr>
                <w:rFonts w:hint="eastAsia" w:ascii="楷体" w:hAnsi="楷体" w:eastAsia="楷体" w:cs="楷体"/>
                <w:bCs/>
                <w:color w:val="auto"/>
                <w:kern w:val="2"/>
                <w:sz w:val="21"/>
                <w:szCs w:val="21"/>
                <w:highlight w:val="none"/>
                <w:lang w:val="en-US" w:eastAsia="zh-CN" w:bidi="ar-SA"/>
              </w:rPr>
            </w:pPr>
          </w:p>
        </w:tc>
        <w:tc>
          <w:tcPr>
            <w:tcW w:w="4451" w:type="dxa"/>
            <w:noWrap w:val="0"/>
            <w:vAlign w:val="top"/>
          </w:tcPr>
          <w:p w14:paraId="2F78EA2B">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left"/>
              <w:textAlignment w:val="auto"/>
              <w:rPr>
                <w:rFonts w:hint="eastAsia" w:ascii="楷体" w:hAnsi="楷体" w:eastAsia="楷体" w:cs="楷体"/>
                <w:bCs/>
                <w:color w:val="auto"/>
                <w:sz w:val="21"/>
                <w:szCs w:val="21"/>
                <w:highlight w:val="none"/>
                <w:lang w:val="en-US" w:eastAsia="zh-CN"/>
              </w:rPr>
            </w:pPr>
            <w:r>
              <w:rPr>
                <w:rFonts w:hint="eastAsia" w:ascii="楷体" w:hAnsi="楷体" w:eastAsia="楷体" w:cs="楷体"/>
                <w:bCs/>
                <w:color w:val="auto"/>
                <w:sz w:val="21"/>
                <w:szCs w:val="21"/>
                <w:highlight w:val="none"/>
                <w:lang w:eastAsia="zh-CN"/>
              </w:rPr>
              <w:t>尺寸检查</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eastAsia="zh-CN"/>
              </w:rPr>
              <w:t>毯面的干态断裂强力</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eastAsia="zh-CN"/>
              </w:rPr>
              <w:t>手持件和包边材料阻燃性能</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eastAsia="zh-CN"/>
              </w:rPr>
              <w:t>拉力试验</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eastAsia="zh-CN"/>
              </w:rPr>
              <w:t>。</w:t>
            </w:r>
          </w:p>
        </w:tc>
        <w:tc>
          <w:tcPr>
            <w:tcW w:w="1672" w:type="dxa"/>
            <w:noWrap w:val="0"/>
            <w:vAlign w:val="center"/>
          </w:tcPr>
          <w:p w14:paraId="6CAE6A44">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right"/>
              <w:textAlignment w:val="auto"/>
              <w:rPr>
                <w:rFonts w:hint="eastAsia" w:ascii="楷体" w:hAnsi="楷体" w:eastAsia="楷体" w:cs="楷体"/>
                <w:b w:val="0"/>
                <w:bCs/>
                <w:sz w:val="21"/>
                <w:szCs w:val="21"/>
                <w:highlight w:val="none"/>
                <w:lang w:val="en-US" w:eastAsia="zh-CN"/>
              </w:rPr>
            </w:pPr>
            <w:r>
              <w:rPr>
                <w:rFonts w:hint="eastAsia" w:ascii="楷体" w:hAnsi="楷体" w:eastAsia="楷体" w:cs="楷体"/>
                <w:b w:val="0"/>
                <w:bCs/>
                <w:sz w:val="21"/>
                <w:szCs w:val="21"/>
                <w:highlight w:val="none"/>
                <w:lang w:val="en-US" w:eastAsia="zh-CN"/>
              </w:rPr>
              <w:t>元</w:t>
            </w:r>
          </w:p>
        </w:tc>
      </w:tr>
      <w:tr w14:paraId="49E71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7" w:hRule="atLeast"/>
        </w:trPr>
        <w:tc>
          <w:tcPr>
            <w:tcW w:w="1204" w:type="dxa"/>
            <w:shd w:val="clear" w:color="auto" w:fill="auto"/>
            <w:noWrap w:val="0"/>
            <w:vAlign w:val="center"/>
          </w:tcPr>
          <w:p w14:paraId="24B843B2">
            <w:pPr>
              <w:pageBreakBefore w:val="0"/>
              <w:overflowPunct/>
              <w:topLinePunct w:val="0"/>
              <w:bidi w:val="0"/>
              <w:snapToGrid/>
              <w:spacing w:line="360" w:lineRule="auto"/>
              <w:ind w:left="0" w:leftChars="0" w:right="0" w:rightChars="0"/>
              <w:jc w:val="left"/>
              <w:rPr>
                <w:rFonts w:hint="eastAsia" w:ascii="楷体" w:hAnsi="楷体" w:eastAsia="楷体" w:cs="楷体"/>
                <w:bCs/>
                <w:color w:val="auto"/>
                <w:kern w:val="2"/>
                <w:sz w:val="21"/>
                <w:szCs w:val="21"/>
                <w:highlight w:val="none"/>
                <w:lang w:val="en-US" w:eastAsia="zh-CN" w:bidi="ar-SA"/>
              </w:rPr>
            </w:pPr>
            <w:r>
              <w:rPr>
                <w:rFonts w:hint="eastAsia" w:ascii="楷体" w:hAnsi="楷体" w:eastAsia="楷体" w:cs="楷体"/>
                <w:bCs/>
                <w:color w:val="auto"/>
                <w:sz w:val="21"/>
                <w:szCs w:val="21"/>
                <w:highlight w:val="none"/>
                <w:lang w:eastAsia="zh-CN"/>
              </w:rPr>
              <w:t>过滤式消防自救器</w:t>
            </w:r>
          </w:p>
        </w:tc>
        <w:tc>
          <w:tcPr>
            <w:tcW w:w="2431" w:type="dxa"/>
            <w:shd w:val="clear" w:color="auto" w:fill="auto"/>
            <w:noWrap w:val="0"/>
            <w:vAlign w:val="center"/>
          </w:tcPr>
          <w:p w14:paraId="6C791581">
            <w:pPr>
              <w:pageBreakBefore w:val="0"/>
              <w:overflowPunct/>
              <w:topLinePunct w:val="0"/>
              <w:bidi w:val="0"/>
              <w:snapToGrid/>
              <w:spacing w:line="360" w:lineRule="auto"/>
              <w:ind w:left="0" w:right="0" w:rightChars="0"/>
              <w:jc w:val="left"/>
              <w:rPr>
                <w:rFonts w:hint="eastAsia" w:ascii="楷体" w:hAnsi="楷体" w:eastAsia="楷体" w:cs="楷体"/>
                <w:bCs/>
                <w:color w:val="auto"/>
                <w:sz w:val="21"/>
                <w:szCs w:val="21"/>
                <w:highlight w:val="none"/>
                <w:lang w:eastAsia="zh-CN"/>
              </w:rPr>
            </w:pPr>
            <w:r>
              <w:rPr>
                <w:rFonts w:hint="eastAsia" w:ascii="楷体" w:hAnsi="楷体" w:eastAsia="楷体" w:cs="楷体"/>
                <w:bCs/>
                <w:color w:val="auto"/>
                <w:sz w:val="21"/>
                <w:szCs w:val="21"/>
                <w:highlight w:val="none"/>
                <w:lang w:eastAsia="zh-CN"/>
              </w:rPr>
              <w:t>GB 21976.7-2012等现行有效的企业标准、团体标准、地方标准及产品明示质量要求</w:t>
            </w:r>
          </w:p>
          <w:p w14:paraId="5A861865">
            <w:pPr>
              <w:pageBreakBefore w:val="0"/>
              <w:overflowPunct/>
              <w:topLinePunct w:val="0"/>
              <w:bidi w:val="0"/>
              <w:snapToGrid/>
              <w:spacing w:line="360" w:lineRule="auto"/>
              <w:ind w:left="0" w:leftChars="0" w:right="0" w:rightChars="0"/>
              <w:jc w:val="left"/>
              <w:rPr>
                <w:rFonts w:hint="eastAsia" w:ascii="楷体" w:hAnsi="楷体" w:eastAsia="楷体" w:cs="楷体"/>
                <w:bCs/>
                <w:color w:val="auto"/>
                <w:kern w:val="2"/>
                <w:sz w:val="21"/>
                <w:szCs w:val="21"/>
                <w:highlight w:val="none"/>
                <w:lang w:val="en-US" w:eastAsia="zh-CN" w:bidi="ar-SA"/>
              </w:rPr>
            </w:pPr>
          </w:p>
        </w:tc>
        <w:tc>
          <w:tcPr>
            <w:tcW w:w="4451" w:type="dxa"/>
            <w:noWrap w:val="0"/>
            <w:vAlign w:val="top"/>
          </w:tcPr>
          <w:p w14:paraId="424214A7">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left"/>
              <w:textAlignment w:val="auto"/>
              <w:rPr>
                <w:rFonts w:hint="eastAsia" w:ascii="楷体" w:hAnsi="楷体" w:eastAsia="楷体" w:cs="楷体"/>
                <w:bCs/>
                <w:color w:val="auto"/>
                <w:sz w:val="21"/>
                <w:szCs w:val="21"/>
                <w:highlight w:val="none"/>
                <w:lang w:val="en-US" w:eastAsia="zh-CN"/>
              </w:rPr>
            </w:pPr>
            <w:r>
              <w:rPr>
                <w:rFonts w:hint="eastAsia" w:ascii="楷体" w:hAnsi="楷体" w:eastAsia="楷体" w:cs="楷体"/>
                <w:bCs/>
                <w:color w:val="auto"/>
                <w:sz w:val="21"/>
                <w:szCs w:val="21"/>
                <w:highlight w:val="none"/>
                <w:lang w:eastAsia="zh-CN"/>
              </w:rPr>
              <w:t>结构检查</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eastAsia="zh-CN"/>
              </w:rPr>
              <w:t>佩戴质量测定</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元；材</w:t>
            </w:r>
            <w:r>
              <w:rPr>
                <w:rFonts w:hint="eastAsia" w:ascii="楷体" w:hAnsi="楷体" w:eastAsia="楷体" w:cs="楷体"/>
                <w:bCs/>
                <w:color w:val="auto"/>
                <w:sz w:val="21"/>
                <w:szCs w:val="21"/>
                <w:highlight w:val="none"/>
                <w:lang w:eastAsia="zh-CN"/>
              </w:rPr>
              <w:t>料试验-金属材料表面质量</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eastAsia="zh-CN"/>
              </w:rPr>
              <w:t>材料试验-塑料材料老化性能</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eastAsia="zh-CN"/>
              </w:rPr>
              <w:t>视野试验</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元；连接强度试验</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eastAsia="zh-CN"/>
              </w:rPr>
              <w:t>标志</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eastAsia="zh-CN"/>
              </w:rPr>
              <w:t>。</w:t>
            </w:r>
          </w:p>
        </w:tc>
        <w:tc>
          <w:tcPr>
            <w:tcW w:w="1672" w:type="dxa"/>
            <w:noWrap w:val="0"/>
            <w:vAlign w:val="center"/>
          </w:tcPr>
          <w:p w14:paraId="06EF0E57">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right"/>
              <w:textAlignment w:val="auto"/>
              <w:rPr>
                <w:rFonts w:hint="eastAsia" w:ascii="楷体" w:hAnsi="楷体" w:eastAsia="楷体" w:cs="楷体"/>
                <w:b w:val="0"/>
                <w:bCs/>
                <w:sz w:val="21"/>
                <w:szCs w:val="21"/>
                <w:highlight w:val="none"/>
                <w:lang w:val="en-US" w:eastAsia="zh-CN"/>
              </w:rPr>
            </w:pPr>
            <w:r>
              <w:rPr>
                <w:rFonts w:hint="eastAsia" w:ascii="楷体" w:hAnsi="楷体" w:eastAsia="楷体" w:cs="楷体"/>
                <w:b w:val="0"/>
                <w:bCs/>
                <w:sz w:val="21"/>
                <w:szCs w:val="21"/>
                <w:highlight w:val="none"/>
                <w:lang w:val="en-US" w:eastAsia="zh-CN"/>
              </w:rPr>
              <w:t>元</w:t>
            </w:r>
          </w:p>
        </w:tc>
      </w:tr>
      <w:tr w14:paraId="10C43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2" w:hRule="atLeast"/>
        </w:trPr>
        <w:tc>
          <w:tcPr>
            <w:tcW w:w="1204" w:type="dxa"/>
            <w:shd w:val="clear" w:color="auto" w:fill="auto"/>
            <w:noWrap w:val="0"/>
            <w:vAlign w:val="center"/>
          </w:tcPr>
          <w:p w14:paraId="0E7F157B">
            <w:pPr>
              <w:pageBreakBefore w:val="0"/>
              <w:overflowPunct/>
              <w:topLinePunct w:val="0"/>
              <w:bidi w:val="0"/>
              <w:snapToGrid/>
              <w:spacing w:line="360" w:lineRule="auto"/>
              <w:ind w:left="0" w:leftChars="0" w:right="0" w:rightChars="0"/>
              <w:jc w:val="left"/>
              <w:rPr>
                <w:rFonts w:hint="eastAsia" w:ascii="楷体" w:hAnsi="楷体" w:eastAsia="楷体" w:cs="楷体"/>
                <w:bCs/>
                <w:color w:val="auto"/>
                <w:kern w:val="2"/>
                <w:sz w:val="21"/>
                <w:szCs w:val="21"/>
                <w:highlight w:val="none"/>
                <w:lang w:val="en-US" w:eastAsia="zh-CN" w:bidi="ar-SA"/>
              </w:rPr>
            </w:pPr>
            <w:r>
              <w:rPr>
                <w:rFonts w:hint="eastAsia" w:ascii="楷体" w:hAnsi="楷体" w:eastAsia="楷体" w:cs="楷体"/>
                <w:bCs/>
                <w:color w:val="auto"/>
                <w:sz w:val="21"/>
                <w:szCs w:val="21"/>
                <w:highlight w:val="none"/>
                <w:lang w:eastAsia="zh-CN"/>
              </w:rPr>
              <w:t>防火排烟阀门</w:t>
            </w:r>
          </w:p>
        </w:tc>
        <w:tc>
          <w:tcPr>
            <w:tcW w:w="2431" w:type="dxa"/>
            <w:shd w:val="clear" w:color="auto" w:fill="auto"/>
            <w:noWrap w:val="0"/>
            <w:vAlign w:val="center"/>
          </w:tcPr>
          <w:p w14:paraId="0E738D32">
            <w:pPr>
              <w:pageBreakBefore w:val="0"/>
              <w:overflowPunct/>
              <w:topLinePunct w:val="0"/>
              <w:bidi w:val="0"/>
              <w:snapToGrid/>
              <w:spacing w:line="360" w:lineRule="auto"/>
              <w:ind w:left="0" w:right="0" w:rightChars="0"/>
              <w:jc w:val="left"/>
              <w:rPr>
                <w:rFonts w:hint="eastAsia" w:ascii="楷体" w:hAnsi="楷体" w:eastAsia="楷体" w:cs="楷体"/>
                <w:bCs/>
                <w:color w:val="auto"/>
                <w:sz w:val="21"/>
                <w:szCs w:val="21"/>
                <w:highlight w:val="none"/>
                <w:lang w:eastAsia="zh-CN"/>
              </w:rPr>
            </w:pPr>
            <w:r>
              <w:rPr>
                <w:rFonts w:hint="eastAsia" w:ascii="楷体" w:hAnsi="楷体" w:eastAsia="楷体" w:cs="楷体"/>
                <w:bCs/>
                <w:color w:val="auto"/>
                <w:sz w:val="21"/>
                <w:szCs w:val="21"/>
                <w:highlight w:val="none"/>
                <w:lang w:eastAsia="zh-CN"/>
              </w:rPr>
              <w:t>GB 15930-</w:t>
            </w:r>
            <w:r>
              <w:rPr>
                <w:rFonts w:hint="eastAsia" w:ascii="楷体" w:hAnsi="楷体" w:eastAsia="楷体" w:cs="楷体"/>
                <w:bCs/>
                <w:color w:val="auto"/>
                <w:sz w:val="21"/>
                <w:szCs w:val="21"/>
                <w:highlight w:val="none"/>
                <w:lang w:val="en-US" w:eastAsia="zh-CN"/>
              </w:rPr>
              <w:t>2007</w:t>
            </w:r>
            <w:r>
              <w:rPr>
                <w:rFonts w:hint="eastAsia" w:ascii="楷体" w:hAnsi="楷体" w:eastAsia="楷体" w:cs="楷体"/>
                <w:bCs/>
                <w:color w:val="auto"/>
                <w:sz w:val="21"/>
                <w:szCs w:val="21"/>
                <w:highlight w:val="none"/>
                <w:lang w:eastAsia="zh-CN"/>
              </w:rPr>
              <w:t>等现行有效的企业标准、团体标准、地方标准及产品明示质量要求</w:t>
            </w:r>
          </w:p>
          <w:p w14:paraId="1C8B96DD">
            <w:pPr>
              <w:pageBreakBefore w:val="0"/>
              <w:overflowPunct/>
              <w:topLinePunct w:val="0"/>
              <w:bidi w:val="0"/>
              <w:snapToGrid/>
              <w:spacing w:line="360" w:lineRule="auto"/>
              <w:ind w:left="0" w:leftChars="0" w:right="0" w:rightChars="0"/>
              <w:jc w:val="left"/>
              <w:rPr>
                <w:rFonts w:hint="eastAsia" w:ascii="楷体" w:hAnsi="楷体" w:eastAsia="楷体" w:cs="楷体"/>
                <w:bCs/>
                <w:color w:val="auto"/>
                <w:kern w:val="2"/>
                <w:sz w:val="21"/>
                <w:szCs w:val="21"/>
                <w:highlight w:val="none"/>
                <w:lang w:val="en-US" w:eastAsia="zh-CN" w:bidi="ar-SA"/>
              </w:rPr>
            </w:pPr>
          </w:p>
        </w:tc>
        <w:tc>
          <w:tcPr>
            <w:tcW w:w="4451" w:type="dxa"/>
            <w:noWrap w:val="0"/>
            <w:vAlign w:val="top"/>
          </w:tcPr>
          <w:p w14:paraId="5353B736">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left"/>
              <w:textAlignment w:val="auto"/>
              <w:rPr>
                <w:rFonts w:hint="eastAsia" w:ascii="楷体" w:hAnsi="楷体" w:eastAsia="楷体" w:cs="楷体"/>
                <w:bCs/>
                <w:color w:val="auto"/>
                <w:sz w:val="21"/>
                <w:szCs w:val="21"/>
                <w:highlight w:val="none"/>
                <w:lang w:val="en-US" w:eastAsia="zh-CN"/>
              </w:rPr>
            </w:pPr>
            <w:r>
              <w:rPr>
                <w:rFonts w:hint="eastAsia" w:ascii="楷体" w:hAnsi="楷体" w:eastAsia="楷体" w:cs="楷体"/>
                <w:bCs/>
                <w:color w:val="auto"/>
                <w:sz w:val="21"/>
                <w:szCs w:val="21"/>
                <w:highlight w:val="none"/>
                <w:lang w:eastAsia="zh-CN"/>
              </w:rPr>
              <w:t>环境温度下的漏风量</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eastAsia="zh-CN"/>
              </w:rPr>
              <w:t>耐火性能</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eastAsia="zh-CN"/>
              </w:rPr>
              <w:t>。</w:t>
            </w:r>
          </w:p>
        </w:tc>
        <w:tc>
          <w:tcPr>
            <w:tcW w:w="1672" w:type="dxa"/>
            <w:noWrap w:val="0"/>
            <w:vAlign w:val="center"/>
          </w:tcPr>
          <w:p w14:paraId="3D3F5E52">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right"/>
              <w:textAlignment w:val="auto"/>
              <w:rPr>
                <w:rFonts w:hint="eastAsia" w:ascii="楷体" w:hAnsi="楷体" w:eastAsia="楷体" w:cs="楷体"/>
                <w:b w:val="0"/>
                <w:bCs/>
                <w:sz w:val="21"/>
                <w:szCs w:val="21"/>
                <w:highlight w:val="none"/>
                <w:lang w:val="en-US" w:eastAsia="zh-CN"/>
              </w:rPr>
            </w:pPr>
            <w:r>
              <w:rPr>
                <w:rFonts w:hint="eastAsia" w:ascii="楷体" w:hAnsi="楷体" w:eastAsia="楷体" w:cs="楷体"/>
                <w:b w:val="0"/>
                <w:bCs/>
                <w:sz w:val="21"/>
                <w:szCs w:val="21"/>
                <w:highlight w:val="none"/>
                <w:lang w:val="en-US" w:eastAsia="zh-CN"/>
              </w:rPr>
              <w:t>元</w:t>
            </w:r>
          </w:p>
        </w:tc>
      </w:tr>
      <w:tr w14:paraId="66289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2" w:hRule="atLeast"/>
        </w:trPr>
        <w:tc>
          <w:tcPr>
            <w:tcW w:w="1204" w:type="dxa"/>
            <w:shd w:val="clear" w:color="auto" w:fill="auto"/>
            <w:noWrap w:val="0"/>
            <w:vAlign w:val="center"/>
          </w:tcPr>
          <w:p w14:paraId="455D8B21">
            <w:pPr>
              <w:pageBreakBefore w:val="0"/>
              <w:overflowPunct/>
              <w:topLinePunct w:val="0"/>
              <w:bidi w:val="0"/>
              <w:snapToGrid/>
              <w:spacing w:line="360" w:lineRule="auto"/>
              <w:ind w:left="0" w:leftChars="0" w:right="0" w:rightChars="0"/>
              <w:jc w:val="left"/>
              <w:rPr>
                <w:rFonts w:hint="eastAsia" w:ascii="楷体" w:hAnsi="楷体" w:eastAsia="楷体" w:cs="楷体"/>
                <w:bCs/>
                <w:color w:val="auto"/>
                <w:kern w:val="2"/>
                <w:sz w:val="21"/>
                <w:szCs w:val="21"/>
                <w:highlight w:val="none"/>
                <w:lang w:val="en-US" w:eastAsia="zh-CN" w:bidi="ar-SA"/>
              </w:rPr>
            </w:pPr>
            <w:r>
              <w:rPr>
                <w:rFonts w:hint="eastAsia" w:ascii="楷体" w:hAnsi="楷体" w:eastAsia="楷体" w:cs="楷体"/>
                <w:bCs/>
                <w:color w:val="auto"/>
                <w:sz w:val="21"/>
                <w:szCs w:val="21"/>
                <w:highlight w:val="none"/>
                <w:lang w:eastAsia="zh-CN"/>
              </w:rPr>
              <w:t>报警器</w:t>
            </w:r>
          </w:p>
        </w:tc>
        <w:tc>
          <w:tcPr>
            <w:tcW w:w="2431" w:type="dxa"/>
            <w:shd w:val="clear" w:color="auto" w:fill="auto"/>
            <w:noWrap w:val="0"/>
            <w:vAlign w:val="center"/>
          </w:tcPr>
          <w:p w14:paraId="399C56E9">
            <w:pPr>
              <w:pageBreakBefore w:val="0"/>
              <w:overflowPunct/>
              <w:topLinePunct w:val="0"/>
              <w:bidi w:val="0"/>
              <w:snapToGrid/>
              <w:spacing w:line="360" w:lineRule="auto"/>
              <w:ind w:left="0" w:leftChars="0" w:right="0" w:rightChars="0"/>
              <w:jc w:val="left"/>
              <w:rPr>
                <w:rFonts w:hint="eastAsia" w:ascii="楷体" w:hAnsi="楷体" w:eastAsia="楷体" w:cs="楷体"/>
                <w:bCs/>
                <w:color w:val="auto"/>
                <w:kern w:val="2"/>
                <w:sz w:val="21"/>
                <w:szCs w:val="21"/>
                <w:highlight w:val="none"/>
                <w:lang w:val="en-US" w:eastAsia="zh-CN" w:bidi="ar-SA"/>
              </w:rPr>
            </w:pPr>
            <w:r>
              <w:rPr>
                <w:rFonts w:hint="eastAsia" w:ascii="楷体" w:hAnsi="楷体" w:eastAsia="楷体" w:cs="楷体"/>
                <w:bCs/>
                <w:color w:val="auto"/>
                <w:sz w:val="21"/>
                <w:szCs w:val="21"/>
                <w:highlight w:val="none"/>
                <w:lang w:eastAsia="zh-CN"/>
              </w:rPr>
              <w:t>GB 20517-2006等现行有效的企业标准、团体标准、地方标准及产品明示质量要求</w:t>
            </w:r>
          </w:p>
        </w:tc>
        <w:tc>
          <w:tcPr>
            <w:tcW w:w="4451" w:type="dxa"/>
            <w:noWrap w:val="0"/>
            <w:vAlign w:val="top"/>
          </w:tcPr>
          <w:p w14:paraId="4941D387">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left"/>
              <w:textAlignment w:val="auto"/>
              <w:rPr>
                <w:rFonts w:hint="eastAsia" w:ascii="楷体" w:hAnsi="楷体" w:eastAsia="楷体" w:cs="楷体"/>
                <w:bCs/>
                <w:color w:val="auto"/>
                <w:sz w:val="21"/>
                <w:szCs w:val="21"/>
                <w:highlight w:val="none"/>
                <w:lang w:val="en-US" w:eastAsia="zh-CN"/>
              </w:rPr>
            </w:pPr>
            <w:r>
              <w:rPr>
                <w:rFonts w:hint="eastAsia" w:ascii="楷体" w:hAnsi="楷体" w:eastAsia="楷体" w:cs="楷体"/>
                <w:bCs/>
                <w:color w:val="auto"/>
                <w:sz w:val="21"/>
                <w:szCs w:val="21"/>
                <w:highlight w:val="none"/>
                <w:lang w:eastAsia="zh-CN"/>
              </w:rPr>
              <w:t>重复性试验</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eastAsia="zh-CN"/>
              </w:rPr>
              <w:t>方位试验</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eastAsia="zh-CN"/>
              </w:rPr>
              <w:t>一致性试验</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eastAsia="zh-CN"/>
              </w:rPr>
              <w:t>气流试验</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eastAsia="zh-CN"/>
              </w:rPr>
              <w:t>高温试验</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eastAsia="zh-CN"/>
              </w:rPr>
              <w:t>环境光线试验</w:t>
            </w:r>
            <w:r>
              <w:rPr>
                <w:rFonts w:hint="eastAsia" w:ascii="楷体" w:hAnsi="楷体" w:eastAsia="楷体" w:cs="楷体"/>
                <w:b w:val="0"/>
                <w:bCs/>
                <w:sz w:val="21"/>
                <w:szCs w:val="21"/>
                <w:highlight w:val="none"/>
                <w:u w:val="single"/>
                <w:lang w:val="en-US" w:eastAsia="zh-CN"/>
              </w:rPr>
              <w:t xml:space="preserve">  </w:t>
            </w:r>
            <w:r>
              <w:rPr>
                <w:rFonts w:hint="eastAsia" w:ascii="楷体" w:hAnsi="楷体" w:eastAsia="楷体" w:cs="楷体"/>
                <w:b w:val="0"/>
                <w:bCs/>
                <w:sz w:val="21"/>
                <w:szCs w:val="21"/>
                <w:highlight w:val="none"/>
                <w:lang w:val="en-US" w:eastAsia="zh-CN"/>
              </w:rPr>
              <w:t>元</w:t>
            </w:r>
            <w:r>
              <w:rPr>
                <w:rFonts w:hint="eastAsia" w:ascii="楷体" w:hAnsi="楷体" w:eastAsia="楷体" w:cs="楷体"/>
                <w:bCs/>
                <w:color w:val="auto"/>
                <w:sz w:val="21"/>
                <w:szCs w:val="21"/>
                <w:highlight w:val="none"/>
                <w:lang w:eastAsia="zh-CN"/>
              </w:rPr>
              <w:t>。</w:t>
            </w:r>
          </w:p>
        </w:tc>
        <w:tc>
          <w:tcPr>
            <w:tcW w:w="1672" w:type="dxa"/>
            <w:noWrap w:val="0"/>
            <w:vAlign w:val="center"/>
          </w:tcPr>
          <w:p w14:paraId="5DB5D42F">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right"/>
              <w:textAlignment w:val="auto"/>
              <w:rPr>
                <w:rFonts w:hint="eastAsia" w:ascii="楷体" w:hAnsi="楷体" w:eastAsia="楷体" w:cs="楷体"/>
                <w:b w:val="0"/>
                <w:bCs/>
                <w:sz w:val="21"/>
                <w:szCs w:val="21"/>
                <w:highlight w:val="none"/>
                <w:lang w:val="en-US" w:eastAsia="zh-CN"/>
              </w:rPr>
            </w:pPr>
            <w:r>
              <w:rPr>
                <w:rFonts w:hint="eastAsia" w:ascii="楷体" w:hAnsi="楷体" w:eastAsia="楷体" w:cs="楷体"/>
                <w:b w:val="0"/>
                <w:bCs/>
                <w:sz w:val="21"/>
                <w:szCs w:val="21"/>
                <w:highlight w:val="none"/>
                <w:lang w:val="en-US" w:eastAsia="zh-CN"/>
              </w:rPr>
              <w:t>元</w:t>
            </w:r>
          </w:p>
        </w:tc>
      </w:tr>
      <w:tr w14:paraId="75093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9758" w:type="dxa"/>
            <w:gridSpan w:val="4"/>
            <w:noWrap w:val="0"/>
            <w:vAlign w:val="center"/>
          </w:tcPr>
          <w:p w14:paraId="0A8AEE0E">
            <w:pPr>
              <w:keepNext w:val="0"/>
              <w:keepLines w:val="0"/>
              <w:pageBreakBefore w:val="0"/>
              <w:widowControl w:val="0"/>
              <w:kinsoku/>
              <w:wordWrap/>
              <w:overflowPunct/>
              <w:topLinePunct w:val="0"/>
              <w:autoSpaceDE/>
              <w:autoSpaceDN/>
              <w:bidi w:val="0"/>
              <w:adjustRightInd/>
              <w:snapToGrid/>
              <w:spacing w:line="360" w:lineRule="auto"/>
              <w:ind w:left="0" w:right="0" w:rightChars="0"/>
              <w:jc w:val="left"/>
              <w:textAlignment w:val="auto"/>
              <w:rPr>
                <w:rFonts w:hint="eastAsia" w:ascii="楷体" w:hAnsi="楷体" w:eastAsia="楷体" w:cs="楷体"/>
                <w:b w:val="0"/>
                <w:bCs/>
                <w:color w:val="auto"/>
                <w:sz w:val="21"/>
                <w:szCs w:val="21"/>
                <w:highlight w:val="none"/>
                <w:lang w:val="en-US" w:eastAsia="zh-CN"/>
              </w:rPr>
            </w:pPr>
            <w:r>
              <w:rPr>
                <w:rFonts w:hint="eastAsia" w:ascii="楷体" w:hAnsi="楷体" w:eastAsia="楷体" w:cs="楷体"/>
                <w:b w:val="0"/>
                <w:bCs/>
                <w:color w:val="auto"/>
                <w:sz w:val="21"/>
                <w:szCs w:val="21"/>
                <w:highlight w:val="none"/>
                <w:lang w:val="en-US" w:eastAsia="zh-CN"/>
              </w:rPr>
              <w:t>总报价（各产品单批次检测费用总和）：大写</w:t>
            </w:r>
            <w:r>
              <w:rPr>
                <w:rFonts w:hint="eastAsia" w:ascii="楷体" w:hAnsi="楷体" w:eastAsia="楷体" w:cs="楷体"/>
                <w:b w:val="0"/>
                <w:bCs/>
                <w:color w:val="auto"/>
                <w:sz w:val="21"/>
                <w:szCs w:val="21"/>
                <w:highlight w:val="none"/>
                <w:u w:val="single"/>
                <w:lang w:val="en-US" w:eastAsia="zh-CN"/>
              </w:rPr>
              <w:t xml:space="preserve">            </w:t>
            </w:r>
            <w:r>
              <w:rPr>
                <w:rFonts w:hint="eastAsia" w:ascii="楷体" w:hAnsi="楷体" w:eastAsia="楷体" w:cs="楷体"/>
                <w:b w:val="0"/>
                <w:bCs/>
                <w:color w:val="auto"/>
                <w:sz w:val="21"/>
                <w:szCs w:val="21"/>
                <w:highlight w:val="none"/>
                <w:lang w:val="en-US" w:eastAsia="zh-CN"/>
              </w:rPr>
              <w:t>（¥：</w:t>
            </w:r>
            <w:r>
              <w:rPr>
                <w:rFonts w:hint="eastAsia" w:ascii="楷体" w:hAnsi="楷体" w:eastAsia="楷体" w:cs="楷体"/>
                <w:b w:val="0"/>
                <w:bCs/>
                <w:color w:val="auto"/>
                <w:sz w:val="21"/>
                <w:szCs w:val="21"/>
                <w:highlight w:val="none"/>
                <w:u w:val="single"/>
                <w:lang w:val="en-US" w:eastAsia="zh-CN"/>
              </w:rPr>
              <w:t xml:space="preserve">       </w:t>
            </w:r>
            <w:r>
              <w:rPr>
                <w:rFonts w:hint="eastAsia" w:ascii="楷体" w:hAnsi="楷体" w:eastAsia="楷体" w:cs="楷体"/>
                <w:b w:val="0"/>
                <w:bCs/>
                <w:color w:val="auto"/>
                <w:sz w:val="21"/>
                <w:szCs w:val="21"/>
                <w:highlight w:val="none"/>
                <w:lang w:val="en-US" w:eastAsia="zh-CN"/>
              </w:rPr>
              <w:t>）</w:t>
            </w:r>
          </w:p>
          <w:p w14:paraId="7E3C240C">
            <w:pPr>
              <w:pStyle w:val="29"/>
              <w:jc w:val="both"/>
              <w:rPr>
                <w:rFonts w:hint="eastAsia" w:ascii="楷体" w:hAnsi="楷体" w:eastAsia="楷体" w:cs="楷体"/>
                <w:b w:val="0"/>
                <w:bCs/>
                <w:color w:val="auto"/>
                <w:sz w:val="21"/>
                <w:szCs w:val="21"/>
                <w:highlight w:val="none"/>
                <w:lang w:val="en-US" w:eastAsia="zh-CN"/>
              </w:rPr>
            </w:pPr>
          </w:p>
          <w:p w14:paraId="448823AA">
            <w:pPr>
              <w:pStyle w:val="29"/>
              <w:spacing w:line="360" w:lineRule="auto"/>
              <w:jc w:val="both"/>
              <w:rPr>
                <w:rFonts w:hint="eastAsia" w:ascii="楷体" w:hAnsi="楷体" w:eastAsia="楷体" w:cs="楷体"/>
                <w:b/>
                <w:bCs w:val="0"/>
                <w:color w:val="auto"/>
                <w:sz w:val="21"/>
                <w:szCs w:val="21"/>
                <w:highlight w:val="none"/>
                <w:lang w:val="en-US" w:eastAsia="zh-CN"/>
              </w:rPr>
            </w:pPr>
            <w:r>
              <w:rPr>
                <w:rFonts w:hint="eastAsia" w:ascii="楷体" w:hAnsi="楷体" w:eastAsia="楷体" w:cs="楷体"/>
                <w:b/>
                <w:bCs w:val="0"/>
                <w:color w:val="auto"/>
                <w:sz w:val="21"/>
                <w:szCs w:val="21"/>
                <w:highlight w:val="none"/>
                <w:lang w:val="en-US" w:eastAsia="zh-CN"/>
              </w:rPr>
              <w:t>备注：1、磋商一览表所列报价须与分项报价表中“总报价（各产品单批次检测费用总和）”保持一致，否则供应商应承担一切不利后果；</w:t>
            </w:r>
          </w:p>
          <w:p w14:paraId="753AA950">
            <w:pPr>
              <w:pStyle w:val="29"/>
              <w:spacing w:line="360" w:lineRule="auto"/>
              <w:jc w:val="both"/>
              <w:rPr>
                <w:rFonts w:hint="eastAsia" w:ascii="楷体" w:hAnsi="楷体" w:eastAsia="楷体" w:cs="楷体"/>
                <w:b/>
                <w:bCs w:val="0"/>
                <w:color w:val="auto"/>
                <w:sz w:val="21"/>
                <w:szCs w:val="21"/>
                <w:highlight w:val="none"/>
                <w:lang w:val="en-US" w:eastAsia="zh-CN"/>
              </w:rPr>
            </w:pPr>
            <w:r>
              <w:rPr>
                <w:rFonts w:hint="eastAsia" w:ascii="楷体" w:hAnsi="楷体" w:eastAsia="楷体" w:cs="楷体"/>
                <w:b/>
                <w:bCs w:val="0"/>
                <w:color w:val="auto"/>
                <w:sz w:val="21"/>
                <w:szCs w:val="21"/>
                <w:highlight w:val="none"/>
                <w:lang w:val="en-US" w:eastAsia="zh-CN"/>
              </w:rPr>
              <w:t>2、表内报价内容以元为单位，保留小数点后两位；</w:t>
            </w:r>
          </w:p>
          <w:p w14:paraId="5B0D4BD8">
            <w:pPr>
              <w:pStyle w:val="29"/>
              <w:spacing w:line="360" w:lineRule="auto"/>
              <w:jc w:val="both"/>
              <w:rPr>
                <w:rFonts w:hint="eastAsia" w:ascii="楷体" w:hAnsi="楷体" w:eastAsia="楷体" w:cs="楷体"/>
                <w:b/>
                <w:bCs w:val="0"/>
                <w:color w:val="auto"/>
                <w:sz w:val="21"/>
                <w:szCs w:val="21"/>
                <w:highlight w:val="none"/>
                <w:lang w:val="en-US" w:eastAsia="zh-CN"/>
              </w:rPr>
            </w:pPr>
            <w:r>
              <w:rPr>
                <w:rFonts w:hint="eastAsia" w:ascii="楷体" w:hAnsi="楷体" w:eastAsia="楷体" w:cs="楷体"/>
                <w:b/>
                <w:bCs w:val="0"/>
                <w:color w:val="auto"/>
                <w:sz w:val="21"/>
                <w:szCs w:val="21"/>
                <w:highlight w:val="none"/>
                <w:lang w:val="en-US" w:eastAsia="zh-CN"/>
              </w:rPr>
              <w:t>3、供应商的报价是供应商响应磋商项目要求的全部工作内容的价格体现，包括供应商完成本项目所需的一切费用（购样费、检验费等相关一切费用）。</w:t>
            </w:r>
          </w:p>
        </w:tc>
      </w:tr>
    </w:tbl>
    <w:p w14:paraId="5B504B6D">
      <w:pPr>
        <w:spacing w:line="360" w:lineRule="auto"/>
        <w:jc w:val="left"/>
        <w:rPr>
          <w:rFonts w:hint="default" w:ascii="楷体" w:hAnsi="楷体" w:eastAsia="楷体" w:cs="楷体"/>
          <w:color w:val="auto"/>
          <w:szCs w:val="24"/>
          <w:highlight w:val="none"/>
          <w:lang w:val="en-US" w:eastAsia="zh-CN"/>
        </w:rPr>
      </w:pPr>
      <w:r>
        <w:rPr>
          <w:rFonts w:hint="eastAsia" w:ascii="楷体" w:hAnsi="楷体" w:eastAsia="楷体" w:cs="楷体"/>
          <w:color w:val="auto"/>
          <w:szCs w:val="24"/>
          <w:highlight w:val="none"/>
          <w:lang w:val="en-US" w:eastAsia="zh-CN"/>
        </w:rPr>
        <w:t>供应商名称：</w:t>
      </w:r>
    </w:p>
    <w:p w14:paraId="02B0C346">
      <w:pPr>
        <w:spacing w:line="360" w:lineRule="auto"/>
        <w:jc w:val="left"/>
        <w:rPr>
          <w:rFonts w:ascii="楷体" w:hAnsi="楷体" w:eastAsia="楷体" w:cs="楷体"/>
          <w:color w:val="auto"/>
          <w:szCs w:val="24"/>
          <w:highlight w:val="none"/>
        </w:rPr>
      </w:pPr>
      <w:r>
        <w:rPr>
          <w:rFonts w:hint="eastAsia" w:ascii="楷体" w:hAnsi="楷体" w:eastAsia="楷体" w:cs="楷体"/>
          <w:color w:val="auto"/>
          <w:szCs w:val="24"/>
          <w:highlight w:val="none"/>
        </w:rPr>
        <w:t>法定代表人/被授权人（</w:t>
      </w:r>
      <w:r>
        <w:rPr>
          <w:rFonts w:hint="eastAsia" w:ascii="楷体" w:hAnsi="楷体" w:eastAsia="楷体" w:cs="楷体"/>
          <w:color w:val="auto"/>
          <w:spacing w:val="4"/>
          <w:szCs w:val="24"/>
          <w:highlight w:val="none"/>
        </w:rPr>
        <w:t>签字或盖章</w:t>
      </w:r>
      <w:r>
        <w:rPr>
          <w:rFonts w:hint="eastAsia" w:ascii="楷体" w:hAnsi="楷体" w:eastAsia="楷体" w:cs="楷体"/>
          <w:color w:val="auto"/>
          <w:szCs w:val="24"/>
          <w:highlight w:val="none"/>
        </w:rPr>
        <w:t>）：</w:t>
      </w:r>
    </w:p>
    <w:p w14:paraId="41F220CA">
      <w:pPr>
        <w:adjustRightInd w:val="0"/>
        <w:snapToGrid w:val="0"/>
        <w:spacing w:line="360" w:lineRule="auto"/>
        <w:jc w:val="both"/>
        <w:outlineLvl w:val="2"/>
        <w:rPr>
          <w:rFonts w:hint="eastAsia" w:ascii="楷体" w:hAnsi="楷体" w:eastAsia="楷体" w:cs="楷体"/>
          <w:color w:val="auto"/>
          <w:szCs w:val="24"/>
          <w:highlight w:val="none"/>
        </w:rPr>
      </w:pPr>
      <w:r>
        <w:rPr>
          <w:rFonts w:hint="eastAsia" w:ascii="楷体" w:hAnsi="楷体" w:eastAsia="楷体" w:cs="楷体"/>
          <w:color w:val="auto"/>
          <w:szCs w:val="24"/>
          <w:highlight w:val="none"/>
        </w:rPr>
        <w:t>日    期：</w:t>
      </w:r>
    </w:p>
    <w:p w14:paraId="0FB5F053">
      <w:pPr>
        <w:adjustRightInd w:val="0"/>
        <w:snapToGrid w:val="0"/>
        <w:spacing w:line="360" w:lineRule="auto"/>
        <w:jc w:val="center"/>
        <w:outlineLvl w:val="9"/>
        <w:rPr>
          <w:rFonts w:hint="eastAsia" w:ascii="楷体" w:hAnsi="楷体" w:eastAsia="楷体" w:cs="楷体"/>
          <w:b/>
          <w:bCs/>
          <w:color w:val="auto"/>
          <w:sz w:val="32"/>
          <w:szCs w:val="32"/>
          <w:highlight w:val="none"/>
        </w:rPr>
      </w:pPr>
    </w:p>
    <w:p w14:paraId="00FAD167">
      <w:pPr>
        <w:adjustRightInd w:val="0"/>
        <w:snapToGrid w:val="0"/>
        <w:spacing w:line="360" w:lineRule="auto"/>
        <w:jc w:val="center"/>
        <w:outlineLvl w:val="9"/>
        <w:rPr>
          <w:rFonts w:hint="eastAsia" w:ascii="楷体" w:hAnsi="楷体" w:eastAsia="楷体" w:cs="楷体"/>
          <w:b/>
          <w:bCs/>
          <w:color w:val="auto"/>
          <w:sz w:val="32"/>
          <w:szCs w:val="32"/>
          <w:highlight w:val="none"/>
        </w:rPr>
      </w:pPr>
    </w:p>
    <w:p w14:paraId="18BD7062">
      <w:pPr>
        <w:adjustRightInd w:val="0"/>
        <w:snapToGrid w:val="0"/>
        <w:spacing w:line="360" w:lineRule="auto"/>
        <w:jc w:val="center"/>
        <w:outlineLvl w:val="9"/>
        <w:rPr>
          <w:rFonts w:hint="eastAsia" w:ascii="楷体" w:hAnsi="楷体" w:eastAsia="楷体" w:cs="楷体"/>
          <w:b/>
          <w:bCs/>
          <w:color w:val="auto"/>
          <w:sz w:val="32"/>
          <w:szCs w:val="32"/>
          <w:highlight w:val="none"/>
        </w:rPr>
      </w:pPr>
    </w:p>
    <w:p w14:paraId="48EC4058">
      <w:pPr>
        <w:adjustRightInd w:val="0"/>
        <w:snapToGrid w:val="0"/>
        <w:spacing w:line="360" w:lineRule="auto"/>
        <w:jc w:val="center"/>
        <w:outlineLvl w:val="9"/>
        <w:rPr>
          <w:rFonts w:hint="eastAsia" w:ascii="楷体" w:hAnsi="楷体" w:eastAsia="楷体" w:cs="楷体"/>
          <w:b/>
          <w:bCs/>
          <w:color w:val="auto"/>
          <w:sz w:val="32"/>
          <w:szCs w:val="32"/>
          <w:highlight w:val="none"/>
        </w:rPr>
      </w:pPr>
    </w:p>
    <w:p w14:paraId="69E814F4">
      <w:pPr>
        <w:adjustRightInd w:val="0"/>
        <w:snapToGrid w:val="0"/>
        <w:spacing w:line="360" w:lineRule="auto"/>
        <w:jc w:val="center"/>
        <w:outlineLvl w:val="9"/>
        <w:rPr>
          <w:rFonts w:hint="eastAsia" w:ascii="楷体" w:hAnsi="楷体" w:eastAsia="楷体" w:cs="楷体"/>
          <w:b/>
          <w:bCs/>
          <w:color w:val="auto"/>
          <w:sz w:val="32"/>
          <w:szCs w:val="32"/>
          <w:highlight w:val="none"/>
        </w:rPr>
      </w:pPr>
    </w:p>
    <w:p w14:paraId="725AA7B0">
      <w:pPr>
        <w:adjustRightInd w:val="0"/>
        <w:snapToGrid w:val="0"/>
        <w:spacing w:line="360" w:lineRule="auto"/>
        <w:jc w:val="center"/>
        <w:outlineLvl w:val="9"/>
        <w:rPr>
          <w:rFonts w:hint="eastAsia" w:ascii="楷体" w:hAnsi="楷体" w:eastAsia="楷体" w:cs="楷体"/>
          <w:b/>
          <w:bCs/>
          <w:color w:val="auto"/>
          <w:sz w:val="32"/>
          <w:szCs w:val="32"/>
          <w:highlight w:val="none"/>
        </w:rPr>
      </w:pPr>
    </w:p>
    <w:p w14:paraId="65CAA13A">
      <w:pPr>
        <w:adjustRightInd w:val="0"/>
        <w:snapToGrid w:val="0"/>
        <w:spacing w:line="360" w:lineRule="auto"/>
        <w:jc w:val="center"/>
        <w:outlineLvl w:val="9"/>
        <w:rPr>
          <w:rFonts w:hint="eastAsia" w:ascii="楷体" w:hAnsi="楷体" w:eastAsia="楷体" w:cs="楷体"/>
          <w:b/>
          <w:bCs/>
          <w:color w:val="auto"/>
          <w:sz w:val="32"/>
          <w:szCs w:val="32"/>
          <w:highlight w:val="none"/>
        </w:rPr>
      </w:pPr>
    </w:p>
    <w:p w14:paraId="1B68948C">
      <w:pPr>
        <w:adjustRightInd w:val="0"/>
        <w:snapToGrid w:val="0"/>
        <w:spacing w:line="360" w:lineRule="auto"/>
        <w:jc w:val="center"/>
        <w:outlineLvl w:val="9"/>
        <w:rPr>
          <w:rFonts w:hint="eastAsia" w:ascii="楷体" w:hAnsi="楷体" w:eastAsia="楷体" w:cs="楷体"/>
          <w:b/>
          <w:bCs/>
          <w:color w:val="auto"/>
          <w:sz w:val="32"/>
          <w:szCs w:val="32"/>
          <w:highlight w:val="none"/>
        </w:rPr>
      </w:pPr>
    </w:p>
    <w:p w14:paraId="4A1A16D1">
      <w:pPr>
        <w:adjustRightInd w:val="0"/>
        <w:snapToGrid w:val="0"/>
        <w:spacing w:line="360" w:lineRule="auto"/>
        <w:jc w:val="center"/>
        <w:outlineLvl w:val="9"/>
        <w:rPr>
          <w:rFonts w:hint="eastAsia" w:ascii="楷体" w:hAnsi="楷体" w:eastAsia="楷体" w:cs="楷体"/>
          <w:b/>
          <w:bCs/>
          <w:color w:val="auto"/>
          <w:sz w:val="32"/>
          <w:szCs w:val="32"/>
          <w:highlight w:val="none"/>
        </w:rPr>
      </w:pPr>
    </w:p>
    <w:p w14:paraId="72F6BCD6">
      <w:pPr>
        <w:adjustRightInd w:val="0"/>
        <w:snapToGrid w:val="0"/>
        <w:spacing w:line="360" w:lineRule="auto"/>
        <w:jc w:val="center"/>
        <w:outlineLvl w:val="9"/>
        <w:rPr>
          <w:rFonts w:hint="eastAsia" w:ascii="楷体" w:hAnsi="楷体" w:eastAsia="楷体" w:cs="楷体"/>
          <w:b/>
          <w:bCs/>
          <w:color w:val="auto"/>
          <w:sz w:val="32"/>
          <w:szCs w:val="32"/>
          <w:highlight w:val="none"/>
        </w:rPr>
      </w:pPr>
    </w:p>
    <w:p w14:paraId="564A3750">
      <w:pPr>
        <w:adjustRightInd w:val="0"/>
        <w:snapToGrid w:val="0"/>
        <w:spacing w:line="360" w:lineRule="auto"/>
        <w:jc w:val="center"/>
        <w:outlineLvl w:val="9"/>
        <w:rPr>
          <w:rFonts w:hint="eastAsia" w:ascii="楷体" w:hAnsi="楷体" w:eastAsia="楷体" w:cs="楷体"/>
          <w:b/>
          <w:bCs/>
          <w:color w:val="auto"/>
          <w:sz w:val="32"/>
          <w:szCs w:val="32"/>
          <w:highlight w:val="none"/>
        </w:rPr>
      </w:pPr>
    </w:p>
    <w:p w14:paraId="0ED75A02">
      <w:pPr>
        <w:adjustRightInd w:val="0"/>
        <w:snapToGrid w:val="0"/>
        <w:spacing w:line="360" w:lineRule="auto"/>
        <w:jc w:val="center"/>
        <w:outlineLvl w:val="9"/>
        <w:rPr>
          <w:rFonts w:hint="eastAsia" w:ascii="楷体" w:hAnsi="楷体" w:eastAsia="楷体" w:cs="楷体"/>
          <w:b/>
          <w:bCs/>
          <w:color w:val="auto"/>
          <w:sz w:val="32"/>
          <w:szCs w:val="32"/>
          <w:highlight w:val="none"/>
        </w:rPr>
      </w:pPr>
    </w:p>
    <w:p w14:paraId="20154684">
      <w:pPr>
        <w:adjustRightInd w:val="0"/>
        <w:snapToGrid w:val="0"/>
        <w:spacing w:line="360" w:lineRule="auto"/>
        <w:jc w:val="center"/>
        <w:outlineLvl w:val="9"/>
        <w:rPr>
          <w:rFonts w:hint="eastAsia" w:ascii="楷体" w:hAnsi="楷体" w:eastAsia="楷体" w:cs="楷体"/>
          <w:b/>
          <w:bCs/>
          <w:color w:val="auto"/>
          <w:sz w:val="32"/>
          <w:szCs w:val="32"/>
          <w:highlight w:val="none"/>
        </w:rPr>
      </w:pPr>
    </w:p>
    <w:p w14:paraId="330A5731">
      <w:pPr>
        <w:adjustRightInd w:val="0"/>
        <w:snapToGrid w:val="0"/>
        <w:spacing w:line="360" w:lineRule="auto"/>
        <w:jc w:val="center"/>
        <w:outlineLvl w:val="9"/>
        <w:rPr>
          <w:rFonts w:hint="eastAsia" w:ascii="楷体" w:hAnsi="楷体" w:eastAsia="楷体" w:cs="楷体"/>
          <w:b/>
          <w:bCs/>
          <w:color w:val="auto"/>
          <w:sz w:val="32"/>
          <w:szCs w:val="32"/>
          <w:highlight w:val="none"/>
        </w:rPr>
      </w:pPr>
    </w:p>
    <w:p w14:paraId="6524DB2C">
      <w:pPr>
        <w:adjustRightInd w:val="0"/>
        <w:snapToGrid w:val="0"/>
        <w:spacing w:line="360" w:lineRule="auto"/>
        <w:jc w:val="center"/>
        <w:outlineLvl w:val="9"/>
        <w:rPr>
          <w:rFonts w:hint="eastAsia" w:ascii="楷体" w:hAnsi="楷体" w:eastAsia="楷体" w:cs="楷体"/>
          <w:b/>
          <w:bCs/>
          <w:color w:val="auto"/>
          <w:sz w:val="32"/>
          <w:szCs w:val="32"/>
          <w:highlight w:val="none"/>
        </w:rPr>
      </w:pPr>
    </w:p>
    <w:p w14:paraId="4BA443E5">
      <w:pPr>
        <w:adjustRightInd w:val="0"/>
        <w:snapToGrid w:val="0"/>
        <w:spacing w:line="360" w:lineRule="auto"/>
        <w:jc w:val="center"/>
        <w:outlineLvl w:val="9"/>
        <w:rPr>
          <w:rFonts w:hint="eastAsia" w:ascii="楷体" w:hAnsi="楷体" w:eastAsia="楷体" w:cs="楷体"/>
          <w:b/>
          <w:bCs/>
          <w:color w:val="auto"/>
          <w:sz w:val="32"/>
          <w:szCs w:val="32"/>
          <w:highlight w:val="none"/>
        </w:rPr>
      </w:pPr>
    </w:p>
    <w:p w14:paraId="1FE07C52">
      <w:pPr>
        <w:adjustRightInd w:val="0"/>
        <w:snapToGrid w:val="0"/>
        <w:spacing w:line="360" w:lineRule="auto"/>
        <w:jc w:val="center"/>
        <w:outlineLvl w:val="9"/>
        <w:rPr>
          <w:rFonts w:hint="eastAsia" w:ascii="楷体" w:hAnsi="楷体" w:eastAsia="楷体" w:cs="楷体"/>
          <w:b/>
          <w:bCs/>
          <w:color w:val="auto"/>
          <w:sz w:val="32"/>
          <w:szCs w:val="32"/>
          <w:highlight w:val="none"/>
        </w:rPr>
      </w:pPr>
    </w:p>
    <w:p w14:paraId="3D5D40B9">
      <w:pPr>
        <w:adjustRightInd w:val="0"/>
        <w:snapToGrid w:val="0"/>
        <w:spacing w:line="360" w:lineRule="auto"/>
        <w:jc w:val="center"/>
        <w:outlineLvl w:val="9"/>
        <w:rPr>
          <w:rFonts w:hint="eastAsia" w:ascii="楷体" w:hAnsi="楷体" w:eastAsia="楷体" w:cs="楷体"/>
          <w:b/>
          <w:bCs/>
          <w:color w:val="auto"/>
          <w:sz w:val="32"/>
          <w:szCs w:val="32"/>
          <w:highlight w:val="none"/>
        </w:rPr>
      </w:pPr>
    </w:p>
    <w:p w14:paraId="03BBF53F">
      <w:pPr>
        <w:adjustRightInd w:val="0"/>
        <w:snapToGrid w:val="0"/>
        <w:spacing w:line="360" w:lineRule="auto"/>
        <w:jc w:val="center"/>
        <w:outlineLvl w:val="9"/>
        <w:rPr>
          <w:rFonts w:hint="eastAsia" w:ascii="楷体" w:hAnsi="楷体" w:eastAsia="楷体" w:cs="楷体"/>
          <w:b/>
          <w:bCs/>
          <w:color w:val="auto"/>
          <w:sz w:val="32"/>
          <w:szCs w:val="32"/>
          <w:highlight w:val="none"/>
        </w:rPr>
      </w:pPr>
      <w:r>
        <w:rPr>
          <w:rFonts w:hint="eastAsia" w:ascii="楷体" w:hAnsi="楷体" w:eastAsia="楷体" w:cs="楷体"/>
          <w:b/>
          <w:bCs/>
          <w:color w:val="auto"/>
          <w:sz w:val="32"/>
          <w:szCs w:val="32"/>
          <w:highlight w:val="none"/>
        </w:rPr>
        <w:t>四、商务部分</w:t>
      </w:r>
      <w:bookmarkEnd w:id="212"/>
      <w:bookmarkEnd w:id="213"/>
      <w:bookmarkEnd w:id="214"/>
      <w:bookmarkEnd w:id="215"/>
      <w:bookmarkEnd w:id="216"/>
      <w:bookmarkEnd w:id="217"/>
    </w:p>
    <w:p w14:paraId="4494068E">
      <w:pPr>
        <w:keepNext w:val="0"/>
        <w:keepLines w:val="0"/>
        <w:pageBreakBefore w:val="0"/>
        <w:kinsoku/>
        <w:wordWrap/>
        <w:overflowPunct/>
        <w:topLinePunct w:val="0"/>
        <w:autoSpaceDE/>
        <w:autoSpaceDN/>
        <w:bidi w:val="0"/>
        <w:spacing w:line="360" w:lineRule="auto"/>
        <w:ind w:firstLine="482" w:firstLineChars="200"/>
        <w:textAlignment w:val="auto"/>
        <w:rPr>
          <w:rFonts w:hint="eastAsia" w:ascii="楷体" w:hAnsi="楷体" w:eastAsia="楷体" w:cs="楷体"/>
          <w:b/>
          <w:color w:val="auto"/>
          <w:szCs w:val="24"/>
          <w:highlight w:val="none"/>
        </w:rPr>
      </w:pPr>
      <w:r>
        <w:rPr>
          <w:rFonts w:hint="eastAsia" w:ascii="楷体" w:hAnsi="楷体" w:eastAsia="楷体" w:cs="楷体"/>
          <w:b/>
          <w:color w:val="auto"/>
          <w:szCs w:val="24"/>
          <w:highlight w:val="none"/>
        </w:rPr>
        <w:t>供应商应按照磋商文件的要求编制商务要求，并封装至磋商响应文件中。主要内容须包括以下几点，如果实质上没有响应磋商文件要求，将按无效磋商处理。</w:t>
      </w:r>
    </w:p>
    <w:p w14:paraId="1052E763">
      <w:pPr>
        <w:keepNext w:val="0"/>
        <w:keepLines w:val="0"/>
        <w:pageBreakBefore w:val="0"/>
        <w:kinsoku/>
        <w:wordWrap/>
        <w:overflowPunct/>
        <w:topLinePunct w:val="0"/>
        <w:autoSpaceDE/>
        <w:autoSpaceDN/>
        <w:bidi w:val="0"/>
        <w:spacing w:line="360" w:lineRule="auto"/>
        <w:ind w:firstLine="482" w:firstLineChars="200"/>
        <w:textAlignment w:val="auto"/>
        <w:rPr>
          <w:rFonts w:hint="eastAsia" w:ascii="楷体" w:hAnsi="楷体" w:eastAsia="楷体" w:cs="楷体"/>
          <w:color w:val="auto"/>
          <w:szCs w:val="24"/>
          <w:highlight w:val="none"/>
        </w:rPr>
      </w:pPr>
      <w:r>
        <w:rPr>
          <w:rFonts w:hint="eastAsia" w:ascii="楷体" w:hAnsi="楷体" w:eastAsia="楷体" w:cs="楷体"/>
          <w:b/>
          <w:bCs/>
          <w:color w:val="auto"/>
          <w:szCs w:val="24"/>
          <w:highlight w:val="none"/>
        </w:rPr>
        <w:t>（一）资格审查文件</w:t>
      </w:r>
      <w:r>
        <w:rPr>
          <w:rFonts w:hint="eastAsia" w:ascii="楷体" w:hAnsi="楷体" w:eastAsia="楷体" w:cs="楷体"/>
          <w:color w:val="auto"/>
          <w:szCs w:val="24"/>
          <w:highlight w:val="none"/>
        </w:rPr>
        <w:t>（以下相关资料提供加盖公章的复印件，须清晰可见）</w:t>
      </w:r>
    </w:p>
    <w:p w14:paraId="123F2D25">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楷体" w:hAnsi="楷体" w:eastAsia="楷体" w:cs="楷体"/>
          <w:color w:val="auto"/>
          <w:szCs w:val="24"/>
          <w:highlight w:val="none"/>
        </w:rPr>
      </w:pPr>
      <w:r>
        <w:rPr>
          <w:rFonts w:hint="eastAsia" w:ascii="楷体" w:hAnsi="楷体" w:eastAsia="楷体" w:cs="楷体"/>
          <w:color w:val="auto"/>
          <w:szCs w:val="24"/>
          <w:highlight w:val="none"/>
        </w:rPr>
        <w:t>1、供应商具备《</w:t>
      </w:r>
      <w:r>
        <w:rPr>
          <w:rFonts w:hint="eastAsia" w:ascii="楷体" w:hAnsi="楷体" w:eastAsia="楷体" w:cs="楷体"/>
          <w:color w:val="auto"/>
          <w:spacing w:val="4"/>
          <w:szCs w:val="24"/>
          <w:highlight w:val="none"/>
        </w:rPr>
        <w:t>中华人民共和国政府采购法</w:t>
      </w:r>
      <w:r>
        <w:rPr>
          <w:rFonts w:hint="eastAsia" w:ascii="楷体" w:hAnsi="楷体" w:eastAsia="楷体" w:cs="楷体"/>
          <w:color w:val="auto"/>
          <w:szCs w:val="24"/>
          <w:highlight w:val="none"/>
        </w:rPr>
        <w:t>》第二十二条规定之资格条件。须提供的证明材料有：</w:t>
      </w:r>
    </w:p>
    <w:p w14:paraId="1BF7D5BB">
      <w:pPr>
        <w:pStyle w:val="14"/>
        <w:keepNext w:val="0"/>
        <w:keepLines w:val="0"/>
        <w:pageBreakBefore w:val="0"/>
        <w:kinsoku/>
        <w:wordWrap/>
        <w:overflowPunct/>
        <w:topLinePunct w:val="0"/>
        <w:autoSpaceDE/>
        <w:autoSpaceDN/>
        <w:bidi w:val="0"/>
        <w:spacing w:before="0" w:beforeAutospacing="0" w:after="0" w:afterAutospacing="0" w:line="360" w:lineRule="auto"/>
        <w:ind w:firstLine="480" w:firstLineChars="200"/>
        <w:textAlignment w:val="auto"/>
        <w:rPr>
          <w:rFonts w:hint="eastAsia" w:ascii="楷体" w:hAnsi="楷体" w:eastAsia="楷体" w:cs="楷体"/>
          <w:color w:val="auto"/>
          <w:highlight w:val="none"/>
        </w:rPr>
      </w:pPr>
      <w:r>
        <w:rPr>
          <w:rFonts w:hint="eastAsia" w:ascii="楷体" w:hAnsi="楷体" w:eastAsia="楷体" w:cs="楷体"/>
          <w:color w:val="auto"/>
          <w:highlight w:val="none"/>
        </w:rPr>
        <w:t>1.1提供有效合格的具有</w:t>
      </w:r>
      <w:r>
        <w:rPr>
          <w:rFonts w:hint="eastAsia" w:ascii="楷体" w:hAnsi="楷体" w:eastAsia="楷体" w:cs="楷体"/>
          <w:color w:val="auto"/>
          <w:highlight w:val="none"/>
          <w:lang w:eastAsia="zh-CN"/>
        </w:rPr>
        <w:t>统一社会信用代码</w:t>
      </w:r>
      <w:r>
        <w:rPr>
          <w:rFonts w:hint="eastAsia" w:ascii="楷体" w:hAnsi="楷体" w:eastAsia="楷体" w:cs="楷体"/>
          <w:color w:val="auto"/>
          <w:highlight w:val="none"/>
        </w:rPr>
        <w:t>的营业执照，其他组织经营的须提供合法凭证，自然人提供身份证明文件;</w:t>
      </w:r>
    </w:p>
    <w:p w14:paraId="4F1EE82C">
      <w:pPr>
        <w:pStyle w:val="14"/>
        <w:keepNext w:val="0"/>
        <w:keepLines w:val="0"/>
        <w:pageBreakBefore w:val="0"/>
        <w:kinsoku/>
        <w:wordWrap/>
        <w:overflowPunct/>
        <w:topLinePunct w:val="0"/>
        <w:autoSpaceDE/>
        <w:autoSpaceDN/>
        <w:bidi w:val="0"/>
        <w:spacing w:before="0" w:beforeAutospacing="0" w:after="0" w:afterAutospacing="0" w:line="360" w:lineRule="auto"/>
        <w:ind w:firstLine="480" w:firstLineChars="200"/>
        <w:textAlignment w:val="auto"/>
        <w:rPr>
          <w:rFonts w:hint="eastAsia" w:ascii="楷体" w:hAnsi="楷体" w:eastAsia="楷体" w:cs="楷体"/>
          <w:color w:val="auto"/>
          <w:highlight w:val="none"/>
        </w:rPr>
      </w:pPr>
      <w:r>
        <w:rPr>
          <w:rFonts w:hint="eastAsia" w:ascii="楷体" w:hAnsi="楷体" w:eastAsia="楷体" w:cs="楷体"/>
          <w:color w:val="auto"/>
          <w:highlight w:val="none"/>
        </w:rPr>
        <w:t>1.2财务状况报告：</w:t>
      </w:r>
      <w:r>
        <w:rPr>
          <w:rFonts w:hint="eastAsia" w:ascii="楷体" w:hAnsi="楷体" w:eastAsia="楷体" w:cs="楷体"/>
          <w:color w:val="auto"/>
          <w:highlight w:val="none"/>
          <w:lang w:eastAsia="zh-CN"/>
        </w:rPr>
        <w:t>提供202</w:t>
      </w:r>
      <w:r>
        <w:rPr>
          <w:rFonts w:hint="eastAsia" w:ascii="楷体" w:hAnsi="楷体" w:eastAsia="楷体" w:cs="楷体"/>
          <w:color w:val="auto"/>
          <w:highlight w:val="none"/>
          <w:lang w:val="en-US" w:eastAsia="zh-CN"/>
        </w:rPr>
        <w:t>4年度</w:t>
      </w:r>
      <w:r>
        <w:rPr>
          <w:rFonts w:hint="eastAsia" w:ascii="楷体" w:hAnsi="楷体" w:eastAsia="楷体" w:cs="楷体"/>
          <w:color w:val="auto"/>
          <w:highlight w:val="none"/>
          <w:lang w:eastAsia="zh-CN"/>
        </w:rPr>
        <w:t>经审计的完整财务报告或磋商日期前三个月内其基本存款账户开户银行出具的资信证明。（如提供资信证明，须同时提供基本存款账户开户许可证或基本账户信息表）；</w:t>
      </w:r>
    </w:p>
    <w:p w14:paraId="21CD8030">
      <w:pPr>
        <w:pStyle w:val="14"/>
        <w:keepNext w:val="0"/>
        <w:keepLines w:val="0"/>
        <w:pageBreakBefore w:val="0"/>
        <w:kinsoku/>
        <w:wordWrap/>
        <w:overflowPunct/>
        <w:topLinePunct w:val="0"/>
        <w:autoSpaceDE/>
        <w:autoSpaceDN/>
        <w:bidi w:val="0"/>
        <w:spacing w:before="0" w:beforeAutospacing="0" w:after="0" w:afterAutospacing="0" w:line="360" w:lineRule="auto"/>
        <w:ind w:firstLine="480" w:firstLineChars="200"/>
        <w:textAlignment w:val="auto"/>
        <w:rPr>
          <w:rFonts w:hint="eastAsia" w:ascii="楷体" w:hAnsi="楷体" w:eastAsia="楷体" w:cs="楷体"/>
          <w:color w:val="auto"/>
          <w:highlight w:val="none"/>
        </w:rPr>
      </w:pPr>
      <w:r>
        <w:rPr>
          <w:rFonts w:hint="eastAsia" w:ascii="楷体" w:hAnsi="楷体" w:eastAsia="楷体" w:cs="楷体"/>
          <w:color w:val="auto"/>
          <w:highlight w:val="none"/>
        </w:rPr>
        <w:t>1.3税收缴纳证明：提供202</w:t>
      </w:r>
      <w:r>
        <w:rPr>
          <w:rFonts w:hint="eastAsia" w:ascii="楷体" w:hAnsi="楷体" w:eastAsia="楷体" w:cs="楷体"/>
          <w:color w:val="auto"/>
          <w:highlight w:val="none"/>
          <w:lang w:val="en-US" w:eastAsia="zh-CN"/>
        </w:rPr>
        <w:t>5</w:t>
      </w:r>
      <w:r>
        <w:rPr>
          <w:rFonts w:hint="eastAsia" w:ascii="楷体" w:hAnsi="楷体" w:eastAsia="楷体" w:cs="楷体"/>
          <w:color w:val="auto"/>
          <w:highlight w:val="none"/>
        </w:rPr>
        <w:t>年</w:t>
      </w:r>
      <w:r>
        <w:rPr>
          <w:rFonts w:hint="eastAsia" w:ascii="楷体" w:hAnsi="楷体" w:eastAsia="楷体" w:cs="楷体"/>
          <w:color w:val="auto"/>
          <w:highlight w:val="none"/>
          <w:lang w:val="en-US" w:eastAsia="zh-CN"/>
        </w:rPr>
        <w:t>1</w:t>
      </w:r>
      <w:r>
        <w:rPr>
          <w:rFonts w:hint="eastAsia" w:ascii="楷体" w:hAnsi="楷体" w:eastAsia="楷体" w:cs="楷体"/>
          <w:color w:val="auto"/>
          <w:highlight w:val="none"/>
        </w:rPr>
        <w:t>月至今已缴纳的至少一个月的纳税证明，依法免税的单位应提供相关证明材料；</w:t>
      </w:r>
    </w:p>
    <w:p w14:paraId="60763198">
      <w:pPr>
        <w:pStyle w:val="14"/>
        <w:keepNext w:val="0"/>
        <w:keepLines w:val="0"/>
        <w:pageBreakBefore w:val="0"/>
        <w:kinsoku/>
        <w:wordWrap/>
        <w:overflowPunct/>
        <w:topLinePunct w:val="0"/>
        <w:autoSpaceDE/>
        <w:autoSpaceDN/>
        <w:bidi w:val="0"/>
        <w:spacing w:before="0" w:beforeAutospacing="0" w:after="0" w:afterAutospacing="0" w:line="360" w:lineRule="auto"/>
        <w:ind w:firstLine="480" w:firstLineChars="200"/>
        <w:textAlignment w:val="auto"/>
        <w:rPr>
          <w:rFonts w:hint="eastAsia" w:ascii="楷体" w:hAnsi="楷体" w:eastAsia="楷体" w:cs="楷体"/>
          <w:color w:val="auto"/>
          <w:highlight w:val="none"/>
        </w:rPr>
      </w:pPr>
      <w:r>
        <w:rPr>
          <w:rFonts w:hint="eastAsia" w:ascii="楷体" w:hAnsi="楷体" w:eastAsia="楷体" w:cs="楷体"/>
          <w:color w:val="auto"/>
          <w:highlight w:val="none"/>
        </w:rPr>
        <w:t>1.4社会保障资金缴纳证明：提供20</w:t>
      </w:r>
      <w:r>
        <w:rPr>
          <w:rFonts w:hint="eastAsia" w:ascii="楷体" w:hAnsi="楷体" w:eastAsia="楷体" w:cs="楷体"/>
          <w:color w:val="auto"/>
          <w:highlight w:val="none"/>
          <w:lang w:val="en-US" w:eastAsia="zh-CN"/>
        </w:rPr>
        <w:t>25</w:t>
      </w:r>
      <w:r>
        <w:rPr>
          <w:rFonts w:hint="eastAsia" w:ascii="楷体" w:hAnsi="楷体" w:eastAsia="楷体" w:cs="楷体"/>
          <w:color w:val="auto"/>
          <w:highlight w:val="none"/>
        </w:rPr>
        <w:t>年</w:t>
      </w:r>
      <w:r>
        <w:rPr>
          <w:rFonts w:hint="eastAsia" w:ascii="楷体" w:hAnsi="楷体" w:eastAsia="楷体" w:cs="楷体"/>
          <w:color w:val="auto"/>
          <w:highlight w:val="none"/>
          <w:lang w:val="en-US" w:eastAsia="zh-CN"/>
        </w:rPr>
        <w:t>1</w:t>
      </w:r>
      <w:r>
        <w:rPr>
          <w:rFonts w:hint="eastAsia" w:ascii="楷体" w:hAnsi="楷体" w:eastAsia="楷体" w:cs="楷体"/>
          <w:color w:val="auto"/>
          <w:highlight w:val="none"/>
        </w:rPr>
        <w:t>月至今已缴存的至少一个月的社会保障资金缴存单据或社保机构开具的社会保险参保缴费情况证明，依法不需要缴纳社会保障资金的单位应提供相关证明材料；</w:t>
      </w:r>
    </w:p>
    <w:p w14:paraId="6A92A061">
      <w:pPr>
        <w:pStyle w:val="14"/>
        <w:keepNext w:val="0"/>
        <w:keepLines w:val="0"/>
        <w:pageBreakBefore w:val="0"/>
        <w:kinsoku/>
        <w:wordWrap/>
        <w:overflowPunct/>
        <w:topLinePunct w:val="0"/>
        <w:autoSpaceDE/>
        <w:autoSpaceDN/>
        <w:bidi w:val="0"/>
        <w:spacing w:before="0" w:beforeAutospacing="0" w:after="0" w:afterAutospacing="0" w:line="360" w:lineRule="auto"/>
        <w:ind w:firstLine="480" w:firstLineChars="200"/>
        <w:textAlignment w:val="auto"/>
        <w:rPr>
          <w:rFonts w:hint="eastAsia" w:ascii="楷体" w:hAnsi="楷体" w:eastAsia="楷体" w:cs="楷体"/>
          <w:color w:val="auto"/>
          <w:highlight w:val="none"/>
        </w:rPr>
      </w:pPr>
      <w:r>
        <w:rPr>
          <w:rFonts w:hint="eastAsia" w:ascii="楷体" w:hAnsi="楷体" w:eastAsia="楷体" w:cs="楷体"/>
          <w:color w:val="auto"/>
          <w:highlight w:val="none"/>
        </w:rPr>
        <w:t>1.5具备履行合同所必须的设备和专业技术能力的书面声明;</w:t>
      </w:r>
    </w:p>
    <w:p w14:paraId="65571488">
      <w:pPr>
        <w:pStyle w:val="14"/>
        <w:keepNext w:val="0"/>
        <w:keepLines w:val="0"/>
        <w:pageBreakBefore w:val="0"/>
        <w:kinsoku/>
        <w:wordWrap/>
        <w:overflowPunct/>
        <w:topLinePunct w:val="0"/>
        <w:autoSpaceDE/>
        <w:autoSpaceDN/>
        <w:bidi w:val="0"/>
        <w:spacing w:before="0" w:beforeAutospacing="0" w:after="0" w:afterAutospacing="0" w:line="360" w:lineRule="auto"/>
        <w:ind w:firstLine="480" w:firstLineChars="200"/>
        <w:textAlignment w:val="auto"/>
        <w:rPr>
          <w:rFonts w:hint="eastAsia" w:ascii="楷体" w:hAnsi="楷体" w:eastAsia="楷体" w:cs="楷体"/>
          <w:color w:val="auto"/>
          <w:highlight w:val="none"/>
        </w:rPr>
      </w:pPr>
      <w:r>
        <w:rPr>
          <w:rFonts w:hint="eastAsia" w:ascii="楷体" w:hAnsi="楷体" w:eastAsia="楷体" w:cs="楷体"/>
          <w:color w:val="auto"/>
          <w:highlight w:val="none"/>
        </w:rPr>
        <w:t>1.6参加政府采购活动前三年内，在经营活动中没有重大违法记录的书面声明；</w:t>
      </w:r>
    </w:p>
    <w:p w14:paraId="7A2F9917">
      <w:pPr>
        <w:pStyle w:val="14"/>
        <w:keepNext w:val="0"/>
        <w:keepLines w:val="0"/>
        <w:pageBreakBefore w:val="0"/>
        <w:kinsoku/>
        <w:wordWrap/>
        <w:overflowPunct/>
        <w:topLinePunct w:val="0"/>
        <w:autoSpaceDE/>
        <w:autoSpaceDN/>
        <w:bidi w:val="0"/>
        <w:spacing w:before="0" w:beforeAutospacing="0" w:after="0" w:afterAutospacing="0" w:line="360" w:lineRule="auto"/>
        <w:ind w:firstLine="480" w:firstLineChars="200"/>
        <w:textAlignment w:val="auto"/>
        <w:rPr>
          <w:rFonts w:hint="eastAsia" w:ascii="楷体" w:hAnsi="楷体" w:eastAsia="楷体" w:cs="楷体"/>
          <w:color w:val="auto"/>
          <w:highlight w:val="none"/>
        </w:rPr>
      </w:pPr>
      <w:r>
        <w:rPr>
          <w:rFonts w:hint="eastAsia" w:ascii="楷体" w:hAnsi="楷体" w:eastAsia="楷体" w:cs="楷体"/>
          <w:color w:val="auto"/>
          <w:highlight w:val="none"/>
        </w:rPr>
        <w:t>2.特定资格条件</w:t>
      </w:r>
    </w:p>
    <w:p w14:paraId="1E1CB524">
      <w:pPr>
        <w:pStyle w:val="14"/>
        <w:keepNext w:val="0"/>
        <w:keepLines w:val="0"/>
        <w:pageBreakBefore w:val="0"/>
        <w:kinsoku/>
        <w:wordWrap/>
        <w:overflowPunct/>
        <w:topLinePunct w:val="0"/>
        <w:autoSpaceDE/>
        <w:autoSpaceDN/>
        <w:bidi w:val="0"/>
        <w:spacing w:before="0" w:beforeAutospacing="0" w:after="0" w:afterAutospacing="0" w:line="360" w:lineRule="auto"/>
        <w:ind w:firstLine="480" w:firstLineChars="200"/>
        <w:textAlignment w:val="auto"/>
        <w:rPr>
          <w:rFonts w:hint="eastAsia" w:ascii="楷体" w:hAnsi="楷体" w:eastAsia="楷体" w:cs="楷体"/>
          <w:color w:val="auto"/>
          <w:highlight w:val="none"/>
        </w:rPr>
      </w:pPr>
      <w:r>
        <w:rPr>
          <w:rFonts w:hint="eastAsia" w:ascii="楷体" w:hAnsi="楷体" w:eastAsia="楷体" w:cs="楷体"/>
          <w:color w:val="auto"/>
          <w:highlight w:val="none"/>
        </w:rPr>
        <w:t>2.1</w:t>
      </w:r>
      <w:r>
        <w:rPr>
          <w:rFonts w:hint="eastAsia" w:ascii="楷体" w:hAnsi="楷体" w:eastAsia="楷体" w:cs="楷体"/>
          <w:b w:val="0"/>
          <w:color w:val="auto"/>
          <w:kern w:val="0"/>
          <w:sz w:val="24"/>
          <w:szCs w:val="24"/>
          <w:highlight w:val="none"/>
          <w:lang w:val="en-US" w:eastAsia="zh-CN" w:bidi="ar-SA"/>
        </w:rPr>
        <w:t>供应商未被列入信用中国网站(www.creditchina.gov.cn)“失信被执行人、重大税收违法失信主体”；不处于中国政府采购网(www.ccgp.gov.cn)“政府采购严重违法失信行为信息记录”中的禁止参加政府采购活动期间</w:t>
      </w:r>
      <w:r>
        <w:rPr>
          <w:rFonts w:hint="eastAsia" w:ascii="楷体" w:hAnsi="楷体" w:eastAsia="楷体" w:cs="楷体"/>
          <w:color w:val="auto"/>
          <w:highlight w:val="none"/>
        </w:rPr>
        <w:t>；</w:t>
      </w:r>
    </w:p>
    <w:p w14:paraId="29283BE3">
      <w:pPr>
        <w:pStyle w:val="14"/>
        <w:keepNext w:val="0"/>
        <w:keepLines w:val="0"/>
        <w:pageBreakBefore w:val="0"/>
        <w:kinsoku/>
        <w:wordWrap/>
        <w:overflowPunct/>
        <w:topLinePunct w:val="0"/>
        <w:autoSpaceDE/>
        <w:autoSpaceDN/>
        <w:bidi w:val="0"/>
        <w:spacing w:before="0" w:beforeAutospacing="0" w:after="0" w:afterAutospacing="0" w:line="360" w:lineRule="auto"/>
        <w:ind w:firstLine="480" w:firstLineChars="200"/>
        <w:textAlignment w:val="auto"/>
        <w:rPr>
          <w:rFonts w:hint="eastAsia" w:ascii="楷体" w:hAnsi="楷体" w:eastAsia="楷体" w:cs="楷体"/>
          <w:color w:val="auto"/>
          <w:szCs w:val="24"/>
          <w:highlight w:val="none"/>
          <w:lang w:eastAsia="zh-CN"/>
        </w:rPr>
      </w:pPr>
      <w:r>
        <w:rPr>
          <w:rFonts w:hint="eastAsia" w:ascii="楷体" w:hAnsi="楷体" w:eastAsia="楷体" w:cs="楷体"/>
          <w:color w:val="auto"/>
          <w:szCs w:val="24"/>
          <w:highlight w:val="none"/>
          <w:lang w:val="en-US" w:eastAsia="zh-CN"/>
        </w:rPr>
        <w:t>2.2授权委托书：</w:t>
      </w:r>
      <w:r>
        <w:rPr>
          <w:rFonts w:hint="eastAsia" w:ascii="楷体" w:hAnsi="楷体" w:eastAsia="楷体" w:cs="楷体"/>
          <w:color w:val="auto"/>
          <w:szCs w:val="24"/>
          <w:highlight w:val="none"/>
        </w:rPr>
        <w:t>法定代表人授权委托书、被授权人身份证（法定代表人参加磋商时,只需提供法定代表人身份证；被授权人参加</w:t>
      </w:r>
      <w:r>
        <w:rPr>
          <w:rFonts w:hint="eastAsia" w:ascii="楷体" w:hAnsi="楷体" w:eastAsia="楷体" w:cs="楷体"/>
          <w:color w:val="auto"/>
          <w:szCs w:val="24"/>
          <w:highlight w:val="none"/>
          <w:lang w:val="en-US" w:eastAsia="zh-CN"/>
        </w:rPr>
        <w:t>磋商</w:t>
      </w:r>
      <w:r>
        <w:rPr>
          <w:rFonts w:hint="eastAsia" w:ascii="楷体" w:hAnsi="楷体" w:eastAsia="楷体" w:cs="楷体"/>
          <w:color w:val="auto"/>
          <w:szCs w:val="24"/>
          <w:highlight w:val="none"/>
        </w:rPr>
        <w:t>时，须提供磋商前三个月至少一个月的基本养老保险参保缴费证明）</w:t>
      </w:r>
      <w:r>
        <w:rPr>
          <w:rFonts w:hint="eastAsia" w:ascii="楷体" w:hAnsi="楷体" w:eastAsia="楷体" w:cs="楷体"/>
          <w:color w:val="auto"/>
          <w:szCs w:val="24"/>
          <w:highlight w:val="none"/>
          <w:lang w:eastAsia="zh-CN"/>
        </w:rPr>
        <w:t>；</w:t>
      </w:r>
    </w:p>
    <w:p w14:paraId="27C4786E">
      <w:pPr>
        <w:pStyle w:val="14"/>
        <w:keepNext w:val="0"/>
        <w:keepLines w:val="0"/>
        <w:pageBreakBefore w:val="0"/>
        <w:kinsoku/>
        <w:wordWrap/>
        <w:overflowPunct/>
        <w:topLinePunct w:val="0"/>
        <w:autoSpaceDE/>
        <w:autoSpaceDN/>
        <w:bidi w:val="0"/>
        <w:spacing w:before="0" w:beforeAutospacing="0" w:after="0" w:afterAutospacing="0" w:line="360" w:lineRule="auto"/>
        <w:ind w:firstLine="480" w:firstLineChars="200"/>
        <w:textAlignment w:val="auto"/>
        <w:rPr>
          <w:rFonts w:hint="eastAsia" w:ascii="楷体" w:hAnsi="楷体" w:eastAsia="楷体" w:cs="楷体"/>
          <w:color w:val="auto"/>
          <w:szCs w:val="24"/>
          <w:highlight w:val="none"/>
          <w:lang w:val="en-US" w:eastAsia="zh-CN"/>
        </w:rPr>
      </w:pPr>
      <w:r>
        <w:rPr>
          <w:rFonts w:hint="eastAsia" w:ascii="楷体" w:hAnsi="楷体" w:eastAsia="楷体" w:cs="楷体"/>
          <w:color w:val="auto"/>
          <w:szCs w:val="24"/>
          <w:highlight w:val="none"/>
          <w:lang w:val="en-US" w:eastAsia="zh-CN"/>
        </w:rPr>
        <w:t>2.3供应商须提供合法有效的计量认证证书（CMA）及附符合响应采购包采购要求批准检测范围及限制要求的附表（检测范围能力必须全部符合该采购包项目要求并进行标记）；</w:t>
      </w:r>
    </w:p>
    <w:p w14:paraId="3CA4F787">
      <w:pPr>
        <w:pStyle w:val="14"/>
        <w:keepNext w:val="0"/>
        <w:keepLines w:val="0"/>
        <w:pageBreakBefore w:val="0"/>
        <w:kinsoku/>
        <w:wordWrap/>
        <w:overflowPunct/>
        <w:topLinePunct w:val="0"/>
        <w:autoSpaceDE/>
        <w:autoSpaceDN/>
        <w:bidi w:val="0"/>
        <w:spacing w:before="0" w:beforeAutospacing="0" w:after="0" w:afterAutospacing="0" w:line="360" w:lineRule="auto"/>
        <w:ind w:firstLine="480" w:firstLineChars="200"/>
        <w:textAlignment w:val="auto"/>
        <w:rPr>
          <w:rFonts w:hint="eastAsia" w:ascii="楷体" w:hAnsi="楷体" w:eastAsia="楷体" w:cs="楷体"/>
          <w:color w:val="auto"/>
          <w:szCs w:val="24"/>
          <w:highlight w:val="none"/>
          <w:lang w:val="en-US" w:eastAsia="zh-CN"/>
        </w:rPr>
      </w:pPr>
      <w:r>
        <w:rPr>
          <w:rFonts w:hint="eastAsia" w:ascii="楷体" w:hAnsi="楷体" w:eastAsia="楷体" w:cs="楷体"/>
          <w:color w:val="auto"/>
          <w:szCs w:val="24"/>
          <w:highlight w:val="none"/>
          <w:lang w:val="en-US" w:eastAsia="zh-CN"/>
        </w:rPr>
        <w:t>2.4不接受从事承检产（商）品生产、经营活动的企业实验室参与磋商，供应商须提供书面声明；</w:t>
      </w:r>
    </w:p>
    <w:p w14:paraId="06B0BEC1">
      <w:pPr>
        <w:pStyle w:val="14"/>
        <w:keepNext w:val="0"/>
        <w:keepLines w:val="0"/>
        <w:pageBreakBefore w:val="0"/>
        <w:kinsoku/>
        <w:wordWrap/>
        <w:overflowPunct/>
        <w:topLinePunct w:val="0"/>
        <w:autoSpaceDE/>
        <w:autoSpaceDN/>
        <w:bidi w:val="0"/>
        <w:spacing w:before="0" w:beforeAutospacing="0" w:after="0" w:afterAutospacing="0" w:line="360" w:lineRule="auto"/>
        <w:ind w:firstLine="480" w:firstLineChars="200"/>
        <w:textAlignment w:val="auto"/>
        <w:rPr>
          <w:rFonts w:hint="default" w:ascii="楷体" w:hAnsi="楷体" w:eastAsia="楷体" w:cs="楷体"/>
          <w:color w:val="auto"/>
          <w:szCs w:val="24"/>
          <w:highlight w:val="none"/>
          <w:lang w:val="en-US" w:eastAsia="zh-CN"/>
        </w:rPr>
      </w:pPr>
      <w:r>
        <w:rPr>
          <w:rFonts w:hint="eastAsia" w:ascii="楷体" w:hAnsi="楷体" w:eastAsia="楷体" w:cs="楷体"/>
          <w:color w:val="auto"/>
          <w:szCs w:val="24"/>
          <w:highlight w:val="none"/>
          <w:lang w:val="en-US" w:eastAsia="zh-CN"/>
        </w:rPr>
        <w:t>2.5不接受联合体磋商。</w:t>
      </w:r>
    </w:p>
    <w:p w14:paraId="1889F8F2">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eastAsia" w:ascii="楷体" w:hAnsi="楷体" w:eastAsia="楷体" w:cs="楷体"/>
          <w:b w:val="0"/>
          <w:color w:val="auto"/>
          <w:kern w:val="0"/>
          <w:sz w:val="24"/>
          <w:szCs w:val="24"/>
          <w:highlight w:val="none"/>
          <w:lang w:val="en-US" w:eastAsia="zh-CN" w:bidi="ar-SA"/>
        </w:rPr>
      </w:pPr>
      <w:bookmarkStart w:id="218" w:name="_Toc437333651"/>
      <w:r>
        <w:rPr>
          <w:rFonts w:hint="eastAsia" w:ascii="楷体" w:hAnsi="楷体" w:eastAsia="楷体" w:cs="楷体"/>
          <w:b w:val="0"/>
          <w:color w:val="auto"/>
          <w:kern w:val="0"/>
          <w:sz w:val="24"/>
          <w:szCs w:val="24"/>
          <w:highlight w:val="none"/>
          <w:lang w:val="en-US" w:eastAsia="zh-CN" w:bidi="ar-SA"/>
        </w:rPr>
        <w:t>3.落实政府采购政策需满足的资格要求：本项目采购包3、采购包4专门面向中小企业采购，供应商须为中小微企业或监狱企业或残疾人福利性单位，采购包3、采购包4须提供的证明材料有：</w:t>
      </w:r>
    </w:p>
    <w:p w14:paraId="4E5EA8F0">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eastAsia" w:ascii="楷体" w:hAnsi="楷体" w:eastAsia="楷体" w:cs="楷体"/>
          <w:b/>
          <w:bCs/>
          <w:color w:val="auto"/>
          <w:sz w:val="32"/>
          <w:szCs w:val="32"/>
          <w:highlight w:val="none"/>
        </w:rPr>
      </w:pPr>
      <w:r>
        <w:rPr>
          <w:rFonts w:hint="eastAsia" w:ascii="楷体" w:hAnsi="楷体" w:eastAsia="楷体" w:cs="楷体"/>
          <w:b w:val="0"/>
          <w:color w:val="auto"/>
          <w:kern w:val="0"/>
          <w:sz w:val="24"/>
          <w:szCs w:val="24"/>
          <w:highlight w:val="none"/>
          <w:lang w:val="en-US" w:eastAsia="zh-CN" w:bidi="ar-SA"/>
        </w:rPr>
        <w:t>3.1中小企业声明函（工程、服务）或残疾人福利性单位声明函或监狱企业证明文件。</w:t>
      </w:r>
      <w:r>
        <w:rPr>
          <w:rFonts w:hint="eastAsia" w:ascii="楷体" w:hAnsi="楷体" w:eastAsia="楷体" w:cs="楷体"/>
          <w:b/>
          <w:bCs/>
          <w:color w:val="auto"/>
          <w:sz w:val="32"/>
          <w:szCs w:val="32"/>
          <w:highlight w:val="none"/>
        </w:rPr>
        <w:br w:type="page"/>
      </w:r>
      <w:r>
        <w:rPr>
          <w:rFonts w:hint="eastAsia" w:ascii="楷体" w:hAnsi="楷体" w:eastAsia="楷体" w:cs="楷体"/>
          <w:b/>
          <w:bCs/>
          <w:color w:val="auto"/>
          <w:sz w:val="32"/>
          <w:szCs w:val="32"/>
          <w:highlight w:val="none"/>
        </w:rPr>
        <w:t>附件1：</w:t>
      </w:r>
    </w:p>
    <w:p w14:paraId="3197D6AE">
      <w:pPr>
        <w:adjustRightInd w:val="0"/>
        <w:snapToGrid w:val="0"/>
        <w:spacing w:line="360" w:lineRule="auto"/>
        <w:jc w:val="center"/>
        <w:rPr>
          <w:rFonts w:hint="eastAsia" w:ascii="楷体" w:hAnsi="楷体" w:eastAsia="楷体" w:cs="楷体"/>
          <w:b/>
          <w:bCs/>
          <w:color w:val="auto"/>
          <w:sz w:val="32"/>
          <w:szCs w:val="32"/>
          <w:highlight w:val="none"/>
        </w:rPr>
      </w:pPr>
      <w:r>
        <w:rPr>
          <w:rFonts w:hint="eastAsia" w:ascii="楷体" w:hAnsi="楷体" w:eastAsia="楷体" w:cs="楷体"/>
          <w:b/>
          <w:bCs/>
          <w:color w:val="auto"/>
          <w:sz w:val="32"/>
          <w:szCs w:val="32"/>
          <w:highlight w:val="none"/>
        </w:rPr>
        <w:t>具备履行合同所必须的设备和专业技术能力</w:t>
      </w:r>
    </w:p>
    <w:p w14:paraId="5FAAB341">
      <w:pPr>
        <w:adjustRightInd w:val="0"/>
        <w:snapToGrid w:val="0"/>
        <w:spacing w:line="360" w:lineRule="auto"/>
        <w:jc w:val="center"/>
        <w:rPr>
          <w:rFonts w:hint="eastAsia" w:ascii="楷体" w:hAnsi="楷体" w:eastAsia="楷体" w:cs="楷体"/>
          <w:b/>
          <w:bCs/>
          <w:color w:val="auto"/>
          <w:sz w:val="32"/>
          <w:szCs w:val="32"/>
          <w:highlight w:val="none"/>
        </w:rPr>
      </w:pPr>
      <w:r>
        <w:rPr>
          <w:rFonts w:hint="eastAsia" w:ascii="楷体" w:hAnsi="楷体" w:eastAsia="楷体" w:cs="楷体"/>
          <w:b/>
          <w:bCs/>
          <w:color w:val="auto"/>
          <w:sz w:val="32"/>
          <w:szCs w:val="32"/>
          <w:highlight w:val="none"/>
        </w:rPr>
        <w:t>的书面声明</w:t>
      </w:r>
    </w:p>
    <w:p w14:paraId="765E45FA">
      <w:pPr>
        <w:spacing w:line="720" w:lineRule="auto"/>
        <w:jc w:val="left"/>
        <w:rPr>
          <w:rFonts w:hint="eastAsia" w:ascii="楷体" w:hAnsi="楷体" w:eastAsia="楷体" w:cs="楷体"/>
          <w:b/>
          <w:bCs/>
          <w:color w:val="auto"/>
          <w:szCs w:val="22"/>
          <w:highlight w:val="none"/>
          <w:lang w:eastAsia="zh-CN"/>
        </w:rPr>
      </w:pPr>
      <w:r>
        <w:rPr>
          <w:rFonts w:hint="eastAsia" w:ascii="楷体" w:hAnsi="楷体" w:eastAsia="楷体" w:cs="楷体"/>
          <w:b/>
          <w:bCs/>
          <w:color w:val="auto"/>
          <w:szCs w:val="22"/>
          <w:highlight w:val="none"/>
        </w:rPr>
        <w:t>致：</w:t>
      </w:r>
      <w:r>
        <w:rPr>
          <w:rFonts w:hint="eastAsia" w:ascii="楷体" w:hAnsi="楷体" w:eastAsia="楷体" w:cs="楷体"/>
          <w:b/>
          <w:bCs/>
          <w:color w:val="auto"/>
          <w:szCs w:val="22"/>
          <w:highlight w:val="none"/>
          <w:lang w:eastAsia="zh-CN"/>
        </w:rPr>
        <w:t>陕西正翼项目管理咨询有限公司</w:t>
      </w:r>
    </w:p>
    <w:p w14:paraId="23E5F593">
      <w:pPr>
        <w:spacing w:line="720" w:lineRule="auto"/>
        <w:ind w:firstLine="480" w:firstLineChars="200"/>
        <w:jc w:val="left"/>
        <w:rPr>
          <w:rFonts w:hint="eastAsia" w:ascii="楷体" w:hAnsi="楷体" w:eastAsia="楷体" w:cs="楷体"/>
          <w:color w:val="auto"/>
          <w:szCs w:val="22"/>
          <w:highlight w:val="none"/>
        </w:rPr>
      </w:pPr>
      <w:r>
        <w:rPr>
          <w:rFonts w:hint="eastAsia" w:ascii="楷体" w:hAnsi="楷体" w:eastAsia="楷体" w:cs="楷体"/>
          <w:color w:val="auto"/>
          <w:szCs w:val="22"/>
          <w:highlight w:val="none"/>
        </w:rPr>
        <w:t>作为参加贵公司组织的竞争性磋商项目的供应商，本公司郑重申告并承诺：我公司</w:t>
      </w:r>
      <w:r>
        <w:rPr>
          <w:rFonts w:hint="eastAsia" w:ascii="楷体" w:hAnsi="楷体" w:eastAsia="楷体" w:cs="楷体"/>
          <w:color w:val="auto"/>
          <w:szCs w:val="22"/>
          <w:highlight w:val="none"/>
          <w:u w:val="single"/>
        </w:rPr>
        <w:t xml:space="preserve">    </w:t>
      </w:r>
      <w:r>
        <w:rPr>
          <w:rFonts w:hint="eastAsia" w:ascii="楷体" w:hAnsi="楷体" w:eastAsia="楷体" w:cs="楷体"/>
          <w:color w:val="auto"/>
          <w:szCs w:val="22"/>
          <w:highlight w:val="none"/>
        </w:rPr>
        <w:t>（具备/不具备）履行合同所必须的设备和专业技术能力的书面声明，如有隐瞒或违反，同意接受业主及行政主管部门处理和处罚决定。</w:t>
      </w:r>
    </w:p>
    <w:p w14:paraId="3128A3DD">
      <w:pPr>
        <w:spacing w:line="720" w:lineRule="auto"/>
        <w:ind w:firstLine="480" w:firstLineChars="200"/>
        <w:jc w:val="left"/>
        <w:rPr>
          <w:rFonts w:hint="eastAsia" w:ascii="楷体" w:hAnsi="楷体" w:eastAsia="楷体" w:cs="楷体"/>
          <w:color w:val="auto"/>
          <w:szCs w:val="22"/>
          <w:highlight w:val="none"/>
        </w:rPr>
      </w:pPr>
    </w:p>
    <w:p w14:paraId="533D33FE">
      <w:pPr>
        <w:spacing w:line="360" w:lineRule="auto"/>
        <w:jc w:val="left"/>
        <w:rPr>
          <w:rFonts w:hint="eastAsia" w:ascii="楷体" w:hAnsi="楷体" w:eastAsia="楷体" w:cs="楷体"/>
          <w:color w:val="auto"/>
          <w:highlight w:val="none"/>
        </w:rPr>
      </w:pPr>
    </w:p>
    <w:p w14:paraId="4FB07FAB">
      <w:pPr>
        <w:spacing w:line="360" w:lineRule="auto"/>
        <w:jc w:val="left"/>
        <w:rPr>
          <w:rFonts w:hint="eastAsia" w:ascii="楷体" w:hAnsi="楷体" w:eastAsia="楷体" w:cs="楷体"/>
          <w:color w:val="auto"/>
          <w:highlight w:val="none"/>
        </w:rPr>
      </w:pPr>
    </w:p>
    <w:p w14:paraId="108081C2">
      <w:pPr>
        <w:spacing w:line="360" w:lineRule="auto"/>
        <w:jc w:val="left"/>
        <w:rPr>
          <w:rFonts w:hint="eastAsia" w:ascii="楷体" w:hAnsi="楷体" w:eastAsia="楷体" w:cs="楷体"/>
          <w:color w:val="auto"/>
          <w:highlight w:val="none"/>
        </w:rPr>
      </w:pPr>
      <w:r>
        <w:rPr>
          <w:rFonts w:hint="eastAsia" w:ascii="楷体" w:hAnsi="楷体" w:eastAsia="楷体" w:cs="楷体"/>
          <w:color w:val="auto"/>
          <w:highlight w:val="none"/>
        </w:rPr>
        <w:t>供应商名称（公章）：</w:t>
      </w:r>
    </w:p>
    <w:p w14:paraId="3AD8CCE7">
      <w:pPr>
        <w:spacing w:line="360" w:lineRule="auto"/>
        <w:jc w:val="left"/>
        <w:rPr>
          <w:rFonts w:hint="eastAsia" w:ascii="楷体" w:hAnsi="楷体" w:eastAsia="楷体" w:cs="楷体"/>
          <w:color w:val="auto"/>
          <w:szCs w:val="22"/>
          <w:highlight w:val="none"/>
        </w:rPr>
      </w:pPr>
      <w:r>
        <w:rPr>
          <w:rFonts w:hint="eastAsia" w:ascii="楷体" w:hAnsi="楷体" w:eastAsia="楷体" w:cs="楷体"/>
          <w:color w:val="auto"/>
          <w:szCs w:val="22"/>
          <w:highlight w:val="none"/>
        </w:rPr>
        <w:t>法定代表人/被授权人（签字或盖章）：</w:t>
      </w:r>
    </w:p>
    <w:p w14:paraId="0558CE0E">
      <w:pPr>
        <w:spacing w:line="360" w:lineRule="auto"/>
        <w:rPr>
          <w:rFonts w:hint="eastAsia" w:ascii="楷体" w:hAnsi="楷体" w:eastAsia="楷体" w:cs="楷体"/>
          <w:color w:val="auto"/>
          <w:highlight w:val="none"/>
        </w:rPr>
      </w:pPr>
      <w:r>
        <w:rPr>
          <w:rFonts w:hint="eastAsia" w:ascii="楷体" w:hAnsi="楷体" w:eastAsia="楷体" w:cs="楷体"/>
          <w:color w:val="auto"/>
          <w:highlight w:val="none"/>
        </w:rPr>
        <w:t>日    期：</w:t>
      </w:r>
    </w:p>
    <w:p w14:paraId="4D1A9EBE">
      <w:pPr>
        <w:adjustRightInd w:val="0"/>
        <w:snapToGrid w:val="0"/>
        <w:spacing w:line="360" w:lineRule="auto"/>
        <w:jc w:val="left"/>
        <w:rPr>
          <w:rFonts w:hint="eastAsia" w:ascii="楷体" w:hAnsi="楷体" w:eastAsia="楷体" w:cs="楷体"/>
          <w:color w:val="auto"/>
          <w:highlight w:val="none"/>
        </w:rPr>
      </w:pPr>
    </w:p>
    <w:p w14:paraId="57ACF2EB">
      <w:pPr>
        <w:pStyle w:val="21"/>
        <w:ind w:firstLine="0" w:firstLineChars="0"/>
        <w:rPr>
          <w:rFonts w:hint="eastAsia" w:ascii="楷体" w:hAnsi="楷体" w:eastAsia="楷体" w:cs="楷体"/>
          <w:b/>
          <w:bCs/>
          <w:color w:val="auto"/>
          <w:highlight w:val="none"/>
        </w:rPr>
      </w:pPr>
      <w:r>
        <w:rPr>
          <w:rFonts w:hint="eastAsia" w:ascii="楷体" w:hAnsi="楷体" w:eastAsia="楷体" w:cs="楷体"/>
          <w:b/>
          <w:bCs/>
          <w:color w:val="auto"/>
          <w:highlight w:val="none"/>
        </w:rPr>
        <w:t>备注：供应商须根据自身实际情况作出真实声明。</w:t>
      </w:r>
    </w:p>
    <w:p w14:paraId="0B731456">
      <w:pPr>
        <w:spacing w:line="360" w:lineRule="auto"/>
        <w:rPr>
          <w:rFonts w:hint="eastAsia" w:ascii="楷体" w:hAnsi="楷体" w:eastAsia="楷体" w:cs="楷体"/>
          <w:b/>
          <w:bCs/>
          <w:color w:val="auto"/>
          <w:sz w:val="32"/>
          <w:szCs w:val="32"/>
          <w:highlight w:val="none"/>
        </w:rPr>
      </w:pPr>
      <w:r>
        <w:rPr>
          <w:rFonts w:hint="eastAsia" w:ascii="楷体" w:hAnsi="楷体" w:eastAsia="楷体" w:cs="楷体"/>
          <w:b/>
          <w:bCs/>
          <w:color w:val="auto"/>
          <w:sz w:val="32"/>
          <w:szCs w:val="32"/>
          <w:highlight w:val="none"/>
        </w:rPr>
        <w:br w:type="page"/>
      </w:r>
      <w:r>
        <w:rPr>
          <w:rFonts w:hint="eastAsia" w:ascii="楷体" w:hAnsi="楷体" w:eastAsia="楷体" w:cs="楷体"/>
          <w:b/>
          <w:bCs/>
          <w:color w:val="auto"/>
          <w:sz w:val="32"/>
          <w:szCs w:val="32"/>
          <w:highlight w:val="none"/>
        </w:rPr>
        <w:t>附件2：</w:t>
      </w:r>
    </w:p>
    <w:p w14:paraId="350DD15B">
      <w:pPr>
        <w:spacing w:line="360" w:lineRule="auto"/>
        <w:jc w:val="center"/>
        <w:rPr>
          <w:rFonts w:hint="eastAsia" w:ascii="楷体" w:hAnsi="楷体" w:eastAsia="楷体" w:cs="楷体"/>
          <w:b/>
          <w:bCs/>
          <w:color w:val="auto"/>
          <w:sz w:val="32"/>
          <w:szCs w:val="32"/>
          <w:highlight w:val="none"/>
        </w:rPr>
      </w:pPr>
      <w:r>
        <w:rPr>
          <w:rFonts w:hint="eastAsia" w:ascii="楷体" w:hAnsi="楷体" w:eastAsia="楷体" w:cs="楷体"/>
          <w:b/>
          <w:bCs/>
          <w:color w:val="auto"/>
          <w:sz w:val="32"/>
          <w:szCs w:val="32"/>
          <w:highlight w:val="none"/>
        </w:rPr>
        <w:t>参加政府采购活动前三年内，在经营活动中</w:t>
      </w:r>
    </w:p>
    <w:p w14:paraId="3448F4A7">
      <w:pPr>
        <w:spacing w:line="360" w:lineRule="auto"/>
        <w:jc w:val="center"/>
        <w:rPr>
          <w:rFonts w:hint="eastAsia" w:ascii="楷体" w:hAnsi="楷体" w:eastAsia="楷体" w:cs="楷体"/>
          <w:b/>
          <w:bCs/>
          <w:color w:val="auto"/>
          <w:sz w:val="32"/>
          <w:szCs w:val="32"/>
          <w:highlight w:val="none"/>
        </w:rPr>
      </w:pPr>
      <w:r>
        <w:rPr>
          <w:rFonts w:hint="eastAsia" w:ascii="楷体" w:hAnsi="楷体" w:eastAsia="楷体" w:cs="楷体"/>
          <w:b/>
          <w:bCs/>
          <w:color w:val="auto"/>
          <w:sz w:val="32"/>
          <w:szCs w:val="32"/>
          <w:highlight w:val="none"/>
        </w:rPr>
        <w:t>没有重大违法记录书面声明</w:t>
      </w:r>
    </w:p>
    <w:p w14:paraId="42C1F87C">
      <w:pPr>
        <w:spacing w:line="720" w:lineRule="auto"/>
        <w:jc w:val="left"/>
        <w:rPr>
          <w:rFonts w:hint="eastAsia" w:ascii="楷体" w:hAnsi="楷体" w:eastAsia="楷体" w:cs="楷体"/>
          <w:b/>
          <w:color w:val="auto"/>
          <w:highlight w:val="none"/>
          <w:lang w:eastAsia="zh-CN"/>
        </w:rPr>
      </w:pPr>
      <w:r>
        <w:rPr>
          <w:rFonts w:hint="eastAsia" w:ascii="楷体" w:hAnsi="楷体" w:eastAsia="楷体" w:cs="楷体"/>
          <w:b/>
          <w:color w:val="auto"/>
          <w:highlight w:val="none"/>
        </w:rPr>
        <w:t>致：</w:t>
      </w:r>
      <w:r>
        <w:rPr>
          <w:rFonts w:hint="eastAsia" w:ascii="楷体" w:hAnsi="楷体" w:eastAsia="楷体" w:cs="楷体"/>
          <w:b/>
          <w:color w:val="auto"/>
          <w:highlight w:val="none"/>
          <w:lang w:eastAsia="zh-CN"/>
        </w:rPr>
        <w:t>陕西正翼项目管理咨询有限公司</w:t>
      </w:r>
    </w:p>
    <w:p w14:paraId="40124117">
      <w:pPr>
        <w:spacing w:line="720" w:lineRule="auto"/>
        <w:ind w:firstLine="480" w:firstLineChars="200"/>
        <w:jc w:val="left"/>
        <w:rPr>
          <w:rFonts w:hint="eastAsia" w:ascii="楷体" w:hAnsi="楷体" w:eastAsia="楷体" w:cs="楷体"/>
          <w:color w:val="auto"/>
          <w:szCs w:val="22"/>
          <w:highlight w:val="none"/>
        </w:rPr>
      </w:pPr>
      <w:r>
        <w:rPr>
          <w:rFonts w:hint="eastAsia" w:ascii="楷体" w:hAnsi="楷体" w:eastAsia="楷体" w:cs="楷体"/>
          <w:color w:val="auto"/>
          <w:szCs w:val="22"/>
          <w:highlight w:val="none"/>
        </w:rPr>
        <w:t>作为参加贵公司组织的招标项目的</w:t>
      </w:r>
      <w:r>
        <w:rPr>
          <w:rFonts w:hint="eastAsia" w:ascii="楷体" w:hAnsi="楷体" w:eastAsia="楷体" w:cs="楷体"/>
          <w:color w:val="auto"/>
          <w:szCs w:val="22"/>
          <w:highlight w:val="none"/>
          <w:lang w:eastAsia="zh-CN"/>
        </w:rPr>
        <w:t>供应商</w:t>
      </w:r>
      <w:r>
        <w:rPr>
          <w:rFonts w:hint="eastAsia" w:ascii="楷体" w:hAnsi="楷体" w:eastAsia="楷体" w:cs="楷体"/>
          <w:color w:val="auto"/>
          <w:szCs w:val="22"/>
          <w:highlight w:val="none"/>
        </w:rPr>
        <w:t>，本公司郑重声明：近三年未受到有关行政主管部门的行政处理、无不良行为，产生的重大违法记录为</w:t>
      </w:r>
      <w:r>
        <w:rPr>
          <w:rFonts w:hint="eastAsia" w:ascii="楷体" w:hAnsi="楷体" w:eastAsia="楷体" w:cs="楷体"/>
          <w:color w:val="auto"/>
          <w:szCs w:val="22"/>
          <w:highlight w:val="none"/>
          <w:u w:val="single"/>
        </w:rPr>
        <w:t xml:space="preserve">    </w:t>
      </w:r>
      <w:r>
        <w:rPr>
          <w:rFonts w:hint="eastAsia" w:ascii="楷体" w:hAnsi="楷体" w:eastAsia="楷体" w:cs="楷体"/>
          <w:color w:val="auto"/>
          <w:szCs w:val="22"/>
          <w:highlight w:val="none"/>
        </w:rPr>
        <w:t>（没有填“零”）次。如有隐瞒或违反，同意接受业主及行政主管部门处理和处罚决定。</w:t>
      </w:r>
    </w:p>
    <w:p w14:paraId="0AFC410D">
      <w:pPr>
        <w:spacing w:line="360" w:lineRule="auto"/>
        <w:ind w:firstLine="480" w:firstLineChars="200"/>
        <w:jc w:val="left"/>
        <w:rPr>
          <w:rFonts w:hint="eastAsia" w:ascii="楷体" w:hAnsi="楷体" w:eastAsia="楷体" w:cs="楷体"/>
          <w:color w:val="auto"/>
          <w:highlight w:val="none"/>
        </w:rPr>
      </w:pPr>
    </w:p>
    <w:p w14:paraId="099E454A">
      <w:pPr>
        <w:spacing w:line="360" w:lineRule="auto"/>
        <w:ind w:firstLine="480" w:firstLineChars="200"/>
        <w:jc w:val="left"/>
        <w:rPr>
          <w:rFonts w:hint="eastAsia" w:ascii="楷体" w:hAnsi="楷体" w:eastAsia="楷体" w:cs="楷体"/>
          <w:color w:val="auto"/>
          <w:highlight w:val="none"/>
        </w:rPr>
      </w:pPr>
    </w:p>
    <w:p w14:paraId="7CDD2FFB">
      <w:pPr>
        <w:spacing w:line="360" w:lineRule="auto"/>
        <w:jc w:val="left"/>
        <w:rPr>
          <w:rFonts w:hint="eastAsia" w:ascii="楷体" w:hAnsi="楷体" w:eastAsia="楷体" w:cs="楷体"/>
          <w:color w:val="auto"/>
          <w:highlight w:val="none"/>
        </w:rPr>
      </w:pPr>
      <w:r>
        <w:rPr>
          <w:rFonts w:hint="eastAsia" w:ascii="楷体" w:hAnsi="楷体" w:eastAsia="楷体" w:cs="楷体"/>
          <w:color w:val="auto"/>
          <w:highlight w:val="none"/>
        </w:rPr>
        <w:t>供应商名称（公章）：</w:t>
      </w:r>
    </w:p>
    <w:p w14:paraId="36127F54">
      <w:pPr>
        <w:spacing w:line="360" w:lineRule="auto"/>
        <w:jc w:val="left"/>
        <w:rPr>
          <w:rFonts w:hint="eastAsia" w:ascii="楷体" w:hAnsi="楷体" w:eastAsia="楷体" w:cs="楷体"/>
          <w:color w:val="auto"/>
          <w:szCs w:val="22"/>
          <w:highlight w:val="none"/>
        </w:rPr>
      </w:pPr>
      <w:r>
        <w:rPr>
          <w:rFonts w:hint="eastAsia" w:ascii="楷体" w:hAnsi="楷体" w:eastAsia="楷体" w:cs="楷体"/>
          <w:color w:val="auto"/>
          <w:szCs w:val="22"/>
          <w:highlight w:val="none"/>
        </w:rPr>
        <w:t>法定代表人/被授权人（签字或盖章）：</w:t>
      </w:r>
    </w:p>
    <w:p w14:paraId="724743A1">
      <w:pPr>
        <w:spacing w:line="360" w:lineRule="auto"/>
        <w:rPr>
          <w:rFonts w:hint="eastAsia" w:ascii="楷体" w:hAnsi="楷体" w:eastAsia="楷体" w:cs="楷体"/>
          <w:color w:val="auto"/>
          <w:highlight w:val="none"/>
        </w:rPr>
      </w:pPr>
      <w:r>
        <w:rPr>
          <w:rFonts w:hint="eastAsia" w:ascii="楷体" w:hAnsi="楷体" w:eastAsia="楷体" w:cs="楷体"/>
          <w:color w:val="auto"/>
          <w:highlight w:val="none"/>
        </w:rPr>
        <w:t>日    期：</w:t>
      </w:r>
    </w:p>
    <w:p w14:paraId="24117794">
      <w:pPr>
        <w:adjustRightInd w:val="0"/>
        <w:snapToGrid w:val="0"/>
        <w:spacing w:line="360" w:lineRule="auto"/>
        <w:jc w:val="left"/>
        <w:rPr>
          <w:rFonts w:hint="eastAsia" w:ascii="楷体" w:hAnsi="楷体" w:eastAsia="楷体" w:cs="楷体"/>
          <w:color w:val="auto"/>
          <w:szCs w:val="24"/>
          <w:highlight w:val="none"/>
        </w:rPr>
      </w:pPr>
    </w:p>
    <w:p w14:paraId="5AB08FB0">
      <w:pPr>
        <w:adjustRightInd w:val="0"/>
        <w:snapToGrid w:val="0"/>
        <w:spacing w:line="360" w:lineRule="auto"/>
        <w:jc w:val="left"/>
        <w:rPr>
          <w:rFonts w:hint="eastAsia" w:ascii="楷体" w:hAnsi="楷体" w:eastAsia="楷体" w:cs="楷体"/>
          <w:color w:val="auto"/>
          <w:szCs w:val="24"/>
          <w:highlight w:val="none"/>
        </w:rPr>
      </w:pPr>
    </w:p>
    <w:p w14:paraId="79D9459E">
      <w:pPr>
        <w:spacing w:line="480" w:lineRule="auto"/>
        <w:ind w:right="617" w:rightChars="257"/>
        <w:rPr>
          <w:rFonts w:hint="eastAsia" w:ascii="楷体" w:hAnsi="楷体" w:eastAsia="楷体" w:cs="楷体"/>
          <w:color w:val="auto"/>
          <w:highlight w:val="none"/>
        </w:rPr>
      </w:pPr>
      <w:r>
        <w:rPr>
          <w:rFonts w:hint="eastAsia" w:ascii="楷体" w:hAnsi="楷体" w:eastAsia="楷体" w:cs="楷体"/>
          <w:b/>
          <w:bCs/>
          <w:color w:val="auto"/>
          <w:highlight w:val="none"/>
        </w:rPr>
        <w:t>备注：1.供应商须根据自身实际情况作出真实声明。2.重大违法记录，是指</w:t>
      </w:r>
      <w:r>
        <w:rPr>
          <w:rFonts w:hint="eastAsia" w:ascii="楷体" w:hAnsi="楷体" w:eastAsia="楷体" w:cs="楷体"/>
          <w:b/>
          <w:bCs/>
          <w:color w:val="auto"/>
          <w:highlight w:val="none"/>
        </w:rPr>
        <w:fldChar w:fldCharType="begin"/>
      </w:r>
      <w:r>
        <w:rPr>
          <w:rFonts w:hint="eastAsia" w:ascii="楷体" w:hAnsi="楷体" w:eastAsia="楷体" w:cs="楷体"/>
          <w:b/>
          <w:bCs/>
          <w:color w:val="auto"/>
          <w:highlight w:val="none"/>
        </w:rPr>
        <w:instrText xml:space="preserve"> HYPERLINK "http://search.xinmin.cn/?q=供应商" \t "_blank" </w:instrText>
      </w:r>
      <w:r>
        <w:rPr>
          <w:rFonts w:hint="eastAsia" w:ascii="楷体" w:hAnsi="楷体" w:eastAsia="楷体" w:cs="楷体"/>
          <w:b/>
          <w:bCs/>
          <w:color w:val="auto"/>
          <w:highlight w:val="none"/>
        </w:rPr>
        <w:fldChar w:fldCharType="separate"/>
      </w:r>
      <w:r>
        <w:rPr>
          <w:rFonts w:hint="eastAsia" w:ascii="楷体" w:hAnsi="楷体" w:eastAsia="楷体" w:cs="楷体"/>
          <w:b/>
          <w:bCs/>
          <w:color w:val="auto"/>
          <w:highlight w:val="none"/>
        </w:rPr>
        <w:t>供应商</w:t>
      </w:r>
      <w:r>
        <w:rPr>
          <w:rFonts w:hint="eastAsia" w:ascii="楷体" w:hAnsi="楷体" w:eastAsia="楷体" w:cs="楷体"/>
          <w:b/>
          <w:bCs/>
          <w:color w:val="auto"/>
          <w:highlight w:val="none"/>
        </w:rPr>
        <w:fldChar w:fldCharType="end"/>
      </w:r>
      <w:r>
        <w:rPr>
          <w:rFonts w:hint="eastAsia" w:ascii="楷体" w:hAnsi="楷体" w:eastAsia="楷体" w:cs="楷体"/>
          <w:b/>
          <w:bCs/>
          <w:color w:val="auto"/>
          <w:highlight w:val="none"/>
        </w:rPr>
        <w:t>因违法经营受到刑事处罚或者责令停产停业、吊销许可证或者执照、较大数额罚款等行政处罚。</w:t>
      </w:r>
    </w:p>
    <w:p w14:paraId="2829D62C">
      <w:pPr>
        <w:adjustRightInd w:val="0"/>
        <w:snapToGrid w:val="0"/>
        <w:spacing w:line="360" w:lineRule="auto"/>
        <w:jc w:val="left"/>
        <w:rPr>
          <w:rFonts w:hint="eastAsia" w:ascii="楷体" w:hAnsi="楷体" w:eastAsia="楷体" w:cs="楷体"/>
          <w:color w:val="auto"/>
          <w:highlight w:val="none"/>
        </w:rPr>
      </w:pPr>
      <w:r>
        <w:rPr>
          <w:rFonts w:hint="eastAsia" w:ascii="楷体" w:hAnsi="楷体" w:eastAsia="楷体" w:cs="楷体"/>
          <w:b/>
          <w:bCs/>
          <w:color w:val="auto"/>
          <w:sz w:val="30"/>
          <w:szCs w:val="30"/>
          <w:highlight w:val="none"/>
        </w:rPr>
        <w:br w:type="page"/>
      </w:r>
      <w:r>
        <w:rPr>
          <w:rFonts w:hint="eastAsia" w:ascii="楷体" w:hAnsi="楷体" w:eastAsia="楷体" w:cs="楷体"/>
          <w:b/>
          <w:bCs/>
          <w:color w:val="auto"/>
          <w:szCs w:val="24"/>
          <w:highlight w:val="none"/>
        </w:rPr>
        <w:t>（二）供应商资格声明</w:t>
      </w:r>
    </w:p>
    <w:p w14:paraId="5601CFFC">
      <w:pPr>
        <w:spacing w:line="360" w:lineRule="auto"/>
        <w:jc w:val="center"/>
        <w:rPr>
          <w:rFonts w:hint="eastAsia" w:ascii="楷体" w:hAnsi="楷体" w:eastAsia="楷体" w:cs="楷体"/>
          <w:b/>
          <w:color w:val="auto"/>
          <w:sz w:val="30"/>
          <w:szCs w:val="30"/>
          <w:highlight w:val="none"/>
        </w:rPr>
      </w:pPr>
      <w:r>
        <w:rPr>
          <w:rFonts w:hint="eastAsia" w:ascii="楷体" w:hAnsi="楷体" w:eastAsia="楷体" w:cs="楷体"/>
          <w:b/>
          <w:color w:val="auto"/>
          <w:sz w:val="30"/>
          <w:szCs w:val="30"/>
          <w:highlight w:val="none"/>
        </w:rPr>
        <w:t>1.供应商资格声明</w:t>
      </w:r>
    </w:p>
    <w:p w14:paraId="33043B31">
      <w:pPr>
        <w:spacing w:line="360" w:lineRule="auto"/>
        <w:jc w:val="left"/>
        <w:rPr>
          <w:rFonts w:hint="eastAsia" w:ascii="楷体" w:hAnsi="楷体" w:eastAsia="楷体" w:cs="楷体"/>
          <w:color w:val="auto"/>
          <w:szCs w:val="24"/>
          <w:highlight w:val="none"/>
        </w:rPr>
      </w:pPr>
      <w:r>
        <w:rPr>
          <w:rFonts w:hint="eastAsia" w:ascii="楷体" w:hAnsi="楷体" w:eastAsia="楷体" w:cs="楷体"/>
          <w:color w:val="auto"/>
          <w:szCs w:val="24"/>
          <w:highlight w:val="none"/>
        </w:rPr>
        <w:t>1.名称及其它情况</w:t>
      </w:r>
    </w:p>
    <w:p w14:paraId="25680E2E">
      <w:pPr>
        <w:spacing w:line="360" w:lineRule="auto"/>
        <w:jc w:val="left"/>
        <w:rPr>
          <w:rFonts w:hint="eastAsia" w:ascii="楷体" w:hAnsi="楷体" w:eastAsia="楷体" w:cs="楷体"/>
          <w:color w:val="auto"/>
          <w:szCs w:val="24"/>
          <w:highlight w:val="none"/>
        </w:rPr>
      </w:pPr>
      <w:r>
        <w:rPr>
          <w:rFonts w:hint="eastAsia" w:ascii="楷体" w:hAnsi="楷体" w:eastAsia="楷体" w:cs="楷体"/>
          <w:color w:val="auto"/>
          <w:szCs w:val="24"/>
          <w:highlight w:val="none"/>
        </w:rPr>
        <w:t xml:space="preserve">  供应商名称：</w:t>
      </w:r>
      <w:r>
        <w:rPr>
          <w:rFonts w:hint="eastAsia" w:ascii="楷体" w:hAnsi="楷体" w:eastAsia="楷体" w:cs="楷体"/>
          <w:color w:val="auto"/>
          <w:szCs w:val="24"/>
          <w:highlight w:val="none"/>
          <w:u w:val="single"/>
        </w:rPr>
        <w:tab/>
      </w:r>
      <w:r>
        <w:rPr>
          <w:rFonts w:hint="eastAsia" w:ascii="楷体" w:hAnsi="楷体" w:eastAsia="楷体" w:cs="楷体"/>
          <w:color w:val="auto"/>
          <w:szCs w:val="24"/>
          <w:highlight w:val="none"/>
          <w:u w:val="single"/>
        </w:rPr>
        <w:tab/>
      </w:r>
      <w:r>
        <w:rPr>
          <w:rFonts w:hint="eastAsia" w:ascii="楷体" w:hAnsi="楷体" w:eastAsia="楷体" w:cs="楷体"/>
          <w:color w:val="auto"/>
          <w:szCs w:val="24"/>
          <w:highlight w:val="none"/>
          <w:u w:val="single"/>
        </w:rPr>
        <w:tab/>
      </w:r>
      <w:r>
        <w:rPr>
          <w:rFonts w:hint="eastAsia" w:ascii="楷体" w:hAnsi="楷体" w:eastAsia="楷体" w:cs="楷体"/>
          <w:color w:val="auto"/>
          <w:szCs w:val="24"/>
          <w:highlight w:val="none"/>
          <w:u w:val="single"/>
        </w:rPr>
        <w:t xml:space="preserve">                  </w:t>
      </w:r>
      <w:r>
        <w:rPr>
          <w:rFonts w:hint="eastAsia" w:ascii="楷体" w:hAnsi="楷体" w:eastAsia="楷体" w:cs="楷体"/>
          <w:color w:val="auto"/>
          <w:szCs w:val="24"/>
          <w:highlight w:val="none"/>
          <w:u w:val="single"/>
        </w:rPr>
        <w:tab/>
      </w:r>
      <w:r>
        <w:rPr>
          <w:rFonts w:hint="eastAsia" w:ascii="楷体" w:hAnsi="楷体" w:eastAsia="楷体" w:cs="楷体"/>
          <w:color w:val="auto"/>
          <w:szCs w:val="24"/>
          <w:highlight w:val="none"/>
          <w:u w:val="single"/>
        </w:rPr>
        <w:tab/>
      </w:r>
    </w:p>
    <w:p w14:paraId="7407FF6C">
      <w:pPr>
        <w:spacing w:line="360" w:lineRule="auto"/>
        <w:jc w:val="left"/>
        <w:rPr>
          <w:rFonts w:hint="eastAsia" w:ascii="楷体" w:hAnsi="楷体" w:eastAsia="楷体" w:cs="楷体"/>
          <w:color w:val="auto"/>
          <w:szCs w:val="24"/>
          <w:highlight w:val="none"/>
          <w:u w:val="single"/>
        </w:rPr>
      </w:pPr>
      <w:r>
        <w:rPr>
          <w:rFonts w:hint="eastAsia" w:ascii="楷体" w:hAnsi="楷体" w:eastAsia="楷体" w:cs="楷体"/>
          <w:color w:val="auto"/>
          <w:szCs w:val="24"/>
          <w:highlight w:val="none"/>
        </w:rPr>
        <w:t xml:space="preserve">  地址：</w:t>
      </w:r>
      <w:r>
        <w:rPr>
          <w:rFonts w:hint="eastAsia" w:ascii="楷体" w:hAnsi="楷体" w:eastAsia="楷体" w:cs="楷体"/>
          <w:color w:val="auto"/>
          <w:szCs w:val="24"/>
          <w:highlight w:val="none"/>
          <w:u w:val="single"/>
        </w:rPr>
        <w:tab/>
      </w:r>
      <w:r>
        <w:rPr>
          <w:rFonts w:hint="eastAsia" w:ascii="楷体" w:hAnsi="楷体" w:eastAsia="楷体" w:cs="楷体"/>
          <w:color w:val="auto"/>
          <w:szCs w:val="24"/>
          <w:highlight w:val="none"/>
          <w:u w:val="single"/>
        </w:rPr>
        <w:tab/>
      </w:r>
      <w:r>
        <w:rPr>
          <w:rFonts w:hint="eastAsia" w:ascii="楷体" w:hAnsi="楷体" w:eastAsia="楷体" w:cs="楷体"/>
          <w:color w:val="auto"/>
          <w:szCs w:val="24"/>
          <w:highlight w:val="none"/>
          <w:u w:val="single"/>
        </w:rPr>
        <w:tab/>
      </w:r>
      <w:r>
        <w:rPr>
          <w:rFonts w:hint="eastAsia" w:ascii="楷体" w:hAnsi="楷体" w:eastAsia="楷体" w:cs="楷体"/>
          <w:color w:val="auto"/>
          <w:szCs w:val="24"/>
          <w:highlight w:val="none"/>
          <w:u w:val="single"/>
        </w:rPr>
        <w:t xml:space="preserve">       </w:t>
      </w:r>
      <w:r>
        <w:rPr>
          <w:rFonts w:hint="eastAsia" w:ascii="楷体" w:hAnsi="楷体" w:eastAsia="楷体" w:cs="楷体"/>
          <w:color w:val="auto"/>
          <w:szCs w:val="24"/>
          <w:highlight w:val="none"/>
          <w:u w:val="single"/>
          <w:lang w:val="en-US" w:eastAsia="zh-CN"/>
        </w:rPr>
        <w:t xml:space="preserve">    </w:t>
      </w:r>
      <w:r>
        <w:rPr>
          <w:rFonts w:hint="eastAsia" w:ascii="楷体" w:hAnsi="楷体" w:eastAsia="楷体" w:cs="楷体"/>
          <w:color w:val="auto"/>
          <w:szCs w:val="24"/>
          <w:highlight w:val="none"/>
          <w:u w:val="single"/>
        </w:rPr>
        <w:t xml:space="preserve">           </w:t>
      </w:r>
      <w:r>
        <w:rPr>
          <w:rFonts w:hint="eastAsia" w:ascii="楷体" w:hAnsi="楷体" w:eastAsia="楷体" w:cs="楷体"/>
          <w:color w:val="auto"/>
          <w:szCs w:val="24"/>
          <w:highlight w:val="none"/>
          <w:u w:val="single"/>
        </w:rPr>
        <w:tab/>
      </w:r>
      <w:r>
        <w:rPr>
          <w:rFonts w:hint="eastAsia" w:ascii="楷体" w:hAnsi="楷体" w:eastAsia="楷体" w:cs="楷体"/>
          <w:color w:val="auto"/>
          <w:szCs w:val="24"/>
          <w:highlight w:val="none"/>
          <w:u w:val="single"/>
        </w:rPr>
        <w:t xml:space="preserve">    </w:t>
      </w:r>
      <w:r>
        <w:rPr>
          <w:rFonts w:hint="eastAsia" w:ascii="楷体" w:hAnsi="楷体" w:eastAsia="楷体" w:cs="楷体"/>
          <w:color w:val="auto"/>
          <w:szCs w:val="24"/>
          <w:highlight w:val="none"/>
          <w:u w:val="single"/>
        </w:rPr>
        <w:tab/>
      </w:r>
    </w:p>
    <w:p w14:paraId="4C998855">
      <w:pPr>
        <w:spacing w:line="360" w:lineRule="auto"/>
        <w:ind w:firstLine="240" w:firstLineChars="100"/>
        <w:jc w:val="left"/>
        <w:rPr>
          <w:rFonts w:hint="eastAsia" w:ascii="楷体" w:hAnsi="楷体" w:eastAsia="楷体" w:cs="楷体"/>
          <w:color w:val="auto"/>
          <w:szCs w:val="24"/>
          <w:highlight w:val="none"/>
        </w:rPr>
      </w:pPr>
      <w:r>
        <w:rPr>
          <w:rFonts w:hint="eastAsia" w:ascii="楷体" w:hAnsi="楷体" w:eastAsia="楷体" w:cs="楷体"/>
          <w:color w:val="auto"/>
          <w:szCs w:val="24"/>
          <w:highlight w:val="none"/>
        </w:rPr>
        <w:t>电话：</w:t>
      </w:r>
      <w:r>
        <w:rPr>
          <w:rFonts w:hint="eastAsia" w:ascii="楷体" w:hAnsi="楷体" w:eastAsia="楷体" w:cs="楷体"/>
          <w:color w:val="auto"/>
          <w:szCs w:val="24"/>
          <w:highlight w:val="none"/>
          <w:u w:val="single"/>
        </w:rPr>
        <w:tab/>
      </w:r>
      <w:r>
        <w:rPr>
          <w:rFonts w:hint="eastAsia" w:ascii="楷体" w:hAnsi="楷体" w:eastAsia="楷体" w:cs="楷体"/>
          <w:color w:val="auto"/>
          <w:szCs w:val="24"/>
          <w:highlight w:val="none"/>
          <w:u w:val="single"/>
        </w:rPr>
        <w:tab/>
      </w:r>
      <w:r>
        <w:rPr>
          <w:rFonts w:hint="eastAsia" w:ascii="楷体" w:hAnsi="楷体" w:eastAsia="楷体" w:cs="楷体"/>
          <w:color w:val="auto"/>
          <w:szCs w:val="24"/>
          <w:highlight w:val="none"/>
          <w:u w:val="single"/>
        </w:rPr>
        <w:tab/>
      </w:r>
      <w:r>
        <w:rPr>
          <w:rFonts w:hint="eastAsia" w:ascii="楷体" w:hAnsi="楷体" w:eastAsia="楷体" w:cs="楷体"/>
          <w:color w:val="auto"/>
          <w:szCs w:val="24"/>
          <w:highlight w:val="none"/>
          <w:u w:val="single"/>
        </w:rPr>
        <w:t xml:space="preserve">                         </w:t>
      </w:r>
      <w:r>
        <w:rPr>
          <w:rFonts w:hint="eastAsia" w:ascii="楷体" w:hAnsi="楷体" w:eastAsia="楷体" w:cs="楷体"/>
          <w:color w:val="auto"/>
          <w:szCs w:val="24"/>
          <w:highlight w:val="none"/>
          <w:u w:val="single"/>
        </w:rPr>
        <w:tab/>
      </w:r>
      <w:r>
        <w:rPr>
          <w:rFonts w:hint="eastAsia" w:ascii="楷体" w:hAnsi="楷体" w:eastAsia="楷体" w:cs="楷体"/>
          <w:color w:val="auto"/>
          <w:szCs w:val="24"/>
          <w:highlight w:val="none"/>
          <w:u w:val="single"/>
        </w:rPr>
        <w:tab/>
      </w:r>
    </w:p>
    <w:p w14:paraId="40E63CD4">
      <w:pPr>
        <w:spacing w:line="360" w:lineRule="auto"/>
        <w:jc w:val="left"/>
        <w:rPr>
          <w:rFonts w:hint="eastAsia" w:ascii="楷体" w:hAnsi="楷体" w:eastAsia="楷体" w:cs="楷体"/>
          <w:color w:val="auto"/>
          <w:szCs w:val="24"/>
          <w:highlight w:val="none"/>
        </w:rPr>
      </w:pPr>
      <w:r>
        <w:rPr>
          <w:rFonts w:hint="eastAsia" w:ascii="楷体" w:hAnsi="楷体" w:eastAsia="楷体" w:cs="楷体"/>
          <w:color w:val="auto"/>
          <w:szCs w:val="24"/>
          <w:highlight w:val="none"/>
        </w:rPr>
        <w:t xml:space="preserve">  成立和注册日期：</w:t>
      </w:r>
      <w:r>
        <w:rPr>
          <w:rFonts w:hint="eastAsia" w:ascii="楷体" w:hAnsi="楷体" w:eastAsia="楷体" w:cs="楷体"/>
          <w:color w:val="auto"/>
          <w:szCs w:val="24"/>
          <w:highlight w:val="none"/>
          <w:u w:val="single"/>
        </w:rPr>
        <w:tab/>
      </w:r>
      <w:r>
        <w:rPr>
          <w:rFonts w:hint="eastAsia" w:ascii="楷体" w:hAnsi="楷体" w:eastAsia="楷体" w:cs="楷体"/>
          <w:color w:val="auto"/>
          <w:szCs w:val="24"/>
          <w:highlight w:val="none"/>
          <w:u w:val="single"/>
        </w:rPr>
        <w:tab/>
      </w:r>
      <w:r>
        <w:rPr>
          <w:rFonts w:hint="eastAsia" w:ascii="楷体" w:hAnsi="楷体" w:eastAsia="楷体" w:cs="楷体"/>
          <w:color w:val="auto"/>
          <w:szCs w:val="24"/>
          <w:highlight w:val="none"/>
          <w:u w:val="single"/>
        </w:rPr>
        <w:tab/>
      </w:r>
      <w:r>
        <w:rPr>
          <w:rFonts w:hint="eastAsia" w:ascii="楷体" w:hAnsi="楷体" w:eastAsia="楷体" w:cs="楷体"/>
          <w:color w:val="auto"/>
          <w:szCs w:val="24"/>
          <w:highlight w:val="none"/>
          <w:u w:val="single"/>
        </w:rPr>
        <w:t xml:space="preserve">                  </w:t>
      </w:r>
      <w:r>
        <w:rPr>
          <w:rFonts w:hint="eastAsia" w:ascii="楷体" w:hAnsi="楷体" w:eastAsia="楷体" w:cs="楷体"/>
          <w:color w:val="auto"/>
          <w:szCs w:val="24"/>
          <w:highlight w:val="none"/>
          <w:u w:val="single"/>
        </w:rPr>
        <w:tab/>
      </w:r>
    </w:p>
    <w:p w14:paraId="620F984D">
      <w:pPr>
        <w:spacing w:line="360" w:lineRule="auto"/>
        <w:jc w:val="left"/>
        <w:rPr>
          <w:rFonts w:hint="eastAsia" w:ascii="楷体" w:hAnsi="楷体" w:eastAsia="楷体" w:cs="楷体"/>
          <w:color w:val="auto"/>
          <w:szCs w:val="24"/>
          <w:highlight w:val="none"/>
        </w:rPr>
      </w:pPr>
      <w:r>
        <w:rPr>
          <w:rFonts w:hint="eastAsia" w:ascii="楷体" w:hAnsi="楷体" w:eastAsia="楷体" w:cs="楷体"/>
          <w:color w:val="auto"/>
          <w:szCs w:val="24"/>
          <w:highlight w:val="none"/>
        </w:rPr>
        <w:t xml:space="preserve">  主管部门：</w:t>
      </w:r>
      <w:r>
        <w:rPr>
          <w:rFonts w:hint="eastAsia" w:ascii="楷体" w:hAnsi="楷体" w:eastAsia="楷体" w:cs="楷体"/>
          <w:color w:val="auto"/>
          <w:szCs w:val="24"/>
          <w:highlight w:val="none"/>
          <w:u w:val="single"/>
        </w:rPr>
        <w:tab/>
      </w:r>
      <w:r>
        <w:rPr>
          <w:rFonts w:hint="eastAsia" w:ascii="楷体" w:hAnsi="楷体" w:eastAsia="楷体" w:cs="楷体"/>
          <w:color w:val="auto"/>
          <w:szCs w:val="24"/>
          <w:highlight w:val="none"/>
          <w:u w:val="single"/>
        </w:rPr>
        <w:tab/>
      </w:r>
      <w:r>
        <w:rPr>
          <w:rFonts w:hint="eastAsia" w:ascii="楷体" w:hAnsi="楷体" w:eastAsia="楷体" w:cs="楷体"/>
          <w:color w:val="auto"/>
          <w:szCs w:val="24"/>
          <w:highlight w:val="none"/>
          <w:u w:val="single"/>
        </w:rPr>
        <w:tab/>
      </w:r>
      <w:r>
        <w:rPr>
          <w:rFonts w:hint="eastAsia" w:ascii="楷体" w:hAnsi="楷体" w:eastAsia="楷体" w:cs="楷体"/>
          <w:color w:val="auto"/>
          <w:szCs w:val="24"/>
          <w:highlight w:val="none"/>
          <w:u w:val="single"/>
        </w:rPr>
        <w:t xml:space="preserve">                     </w:t>
      </w:r>
      <w:r>
        <w:rPr>
          <w:rFonts w:hint="eastAsia" w:ascii="楷体" w:hAnsi="楷体" w:eastAsia="楷体" w:cs="楷体"/>
          <w:color w:val="auto"/>
          <w:szCs w:val="24"/>
          <w:highlight w:val="none"/>
          <w:u w:val="single"/>
        </w:rPr>
        <w:tab/>
      </w:r>
      <w:r>
        <w:rPr>
          <w:rFonts w:hint="eastAsia" w:ascii="楷体" w:hAnsi="楷体" w:eastAsia="楷体" w:cs="楷体"/>
          <w:color w:val="auto"/>
          <w:szCs w:val="24"/>
          <w:highlight w:val="none"/>
          <w:u w:val="single"/>
        </w:rPr>
        <w:tab/>
      </w:r>
    </w:p>
    <w:p w14:paraId="3B4DAB3B">
      <w:pPr>
        <w:spacing w:line="360" w:lineRule="auto"/>
        <w:jc w:val="left"/>
        <w:rPr>
          <w:rFonts w:hint="eastAsia" w:ascii="楷体" w:hAnsi="楷体" w:eastAsia="楷体" w:cs="楷体"/>
          <w:color w:val="auto"/>
          <w:szCs w:val="24"/>
          <w:highlight w:val="none"/>
        </w:rPr>
      </w:pPr>
      <w:r>
        <w:rPr>
          <w:rFonts w:hint="eastAsia" w:ascii="楷体" w:hAnsi="楷体" w:eastAsia="楷体" w:cs="楷体"/>
          <w:color w:val="auto"/>
          <w:szCs w:val="24"/>
          <w:highlight w:val="none"/>
        </w:rPr>
        <w:t xml:space="preserve">  公司性质：</w:t>
      </w:r>
      <w:r>
        <w:rPr>
          <w:rFonts w:hint="eastAsia" w:ascii="楷体" w:hAnsi="楷体" w:eastAsia="楷体" w:cs="楷体"/>
          <w:color w:val="auto"/>
          <w:szCs w:val="24"/>
          <w:highlight w:val="none"/>
          <w:u w:val="single"/>
        </w:rPr>
        <w:tab/>
      </w:r>
      <w:r>
        <w:rPr>
          <w:rFonts w:hint="eastAsia" w:ascii="楷体" w:hAnsi="楷体" w:eastAsia="楷体" w:cs="楷体"/>
          <w:color w:val="auto"/>
          <w:szCs w:val="24"/>
          <w:highlight w:val="none"/>
          <w:u w:val="single"/>
        </w:rPr>
        <w:tab/>
      </w:r>
      <w:r>
        <w:rPr>
          <w:rFonts w:hint="eastAsia" w:ascii="楷体" w:hAnsi="楷体" w:eastAsia="楷体" w:cs="楷体"/>
          <w:color w:val="auto"/>
          <w:szCs w:val="24"/>
          <w:highlight w:val="none"/>
          <w:u w:val="single"/>
        </w:rPr>
        <w:tab/>
      </w:r>
      <w:r>
        <w:rPr>
          <w:rFonts w:hint="eastAsia" w:ascii="楷体" w:hAnsi="楷体" w:eastAsia="楷体" w:cs="楷体"/>
          <w:color w:val="auto"/>
          <w:szCs w:val="24"/>
          <w:highlight w:val="none"/>
          <w:u w:val="single"/>
        </w:rPr>
        <w:t xml:space="preserve">                  </w:t>
      </w:r>
      <w:r>
        <w:rPr>
          <w:rFonts w:hint="eastAsia" w:ascii="楷体" w:hAnsi="楷体" w:eastAsia="楷体" w:cs="楷体"/>
          <w:color w:val="auto"/>
          <w:szCs w:val="24"/>
          <w:highlight w:val="none"/>
          <w:u w:val="single"/>
        </w:rPr>
        <w:tab/>
      </w:r>
      <w:r>
        <w:rPr>
          <w:rFonts w:hint="eastAsia" w:ascii="楷体" w:hAnsi="楷体" w:eastAsia="楷体" w:cs="楷体"/>
          <w:color w:val="auto"/>
          <w:szCs w:val="24"/>
          <w:highlight w:val="none"/>
          <w:u w:val="single"/>
        </w:rPr>
        <w:t xml:space="preserve">     </w:t>
      </w:r>
      <w:r>
        <w:rPr>
          <w:rFonts w:hint="eastAsia" w:ascii="楷体" w:hAnsi="楷体" w:eastAsia="楷体" w:cs="楷体"/>
          <w:color w:val="auto"/>
          <w:szCs w:val="24"/>
          <w:highlight w:val="none"/>
          <w:u w:val="single"/>
        </w:rPr>
        <w:tab/>
      </w:r>
    </w:p>
    <w:p w14:paraId="7EAD45FE">
      <w:pPr>
        <w:spacing w:line="360" w:lineRule="auto"/>
        <w:jc w:val="left"/>
        <w:rPr>
          <w:rFonts w:hint="eastAsia" w:ascii="楷体" w:hAnsi="楷体" w:eastAsia="楷体" w:cs="楷体"/>
          <w:color w:val="auto"/>
          <w:szCs w:val="24"/>
          <w:highlight w:val="none"/>
        </w:rPr>
      </w:pPr>
      <w:r>
        <w:rPr>
          <w:rFonts w:hint="eastAsia" w:ascii="楷体" w:hAnsi="楷体" w:eastAsia="楷体" w:cs="楷体"/>
          <w:color w:val="auto"/>
          <w:szCs w:val="24"/>
          <w:highlight w:val="none"/>
        </w:rPr>
        <w:t xml:space="preserve">  职工总人数：</w:t>
      </w:r>
      <w:r>
        <w:rPr>
          <w:rFonts w:hint="eastAsia" w:ascii="楷体" w:hAnsi="楷体" w:eastAsia="楷体" w:cs="楷体"/>
          <w:color w:val="auto"/>
          <w:szCs w:val="24"/>
          <w:highlight w:val="none"/>
          <w:u w:val="single"/>
        </w:rPr>
        <w:tab/>
      </w:r>
      <w:r>
        <w:rPr>
          <w:rFonts w:hint="eastAsia" w:ascii="楷体" w:hAnsi="楷体" w:eastAsia="楷体" w:cs="楷体"/>
          <w:color w:val="auto"/>
          <w:szCs w:val="24"/>
          <w:highlight w:val="none"/>
          <w:u w:val="single"/>
        </w:rPr>
        <w:tab/>
      </w:r>
      <w:r>
        <w:rPr>
          <w:rFonts w:hint="eastAsia" w:ascii="楷体" w:hAnsi="楷体" w:eastAsia="楷体" w:cs="楷体"/>
          <w:color w:val="auto"/>
          <w:szCs w:val="24"/>
          <w:highlight w:val="none"/>
          <w:u w:val="single"/>
        </w:rPr>
        <w:tab/>
      </w:r>
      <w:r>
        <w:rPr>
          <w:rFonts w:hint="eastAsia" w:ascii="楷体" w:hAnsi="楷体" w:eastAsia="楷体" w:cs="楷体"/>
          <w:color w:val="auto"/>
          <w:szCs w:val="24"/>
          <w:highlight w:val="none"/>
          <w:u w:val="single"/>
        </w:rPr>
        <w:t xml:space="preserve">                  </w:t>
      </w:r>
      <w:r>
        <w:rPr>
          <w:rFonts w:hint="eastAsia" w:ascii="楷体" w:hAnsi="楷体" w:eastAsia="楷体" w:cs="楷体"/>
          <w:color w:val="auto"/>
          <w:szCs w:val="24"/>
          <w:highlight w:val="none"/>
          <w:u w:val="single"/>
        </w:rPr>
        <w:tab/>
      </w:r>
      <w:r>
        <w:rPr>
          <w:rFonts w:hint="eastAsia" w:ascii="楷体" w:hAnsi="楷体" w:eastAsia="楷体" w:cs="楷体"/>
          <w:color w:val="auto"/>
          <w:szCs w:val="24"/>
          <w:highlight w:val="none"/>
          <w:u w:val="single"/>
        </w:rPr>
        <w:tab/>
      </w:r>
    </w:p>
    <w:p w14:paraId="6A0956D0">
      <w:pPr>
        <w:spacing w:line="360" w:lineRule="auto"/>
        <w:jc w:val="left"/>
        <w:rPr>
          <w:rFonts w:hint="eastAsia" w:ascii="楷体" w:hAnsi="楷体" w:eastAsia="楷体" w:cs="楷体"/>
          <w:color w:val="auto"/>
          <w:szCs w:val="24"/>
          <w:highlight w:val="none"/>
        </w:rPr>
      </w:pPr>
      <w:r>
        <w:rPr>
          <w:rFonts w:hint="eastAsia" w:ascii="楷体" w:hAnsi="楷体" w:eastAsia="楷体" w:cs="楷体"/>
          <w:color w:val="auto"/>
          <w:szCs w:val="24"/>
          <w:highlight w:val="none"/>
        </w:rPr>
        <w:t>2.供应商最近三年法律纠纷情况</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79"/>
        <w:gridCol w:w="2280"/>
        <w:gridCol w:w="1826"/>
        <w:gridCol w:w="2812"/>
      </w:tblGrid>
      <w:tr w14:paraId="030F4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9" w:type="dxa"/>
            <w:noWrap w:val="0"/>
            <w:vAlign w:val="center"/>
          </w:tcPr>
          <w:p w14:paraId="1CC561BC">
            <w:pPr>
              <w:spacing w:line="360" w:lineRule="auto"/>
              <w:jc w:val="center"/>
              <w:rPr>
                <w:rFonts w:hint="eastAsia" w:ascii="楷体" w:hAnsi="楷体" w:eastAsia="楷体" w:cs="楷体"/>
                <w:color w:val="auto"/>
                <w:szCs w:val="24"/>
                <w:highlight w:val="none"/>
              </w:rPr>
            </w:pPr>
            <w:r>
              <w:rPr>
                <w:rFonts w:hint="eastAsia" w:ascii="楷体" w:hAnsi="楷体" w:eastAsia="楷体" w:cs="楷体"/>
                <w:color w:val="auto"/>
                <w:szCs w:val="24"/>
                <w:highlight w:val="none"/>
              </w:rPr>
              <w:t>时间</w:t>
            </w:r>
          </w:p>
        </w:tc>
        <w:tc>
          <w:tcPr>
            <w:tcW w:w="2280" w:type="dxa"/>
            <w:noWrap w:val="0"/>
            <w:vAlign w:val="center"/>
          </w:tcPr>
          <w:p w14:paraId="2D9E860B">
            <w:pPr>
              <w:spacing w:line="360" w:lineRule="auto"/>
              <w:jc w:val="center"/>
              <w:rPr>
                <w:rFonts w:hint="eastAsia" w:ascii="楷体" w:hAnsi="楷体" w:eastAsia="楷体" w:cs="楷体"/>
                <w:color w:val="auto"/>
                <w:szCs w:val="24"/>
                <w:highlight w:val="none"/>
              </w:rPr>
            </w:pPr>
            <w:r>
              <w:rPr>
                <w:rFonts w:hint="eastAsia" w:ascii="楷体" w:hAnsi="楷体" w:eastAsia="楷体" w:cs="楷体"/>
                <w:color w:val="auto"/>
                <w:szCs w:val="24"/>
                <w:highlight w:val="none"/>
              </w:rPr>
              <w:t>案由</w:t>
            </w:r>
          </w:p>
        </w:tc>
        <w:tc>
          <w:tcPr>
            <w:tcW w:w="1826" w:type="dxa"/>
            <w:noWrap w:val="0"/>
            <w:vAlign w:val="center"/>
          </w:tcPr>
          <w:p w14:paraId="20BDC3A8">
            <w:pPr>
              <w:spacing w:line="360" w:lineRule="auto"/>
              <w:jc w:val="center"/>
              <w:rPr>
                <w:rFonts w:hint="eastAsia" w:ascii="楷体" w:hAnsi="楷体" w:eastAsia="楷体" w:cs="楷体"/>
                <w:color w:val="auto"/>
                <w:szCs w:val="24"/>
                <w:highlight w:val="none"/>
              </w:rPr>
            </w:pPr>
            <w:r>
              <w:rPr>
                <w:rFonts w:hint="eastAsia" w:ascii="楷体" w:hAnsi="楷体" w:eastAsia="楷体" w:cs="楷体"/>
                <w:color w:val="auto"/>
                <w:szCs w:val="24"/>
                <w:highlight w:val="none"/>
              </w:rPr>
              <w:t>涉及金额</w:t>
            </w:r>
          </w:p>
        </w:tc>
        <w:tc>
          <w:tcPr>
            <w:tcW w:w="2812" w:type="dxa"/>
            <w:noWrap w:val="0"/>
            <w:vAlign w:val="center"/>
          </w:tcPr>
          <w:p w14:paraId="0AB4A5C5">
            <w:pPr>
              <w:spacing w:line="360" w:lineRule="auto"/>
              <w:jc w:val="center"/>
              <w:rPr>
                <w:rFonts w:hint="eastAsia" w:ascii="楷体" w:hAnsi="楷体" w:eastAsia="楷体" w:cs="楷体"/>
                <w:color w:val="auto"/>
                <w:szCs w:val="24"/>
                <w:highlight w:val="none"/>
              </w:rPr>
            </w:pPr>
            <w:r>
              <w:rPr>
                <w:rFonts w:hint="eastAsia" w:ascii="楷体" w:hAnsi="楷体" w:eastAsia="楷体" w:cs="楷体"/>
                <w:color w:val="auto"/>
                <w:szCs w:val="24"/>
                <w:highlight w:val="none"/>
              </w:rPr>
              <w:t>目前办理情况</w:t>
            </w:r>
          </w:p>
        </w:tc>
      </w:tr>
      <w:tr w14:paraId="03721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9" w:type="dxa"/>
            <w:noWrap w:val="0"/>
            <w:vAlign w:val="top"/>
          </w:tcPr>
          <w:p w14:paraId="008A60CB">
            <w:pPr>
              <w:spacing w:line="360" w:lineRule="auto"/>
              <w:jc w:val="left"/>
              <w:rPr>
                <w:rFonts w:hint="eastAsia" w:ascii="楷体" w:hAnsi="楷体" w:eastAsia="楷体" w:cs="楷体"/>
                <w:color w:val="auto"/>
                <w:szCs w:val="24"/>
                <w:highlight w:val="none"/>
              </w:rPr>
            </w:pPr>
          </w:p>
        </w:tc>
        <w:tc>
          <w:tcPr>
            <w:tcW w:w="2280" w:type="dxa"/>
            <w:noWrap w:val="0"/>
            <w:vAlign w:val="top"/>
          </w:tcPr>
          <w:p w14:paraId="6E03C556">
            <w:pPr>
              <w:spacing w:line="360" w:lineRule="auto"/>
              <w:jc w:val="left"/>
              <w:rPr>
                <w:rFonts w:hint="eastAsia" w:ascii="楷体" w:hAnsi="楷体" w:eastAsia="楷体" w:cs="楷体"/>
                <w:color w:val="auto"/>
                <w:szCs w:val="24"/>
                <w:highlight w:val="none"/>
              </w:rPr>
            </w:pPr>
          </w:p>
        </w:tc>
        <w:tc>
          <w:tcPr>
            <w:tcW w:w="1826" w:type="dxa"/>
            <w:noWrap w:val="0"/>
            <w:vAlign w:val="top"/>
          </w:tcPr>
          <w:p w14:paraId="4F9239F4">
            <w:pPr>
              <w:spacing w:line="360" w:lineRule="auto"/>
              <w:jc w:val="left"/>
              <w:rPr>
                <w:rFonts w:hint="eastAsia" w:ascii="楷体" w:hAnsi="楷体" w:eastAsia="楷体" w:cs="楷体"/>
                <w:color w:val="auto"/>
                <w:szCs w:val="24"/>
                <w:highlight w:val="none"/>
              </w:rPr>
            </w:pPr>
          </w:p>
        </w:tc>
        <w:tc>
          <w:tcPr>
            <w:tcW w:w="2812" w:type="dxa"/>
            <w:noWrap w:val="0"/>
            <w:vAlign w:val="top"/>
          </w:tcPr>
          <w:p w14:paraId="3C0744B1">
            <w:pPr>
              <w:spacing w:line="360" w:lineRule="auto"/>
              <w:jc w:val="left"/>
              <w:rPr>
                <w:rFonts w:hint="eastAsia" w:ascii="楷体" w:hAnsi="楷体" w:eastAsia="楷体" w:cs="楷体"/>
                <w:color w:val="auto"/>
                <w:szCs w:val="24"/>
                <w:highlight w:val="none"/>
              </w:rPr>
            </w:pPr>
          </w:p>
        </w:tc>
      </w:tr>
      <w:tr w14:paraId="4DF04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9" w:type="dxa"/>
            <w:noWrap w:val="0"/>
            <w:vAlign w:val="top"/>
          </w:tcPr>
          <w:p w14:paraId="43170E34">
            <w:pPr>
              <w:spacing w:line="360" w:lineRule="auto"/>
              <w:jc w:val="left"/>
              <w:rPr>
                <w:rFonts w:hint="eastAsia" w:ascii="楷体" w:hAnsi="楷体" w:eastAsia="楷体" w:cs="楷体"/>
                <w:color w:val="auto"/>
                <w:szCs w:val="24"/>
                <w:highlight w:val="none"/>
              </w:rPr>
            </w:pPr>
          </w:p>
        </w:tc>
        <w:tc>
          <w:tcPr>
            <w:tcW w:w="2280" w:type="dxa"/>
            <w:noWrap w:val="0"/>
            <w:vAlign w:val="top"/>
          </w:tcPr>
          <w:p w14:paraId="1EDE3339">
            <w:pPr>
              <w:spacing w:line="360" w:lineRule="auto"/>
              <w:jc w:val="left"/>
              <w:rPr>
                <w:rFonts w:hint="eastAsia" w:ascii="楷体" w:hAnsi="楷体" w:eastAsia="楷体" w:cs="楷体"/>
                <w:color w:val="auto"/>
                <w:szCs w:val="24"/>
                <w:highlight w:val="none"/>
              </w:rPr>
            </w:pPr>
          </w:p>
        </w:tc>
        <w:tc>
          <w:tcPr>
            <w:tcW w:w="1826" w:type="dxa"/>
            <w:noWrap w:val="0"/>
            <w:vAlign w:val="top"/>
          </w:tcPr>
          <w:p w14:paraId="50851030">
            <w:pPr>
              <w:spacing w:line="360" w:lineRule="auto"/>
              <w:jc w:val="left"/>
              <w:rPr>
                <w:rFonts w:hint="eastAsia" w:ascii="楷体" w:hAnsi="楷体" w:eastAsia="楷体" w:cs="楷体"/>
                <w:color w:val="auto"/>
                <w:szCs w:val="24"/>
                <w:highlight w:val="none"/>
              </w:rPr>
            </w:pPr>
          </w:p>
        </w:tc>
        <w:tc>
          <w:tcPr>
            <w:tcW w:w="2812" w:type="dxa"/>
            <w:noWrap w:val="0"/>
            <w:vAlign w:val="top"/>
          </w:tcPr>
          <w:p w14:paraId="53D79C55">
            <w:pPr>
              <w:spacing w:line="360" w:lineRule="auto"/>
              <w:jc w:val="left"/>
              <w:rPr>
                <w:rFonts w:hint="eastAsia" w:ascii="楷体" w:hAnsi="楷体" w:eastAsia="楷体" w:cs="楷体"/>
                <w:color w:val="auto"/>
                <w:szCs w:val="24"/>
                <w:highlight w:val="none"/>
              </w:rPr>
            </w:pPr>
          </w:p>
        </w:tc>
      </w:tr>
      <w:tr w14:paraId="6A295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9" w:type="dxa"/>
            <w:noWrap w:val="0"/>
            <w:vAlign w:val="top"/>
          </w:tcPr>
          <w:p w14:paraId="39C34997">
            <w:pPr>
              <w:spacing w:line="360" w:lineRule="auto"/>
              <w:jc w:val="left"/>
              <w:rPr>
                <w:rFonts w:hint="eastAsia" w:ascii="楷体" w:hAnsi="楷体" w:eastAsia="楷体" w:cs="楷体"/>
                <w:color w:val="auto"/>
                <w:szCs w:val="24"/>
                <w:highlight w:val="none"/>
              </w:rPr>
            </w:pPr>
          </w:p>
        </w:tc>
        <w:tc>
          <w:tcPr>
            <w:tcW w:w="2280" w:type="dxa"/>
            <w:noWrap w:val="0"/>
            <w:vAlign w:val="top"/>
          </w:tcPr>
          <w:p w14:paraId="30E3E761">
            <w:pPr>
              <w:spacing w:line="360" w:lineRule="auto"/>
              <w:jc w:val="left"/>
              <w:rPr>
                <w:rFonts w:hint="eastAsia" w:ascii="楷体" w:hAnsi="楷体" w:eastAsia="楷体" w:cs="楷体"/>
                <w:color w:val="auto"/>
                <w:szCs w:val="24"/>
                <w:highlight w:val="none"/>
              </w:rPr>
            </w:pPr>
          </w:p>
        </w:tc>
        <w:tc>
          <w:tcPr>
            <w:tcW w:w="1826" w:type="dxa"/>
            <w:noWrap w:val="0"/>
            <w:vAlign w:val="top"/>
          </w:tcPr>
          <w:p w14:paraId="16E4A889">
            <w:pPr>
              <w:spacing w:line="360" w:lineRule="auto"/>
              <w:jc w:val="left"/>
              <w:rPr>
                <w:rFonts w:hint="eastAsia" w:ascii="楷体" w:hAnsi="楷体" w:eastAsia="楷体" w:cs="楷体"/>
                <w:color w:val="auto"/>
                <w:szCs w:val="24"/>
                <w:highlight w:val="none"/>
              </w:rPr>
            </w:pPr>
          </w:p>
        </w:tc>
        <w:tc>
          <w:tcPr>
            <w:tcW w:w="2812" w:type="dxa"/>
            <w:noWrap w:val="0"/>
            <w:vAlign w:val="top"/>
          </w:tcPr>
          <w:p w14:paraId="46614792">
            <w:pPr>
              <w:spacing w:line="360" w:lineRule="auto"/>
              <w:jc w:val="left"/>
              <w:rPr>
                <w:rFonts w:hint="eastAsia" w:ascii="楷体" w:hAnsi="楷体" w:eastAsia="楷体" w:cs="楷体"/>
                <w:color w:val="auto"/>
                <w:szCs w:val="24"/>
                <w:highlight w:val="none"/>
              </w:rPr>
            </w:pPr>
          </w:p>
        </w:tc>
      </w:tr>
    </w:tbl>
    <w:p w14:paraId="6EDDF3BE">
      <w:pPr>
        <w:spacing w:line="360" w:lineRule="auto"/>
        <w:jc w:val="left"/>
        <w:rPr>
          <w:rFonts w:hint="eastAsia" w:ascii="楷体" w:hAnsi="楷体" w:eastAsia="楷体" w:cs="楷体"/>
          <w:color w:val="auto"/>
          <w:szCs w:val="24"/>
          <w:highlight w:val="none"/>
        </w:rPr>
      </w:pPr>
      <w:r>
        <w:rPr>
          <w:rFonts w:hint="eastAsia" w:ascii="楷体" w:hAnsi="楷体" w:eastAsia="楷体" w:cs="楷体"/>
          <w:color w:val="auto"/>
          <w:szCs w:val="24"/>
          <w:highlight w:val="none"/>
        </w:rPr>
        <w:t>3.其他情况：</w:t>
      </w:r>
      <w:r>
        <w:rPr>
          <w:rFonts w:hint="eastAsia" w:ascii="楷体" w:hAnsi="楷体" w:eastAsia="楷体" w:cs="楷体"/>
          <w:color w:val="auto"/>
          <w:szCs w:val="24"/>
          <w:highlight w:val="none"/>
          <w:u w:val="single"/>
        </w:rPr>
        <w:t xml:space="preserve">                                     </w:t>
      </w:r>
    </w:p>
    <w:p w14:paraId="7920D2DE">
      <w:pPr>
        <w:spacing w:line="360" w:lineRule="auto"/>
        <w:ind w:firstLine="360" w:firstLineChars="150"/>
        <w:jc w:val="left"/>
        <w:rPr>
          <w:rFonts w:hint="eastAsia" w:ascii="楷体" w:hAnsi="楷体" w:eastAsia="楷体" w:cs="楷体"/>
          <w:color w:val="auto"/>
          <w:szCs w:val="24"/>
          <w:highlight w:val="none"/>
        </w:rPr>
      </w:pPr>
      <w:r>
        <w:rPr>
          <w:rFonts w:hint="eastAsia" w:ascii="楷体" w:hAnsi="楷体" w:eastAsia="楷体" w:cs="楷体"/>
          <w:color w:val="auto"/>
          <w:szCs w:val="24"/>
          <w:highlight w:val="none"/>
        </w:rPr>
        <w:t>我们保证上述声明是真实的、正确的，并提供了全部能提供的资料和数据；如贵方要求我们同意出示进一步证明文件。</w:t>
      </w:r>
    </w:p>
    <w:p w14:paraId="160FC175">
      <w:pPr>
        <w:spacing w:line="360" w:lineRule="auto"/>
        <w:rPr>
          <w:rFonts w:hint="eastAsia" w:ascii="楷体" w:hAnsi="楷体" w:eastAsia="楷体" w:cs="楷体"/>
          <w:color w:val="auto"/>
          <w:szCs w:val="24"/>
          <w:highlight w:val="none"/>
        </w:rPr>
      </w:pPr>
    </w:p>
    <w:p w14:paraId="3FD2DBFD">
      <w:pPr>
        <w:spacing w:line="360" w:lineRule="auto"/>
        <w:rPr>
          <w:rFonts w:hint="eastAsia" w:ascii="楷体" w:hAnsi="楷体" w:eastAsia="楷体" w:cs="楷体"/>
          <w:color w:val="auto"/>
          <w:szCs w:val="24"/>
          <w:highlight w:val="none"/>
        </w:rPr>
      </w:pPr>
    </w:p>
    <w:p w14:paraId="1F799F3A">
      <w:pPr>
        <w:spacing w:line="360" w:lineRule="auto"/>
        <w:rPr>
          <w:rFonts w:hint="eastAsia" w:ascii="楷体" w:hAnsi="楷体" w:eastAsia="楷体" w:cs="楷体"/>
          <w:color w:val="auto"/>
          <w:szCs w:val="24"/>
          <w:highlight w:val="none"/>
        </w:rPr>
      </w:pPr>
    </w:p>
    <w:p w14:paraId="49BDCB1B">
      <w:pPr>
        <w:spacing w:line="360" w:lineRule="auto"/>
        <w:rPr>
          <w:rFonts w:hint="eastAsia" w:ascii="楷体" w:hAnsi="楷体" w:eastAsia="楷体" w:cs="楷体"/>
          <w:color w:val="auto"/>
          <w:szCs w:val="24"/>
          <w:highlight w:val="none"/>
        </w:rPr>
      </w:pPr>
      <w:r>
        <w:rPr>
          <w:rFonts w:hint="eastAsia" w:ascii="楷体" w:hAnsi="楷体" w:eastAsia="楷体" w:cs="楷体"/>
          <w:color w:val="auto"/>
          <w:szCs w:val="24"/>
          <w:highlight w:val="none"/>
        </w:rPr>
        <w:t xml:space="preserve">                                             </w:t>
      </w:r>
    </w:p>
    <w:p w14:paraId="5CB3CFC9">
      <w:pPr>
        <w:spacing w:line="360" w:lineRule="auto"/>
        <w:jc w:val="left"/>
        <w:rPr>
          <w:rFonts w:hint="eastAsia" w:ascii="楷体" w:hAnsi="楷体" w:eastAsia="楷体" w:cs="楷体"/>
          <w:color w:val="auto"/>
          <w:highlight w:val="none"/>
        </w:rPr>
      </w:pPr>
      <w:r>
        <w:rPr>
          <w:rFonts w:hint="eastAsia" w:ascii="楷体" w:hAnsi="楷体" w:eastAsia="楷体" w:cs="楷体"/>
          <w:color w:val="auto"/>
          <w:highlight w:val="none"/>
        </w:rPr>
        <w:t xml:space="preserve">供应商名称（公章）：          </w:t>
      </w:r>
    </w:p>
    <w:p w14:paraId="4B2220F1">
      <w:pPr>
        <w:spacing w:line="360" w:lineRule="auto"/>
        <w:jc w:val="left"/>
        <w:rPr>
          <w:rFonts w:hint="eastAsia" w:ascii="楷体" w:hAnsi="楷体" w:eastAsia="楷体" w:cs="楷体"/>
          <w:color w:val="auto"/>
          <w:szCs w:val="22"/>
          <w:highlight w:val="none"/>
        </w:rPr>
      </w:pPr>
      <w:r>
        <w:rPr>
          <w:rFonts w:hint="eastAsia" w:ascii="楷体" w:hAnsi="楷体" w:eastAsia="楷体" w:cs="楷体"/>
          <w:color w:val="auto"/>
          <w:szCs w:val="22"/>
          <w:highlight w:val="none"/>
        </w:rPr>
        <w:t>法定代表人/被授权人（签字或盖章）：</w:t>
      </w:r>
    </w:p>
    <w:p w14:paraId="639CE9E1">
      <w:pPr>
        <w:spacing w:line="360" w:lineRule="auto"/>
        <w:jc w:val="left"/>
        <w:rPr>
          <w:rFonts w:hint="eastAsia" w:ascii="楷体" w:hAnsi="楷体" w:eastAsia="楷体" w:cs="楷体"/>
          <w:color w:val="auto"/>
          <w:szCs w:val="22"/>
          <w:highlight w:val="none"/>
        </w:rPr>
      </w:pPr>
      <w:r>
        <w:rPr>
          <w:rFonts w:hint="eastAsia" w:ascii="楷体" w:hAnsi="楷体" w:eastAsia="楷体" w:cs="楷体"/>
          <w:color w:val="auto"/>
          <w:szCs w:val="22"/>
          <w:highlight w:val="none"/>
        </w:rPr>
        <w:t>日期：</w:t>
      </w:r>
    </w:p>
    <w:p w14:paraId="577F2210">
      <w:pPr>
        <w:spacing w:line="360" w:lineRule="auto"/>
        <w:jc w:val="center"/>
        <w:rPr>
          <w:rFonts w:hint="eastAsia" w:ascii="楷体" w:hAnsi="楷体" w:eastAsia="楷体" w:cs="楷体"/>
          <w:b/>
          <w:color w:val="auto"/>
          <w:sz w:val="28"/>
          <w:szCs w:val="28"/>
          <w:highlight w:val="none"/>
        </w:rPr>
      </w:pPr>
      <w:r>
        <w:rPr>
          <w:rFonts w:hint="eastAsia" w:ascii="楷体" w:hAnsi="楷体" w:eastAsia="楷体" w:cs="楷体"/>
          <w:b/>
          <w:color w:val="auto"/>
          <w:sz w:val="30"/>
          <w:szCs w:val="30"/>
          <w:highlight w:val="none"/>
        </w:rPr>
        <w:br w:type="page"/>
      </w:r>
      <w:r>
        <w:rPr>
          <w:rFonts w:hint="eastAsia" w:ascii="楷体" w:hAnsi="楷体" w:eastAsia="楷体" w:cs="楷体"/>
          <w:b/>
          <w:color w:val="auto"/>
          <w:sz w:val="30"/>
          <w:szCs w:val="30"/>
          <w:highlight w:val="none"/>
        </w:rPr>
        <w:t>2.供应商企业关联关系声明函</w:t>
      </w:r>
    </w:p>
    <w:p w14:paraId="05F4BA8C">
      <w:pPr>
        <w:adjustRightInd w:val="0"/>
        <w:snapToGrid w:val="0"/>
        <w:spacing w:line="360" w:lineRule="auto"/>
        <w:ind w:right="120" w:rightChars="50" w:firstLine="544" w:firstLineChars="227"/>
        <w:jc w:val="left"/>
        <w:rPr>
          <w:rFonts w:hint="eastAsia" w:ascii="楷体" w:hAnsi="楷体" w:eastAsia="楷体" w:cs="楷体"/>
          <w:color w:val="auto"/>
          <w:szCs w:val="21"/>
          <w:highlight w:val="none"/>
        </w:rPr>
      </w:pPr>
    </w:p>
    <w:p w14:paraId="6F0E46DA">
      <w:pPr>
        <w:adjustRightInd w:val="0"/>
        <w:snapToGrid w:val="0"/>
        <w:spacing w:line="360" w:lineRule="auto"/>
        <w:jc w:val="left"/>
        <w:rPr>
          <w:rFonts w:hint="eastAsia" w:ascii="楷体" w:hAnsi="楷体" w:eastAsia="楷体" w:cs="楷体"/>
          <w:color w:val="auto"/>
          <w:highlight w:val="none"/>
        </w:rPr>
      </w:pPr>
      <w:r>
        <w:rPr>
          <w:rFonts w:hint="eastAsia" w:ascii="楷体" w:hAnsi="楷体" w:eastAsia="楷体" w:cs="楷体"/>
          <w:color w:val="auto"/>
          <w:highlight w:val="none"/>
        </w:rPr>
        <w:t>说明：供应商应当如实披露与本单位存在下列关联关系的单位名称：</w:t>
      </w:r>
    </w:p>
    <w:p w14:paraId="688FD33D">
      <w:pPr>
        <w:pStyle w:val="8"/>
        <w:spacing w:after="0" w:line="360" w:lineRule="auto"/>
        <w:rPr>
          <w:rFonts w:hint="eastAsia" w:ascii="楷体" w:hAnsi="楷体" w:eastAsia="楷体" w:cs="楷体"/>
          <w:color w:val="auto"/>
          <w:sz w:val="24"/>
          <w:szCs w:val="24"/>
          <w:highlight w:val="none"/>
        </w:rPr>
      </w:pPr>
    </w:p>
    <w:p w14:paraId="1E352836">
      <w:pPr>
        <w:adjustRightInd w:val="0"/>
        <w:snapToGrid w:val="0"/>
        <w:spacing w:line="360" w:lineRule="auto"/>
        <w:jc w:val="left"/>
        <w:rPr>
          <w:rFonts w:hint="eastAsia" w:ascii="楷体" w:hAnsi="楷体" w:eastAsia="楷体" w:cs="楷体"/>
          <w:color w:val="auto"/>
          <w:highlight w:val="none"/>
        </w:rPr>
      </w:pPr>
      <w:bookmarkStart w:id="219" w:name="_Toc2074_WPSOffice_Level2"/>
      <w:bookmarkStart w:id="220" w:name="_Toc31070_WPSOffice_Level2"/>
      <w:r>
        <w:rPr>
          <w:rFonts w:hint="eastAsia" w:ascii="楷体" w:hAnsi="楷体" w:eastAsia="楷体" w:cs="楷体"/>
          <w:color w:val="auto"/>
          <w:highlight w:val="none"/>
        </w:rPr>
        <w:t>（1）与供应商单位法定代表人为同一人的其他单位</w:t>
      </w:r>
      <w:bookmarkEnd w:id="219"/>
      <w:bookmarkEnd w:id="220"/>
      <w:r>
        <w:rPr>
          <w:rFonts w:hint="eastAsia" w:ascii="楷体" w:hAnsi="楷体" w:eastAsia="楷体" w:cs="楷体"/>
          <w:color w:val="auto"/>
          <w:highlight w:val="none"/>
        </w:rPr>
        <w:t>：</w:t>
      </w:r>
      <w:r>
        <w:rPr>
          <w:rFonts w:hint="eastAsia" w:ascii="楷体" w:hAnsi="楷体" w:eastAsia="楷体" w:cs="楷体"/>
          <w:color w:val="auto"/>
          <w:highlight w:val="none"/>
          <w:u w:val="single"/>
        </w:rPr>
        <w:t xml:space="preserve">                     </w:t>
      </w:r>
      <w:r>
        <w:rPr>
          <w:rFonts w:hint="eastAsia" w:ascii="楷体" w:hAnsi="楷体" w:eastAsia="楷体" w:cs="楷体"/>
          <w:color w:val="auto"/>
          <w:highlight w:val="none"/>
        </w:rPr>
        <w:t>。</w:t>
      </w:r>
    </w:p>
    <w:p w14:paraId="01619721">
      <w:pPr>
        <w:adjustRightInd w:val="0"/>
        <w:snapToGrid w:val="0"/>
        <w:spacing w:line="360" w:lineRule="auto"/>
        <w:jc w:val="left"/>
        <w:rPr>
          <w:rFonts w:hint="eastAsia" w:ascii="楷体" w:hAnsi="楷体" w:eastAsia="楷体" w:cs="楷体"/>
          <w:color w:val="auto"/>
          <w:highlight w:val="none"/>
        </w:rPr>
      </w:pPr>
      <w:bookmarkStart w:id="221" w:name="_Toc27053_WPSOffice_Level2"/>
      <w:bookmarkStart w:id="222" w:name="_Toc889_WPSOffice_Level2"/>
      <w:r>
        <w:rPr>
          <w:rFonts w:hint="eastAsia" w:ascii="楷体" w:hAnsi="楷体" w:eastAsia="楷体" w:cs="楷体"/>
          <w:color w:val="auto"/>
          <w:highlight w:val="none"/>
        </w:rPr>
        <w:t>（2）与供应商存在直接控股、管理关系的其他单位</w:t>
      </w:r>
      <w:bookmarkEnd w:id="221"/>
      <w:bookmarkEnd w:id="222"/>
      <w:r>
        <w:rPr>
          <w:rFonts w:hint="eastAsia" w:ascii="楷体" w:hAnsi="楷体" w:eastAsia="楷体" w:cs="楷体"/>
          <w:color w:val="auto"/>
          <w:highlight w:val="none"/>
        </w:rPr>
        <w:t>：</w:t>
      </w:r>
      <w:r>
        <w:rPr>
          <w:rFonts w:hint="eastAsia" w:ascii="楷体" w:hAnsi="楷体" w:eastAsia="楷体" w:cs="楷体"/>
          <w:color w:val="auto"/>
          <w:highlight w:val="none"/>
          <w:u w:val="single"/>
        </w:rPr>
        <w:t xml:space="preserve">                     </w:t>
      </w:r>
      <w:r>
        <w:rPr>
          <w:rFonts w:hint="eastAsia" w:ascii="楷体" w:hAnsi="楷体" w:eastAsia="楷体" w:cs="楷体"/>
          <w:color w:val="auto"/>
          <w:highlight w:val="none"/>
        </w:rPr>
        <w:t>。</w:t>
      </w:r>
    </w:p>
    <w:p w14:paraId="2D69DBEE">
      <w:pPr>
        <w:adjustRightInd w:val="0"/>
        <w:snapToGrid w:val="0"/>
        <w:spacing w:line="360" w:lineRule="auto"/>
        <w:ind w:right="120" w:rightChars="50" w:firstLine="544" w:firstLineChars="227"/>
        <w:jc w:val="left"/>
        <w:rPr>
          <w:rFonts w:hint="eastAsia" w:ascii="楷体" w:hAnsi="楷体" w:eastAsia="楷体" w:cs="楷体"/>
          <w:color w:val="auto"/>
          <w:highlight w:val="none"/>
        </w:rPr>
      </w:pPr>
    </w:p>
    <w:p w14:paraId="134DD14C">
      <w:pPr>
        <w:adjustRightInd w:val="0"/>
        <w:snapToGrid w:val="0"/>
        <w:spacing w:line="360" w:lineRule="auto"/>
        <w:ind w:right="120" w:rightChars="50"/>
        <w:jc w:val="left"/>
        <w:rPr>
          <w:rFonts w:hint="eastAsia" w:ascii="楷体" w:hAnsi="楷体" w:eastAsia="楷体" w:cs="楷体"/>
          <w:color w:val="auto"/>
          <w:highlight w:val="none"/>
        </w:rPr>
      </w:pPr>
      <w:r>
        <w:rPr>
          <w:rFonts w:hint="eastAsia" w:ascii="楷体" w:hAnsi="楷体" w:eastAsia="楷体" w:cs="楷体"/>
          <w:color w:val="auto"/>
          <w:highlight w:val="none"/>
        </w:rPr>
        <w:t>注：若无此情形，写“无”即可</w:t>
      </w:r>
    </w:p>
    <w:p w14:paraId="36629A3E">
      <w:pPr>
        <w:pStyle w:val="8"/>
        <w:rPr>
          <w:rFonts w:hint="eastAsia" w:ascii="楷体" w:hAnsi="楷体" w:eastAsia="楷体" w:cs="楷体"/>
          <w:color w:val="auto"/>
          <w:sz w:val="24"/>
          <w:szCs w:val="24"/>
          <w:highlight w:val="none"/>
        </w:rPr>
      </w:pPr>
    </w:p>
    <w:p w14:paraId="3EE50F93">
      <w:pPr>
        <w:spacing w:line="360" w:lineRule="auto"/>
        <w:jc w:val="left"/>
        <w:rPr>
          <w:rFonts w:hint="eastAsia" w:ascii="楷体" w:hAnsi="楷体" w:eastAsia="楷体" w:cs="楷体"/>
          <w:color w:val="auto"/>
          <w:highlight w:val="none"/>
        </w:rPr>
      </w:pPr>
    </w:p>
    <w:p w14:paraId="43642882">
      <w:pPr>
        <w:spacing w:line="360" w:lineRule="auto"/>
        <w:jc w:val="left"/>
        <w:rPr>
          <w:rFonts w:hint="eastAsia" w:ascii="楷体" w:hAnsi="楷体" w:eastAsia="楷体" w:cs="楷体"/>
          <w:color w:val="auto"/>
          <w:highlight w:val="none"/>
        </w:rPr>
      </w:pPr>
      <w:r>
        <w:rPr>
          <w:rFonts w:hint="eastAsia" w:ascii="楷体" w:hAnsi="楷体" w:eastAsia="楷体" w:cs="楷体"/>
          <w:color w:val="auto"/>
          <w:highlight w:val="none"/>
        </w:rPr>
        <w:t>供应商名称（公章）：</w:t>
      </w:r>
    </w:p>
    <w:p w14:paraId="352E84DD">
      <w:pPr>
        <w:spacing w:line="360" w:lineRule="auto"/>
        <w:jc w:val="left"/>
        <w:rPr>
          <w:rFonts w:hint="eastAsia" w:ascii="楷体" w:hAnsi="楷体" w:eastAsia="楷体" w:cs="楷体"/>
          <w:b/>
          <w:color w:val="auto"/>
          <w:highlight w:val="none"/>
        </w:rPr>
      </w:pPr>
      <w:r>
        <w:rPr>
          <w:rFonts w:hint="eastAsia" w:ascii="楷体" w:hAnsi="楷体" w:eastAsia="楷体" w:cs="楷体"/>
          <w:color w:val="auto"/>
          <w:szCs w:val="22"/>
          <w:highlight w:val="none"/>
        </w:rPr>
        <w:t>法定代表人/被授权人（签字或盖章）</w:t>
      </w:r>
      <w:r>
        <w:rPr>
          <w:rFonts w:hint="eastAsia" w:ascii="楷体" w:hAnsi="楷体" w:eastAsia="楷体" w:cs="楷体"/>
          <w:b/>
          <w:color w:val="auto"/>
          <w:highlight w:val="none"/>
        </w:rPr>
        <w:t>：</w:t>
      </w:r>
    </w:p>
    <w:p w14:paraId="7B79EADF">
      <w:pPr>
        <w:spacing w:line="360" w:lineRule="auto"/>
        <w:rPr>
          <w:rFonts w:hint="eastAsia" w:ascii="楷体" w:hAnsi="楷体" w:eastAsia="楷体" w:cs="楷体"/>
          <w:color w:val="auto"/>
          <w:highlight w:val="none"/>
        </w:rPr>
      </w:pPr>
      <w:r>
        <w:rPr>
          <w:rFonts w:hint="eastAsia" w:ascii="楷体" w:hAnsi="楷体" w:eastAsia="楷体" w:cs="楷体"/>
          <w:color w:val="auto"/>
          <w:highlight w:val="none"/>
        </w:rPr>
        <w:t>日    期：</w:t>
      </w:r>
    </w:p>
    <w:p w14:paraId="4A96ADC2">
      <w:pPr>
        <w:spacing w:line="360" w:lineRule="auto"/>
        <w:rPr>
          <w:rFonts w:hint="eastAsia" w:ascii="楷体" w:hAnsi="楷体" w:eastAsia="楷体" w:cs="楷体"/>
          <w:color w:val="auto"/>
          <w:highlight w:val="none"/>
        </w:rPr>
      </w:pPr>
    </w:p>
    <w:p w14:paraId="333BD7BE">
      <w:pPr>
        <w:spacing w:line="360" w:lineRule="auto"/>
        <w:rPr>
          <w:rFonts w:hint="eastAsia" w:ascii="楷体" w:hAnsi="楷体" w:eastAsia="楷体" w:cs="楷体"/>
          <w:color w:val="auto"/>
          <w:szCs w:val="24"/>
          <w:highlight w:val="none"/>
        </w:rPr>
      </w:pPr>
      <w:r>
        <w:rPr>
          <w:rFonts w:hint="eastAsia" w:ascii="楷体" w:hAnsi="楷体" w:eastAsia="楷体" w:cs="楷体"/>
          <w:b/>
          <w:bCs/>
          <w:color w:val="auto"/>
          <w:sz w:val="28"/>
          <w:szCs w:val="28"/>
          <w:highlight w:val="none"/>
        </w:rPr>
        <w:br w:type="page"/>
      </w:r>
      <w:r>
        <w:rPr>
          <w:rFonts w:hint="eastAsia" w:ascii="楷体" w:hAnsi="楷体" w:eastAsia="楷体" w:cs="楷体"/>
          <w:b/>
          <w:bCs/>
          <w:color w:val="auto"/>
          <w:szCs w:val="24"/>
          <w:highlight w:val="none"/>
        </w:rPr>
        <w:t>（三）对第三章“合同条款前附表”项目实施地点、</w:t>
      </w:r>
      <w:r>
        <w:rPr>
          <w:rFonts w:hint="eastAsia" w:ascii="楷体" w:hAnsi="楷体" w:eastAsia="楷体" w:cs="楷体"/>
          <w:b/>
          <w:color w:val="auto"/>
          <w:szCs w:val="24"/>
          <w:highlight w:val="none"/>
        </w:rPr>
        <w:t>服务期</w:t>
      </w:r>
      <w:r>
        <w:rPr>
          <w:rFonts w:hint="eastAsia" w:ascii="楷体" w:hAnsi="楷体" w:eastAsia="楷体" w:cs="楷体"/>
          <w:b/>
          <w:color w:val="auto"/>
          <w:szCs w:val="24"/>
          <w:highlight w:val="none"/>
          <w:lang w:eastAsia="zh-CN"/>
        </w:rPr>
        <w:t>限</w:t>
      </w:r>
      <w:r>
        <w:rPr>
          <w:rFonts w:hint="eastAsia" w:ascii="楷体" w:hAnsi="楷体" w:eastAsia="楷体" w:cs="楷体"/>
          <w:b/>
          <w:bCs/>
          <w:color w:val="auto"/>
          <w:szCs w:val="24"/>
          <w:highlight w:val="none"/>
        </w:rPr>
        <w:t>、付款方式、项目团队要求、质量保证、考核验收等合同条款逐条响应；（格式自拟）</w:t>
      </w:r>
    </w:p>
    <w:p w14:paraId="2CE3B7E4">
      <w:pPr>
        <w:spacing w:line="360" w:lineRule="auto"/>
        <w:rPr>
          <w:rFonts w:hint="eastAsia" w:ascii="楷体" w:hAnsi="楷体" w:eastAsia="楷体" w:cs="楷体"/>
          <w:b/>
          <w:bCs/>
          <w:color w:val="auto"/>
          <w:sz w:val="30"/>
          <w:szCs w:val="30"/>
          <w:highlight w:val="none"/>
        </w:rPr>
      </w:pPr>
      <w:r>
        <w:rPr>
          <w:rFonts w:hint="eastAsia" w:ascii="楷体" w:hAnsi="楷体" w:eastAsia="楷体" w:cs="楷体"/>
          <w:b/>
          <w:bCs/>
          <w:color w:val="auto"/>
          <w:sz w:val="28"/>
          <w:szCs w:val="28"/>
          <w:highlight w:val="none"/>
        </w:rPr>
        <w:br w:type="page"/>
      </w:r>
      <w:r>
        <w:rPr>
          <w:rFonts w:hint="eastAsia" w:ascii="楷体" w:hAnsi="楷体" w:eastAsia="楷体" w:cs="楷体"/>
          <w:b/>
          <w:bCs/>
          <w:color w:val="auto"/>
          <w:szCs w:val="24"/>
          <w:highlight w:val="none"/>
        </w:rPr>
        <w:t>（四）供应商业绩情况</w:t>
      </w:r>
    </w:p>
    <w:p w14:paraId="17067E1D">
      <w:pPr>
        <w:spacing w:line="360" w:lineRule="auto"/>
        <w:jc w:val="center"/>
        <w:rPr>
          <w:rFonts w:hint="eastAsia" w:ascii="楷体" w:hAnsi="楷体" w:eastAsia="楷体" w:cs="楷体"/>
          <w:b/>
          <w:bCs/>
          <w:color w:val="auto"/>
          <w:sz w:val="30"/>
          <w:szCs w:val="30"/>
          <w:highlight w:val="none"/>
        </w:rPr>
      </w:pPr>
      <w:bookmarkStart w:id="223" w:name="_Toc17675_WPSOffice_Level1"/>
      <w:bookmarkStart w:id="224" w:name="_Toc8555_WPSOffice_Level1"/>
      <w:r>
        <w:rPr>
          <w:rFonts w:hint="eastAsia" w:ascii="楷体" w:hAnsi="楷体" w:eastAsia="楷体" w:cs="楷体"/>
          <w:b/>
          <w:bCs/>
          <w:color w:val="auto"/>
          <w:sz w:val="30"/>
          <w:szCs w:val="30"/>
          <w:highlight w:val="none"/>
        </w:rPr>
        <w:t>供应商业绩情况</w:t>
      </w:r>
      <w:bookmarkEnd w:id="223"/>
      <w:bookmarkEnd w:id="224"/>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4" w:type="dxa"/>
          <w:bottom w:w="0" w:type="dxa"/>
          <w:right w:w="54" w:type="dxa"/>
        </w:tblCellMar>
      </w:tblPr>
      <w:tblGrid>
        <w:gridCol w:w="916"/>
        <w:gridCol w:w="1275"/>
        <w:gridCol w:w="1134"/>
        <w:gridCol w:w="1276"/>
        <w:gridCol w:w="1145"/>
        <w:gridCol w:w="11"/>
        <w:gridCol w:w="1406"/>
        <w:gridCol w:w="9"/>
        <w:gridCol w:w="1159"/>
      </w:tblGrid>
      <w:tr w14:paraId="0585533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851" w:hRule="exact"/>
          <w:jc w:val="center"/>
        </w:trPr>
        <w:tc>
          <w:tcPr>
            <w:tcW w:w="916" w:type="dxa"/>
            <w:tcBorders>
              <w:top w:val="single" w:color="auto" w:sz="4" w:space="0"/>
            </w:tcBorders>
            <w:noWrap w:val="0"/>
            <w:vAlign w:val="center"/>
          </w:tcPr>
          <w:p w14:paraId="291879D1">
            <w:pPr>
              <w:spacing w:line="400" w:lineRule="exact"/>
              <w:ind w:firstLine="120" w:firstLineChars="50"/>
              <w:rPr>
                <w:rFonts w:hint="eastAsia" w:ascii="楷体" w:hAnsi="楷体" w:eastAsia="楷体" w:cs="楷体"/>
                <w:color w:val="auto"/>
                <w:szCs w:val="24"/>
                <w:highlight w:val="none"/>
              </w:rPr>
            </w:pPr>
            <w:r>
              <w:rPr>
                <w:rFonts w:hint="eastAsia" w:ascii="楷体" w:hAnsi="楷体" w:eastAsia="楷体" w:cs="楷体"/>
                <w:color w:val="auto"/>
                <w:szCs w:val="24"/>
                <w:highlight w:val="none"/>
              </w:rPr>
              <w:t>年份</w:t>
            </w:r>
          </w:p>
        </w:tc>
        <w:tc>
          <w:tcPr>
            <w:tcW w:w="1275" w:type="dxa"/>
            <w:noWrap w:val="0"/>
            <w:vAlign w:val="center"/>
          </w:tcPr>
          <w:p w14:paraId="51126F18">
            <w:pPr>
              <w:spacing w:line="400" w:lineRule="exact"/>
              <w:jc w:val="center"/>
              <w:rPr>
                <w:rFonts w:hint="eastAsia" w:ascii="楷体" w:hAnsi="楷体" w:eastAsia="楷体" w:cs="楷体"/>
                <w:color w:val="auto"/>
                <w:szCs w:val="24"/>
                <w:highlight w:val="none"/>
              </w:rPr>
            </w:pPr>
            <w:r>
              <w:rPr>
                <w:rFonts w:hint="eastAsia" w:ascii="楷体" w:hAnsi="楷体" w:eastAsia="楷体" w:cs="楷体"/>
                <w:color w:val="auto"/>
                <w:szCs w:val="24"/>
                <w:highlight w:val="none"/>
              </w:rPr>
              <w:t>用户名称</w:t>
            </w:r>
          </w:p>
        </w:tc>
        <w:tc>
          <w:tcPr>
            <w:tcW w:w="1134" w:type="dxa"/>
            <w:noWrap w:val="0"/>
            <w:vAlign w:val="center"/>
          </w:tcPr>
          <w:p w14:paraId="37DE85C1">
            <w:pPr>
              <w:spacing w:line="400" w:lineRule="exact"/>
              <w:jc w:val="center"/>
              <w:rPr>
                <w:rFonts w:hint="eastAsia" w:ascii="楷体" w:hAnsi="楷体" w:eastAsia="楷体" w:cs="楷体"/>
                <w:color w:val="auto"/>
                <w:szCs w:val="24"/>
                <w:highlight w:val="none"/>
              </w:rPr>
            </w:pPr>
            <w:r>
              <w:rPr>
                <w:rFonts w:hint="eastAsia" w:ascii="楷体" w:hAnsi="楷体" w:eastAsia="楷体" w:cs="楷体"/>
                <w:color w:val="auto"/>
                <w:szCs w:val="24"/>
                <w:highlight w:val="none"/>
              </w:rPr>
              <w:t>项目名称</w:t>
            </w:r>
          </w:p>
        </w:tc>
        <w:tc>
          <w:tcPr>
            <w:tcW w:w="1276" w:type="dxa"/>
            <w:noWrap w:val="0"/>
            <w:vAlign w:val="center"/>
          </w:tcPr>
          <w:p w14:paraId="0BE9AA91">
            <w:pPr>
              <w:spacing w:line="400" w:lineRule="exact"/>
              <w:jc w:val="center"/>
              <w:rPr>
                <w:rFonts w:hint="eastAsia" w:ascii="楷体" w:hAnsi="楷体" w:eastAsia="楷体" w:cs="楷体"/>
                <w:color w:val="auto"/>
                <w:szCs w:val="24"/>
                <w:highlight w:val="none"/>
              </w:rPr>
            </w:pPr>
            <w:r>
              <w:rPr>
                <w:rFonts w:hint="eastAsia" w:ascii="楷体" w:hAnsi="楷体" w:eastAsia="楷体" w:cs="楷体"/>
                <w:color w:val="auto"/>
                <w:szCs w:val="24"/>
                <w:highlight w:val="none"/>
              </w:rPr>
              <w:t>完成时间</w:t>
            </w:r>
          </w:p>
        </w:tc>
        <w:tc>
          <w:tcPr>
            <w:tcW w:w="1145" w:type="dxa"/>
            <w:noWrap w:val="0"/>
            <w:vAlign w:val="center"/>
          </w:tcPr>
          <w:p w14:paraId="5ABB5F42">
            <w:pPr>
              <w:spacing w:line="400" w:lineRule="exact"/>
              <w:rPr>
                <w:rFonts w:hint="eastAsia" w:ascii="楷体" w:hAnsi="楷体" w:eastAsia="楷体" w:cs="楷体"/>
                <w:color w:val="auto"/>
                <w:szCs w:val="24"/>
                <w:highlight w:val="none"/>
              </w:rPr>
            </w:pPr>
            <w:r>
              <w:rPr>
                <w:rFonts w:hint="eastAsia" w:ascii="楷体" w:hAnsi="楷体" w:eastAsia="楷体" w:cs="楷体"/>
                <w:color w:val="auto"/>
                <w:szCs w:val="24"/>
                <w:highlight w:val="none"/>
              </w:rPr>
              <w:t>合同金额</w:t>
            </w:r>
          </w:p>
        </w:tc>
        <w:tc>
          <w:tcPr>
            <w:tcW w:w="1426" w:type="dxa"/>
            <w:gridSpan w:val="3"/>
            <w:tcBorders>
              <w:right w:val="single" w:color="auto" w:sz="4" w:space="0"/>
            </w:tcBorders>
            <w:noWrap w:val="0"/>
            <w:vAlign w:val="center"/>
          </w:tcPr>
          <w:p w14:paraId="38AC8964">
            <w:pPr>
              <w:spacing w:line="400" w:lineRule="exact"/>
              <w:jc w:val="center"/>
              <w:rPr>
                <w:rFonts w:hint="eastAsia" w:ascii="楷体" w:hAnsi="楷体" w:eastAsia="楷体" w:cs="楷体"/>
                <w:color w:val="auto"/>
                <w:szCs w:val="24"/>
                <w:highlight w:val="none"/>
              </w:rPr>
            </w:pPr>
            <w:r>
              <w:rPr>
                <w:rFonts w:hint="eastAsia" w:ascii="楷体" w:hAnsi="楷体" w:eastAsia="楷体" w:cs="楷体"/>
                <w:color w:val="auto"/>
                <w:szCs w:val="24"/>
                <w:highlight w:val="none"/>
              </w:rPr>
              <w:t>完成项目</w:t>
            </w:r>
          </w:p>
          <w:p w14:paraId="1F16F202">
            <w:pPr>
              <w:spacing w:line="400" w:lineRule="exact"/>
              <w:jc w:val="center"/>
              <w:rPr>
                <w:rFonts w:hint="eastAsia" w:ascii="楷体" w:hAnsi="楷体" w:eastAsia="楷体" w:cs="楷体"/>
                <w:color w:val="auto"/>
                <w:szCs w:val="24"/>
                <w:highlight w:val="none"/>
              </w:rPr>
            </w:pPr>
            <w:r>
              <w:rPr>
                <w:rFonts w:hint="eastAsia" w:ascii="楷体" w:hAnsi="楷体" w:eastAsia="楷体" w:cs="楷体"/>
                <w:color w:val="auto"/>
                <w:szCs w:val="24"/>
                <w:highlight w:val="none"/>
              </w:rPr>
              <w:t>质量</w:t>
            </w:r>
          </w:p>
        </w:tc>
        <w:tc>
          <w:tcPr>
            <w:tcW w:w="1159" w:type="dxa"/>
            <w:tcBorders>
              <w:left w:val="single" w:color="auto" w:sz="4" w:space="0"/>
            </w:tcBorders>
            <w:noWrap w:val="0"/>
            <w:vAlign w:val="center"/>
          </w:tcPr>
          <w:p w14:paraId="1307B302">
            <w:pPr>
              <w:spacing w:line="400" w:lineRule="exact"/>
              <w:rPr>
                <w:rFonts w:hint="eastAsia" w:ascii="楷体" w:hAnsi="楷体" w:eastAsia="楷体" w:cs="楷体"/>
                <w:color w:val="auto"/>
                <w:szCs w:val="24"/>
                <w:highlight w:val="none"/>
              </w:rPr>
            </w:pPr>
            <w:r>
              <w:rPr>
                <w:rFonts w:hint="eastAsia" w:ascii="楷体" w:hAnsi="楷体" w:eastAsia="楷体" w:cs="楷体"/>
                <w:color w:val="auto"/>
                <w:szCs w:val="24"/>
                <w:highlight w:val="none"/>
              </w:rPr>
              <w:t xml:space="preserve">   备注</w:t>
            </w:r>
          </w:p>
        </w:tc>
      </w:tr>
      <w:tr w14:paraId="0C6BB3F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851" w:hRule="exact"/>
          <w:jc w:val="center"/>
        </w:trPr>
        <w:tc>
          <w:tcPr>
            <w:tcW w:w="916" w:type="dxa"/>
            <w:noWrap w:val="0"/>
            <w:vAlign w:val="center"/>
          </w:tcPr>
          <w:p w14:paraId="32D371AE">
            <w:pPr>
              <w:spacing w:line="400" w:lineRule="exact"/>
              <w:jc w:val="center"/>
              <w:rPr>
                <w:rFonts w:hint="eastAsia" w:ascii="楷体" w:hAnsi="楷体" w:eastAsia="楷体" w:cs="楷体"/>
                <w:color w:val="auto"/>
                <w:szCs w:val="24"/>
                <w:highlight w:val="none"/>
              </w:rPr>
            </w:pPr>
          </w:p>
        </w:tc>
        <w:tc>
          <w:tcPr>
            <w:tcW w:w="1275" w:type="dxa"/>
            <w:noWrap w:val="0"/>
            <w:vAlign w:val="center"/>
          </w:tcPr>
          <w:p w14:paraId="7C82DC14">
            <w:pPr>
              <w:spacing w:line="400" w:lineRule="exact"/>
              <w:jc w:val="center"/>
              <w:rPr>
                <w:rFonts w:hint="eastAsia" w:ascii="楷体" w:hAnsi="楷体" w:eastAsia="楷体" w:cs="楷体"/>
                <w:color w:val="auto"/>
                <w:szCs w:val="24"/>
                <w:highlight w:val="none"/>
              </w:rPr>
            </w:pPr>
          </w:p>
        </w:tc>
        <w:tc>
          <w:tcPr>
            <w:tcW w:w="1134" w:type="dxa"/>
            <w:noWrap w:val="0"/>
            <w:vAlign w:val="center"/>
          </w:tcPr>
          <w:p w14:paraId="080067B8">
            <w:pPr>
              <w:spacing w:line="400" w:lineRule="exact"/>
              <w:jc w:val="center"/>
              <w:rPr>
                <w:rFonts w:hint="eastAsia" w:ascii="楷体" w:hAnsi="楷体" w:eastAsia="楷体" w:cs="楷体"/>
                <w:color w:val="auto"/>
                <w:szCs w:val="24"/>
                <w:highlight w:val="none"/>
              </w:rPr>
            </w:pPr>
          </w:p>
        </w:tc>
        <w:tc>
          <w:tcPr>
            <w:tcW w:w="1276" w:type="dxa"/>
            <w:noWrap w:val="0"/>
            <w:vAlign w:val="center"/>
          </w:tcPr>
          <w:p w14:paraId="7D0A3C64">
            <w:pPr>
              <w:spacing w:line="400" w:lineRule="exact"/>
              <w:jc w:val="center"/>
              <w:rPr>
                <w:rFonts w:hint="eastAsia" w:ascii="楷体" w:hAnsi="楷体" w:eastAsia="楷体" w:cs="楷体"/>
                <w:color w:val="auto"/>
                <w:szCs w:val="24"/>
                <w:highlight w:val="none"/>
              </w:rPr>
            </w:pPr>
          </w:p>
        </w:tc>
        <w:tc>
          <w:tcPr>
            <w:tcW w:w="1145" w:type="dxa"/>
            <w:noWrap w:val="0"/>
            <w:vAlign w:val="center"/>
          </w:tcPr>
          <w:p w14:paraId="2DAD3B34">
            <w:pPr>
              <w:spacing w:line="400" w:lineRule="exact"/>
              <w:jc w:val="center"/>
              <w:rPr>
                <w:rFonts w:hint="eastAsia" w:ascii="楷体" w:hAnsi="楷体" w:eastAsia="楷体" w:cs="楷体"/>
                <w:color w:val="auto"/>
                <w:szCs w:val="24"/>
                <w:highlight w:val="none"/>
              </w:rPr>
            </w:pPr>
          </w:p>
        </w:tc>
        <w:tc>
          <w:tcPr>
            <w:tcW w:w="1426" w:type="dxa"/>
            <w:gridSpan w:val="3"/>
            <w:tcBorders>
              <w:right w:val="single" w:color="auto" w:sz="4" w:space="0"/>
            </w:tcBorders>
            <w:noWrap w:val="0"/>
            <w:vAlign w:val="center"/>
          </w:tcPr>
          <w:p w14:paraId="2BFB2023">
            <w:pPr>
              <w:spacing w:line="400" w:lineRule="exact"/>
              <w:jc w:val="center"/>
              <w:rPr>
                <w:rFonts w:hint="eastAsia" w:ascii="楷体" w:hAnsi="楷体" w:eastAsia="楷体" w:cs="楷体"/>
                <w:color w:val="auto"/>
                <w:szCs w:val="24"/>
                <w:highlight w:val="none"/>
              </w:rPr>
            </w:pPr>
          </w:p>
        </w:tc>
        <w:tc>
          <w:tcPr>
            <w:tcW w:w="1159" w:type="dxa"/>
            <w:tcBorders>
              <w:left w:val="single" w:color="auto" w:sz="4" w:space="0"/>
            </w:tcBorders>
            <w:noWrap w:val="0"/>
            <w:vAlign w:val="center"/>
          </w:tcPr>
          <w:p w14:paraId="7972C681">
            <w:pPr>
              <w:spacing w:line="400" w:lineRule="exact"/>
              <w:jc w:val="center"/>
              <w:rPr>
                <w:rFonts w:hint="eastAsia" w:ascii="楷体" w:hAnsi="楷体" w:eastAsia="楷体" w:cs="楷体"/>
                <w:color w:val="auto"/>
                <w:szCs w:val="24"/>
                <w:highlight w:val="none"/>
              </w:rPr>
            </w:pPr>
          </w:p>
        </w:tc>
      </w:tr>
      <w:tr w14:paraId="3B36CD8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851" w:hRule="exact"/>
          <w:jc w:val="center"/>
        </w:trPr>
        <w:tc>
          <w:tcPr>
            <w:tcW w:w="916" w:type="dxa"/>
            <w:noWrap w:val="0"/>
            <w:vAlign w:val="center"/>
          </w:tcPr>
          <w:p w14:paraId="396BF7BE">
            <w:pPr>
              <w:spacing w:line="400" w:lineRule="exact"/>
              <w:jc w:val="center"/>
              <w:rPr>
                <w:rFonts w:hint="eastAsia" w:ascii="楷体" w:hAnsi="楷体" w:eastAsia="楷体" w:cs="楷体"/>
                <w:color w:val="auto"/>
                <w:szCs w:val="24"/>
                <w:highlight w:val="none"/>
              </w:rPr>
            </w:pPr>
          </w:p>
        </w:tc>
        <w:tc>
          <w:tcPr>
            <w:tcW w:w="1275" w:type="dxa"/>
            <w:noWrap w:val="0"/>
            <w:vAlign w:val="center"/>
          </w:tcPr>
          <w:p w14:paraId="14F9AC23">
            <w:pPr>
              <w:spacing w:line="400" w:lineRule="exact"/>
              <w:jc w:val="center"/>
              <w:rPr>
                <w:rFonts w:hint="eastAsia" w:ascii="楷体" w:hAnsi="楷体" w:eastAsia="楷体" w:cs="楷体"/>
                <w:color w:val="auto"/>
                <w:szCs w:val="24"/>
                <w:highlight w:val="none"/>
              </w:rPr>
            </w:pPr>
          </w:p>
        </w:tc>
        <w:tc>
          <w:tcPr>
            <w:tcW w:w="1134" w:type="dxa"/>
            <w:noWrap w:val="0"/>
            <w:vAlign w:val="center"/>
          </w:tcPr>
          <w:p w14:paraId="028396E4">
            <w:pPr>
              <w:spacing w:line="400" w:lineRule="exact"/>
              <w:jc w:val="center"/>
              <w:rPr>
                <w:rFonts w:hint="eastAsia" w:ascii="楷体" w:hAnsi="楷体" w:eastAsia="楷体" w:cs="楷体"/>
                <w:color w:val="auto"/>
                <w:szCs w:val="24"/>
                <w:highlight w:val="none"/>
              </w:rPr>
            </w:pPr>
          </w:p>
        </w:tc>
        <w:tc>
          <w:tcPr>
            <w:tcW w:w="1276" w:type="dxa"/>
            <w:noWrap w:val="0"/>
            <w:vAlign w:val="center"/>
          </w:tcPr>
          <w:p w14:paraId="78F7D4FD">
            <w:pPr>
              <w:spacing w:line="400" w:lineRule="exact"/>
              <w:jc w:val="center"/>
              <w:rPr>
                <w:rFonts w:hint="eastAsia" w:ascii="楷体" w:hAnsi="楷体" w:eastAsia="楷体" w:cs="楷体"/>
                <w:color w:val="auto"/>
                <w:szCs w:val="24"/>
                <w:highlight w:val="none"/>
              </w:rPr>
            </w:pPr>
          </w:p>
        </w:tc>
        <w:tc>
          <w:tcPr>
            <w:tcW w:w="1145" w:type="dxa"/>
            <w:noWrap w:val="0"/>
            <w:vAlign w:val="center"/>
          </w:tcPr>
          <w:p w14:paraId="329A140D">
            <w:pPr>
              <w:spacing w:line="400" w:lineRule="exact"/>
              <w:jc w:val="center"/>
              <w:rPr>
                <w:rFonts w:hint="eastAsia" w:ascii="楷体" w:hAnsi="楷体" w:eastAsia="楷体" w:cs="楷体"/>
                <w:color w:val="auto"/>
                <w:szCs w:val="24"/>
                <w:highlight w:val="none"/>
              </w:rPr>
            </w:pPr>
          </w:p>
        </w:tc>
        <w:tc>
          <w:tcPr>
            <w:tcW w:w="1426" w:type="dxa"/>
            <w:gridSpan w:val="3"/>
            <w:tcBorders>
              <w:right w:val="single" w:color="auto" w:sz="4" w:space="0"/>
            </w:tcBorders>
            <w:noWrap w:val="0"/>
            <w:vAlign w:val="center"/>
          </w:tcPr>
          <w:p w14:paraId="149EA909">
            <w:pPr>
              <w:spacing w:line="400" w:lineRule="exact"/>
              <w:jc w:val="center"/>
              <w:rPr>
                <w:rFonts w:hint="eastAsia" w:ascii="楷体" w:hAnsi="楷体" w:eastAsia="楷体" w:cs="楷体"/>
                <w:color w:val="auto"/>
                <w:szCs w:val="24"/>
                <w:highlight w:val="none"/>
              </w:rPr>
            </w:pPr>
          </w:p>
        </w:tc>
        <w:tc>
          <w:tcPr>
            <w:tcW w:w="1159" w:type="dxa"/>
            <w:tcBorders>
              <w:left w:val="single" w:color="auto" w:sz="4" w:space="0"/>
            </w:tcBorders>
            <w:noWrap w:val="0"/>
            <w:vAlign w:val="center"/>
          </w:tcPr>
          <w:p w14:paraId="6C89340C">
            <w:pPr>
              <w:spacing w:line="400" w:lineRule="exact"/>
              <w:jc w:val="center"/>
              <w:rPr>
                <w:rFonts w:hint="eastAsia" w:ascii="楷体" w:hAnsi="楷体" w:eastAsia="楷体" w:cs="楷体"/>
                <w:color w:val="auto"/>
                <w:szCs w:val="24"/>
                <w:highlight w:val="none"/>
              </w:rPr>
            </w:pPr>
          </w:p>
        </w:tc>
      </w:tr>
      <w:tr w14:paraId="37AFD1F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851" w:hRule="exact"/>
          <w:jc w:val="center"/>
        </w:trPr>
        <w:tc>
          <w:tcPr>
            <w:tcW w:w="916" w:type="dxa"/>
            <w:noWrap w:val="0"/>
            <w:vAlign w:val="center"/>
          </w:tcPr>
          <w:p w14:paraId="45B6B642">
            <w:pPr>
              <w:spacing w:line="400" w:lineRule="exact"/>
              <w:jc w:val="center"/>
              <w:rPr>
                <w:rFonts w:hint="eastAsia" w:ascii="楷体" w:hAnsi="楷体" w:eastAsia="楷体" w:cs="楷体"/>
                <w:color w:val="auto"/>
                <w:szCs w:val="24"/>
                <w:highlight w:val="none"/>
              </w:rPr>
            </w:pPr>
          </w:p>
        </w:tc>
        <w:tc>
          <w:tcPr>
            <w:tcW w:w="1275" w:type="dxa"/>
            <w:noWrap w:val="0"/>
            <w:vAlign w:val="center"/>
          </w:tcPr>
          <w:p w14:paraId="2A962775">
            <w:pPr>
              <w:spacing w:line="400" w:lineRule="exact"/>
              <w:jc w:val="center"/>
              <w:rPr>
                <w:rFonts w:hint="eastAsia" w:ascii="楷体" w:hAnsi="楷体" w:eastAsia="楷体" w:cs="楷体"/>
                <w:color w:val="auto"/>
                <w:szCs w:val="24"/>
                <w:highlight w:val="none"/>
              </w:rPr>
            </w:pPr>
          </w:p>
        </w:tc>
        <w:tc>
          <w:tcPr>
            <w:tcW w:w="1134" w:type="dxa"/>
            <w:noWrap w:val="0"/>
            <w:vAlign w:val="center"/>
          </w:tcPr>
          <w:p w14:paraId="7D905193">
            <w:pPr>
              <w:spacing w:line="400" w:lineRule="exact"/>
              <w:jc w:val="center"/>
              <w:rPr>
                <w:rFonts w:hint="eastAsia" w:ascii="楷体" w:hAnsi="楷体" w:eastAsia="楷体" w:cs="楷体"/>
                <w:color w:val="auto"/>
                <w:szCs w:val="24"/>
                <w:highlight w:val="none"/>
              </w:rPr>
            </w:pPr>
          </w:p>
        </w:tc>
        <w:tc>
          <w:tcPr>
            <w:tcW w:w="1276" w:type="dxa"/>
            <w:noWrap w:val="0"/>
            <w:vAlign w:val="center"/>
          </w:tcPr>
          <w:p w14:paraId="6BAD8C57">
            <w:pPr>
              <w:spacing w:line="400" w:lineRule="exact"/>
              <w:jc w:val="center"/>
              <w:rPr>
                <w:rFonts w:hint="eastAsia" w:ascii="楷体" w:hAnsi="楷体" w:eastAsia="楷体" w:cs="楷体"/>
                <w:color w:val="auto"/>
                <w:szCs w:val="24"/>
                <w:highlight w:val="none"/>
              </w:rPr>
            </w:pPr>
          </w:p>
        </w:tc>
        <w:tc>
          <w:tcPr>
            <w:tcW w:w="1145" w:type="dxa"/>
            <w:noWrap w:val="0"/>
            <w:vAlign w:val="center"/>
          </w:tcPr>
          <w:p w14:paraId="6D9F882F">
            <w:pPr>
              <w:spacing w:line="400" w:lineRule="exact"/>
              <w:jc w:val="center"/>
              <w:rPr>
                <w:rFonts w:hint="eastAsia" w:ascii="楷体" w:hAnsi="楷体" w:eastAsia="楷体" w:cs="楷体"/>
                <w:color w:val="auto"/>
                <w:szCs w:val="24"/>
                <w:highlight w:val="none"/>
              </w:rPr>
            </w:pPr>
          </w:p>
        </w:tc>
        <w:tc>
          <w:tcPr>
            <w:tcW w:w="1426" w:type="dxa"/>
            <w:gridSpan w:val="3"/>
            <w:tcBorders>
              <w:right w:val="single" w:color="auto" w:sz="4" w:space="0"/>
            </w:tcBorders>
            <w:noWrap w:val="0"/>
            <w:vAlign w:val="center"/>
          </w:tcPr>
          <w:p w14:paraId="382B8A4A">
            <w:pPr>
              <w:spacing w:line="400" w:lineRule="exact"/>
              <w:jc w:val="center"/>
              <w:rPr>
                <w:rFonts w:hint="eastAsia" w:ascii="楷体" w:hAnsi="楷体" w:eastAsia="楷体" w:cs="楷体"/>
                <w:color w:val="auto"/>
                <w:szCs w:val="24"/>
                <w:highlight w:val="none"/>
              </w:rPr>
            </w:pPr>
          </w:p>
        </w:tc>
        <w:tc>
          <w:tcPr>
            <w:tcW w:w="1159" w:type="dxa"/>
            <w:tcBorders>
              <w:left w:val="single" w:color="auto" w:sz="4" w:space="0"/>
            </w:tcBorders>
            <w:noWrap w:val="0"/>
            <w:vAlign w:val="center"/>
          </w:tcPr>
          <w:p w14:paraId="36D1A2FF">
            <w:pPr>
              <w:spacing w:line="400" w:lineRule="exact"/>
              <w:jc w:val="center"/>
              <w:rPr>
                <w:rFonts w:hint="eastAsia" w:ascii="楷体" w:hAnsi="楷体" w:eastAsia="楷体" w:cs="楷体"/>
                <w:color w:val="auto"/>
                <w:szCs w:val="24"/>
                <w:highlight w:val="none"/>
              </w:rPr>
            </w:pPr>
          </w:p>
        </w:tc>
      </w:tr>
      <w:tr w14:paraId="6457323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851" w:hRule="exact"/>
          <w:jc w:val="center"/>
        </w:trPr>
        <w:tc>
          <w:tcPr>
            <w:tcW w:w="916" w:type="dxa"/>
            <w:noWrap w:val="0"/>
            <w:vAlign w:val="center"/>
          </w:tcPr>
          <w:p w14:paraId="6A14A183">
            <w:pPr>
              <w:spacing w:line="400" w:lineRule="exact"/>
              <w:jc w:val="center"/>
              <w:rPr>
                <w:rFonts w:hint="eastAsia" w:ascii="楷体" w:hAnsi="楷体" w:eastAsia="楷体" w:cs="楷体"/>
                <w:color w:val="auto"/>
                <w:szCs w:val="24"/>
                <w:highlight w:val="none"/>
              </w:rPr>
            </w:pPr>
          </w:p>
        </w:tc>
        <w:tc>
          <w:tcPr>
            <w:tcW w:w="1275" w:type="dxa"/>
            <w:tcBorders>
              <w:right w:val="single" w:color="auto" w:sz="4" w:space="0"/>
            </w:tcBorders>
            <w:noWrap w:val="0"/>
            <w:vAlign w:val="center"/>
          </w:tcPr>
          <w:p w14:paraId="6DCD6247">
            <w:pPr>
              <w:spacing w:line="400" w:lineRule="exact"/>
              <w:jc w:val="center"/>
              <w:rPr>
                <w:rFonts w:hint="eastAsia" w:ascii="楷体" w:hAnsi="楷体" w:eastAsia="楷体" w:cs="楷体"/>
                <w:color w:val="auto"/>
                <w:szCs w:val="24"/>
                <w:highlight w:val="none"/>
              </w:rPr>
            </w:pPr>
          </w:p>
        </w:tc>
        <w:tc>
          <w:tcPr>
            <w:tcW w:w="1134" w:type="dxa"/>
            <w:tcBorders>
              <w:left w:val="single" w:color="auto" w:sz="4" w:space="0"/>
            </w:tcBorders>
            <w:noWrap w:val="0"/>
            <w:vAlign w:val="center"/>
          </w:tcPr>
          <w:p w14:paraId="4A54712F">
            <w:pPr>
              <w:spacing w:line="400" w:lineRule="exact"/>
              <w:jc w:val="center"/>
              <w:rPr>
                <w:rFonts w:hint="eastAsia" w:ascii="楷体" w:hAnsi="楷体" w:eastAsia="楷体" w:cs="楷体"/>
                <w:color w:val="auto"/>
                <w:szCs w:val="24"/>
                <w:highlight w:val="none"/>
              </w:rPr>
            </w:pPr>
          </w:p>
        </w:tc>
        <w:tc>
          <w:tcPr>
            <w:tcW w:w="1276" w:type="dxa"/>
            <w:noWrap w:val="0"/>
            <w:vAlign w:val="center"/>
          </w:tcPr>
          <w:p w14:paraId="00D2EBF0">
            <w:pPr>
              <w:spacing w:line="400" w:lineRule="exact"/>
              <w:jc w:val="center"/>
              <w:rPr>
                <w:rFonts w:hint="eastAsia" w:ascii="楷体" w:hAnsi="楷体" w:eastAsia="楷体" w:cs="楷体"/>
                <w:color w:val="auto"/>
                <w:szCs w:val="24"/>
                <w:highlight w:val="none"/>
              </w:rPr>
            </w:pPr>
          </w:p>
        </w:tc>
        <w:tc>
          <w:tcPr>
            <w:tcW w:w="1145" w:type="dxa"/>
            <w:noWrap w:val="0"/>
            <w:vAlign w:val="center"/>
          </w:tcPr>
          <w:p w14:paraId="106E344B">
            <w:pPr>
              <w:spacing w:line="400" w:lineRule="exact"/>
              <w:jc w:val="center"/>
              <w:rPr>
                <w:rFonts w:hint="eastAsia" w:ascii="楷体" w:hAnsi="楷体" w:eastAsia="楷体" w:cs="楷体"/>
                <w:color w:val="auto"/>
                <w:szCs w:val="24"/>
                <w:highlight w:val="none"/>
              </w:rPr>
            </w:pPr>
          </w:p>
        </w:tc>
        <w:tc>
          <w:tcPr>
            <w:tcW w:w="1426" w:type="dxa"/>
            <w:gridSpan w:val="3"/>
            <w:tcBorders>
              <w:right w:val="single" w:color="auto" w:sz="4" w:space="0"/>
            </w:tcBorders>
            <w:noWrap w:val="0"/>
            <w:vAlign w:val="center"/>
          </w:tcPr>
          <w:p w14:paraId="1E805507">
            <w:pPr>
              <w:spacing w:line="400" w:lineRule="exact"/>
              <w:jc w:val="center"/>
              <w:rPr>
                <w:rFonts w:hint="eastAsia" w:ascii="楷体" w:hAnsi="楷体" w:eastAsia="楷体" w:cs="楷体"/>
                <w:color w:val="auto"/>
                <w:szCs w:val="24"/>
                <w:highlight w:val="none"/>
              </w:rPr>
            </w:pPr>
          </w:p>
        </w:tc>
        <w:tc>
          <w:tcPr>
            <w:tcW w:w="1159" w:type="dxa"/>
            <w:tcBorders>
              <w:left w:val="single" w:color="auto" w:sz="4" w:space="0"/>
            </w:tcBorders>
            <w:noWrap w:val="0"/>
            <w:vAlign w:val="center"/>
          </w:tcPr>
          <w:p w14:paraId="1A5DF827">
            <w:pPr>
              <w:spacing w:line="400" w:lineRule="exact"/>
              <w:jc w:val="center"/>
              <w:rPr>
                <w:rFonts w:hint="eastAsia" w:ascii="楷体" w:hAnsi="楷体" w:eastAsia="楷体" w:cs="楷体"/>
                <w:color w:val="auto"/>
                <w:szCs w:val="24"/>
                <w:highlight w:val="none"/>
              </w:rPr>
            </w:pPr>
          </w:p>
        </w:tc>
      </w:tr>
      <w:tr w14:paraId="317320E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851" w:hRule="exact"/>
          <w:jc w:val="center"/>
        </w:trPr>
        <w:tc>
          <w:tcPr>
            <w:tcW w:w="916" w:type="dxa"/>
            <w:tcBorders>
              <w:right w:val="single" w:color="auto" w:sz="4" w:space="0"/>
            </w:tcBorders>
            <w:noWrap w:val="0"/>
            <w:vAlign w:val="center"/>
          </w:tcPr>
          <w:p w14:paraId="044F9640">
            <w:pPr>
              <w:spacing w:line="400" w:lineRule="exact"/>
              <w:jc w:val="center"/>
              <w:rPr>
                <w:rFonts w:hint="eastAsia" w:ascii="楷体" w:hAnsi="楷体" w:eastAsia="楷体" w:cs="楷体"/>
                <w:color w:val="auto"/>
                <w:szCs w:val="24"/>
                <w:highlight w:val="none"/>
              </w:rPr>
            </w:pPr>
          </w:p>
        </w:tc>
        <w:tc>
          <w:tcPr>
            <w:tcW w:w="1275" w:type="dxa"/>
            <w:tcBorders>
              <w:left w:val="single" w:color="auto" w:sz="4" w:space="0"/>
              <w:right w:val="single" w:color="auto" w:sz="4" w:space="0"/>
            </w:tcBorders>
            <w:noWrap w:val="0"/>
            <w:vAlign w:val="center"/>
          </w:tcPr>
          <w:p w14:paraId="57A69196">
            <w:pPr>
              <w:spacing w:line="400" w:lineRule="exact"/>
              <w:jc w:val="center"/>
              <w:rPr>
                <w:rFonts w:hint="eastAsia" w:ascii="楷体" w:hAnsi="楷体" w:eastAsia="楷体" w:cs="楷体"/>
                <w:color w:val="auto"/>
                <w:szCs w:val="24"/>
                <w:highlight w:val="none"/>
              </w:rPr>
            </w:pPr>
          </w:p>
        </w:tc>
        <w:tc>
          <w:tcPr>
            <w:tcW w:w="1134" w:type="dxa"/>
            <w:tcBorders>
              <w:left w:val="single" w:color="auto" w:sz="4" w:space="0"/>
              <w:right w:val="single" w:color="auto" w:sz="4" w:space="0"/>
            </w:tcBorders>
            <w:noWrap w:val="0"/>
            <w:vAlign w:val="center"/>
          </w:tcPr>
          <w:p w14:paraId="3B4C9DD2">
            <w:pPr>
              <w:spacing w:line="400" w:lineRule="exact"/>
              <w:jc w:val="center"/>
              <w:rPr>
                <w:rFonts w:hint="eastAsia" w:ascii="楷体" w:hAnsi="楷体" w:eastAsia="楷体" w:cs="楷体"/>
                <w:color w:val="auto"/>
                <w:szCs w:val="24"/>
                <w:highlight w:val="none"/>
              </w:rPr>
            </w:pPr>
          </w:p>
        </w:tc>
        <w:tc>
          <w:tcPr>
            <w:tcW w:w="1276" w:type="dxa"/>
            <w:tcBorders>
              <w:left w:val="single" w:color="auto" w:sz="4" w:space="0"/>
              <w:right w:val="single" w:color="auto" w:sz="4" w:space="0"/>
            </w:tcBorders>
            <w:noWrap w:val="0"/>
            <w:vAlign w:val="center"/>
          </w:tcPr>
          <w:p w14:paraId="130285AA">
            <w:pPr>
              <w:spacing w:line="400" w:lineRule="exact"/>
              <w:jc w:val="center"/>
              <w:rPr>
                <w:rFonts w:hint="eastAsia" w:ascii="楷体" w:hAnsi="楷体" w:eastAsia="楷体" w:cs="楷体"/>
                <w:color w:val="auto"/>
                <w:szCs w:val="24"/>
                <w:highlight w:val="none"/>
              </w:rPr>
            </w:pPr>
          </w:p>
        </w:tc>
        <w:tc>
          <w:tcPr>
            <w:tcW w:w="1156" w:type="dxa"/>
            <w:gridSpan w:val="2"/>
            <w:tcBorders>
              <w:left w:val="single" w:color="auto" w:sz="4" w:space="0"/>
              <w:right w:val="single" w:color="auto" w:sz="4" w:space="0"/>
            </w:tcBorders>
            <w:noWrap w:val="0"/>
            <w:vAlign w:val="center"/>
          </w:tcPr>
          <w:p w14:paraId="2C6F2006">
            <w:pPr>
              <w:spacing w:line="400" w:lineRule="exact"/>
              <w:jc w:val="center"/>
              <w:rPr>
                <w:rFonts w:hint="eastAsia" w:ascii="楷体" w:hAnsi="楷体" w:eastAsia="楷体" w:cs="楷体"/>
                <w:color w:val="auto"/>
                <w:szCs w:val="24"/>
                <w:highlight w:val="none"/>
              </w:rPr>
            </w:pPr>
          </w:p>
        </w:tc>
        <w:tc>
          <w:tcPr>
            <w:tcW w:w="1415" w:type="dxa"/>
            <w:gridSpan w:val="2"/>
            <w:tcBorders>
              <w:left w:val="single" w:color="auto" w:sz="4" w:space="0"/>
              <w:right w:val="single" w:color="auto" w:sz="4" w:space="0"/>
            </w:tcBorders>
            <w:noWrap w:val="0"/>
            <w:vAlign w:val="center"/>
          </w:tcPr>
          <w:p w14:paraId="019682FC">
            <w:pPr>
              <w:spacing w:line="400" w:lineRule="exact"/>
              <w:jc w:val="center"/>
              <w:rPr>
                <w:rFonts w:hint="eastAsia" w:ascii="楷体" w:hAnsi="楷体" w:eastAsia="楷体" w:cs="楷体"/>
                <w:color w:val="auto"/>
                <w:szCs w:val="24"/>
                <w:highlight w:val="none"/>
              </w:rPr>
            </w:pPr>
          </w:p>
        </w:tc>
        <w:tc>
          <w:tcPr>
            <w:tcW w:w="1159" w:type="dxa"/>
            <w:tcBorders>
              <w:left w:val="single" w:color="auto" w:sz="4" w:space="0"/>
            </w:tcBorders>
            <w:noWrap w:val="0"/>
            <w:vAlign w:val="center"/>
          </w:tcPr>
          <w:p w14:paraId="0C3D3FC2">
            <w:pPr>
              <w:spacing w:line="400" w:lineRule="exact"/>
              <w:jc w:val="center"/>
              <w:rPr>
                <w:rFonts w:hint="eastAsia" w:ascii="楷体" w:hAnsi="楷体" w:eastAsia="楷体" w:cs="楷体"/>
                <w:color w:val="auto"/>
                <w:szCs w:val="24"/>
                <w:highlight w:val="none"/>
              </w:rPr>
            </w:pPr>
          </w:p>
        </w:tc>
      </w:tr>
      <w:tr w14:paraId="53F4C46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851" w:hRule="exact"/>
          <w:jc w:val="center"/>
        </w:trPr>
        <w:tc>
          <w:tcPr>
            <w:tcW w:w="916" w:type="dxa"/>
            <w:noWrap w:val="0"/>
            <w:vAlign w:val="center"/>
          </w:tcPr>
          <w:p w14:paraId="48A6A8E8">
            <w:pPr>
              <w:spacing w:line="400" w:lineRule="exact"/>
              <w:jc w:val="center"/>
              <w:rPr>
                <w:rFonts w:hint="eastAsia" w:ascii="楷体" w:hAnsi="楷体" w:eastAsia="楷体" w:cs="楷体"/>
                <w:color w:val="auto"/>
                <w:szCs w:val="24"/>
                <w:highlight w:val="none"/>
              </w:rPr>
            </w:pPr>
          </w:p>
        </w:tc>
        <w:tc>
          <w:tcPr>
            <w:tcW w:w="1275" w:type="dxa"/>
            <w:noWrap w:val="0"/>
            <w:vAlign w:val="center"/>
          </w:tcPr>
          <w:p w14:paraId="63F88073">
            <w:pPr>
              <w:spacing w:line="400" w:lineRule="exact"/>
              <w:jc w:val="center"/>
              <w:rPr>
                <w:rFonts w:hint="eastAsia" w:ascii="楷体" w:hAnsi="楷体" w:eastAsia="楷体" w:cs="楷体"/>
                <w:color w:val="auto"/>
                <w:szCs w:val="24"/>
                <w:highlight w:val="none"/>
              </w:rPr>
            </w:pPr>
          </w:p>
        </w:tc>
        <w:tc>
          <w:tcPr>
            <w:tcW w:w="1134" w:type="dxa"/>
            <w:noWrap w:val="0"/>
            <w:vAlign w:val="center"/>
          </w:tcPr>
          <w:p w14:paraId="5A4043C9">
            <w:pPr>
              <w:spacing w:line="400" w:lineRule="exact"/>
              <w:jc w:val="center"/>
              <w:rPr>
                <w:rFonts w:hint="eastAsia" w:ascii="楷体" w:hAnsi="楷体" w:eastAsia="楷体" w:cs="楷体"/>
                <w:color w:val="auto"/>
                <w:szCs w:val="24"/>
                <w:highlight w:val="none"/>
              </w:rPr>
            </w:pPr>
          </w:p>
        </w:tc>
        <w:tc>
          <w:tcPr>
            <w:tcW w:w="1276" w:type="dxa"/>
            <w:noWrap w:val="0"/>
            <w:vAlign w:val="center"/>
          </w:tcPr>
          <w:p w14:paraId="339D9173">
            <w:pPr>
              <w:spacing w:line="400" w:lineRule="exact"/>
              <w:jc w:val="center"/>
              <w:rPr>
                <w:rFonts w:hint="eastAsia" w:ascii="楷体" w:hAnsi="楷体" w:eastAsia="楷体" w:cs="楷体"/>
                <w:color w:val="auto"/>
                <w:szCs w:val="24"/>
                <w:highlight w:val="none"/>
              </w:rPr>
            </w:pPr>
          </w:p>
        </w:tc>
        <w:tc>
          <w:tcPr>
            <w:tcW w:w="1156" w:type="dxa"/>
            <w:gridSpan w:val="2"/>
            <w:tcBorders>
              <w:right w:val="single" w:color="auto" w:sz="4" w:space="0"/>
            </w:tcBorders>
            <w:noWrap w:val="0"/>
            <w:vAlign w:val="center"/>
          </w:tcPr>
          <w:p w14:paraId="6C53078B">
            <w:pPr>
              <w:spacing w:line="400" w:lineRule="exact"/>
              <w:jc w:val="center"/>
              <w:rPr>
                <w:rFonts w:hint="eastAsia" w:ascii="楷体" w:hAnsi="楷体" w:eastAsia="楷体" w:cs="楷体"/>
                <w:color w:val="auto"/>
                <w:szCs w:val="24"/>
                <w:highlight w:val="none"/>
              </w:rPr>
            </w:pPr>
          </w:p>
        </w:tc>
        <w:tc>
          <w:tcPr>
            <w:tcW w:w="1406" w:type="dxa"/>
            <w:tcBorders>
              <w:left w:val="single" w:color="auto" w:sz="4" w:space="0"/>
              <w:right w:val="single" w:color="auto" w:sz="4" w:space="0"/>
            </w:tcBorders>
            <w:noWrap w:val="0"/>
            <w:vAlign w:val="center"/>
          </w:tcPr>
          <w:p w14:paraId="3B370258">
            <w:pPr>
              <w:spacing w:line="400" w:lineRule="exact"/>
              <w:jc w:val="center"/>
              <w:rPr>
                <w:rFonts w:hint="eastAsia" w:ascii="楷体" w:hAnsi="楷体" w:eastAsia="楷体" w:cs="楷体"/>
                <w:color w:val="auto"/>
                <w:szCs w:val="24"/>
                <w:highlight w:val="none"/>
              </w:rPr>
            </w:pPr>
          </w:p>
        </w:tc>
        <w:tc>
          <w:tcPr>
            <w:tcW w:w="1168" w:type="dxa"/>
            <w:gridSpan w:val="2"/>
            <w:tcBorders>
              <w:left w:val="single" w:color="auto" w:sz="4" w:space="0"/>
            </w:tcBorders>
            <w:noWrap w:val="0"/>
            <w:vAlign w:val="center"/>
          </w:tcPr>
          <w:p w14:paraId="0D1F797A">
            <w:pPr>
              <w:spacing w:line="400" w:lineRule="exact"/>
              <w:jc w:val="center"/>
              <w:rPr>
                <w:rFonts w:hint="eastAsia" w:ascii="楷体" w:hAnsi="楷体" w:eastAsia="楷体" w:cs="楷体"/>
                <w:color w:val="auto"/>
                <w:szCs w:val="24"/>
                <w:highlight w:val="none"/>
              </w:rPr>
            </w:pPr>
          </w:p>
        </w:tc>
      </w:tr>
    </w:tbl>
    <w:p w14:paraId="01912DB1">
      <w:pPr>
        <w:spacing w:line="360" w:lineRule="auto"/>
        <w:rPr>
          <w:rFonts w:hint="eastAsia" w:ascii="楷体" w:hAnsi="楷体" w:eastAsia="楷体" w:cs="楷体"/>
          <w:b/>
          <w:color w:val="auto"/>
          <w:szCs w:val="24"/>
          <w:highlight w:val="none"/>
        </w:rPr>
      </w:pPr>
      <w:r>
        <w:rPr>
          <w:rFonts w:hint="eastAsia" w:ascii="楷体" w:hAnsi="楷体" w:eastAsia="楷体" w:cs="楷体"/>
          <w:b/>
          <w:color w:val="auto"/>
          <w:szCs w:val="24"/>
          <w:highlight w:val="none"/>
        </w:rPr>
        <w:t>注：1.本表后附业绩证明资料加盖供应商公章，签订时间及金额以合同中的内容为准。</w:t>
      </w:r>
    </w:p>
    <w:p w14:paraId="2FBAA7E4">
      <w:pPr>
        <w:spacing w:line="360" w:lineRule="auto"/>
        <w:rPr>
          <w:rFonts w:hint="eastAsia" w:ascii="楷体" w:hAnsi="楷体" w:eastAsia="楷体" w:cs="楷体"/>
          <w:b/>
          <w:color w:val="auto"/>
          <w:szCs w:val="24"/>
          <w:highlight w:val="none"/>
        </w:rPr>
      </w:pPr>
      <w:r>
        <w:rPr>
          <w:rFonts w:hint="eastAsia" w:ascii="楷体" w:hAnsi="楷体" w:eastAsia="楷体" w:cs="楷体"/>
          <w:b/>
          <w:color w:val="auto"/>
          <w:szCs w:val="24"/>
          <w:highlight w:val="none"/>
        </w:rPr>
        <w:t>2.供应商应如实列出以上情况，如有</w:t>
      </w:r>
      <w:r>
        <w:rPr>
          <w:rFonts w:hint="eastAsia" w:ascii="楷体" w:hAnsi="楷体" w:eastAsia="楷体" w:cs="楷体"/>
          <w:b/>
          <w:color w:val="auto"/>
          <w:szCs w:val="24"/>
          <w:highlight w:val="none"/>
          <w:lang w:val="en-US" w:eastAsia="zh-CN"/>
        </w:rPr>
        <w:t>作假</w:t>
      </w:r>
      <w:r>
        <w:rPr>
          <w:rFonts w:hint="eastAsia" w:ascii="楷体" w:hAnsi="楷体" w:eastAsia="楷体" w:cs="楷体"/>
          <w:b/>
          <w:color w:val="auto"/>
          <w:szCs w:val="24"/>
          <w:highlight w:val="none"/>
        </w:rPr>
        <w:t>，一经查实将</w:t>
      </w:r>
      <w:r>
        <w:rPr>
          <w:rFonts w:hint="eastAsia" w:ascii="楷体" w:hAnsi="楷体" w:eastAsia="楷体" w:cs="楷体"/>
          <w:b/>
          <w:color w:val="auto"/>
          <w:szCs w:val="24"/>
          <w:highlight w:val="none"/>
          <w:lang w:val="en-US" w:eastAsia="zh-CN"/>
        </w:rPr>
        <w:t>取消其本次磋商资格</w:t>
      </w:r>
      <w:r>
        <w:rPr>
          <w:rFonts w:hint="eastAsia" w:ascii="楷体" w:hAnsi="楷体" w:eastAsia="楷体" w:cs="楷体"/>
          <w:b/>
          <w:color w:val="auto"/>
          <w:szCs w:val="24"/>
          <w:highlight w:val="none"/>
        </w:rPr>
        <w:t>。</w:t>
      </w:r>
    </w:p>
    <w:p w14:paraId="6A840BBE">
      <w:pPr>
        <w:spacing w:line="360" w:lineRule="auto"/>
        <w:rPr>
          <w:rFonts w:hint="eastAsia" w:ascii="楷体" w:hAnsi="楷体" w:eastAsia="楷体" w:cs="楷体"/>
          <w:b/>
          <w:color w:val="auto"/>
          <w:szCs w:val="24"/>
          <w:highlight w:val="none"/>
        </w:rPr>
      </w:pPr>
      <w:r>
        <w:rPr>
          <w:rFonts w:hint="eastAsia" w:ascii="楷体" w:hAnsi="楷体" w:eastAsia="楷体" w:cs="楷体"/>
          <w:b/>
          <w:color w:val="auto"/>
          <w:szCs w:val="24"/>
          <w:highlight w:val="none"/>
        </w:rPr>
        <w:t>3.未按上述要求提供、填写的，评审时不予以考虑。</w:t>
      </w:r>
    </w:p>
    <w:p w14:paraId="71F60E0C">
      <w:pPr>
        <w:spacing w:line="360" w:lineRule="auto"/>
        <w:rPr>
          <w:rFonts w:hint="eastAsia" w:ascii="楷体" w:hAnsi="楷体" w:eastAsia="楷体" w:cs="楷体"/>
          <w:color w:val="auto"/>
          <w:highlight w:val="none"/>
        </w:rPr>
      </w:pPr>
    </w:p>
    <w:p w14:paraId="1E6B3FF5">
      <w:pPr>
        <w:spacing w:line="360" w:lineRule="auto"/>
        <w:rPr>
          <w:rFonts w:hint="eastAsia" w:ascii="楷体" w:hAnsi="楷体" w:eastAsia="楷体" w:cs="楷体"/>
          <w:color w:val="auto"/>
          <w:highlight w:val="none"/>
        </w:rPr>
      </w:pPr>
      <w:r>
        <w:rPr>
          <w:rFonts w:hint="eastAsia" w:ascii="楷体" w:hAnsi="楷体" w:eastAsia="楷体" w:cs="楷体"/>
          <w:color w:val="auto"/>
          <w:highlight w:val="none"/>
        </w:rPr>
        <w:t xml:space="preserve">供应商名称（公章）  ：          </w:t>
      </w:r>
    </w:p>
    <w:p w14:paraId="6651DBBD">
      <w:pPr>
        <w:spacing w:line="360" w:lineRule="auto"/>
        <w:jc w:val="left"/>
        <w:rPr>
          <w:rFonts w:hint="eastAsia" w:ascii="楷体" w:hAnsi="楷体" w:eastAsia="楷体" w:cs="楷体"/>
          <w:color w:val="auto"/>
          <w:highlight w:val="none"/>
        </w:rPr>
      </w:pPr>
      <w:r>
        <w:rPr>
          <w:rFonts w:hint="eastAsia" w:ascii="楷体" w:hAnsi="楷体" w:eastAsia="楷体" w:cs="楷体"/>
          <w:color w:val="auto"/>
          <w:highlight w:val="none"/>
        </w:rPr>
        <w:t>法定代表人/被授权人</w:t>
      </w:r>
      <w:r>
        <w:rPr>
          <w:rFonts w:hint="eastAsia" w:ascii="楷体" w:hAnsi="楷体" w:eastAsia="楷体" w:cs="楷体"/>
          <w:color w:val="auto"/>
          <w:spacing w:val="4"/>
          <w:szCs w:val="24"/>
          <w:highlight w:val="none"/>
        </w:rPr>
        <w:t>（签字或盖章）</w:t>
      </w:r>
      <w:r>
        <w:rPr>
          <w:rFonts w:hint="eastAsia" w:ascii="楷体" w:hAnsi="楷体" w:eastAsia="楷体" w:cs="楷体"/>
          <w:color w:val="auto"/>
          <w:highlight w:val="none"/>
        </w:rPr>
        <w:t>：</w:t>
      </w:r>
    </w:p>
    <w:p w14:paraId="450BAFD1">
      <w:pPr>
        <w:spacing w:line="360" w:lineRule="auto"/>
        <w:rPr>
          <w:rFonts w:hint="eastAsia" w:ascii="楷体" w:hAnsi="楷体" w:eastAsia="楷体" w:cs="楷体"/>
          <w:color w:val="auto"/>
          <w:szCs w:val="24"/>
          <w:highlight w:val="none"/>
        </w:rPr>
      </w:pPr>
      <w:r>
        <w:rPr>
          <w:rFonts w:hint="eastAsia" w:ascii="楷体" w:hAnsi="楷体" w:eastAsia="楷体" w:cs="楷体"/>
          <w:color w:val="auto"/>
          <w:szCs w:val="24"/>
          <w:highlight w:val="none"/>
        </w:rPr>
        <w:t>日    期：</w:t>
      </w:r>
    </w:p>
    <w:p w14:paraId="6ECE445D">
      <w:pPr>
        <w:rPr>
          <w:rFonts w:hint="eastAsia" w:ascii="楷体" w:hAnsi="楷体" w:eastAsia="楷体" w:cs="楷体"/>
          <w:b/>
          <w:bCs/>
          <w:color w:val="auto"/>
          <w:highlight w:val="none"/>
        </w:rPr>
      </w:pPr>
      <w:r>
        <w:rPr>
          <w:rFonts w:hint="eastAsia" w:ascii="楷体" w:hAnsi="楷体" w:eastAsia="楷体" w:cs="楷体"/>
          <w:color w:val="auto"/>
          <w:highlight w:val="none"/>
        </w:rPr>
        <w:br w:type="page"/>
      </w:r>
      <w:bookmarkEnd w:id="218"/>
      <w:r>
        <w:rPr>
          <w:rFonts w:hint="eastAsia" w:ascii="楷体" w:hAnsi="楷体" w:eastAsia="楷体" w:cs="楷体"/>
          <w:b/>
          <w:bCs/>
          <w:color w:val="auto"/>
          <w:highlight w:val="none"/>
        </w:rPr>
        <w:t>（五）其他可以证明供应商实力的文件（如果有，格式自拟）</w:t>
      </w:r>
    </w:p>
    <w:p w14:paraId="1D210D0A">
      <w:pPr>
        <w:pStyle w:val="8"/>
        <w:rPr>
          <w:rFonts w:hint="eastAsia"/>
          <w:highlight w:val="none"/>
        </w:rPr>
      </w:pPr>
    </w:p>
    <w:p w14:paraId="3FF69A7A">
      <w:pPr>
        <w:jc w:val="center"/>
        <w:rPr>
          <w:rFonts w:hint="eastAsia" w:ascii="楷体" w:hAnsi="楷体" w:eastAsia="楷体" w:cs="楷体"/>
          <w:b/>
          <w:bCs/>
          <w:color w:val="auto"/>
          <w:highlight w:val="none"/>
        </w:rPr>
        <w:sectPr>
          <w:pgSz w:w="11906" w:h="16838"/>
          <w:pgMar w:top="1440" w:right="1800" w:bottom="1440" w:left="1800" w:header="851" w:footer="992" w:gutter="0"/>
          <w:pgNumType w:fmt="decimal"/>
          <w:cols w:space="720" w:num="1"/>
          <w:docGrid w:type="lines" w:linePitch="312" w:charSpace="0"/>
        </w:sectPr>
      </w:pPr>
    </w:p>
    <w:p w14:paraId="2AC336E2">
      <w:pPr>
        <w:spacing w:before="0" w:beforeLines="0" w:line="360" w:lineRule="auto"/>
        <w:jc w:val="center"/>
        <w:outlineLvl w:val="9"/>
        <w:rPr>
          <w:rFonts w:hint="eastAsia" w:ascii="楷体" w:hAnsi="楷体" w:eastAsia="楷体" w:cs="楷体"/>
          <w:b/>
          <w:bCs/>
          <w:color w:val="auto"/>
          <w:kern w:val="0"/>
          <w:sz w:val="32"/>
          <w:szCs w:val="32"/>
          <w:highlight w:val="none"/>
        </w:rPr>
      </w:pPr>
      <w:bookmarkStart w:id="225" w:name="_Toc10200"/>
      <w:bookmarkStart w:id="226" w:name="_Toc15169"/>
      <w:bookmarkStart w:id="227" w:name="_Toc9172_WPSOffice_Level1"/>
      <w:bookmarkStart w:id="228" w:name="_Toc16104"/>
      <w:bookmarkStart w:id="229" w:name="_Toc14926_WPSOffice_Level1"/>
      <w:bookmarkStart w:id="230" w:name="_Toc18207"/>
      <w:bookmarkStart w:id="231" w:name="_Toc1059"/>
      <w:bookmarkStart w:id="232" w:name="_Toc9888"/>
      <w:r>
        <w:rPr>
          <w:rFonts w:hint="eastAsia" w:ascii="楷体" w:hAnsi="楷体" w:eastAsia="楷体" w:cs="楷体"/>
          <w:b/>
          <w:bCs/>
          <w:color w:val="auto"/>
          <w:kern w:val="0"/>
          <w:sz w:val="32"/>
          <w:szCs w:val="32"/>
          <w:highlight w:val="none"/>
        </w:rPr>
        <w:t>五、技术部分</w:t>
      </w:r>
      <w:bookmarkEnd w:id="225"/>
      <w:bookmarkEnd w:id="226"/>
      <w:bookmarkEnd w:id="227"/>
      <w:bookmarkEnd w:id="228"/>
      <w:bookmarkEnd w:id="229"/>
      <w:bookmarkEnd w:id="230"/>
      <w:bookmarkEnd w:id="231"/>
      <w:bookmarkEnd w:id="232"/>
    </w:p>
    <w:p w14:paraId="5632C75A">
      <w:pPr>
        <w:spacing w:line="360" w:lineRule="auto"/>
        <w:jc w:val="center"/>
        <w:rPr>
          <w:rFonts w:hint="eastAsia" w:ascii="楷体" w:hAnsi="楷体" w:eastAsia="楷体" w:cs="楷体"/>
          <w:color w:val="auto"/>
          <w:sz w:val="28"/>
          <w:szCs w:val="22"/>
          <w:highlight w:val="none"/>
        </w:rPr>
      </w:pPr>
      <w:r>
        <w:rPr>
          <w:rFonts w:hint="eastAsia" w:ascii="楷体" w:hAnsi="楷体" w:eastAsia="楷体" w:cs="楷体"/>
          <w:color w:val="auto"/>
          <w:sz w:val="28"/>
          <w:szCs w:val="22"/>
          <w:highlight w:val="none"/>
        </w:rPr>
        <w:t>（格式自拟）</w:t>
      </w:r>
    </w:p>
    <w:p w14:paraId="6FE28A69">
      <w:pPr>
        <w:kinsoku w:val="0"/>
        <w:spacing w:line="360" w:lineRule="auto"/>
        <w:ind w:firstLine="480" w:firstLineChars="200"/>
        <w:rPr>
          <w:rFonts w:hint="eastAsia" w:ascii="楷体" w:hAnsi="楷体" w:eastAsia="楷体" w:cs="楷体"/>
          <w:color w:val="auto"/>
          <w:szCs w:val="24"/>
          <w:highlight w:val="none"/>
        </w:rPr>
      </w:pPr>
      <w:r>
        <w:rPr>
          <w:rFonts w:hint="eastAsia" w:ascii="楷体" w:hAnsi="楷体" w:eastAsia="楷体" w:cs="楷体"/>
          <w:color w:val="auto"/>
          <w:szCs w:val="24"/>
          <w:highlight w:val="none"/>
        </w:rPr>
        <w:t xml:space="preserve">1.供应商按照磋商文件“第四章 </w:t>
      </w:r>
      <w:r>
        <w:rPr>
          <w:rFonts w:hint="eastAsia" w:ascii="楷体" w:hAnsi="楷体" w:eastAsia="楷体" w:cs="楷体"/>
          <w:color w:val="auto"/>
          <w:szCs w:val="24"/>
          <w:highlight w:val="none"/>
          <w:lang w:val="en-US" w:eastAsia="zh-CN"/>
        </w:rPr>
        <w:t>磋商</w:t>
      </w:r>
      <w:r>
        <w:rPr>
          <w:rFonts w:hint="eastAsia" w:ascii="楷体" w:hAnsi="楷体" w:eastAsia="楷体" w:cs="楷体"/>
          <w:color w:val="auto"/>
          <w:szCs w:val="24"/>
          <w:highlight w:val="none"/>
        </w:rPr>
        <w:t>内容及技术要求”及磋商文件“第五章 评审方法”中的评审细则表编制对应的技术要求。</w:t>
      </w:r>
    </w:p>
    <w:p w14:paraId="423EA615">
      <w:pPr>
        <w:kinsoku w:val="0"/>
        <w:spacing w:line="360" w:lineRule="auto"/>
        <w:ind w:firstLine="480" w:firstLineChars="200"/>
        <w:rPr>
          <w:rFonts w:hint="eastAsia" w:ascii="楷体" w:hAnsi="楷体" w:eastAsia="楷体" w:cs="楷体"/>
          <w:color w:val="auto"/>
          <w:szCs w:val="24"/>
          <w:highlight w:val="none"/>
        </w:rPr>
      </w:pPr>
      <w:r>
        <w:rPr>
          <w:rFonts w:hint="eastAsia" w:ascii="楷体" w:hAnsi="楷体" w:eastAsia="楷体" w:cs="楷体"/>
          <w:color w:val="auto"/>
          <w:szCs w:val="24"/>
          <w:highlight w:val="none"/>
        </w:rPr>
        <w:t>2.供应商需要说明的其他问题。</w:t>
      </w:r>
    </w:p>
    <w:p w14:paraId="5B667B40">
      <w:pPr>
        <w:tabs>
          <w:tab w:val="left" w:pos="709"/>
        </w:tabs>
        <w:spacing w:line="360" w:lineRule="auto"/>
        <w:ind w:firstLine="480" w:firstLineChars="200"/>
        <w:rPr>
          <w:rFonts w:hint="eastAsia" w:ascii="楷体" w:hAnsi="楷体" w:eastAsia="楷体" w:cs="楷体"/>
          <w:color w:val="auto"/>
          <w:szCs w:val="24"/>
          <w:highlight w:val="none"/>
        </w:rPr>
      </w:pPr>
      <w:r>
        <w:rPr>
          <w:rFonts w:hint="eastAsia" w:ascii="楷体" w:hAnsi="楷体" w:eastAsia="楷体" w:cs="楷体"/>
          <w:bCs/>
          <w:color w:val="auto"/>
          <w:kern w:val="2"/>
          <w:szCs w:val="24"/>
          <w:highlight w:val="none"/>
        </w:rPr>
        <w:t>3.完成附件3、附件4、附件5</w:t>
      </w:r>
      <w:r>
        <w:rPr>
          <w:rFonts w:hint="eastAsia" w:ascii="楷体" w:hAnsi="楷体" w:eastAsia="楷体" w:cs="楷体"/>
          <w:bCs/>
          <w:color w:val="auto"/>
          <w:kern w:val="2"/>
          <w:szCs w:val="24"/>
          <w:highlight w:val="none"/>
          <w:lang w:eastAsia="zh-CN"/>
        </w:rPr>
        <w:t>、</w:t>
      </w:r>
      <w:r>
        <w:rPr>
          <w:rFonts w:hint="eastAsia" w:ascii="楷体" w:hAnsi="楷体" w:eastAsia="楷体" w:cs="楷体"/>
          <w:bCs/>
          <w:color w:val="auto"/>
          <w:kern w:val="2"/>
          <w:szCs w:val="24"/>
          <w:highlight w:val="none"/>
          <w:lang w:val="en-US" w:eastAsia="zh-CN"/>
        </w:rPr>
        <w:t>附件6</w:t>
      </w:r>
      <w:r>
        <w:rPr>
          <w:rFonts w:hint="eastAsia" w:ascii="楷体" w:hAnsi="楷体" w:eastAsia="楷体" w:cs="楷体"/>
          <w:bCs/>
          <w:color w:val="auto"/>
          <w:kern w:val="2"/>
          <w:szCs w:val="24"/>
          <w:highlight w:val="none"/>
        </w:rPr>
        <w:t>。</w:t>
      </w:r>
    </w:p>
    <w:p w14:paraId="5795C913">
      <w:pPr>
        <w:spacing w:line="360" w:lineRule="auto"/>
        <w:ind w:firstLine="480" w:firstLineChars="200"/>
        <w:rPr>
          <w:rFonts w:hint="eastAsia" w:ascii="楷体" w:hAnsi="楷体" w:eastAsia="楷体" w:cs="楷体"/>
          <w:color w:val="auto"/>
          <w:szCs w:val="24"/>
          <w:highlight w:val="none"/>
        </w:rPr>
      </w:pPr>
    </w:p>
    <w:p w14:paraId="5E885DD6">
      <w:pPr>
        <w:spacing w:line="360" w:lineRule="auto"/>
        <w:ind w:firstLine="480" w:firstLineChars="200"/>
        <w:rPr>
          <w:rFonts w:hint="eastAsia" w:ascii="楷体" w:hAnsi="楷体" w:eastAsia="楷体" w:cs="楷体"/>
          <w:color w:val="auto"/>
          <w:szCs w:val="24"/>
          <w:highlight w:val="none"/>
        </w:rPr>
      </w:pPr>
    </w:p>
    <w:p w14:paraId="26BDAFC8">
      <w:pPr>
        <w:spacing w:line="360" w:lineRule="auto"/>
        <w:jc w:val="left"/>
        <w:rPr>
          <w:rFonts w:hint="eastAsia" w:ascii="楷体" w:hAnsi="楷体" w:eastAsia="楷体" w:cs="楷体"/>
          <w:b/>
          <w:color w:val="auto"/>
          <w:sz w:val="30"/>
          <w:szCs w:val="30"/>
          <w:highlight w:val="none"/>
        </w:rPr>
      </w:pPr>
      <w:r>
        <w:rPr>
          <w:rFonts w:hint="eastAsia" w:ascii="楷体" w:hAnsi="楷体" w:eastAsia="楷体" w:cs="楷体"/>
          <w:color w:val="auto"/>
          <w:szCs w:val="24"/>
          <w:highlight w:val="none"/>
        </w:rPr>
        <w:t xml:space="preserve">   </w:t>
      </w:r>
      <w:bookmarkStart w:id="233" w:name="_Toc363474033"/>
      <w:bookmarkStart w:id="234" w:name="_Toc403077656"/>
      <w:r>
        <w:rPr>
          <w:rFonts w:hint="eastAsia" w:ascii="楷体" w:hAnsi="楷体" w:eastAsia="楷体" w:cs="楷体"/>
          <w:b/>
          <w:bCs/>
          <w:color w:val="auto"/>
          <w:kern w:val="2"/>
          <w:sz w:val="32"/>
          <w:szCs w:val="32"/>
          <w:highlight w:val="none"/>
        </w:rPr>
        <w:br w:type="page"/>
      </w:r>
      <w:r>
        <w:rPr>
          <w:rFonts w:hint="eastAsia" w:ascii="楷体" w:hAnsi="楷体" w:eastAsia="楷体" w:cs="楷体"/>
          <w:b/>
          <w:bCs/>
          <w:color w:val="auto"/>
          <w:sz w:val="28"/>
          <w:szCs w:val="28"/>
          <w:highlight w:val="none"/>
        </w:rPr>
        <w:t>附件3：</w:t>
      </w:r>
    </w:p>
    <w:p w14:paraId="76441CE8">
      <w:pPr>
        <w:spacing w:line="360" w:lineRule="auto"/>
        <w:jc w:val="center"/>
        <w:outlineLvl w:val="9"/>
        <w:rPr>
          <w:rFonts w:hint="eastAsia" w:ascii="楷体" w:hAnsi="楷体" w:eastAsia="楷体" w:cs="楷体"/>
          <w:b/>
          <w:bCs/>
          <w:color w:val="auto"/>
          <w:sz w:val="30"/>
          <w:szCs w:val="30"/>
          <w:highlight w:val="none"/>
        </w:rPr>
      </w:pPr>
      <w:bookmarkStart w:id="235" w:name="_Toc10827_WPSOffice_Level1"/>
      <w:bookmarkStart w:id="236" w:name="_Toc22246_WPSOffice_Level1"/>
      <w:r>
        <w:rPr>
          <w:rFonts w:hint="eastAsia" w:ascii="楷体" w:hAnsi="楷体" w:eastAsia="楷体" w:cs="楷体"/>
          <w:b/>
          <w:bCs/>
          <w:color w:val="auto"/>
          <w:sz w:val="30"/>
          <w:szCs w:val="30"/>
          <w:highlight w:val="none"/>
        </w:rPr>
        <w:t>技术</w:t>
      </w:r>
      <w:r>
        <w:rPr>
          <w:rFonts w:hint="eastAsia" w:ascii="楷体" w:hAnsi="楷体" w:eastAsia="楷体" w:cs="楷体"/>
          <w:b/>
          <w:bCs/>
          <w:color w:val="auto"/>
          <w:sz w:val="30"/>
          <w:szCs w:val="30"/>
          <w:highlight w:val="none"/>
          <w:lang w:eastAsia="zh-CN"/>
        </w:rPr>
        <w:t>要求</w:t>
      </w:r>
      <w:r>
        <w:rPr>
          <w:rFonts w:hint="eastAsia" w:ascii="楷体" w:hAnsi="楷体" w:eastAsia="楷体" w:cs="楷体"/>
          <w:b/>
          <w:bCs/>
          <w:color w:val="auto"/>
          <w:sz w:val="30"/>
          <w:szCs w:val="30"/>
          <w:highlight w:val="none"/>
        </w:rPr>
        <w:t>响应表</w:t>
      </w:r>
      <w:bookmarkEnd w:id="235"/>
      <w:bookmarkEnd w:id="236"/>
    </w:p>
    <w:p w14:paraId="21D6C9BE">
      <w:pPr>
        <w:spacing w:line="360" w:lineRule="auto"/>
        <w:jc w:val="left"/>
        <w:rPr>
          <w:rFonts w:hint="eastAsia" w:ascii="楷体" w:hAnsi="楷体" w:eastAsia="楷体" w:cs="楷体"/>
          <w:b/>
          <w:color w:val="auto"/>
          <w:highlight w:val="none"/>
        </w:rPr>
      </w:pPr>
      <w:r>
        <w:rPr>
          <w:rFonts w:hint="eastAsia" w:ascii="楷体" w:hAnsi="楷体" w:eastAsia="楷体" w:cs="楷体"/>
          <w:b/>
          <w:color w:val="auto"/>
          <w:highlight w:val="none"/>
        </w:rPr>
        <w:t xml:space="preserve">  项目名称：</w:t>
      </w:r>
    </w:p>
    <w:p w14:paraId="6F8940F9">
      <w:pPr>
        <w:pStyle w:val="8"/>
        <w:spacing w:line="360" w:lineRule="auto"/>
        <w:ind w:firstLine="241" w:firstLineChars="100"/>
        <w:rPr>
          <w:rFonts w:hint="eastAsia" w:ascii="楷体" w:hAnsi="楷体" w:eastAsia="楷体" w:cs="楷体"/>
          <w:b/>
          <w:color w:val="auto"/>
          <w:kern w:val="0"/>
          <w:sz w:val="24"/>
          <w:szCs w:val="22"/>
          <w:highlight w:val="none"/>
        </w:rPr>
      </w:pPr>
      <w:r>
        <w:rPr>
          <w:rFonts w:hint="eastAsia" w:ascii="楷体" w:hAnsi="楷体" w:eastAsia="楷体" w:cs="楷体"/>
          <w:b/>
          <w:color w:val="auto"/>
          <w:kern w:val="0"/>
          <w:sz w:val="24"/>
          <w:szCs w:val="22"/>
          <w:highlight w:val="none"/>
        </w:rPr>
        <w:t>项目编号：</w:t>
      </w:r>
    </w:p>
    <w:p w14:paraId="03322F75">
      <w:pPr>
        <w:pStyle w:val="8"/>
        <w:spacing w:line="360" w:lineRule="auto"/>
        <w:ind w:firstLine="241" w:firstLineChars="100"/>
        <w:rPr>
          <w:rFonts w:hint="eastAsia" w:ascii="楷体" w:hAnsi="楷体" w:eastAsia="楷体" w:cs="楷体"/>
          <w:color w:val="auto"/>
          <w:highlight w:val="none"/>
        </w:rPr>
      </w:pPr>
      <w:r>
        <w:rPr>
          <w:rFonts w:hint="eastAsia" w:ascii="楷体" w:hAnsi="楷体" w:eastAsia="楷体" w:cs="楷体"/>
          <w:b/>
          <w:color w:val="auto"/>
          <w:kern w:val="0"/>
          <w:sz w:val="24"/>
          <w:szCs w:val="22"/>
          <w:highlight w:val="none"/>
          <w:lang w:val="en-US" w:eastAsia="zh-CN"/>
        </w:rPr>
        <w:t>采购包</w:t>
      </w:r>
      <w:r>
        <w:rPr>
          <w:rFonts w:hint="eastAsia" w:ascii="楷体" w:hAnsi="楷体" w:eastAsia="楷体" w:cs="楷体"/>
          <w:b/>
          <w:color w:val="auto"/>
          <w:kern w:val="0"/>
          <w:sz w:val="24"/>
          <w:szCs w:val="22"/>
          <w:highlight w:val="none"/>
          <w:u w:val="single"/>
          <w:lang w:val="en-US" w:eastAsia="zh-CN"/>
        </w:rPr>
        <w:t xml:space="preserve">   </w:t>
      </w:r>
      <w:r>
        <w:rPr>
          <w:rFonts w:hint="eastAsia" w:ascii="楷体" w:hAnsi="楷体" w:eastAsia="楷体" w:cs="楷体"/>
          <w:b/>
          <w:color w:val="auto"/>
          <w:kern w:val="0"/>
          <w:sz w:val="24"/>
          <w:szCs w:val="22"/>
          <w:highlight w:val="none"/>
        </w:rPr>
        <w:t xml:space="preserve"> </w:t>
      </w:r>
      <w:r>
        <w:rPr>
          <w:rFonts w:hint="eastAsia" w:ascii="楷体" w:hAnsi="楷体" w:eastAsia="楷体" w:cs="楷体"/>
          <w:b/>
          <w:color w:val="auto"/>
          <w:szCs w:val="24"/>
          <w:highlight w:val="none"/>
        </w:rPr>
        <w:t xml:space="preserve">    </w:t>
      </w:r>
      <w:r>
        <w:rPr>
          <w:rFonts w:hint="eastAsia" w:ascii="楷体" w:hAnsi="楷体" w:eastAsia="楷体" w:cs="楷体"/>
          <w:color w:val="auto"/>
          <w:szCs w:val="24"/>
          <w:highlight w:val="none"/>
        </w:rPr>
        <w:t xml:space="preserve">                                    </w:t>
      </w:r>
    </w:p>
    <w:tbl>
      <w:tblPr>
        <w:tblStyle w:val="17"/>
        <w:tblW w:w="0" w:type="auto"/>
        <w:jc w:val="center"/>
        <w:tblLayout w:type="fixed"/>
        <w:tblCellMar>
          <w:top w:w="0" w:type="dxa"/>
          <w:left w:w="28" w:type="dxa"/>
          <w:bottom w:w="0" w:type="dxa"/>
          <w:right w:w="28" w:type="dxa"/>
        </w:tblCellMar>
      </w:tblPr>
      <w:tblGrid>
        <w:gridCol w:w="737"/>
        <w:gridCol w:w="1276"/>
        <w:gridCol w:w="2268"/>
        <w:gridCol w:w="2439"/>
        <w:gridCol w:w="1263"/>
        <w:gridCol w:w="861"/>
      </w:tblGrid>
      <w:tr w14:paraId="53BC27BD">
        <w:tblPrEx>
          <w:tblCellMar>
            <w:top w:w="0" w:type="dxa"/>
            <w:left w:w="28" w:type="dxa"/>
            <w:bottom w:w="0" w:type="dxa"/>
            <w:right w:w="28" w:type="dxa"/>
          </w:tblCellMar>
        </w:tblPrEx>
        <w:trPr>
          <w:trHeight w:val="851" w:hRule="exact"/>
          <w:jc w:val="center"/>
        </w:trPr>
        <w:tc>
          <w:tcPr>
            <w:tcW w:w="737" w:type="dxa"/>
            <w:tcBorders>
              <w:top w:val="single" w:color="auto" w:sz="4" w:space="0"/>
              <w:left w:val="single" w:color="auto" w:sz="4" w:space="0"/>
              <w:bottom w:val="single" w:color="auto" w:sz="4" w:space="0"/>
              <w:right w:val="single" w:color="auto" w:sz="4" w:space="0"/>
            </w:tcBorders>
            <w:noWrap w:val="0"/>
            <w:vAlign w:val="center"/>
          </w:tcPr>
          <w:p w14:paraId="610F7B59">
            <w:pPr>
              <w:spacing w:line="360" w:lineRule="auto"/>
              <w:jc w:val="center"/>
              <w:rPr>
                <w:rFonts w:hint="eastAsia" w:ascii="楷体" w:hAnsi="楷体" w:eastAsia="楷体" w:cs="楷体"/>
                <w:b/>
                <w:color w:val="auto"/>
                <w:kern w:val="2"/>
                <w:sz w:val="21"/>
                <w:szCs w:val="21"/>
                <w:highlight w:val="none"/>
              </w:rPr>
            </w:pPr>
            <w:r>
              <w:rPr>
                <w:rFonts w:hint="eastAsia" w:ascii="楷体" w:hAnsi="楷体" w:eastAsia="楷体" w:cs="楷体"/>
                <w:b/>
                <w:color w:val="auto"/>
                <w:szCs w:val="24"/>
                <w:highlight w:val="none"/>
              </w:rPr>
              <w:t>序号</w:t>
            </w:r>
          </w:p>
        </w:tc>
        <w:tc>
          <w:tcPr>
            <w:tcW w:w="1276" w:type="dxa"/>
            <w:tcBorders>
              <w:top w:val="single" w:color="auto" w:sz="4" w:space="0"/>
              <w:left w:val="nil"/>
              <w:bottom w:val="single" w:color="auto" w:sz="4" w:space="0"/>
              <w:right w:val="single" w:color="auto" w:sz="4" w:space="0"/>
            </w:tcBorders>
            <w:noWrap w:val="0"/>
            <w:vAlign w:val="center"/>
          </w:tcPr>
          <w:p w14:paraId="2CB19CC0">
            <w:pPr>
              <w:spacing w:line="360" w:lineRule="auto"/>
              <w:jc w:val="center"/>
              <w:rPr>
                <w:rFonts w:hint="eastAsia" w:ascii="楷体" w:hAnsi="楷体" w:eastAsia="楷体" w:cs="楷体"/>
                <w:b/>
                <w:color w:val="auto"/>
                <w:kern w:val="2"/>
                <w:sz w:val="21"/>
                <w:szCs w:val="21"/>
                <w:highlight w:val="none"/>
              </w:rPr>
            </w:pPr>
            <w:r>
              <w:rPr>
                <w:rFonts w:hint="eastAsia" w:ascii="楷体" w:hAnsi="楷体" w:eastAsia="楷体" w:cs="楷体"/>
                <w:b/>
                <w:color w:val="auto"/>
                <w:szCs w:val="24"/>
                <w:highlight w:val="none"/>
              </w:rPr>
              <w:t>名称</w:t>
            </w:r>
          </w:p>
        </w:tc>
        <w:tc>
          <w:tcPr>
            <w:tcW w:w="2268" w:type="dxa"/>
            <w:tcBorders>
              <w:top w:val="single" w:color="auto" w:sz="4" w:space="0"/>
              <w:left w:val="nil"/>
              <w:bottom w:val="single" w:color="auto" w:sz="4" w:space="0"/>
              <w:right w:val="single" w:color="auto" w:sz="4" w:space="0"/>
            </w:tcBorders>
            <w:noWrap w:val="0"/>
            <w:vAlign w:val="center"/>
          </w:tcPr>
          <w:p w14:paraId="01787341">
            <w:pPr>
              <w:spacing w:line="360" w:lineRule="auto"/>
              <w:jc w:val="center"/>
              <w:rPr>
                <w:rFonts w:hint="eastAsia" w:ascii="楷体" w:hAnsi="楷体" w:eastAsia="楷体" w:cs="楷体"/>
                <w:b/>
                <w:color w:val="auto"/>
                <w:kern w:val="2"/>
                <w:sz w:val="21"/>
                <w:szCs w:val="21"/>
                <w:highlight w:val="none"/>
                <w:lang w:eastAsia="zh-CN"/>
              </w:rPr>
            </w:pPr>
            <w:r>
              <w:rPr>
                <w:rFonts w:hint="eastAsia" w:ascii="楷体" w:hAnsi="楷体" w:eastAsia="楷体" w:cs="楷体"/>
                <w:b/>
                <w:color w:val="auto"/>
                <w:szCs w:val="24"/>
                <w:highlight w:val="none"/>
              </w:rPr>
              <w:t>磋商</w:t>
            </w:r>
            <w:r>
              <w:rPr>
                <w:rFonts w:hint="eastAsia" w:ascii="楷体" w:hAnsi="楷体" w:eastAsia="楷体" w:cs="楷体"/>
                <w:b/>
                <w:color w:val="auto"/>
                <w:szCs w:val="24"/>
                <w:highlight w:val="none"/>
                <w:lang w:eastAsia="zh-CN"/>
              </w:rPr>
              <w:t>要求</w:t>
            </w:r>
          </w:p>
        </w:tc>
        <w:tc>
          <w:tcPr>
            <w:tcW w:w="2439" w:type="dxa"/>
            <w:tcBorders>
              <w:top w:val="single" w:color="auto" w:sz="4" w:space="0"/>
              <w:left w:val="nil"/>
              <w:bottom w:val="single" w:color="auto" w:sz="4" w:space="0"/>
              <w:right w:val="single" w:color="auto" w:sz="4" w:space="0"/>
            </w:tcBorders>
            <w:noWrap w:val="0"/>
            <w:vAlign w:val="center"/>
          </w:tcPr>
          <w:p w14:paraId="21B3D62B">
            <w:pPr>
              <w:spacing w:line="360" w:lineRule="auto"/>
              <w:jc w:val="center"/>
              <w:rPr>
                <w:rFonts w:hint="eastAsia" w:ascii="楷体" w:hAnsi="楷体" w:eastAsia="楷体" w:cs="楷体"/>
                <w:b/>
                <w:color w:val="auto"/>
                <w:kern w:val="2"/>
                <w:sz w:val="21"/>
                <w:szCs w:val="21"/>
                <w:highlight w:val="none"/>
              </w:rPr>
            </w:pPr>
            <w:r>
              <w:rPr>
                <w:rFonts w:hint="eastAsia" w:ascii="楷体" w:hAnsi="楷体" w:eastAsia="楷体" w:cs="楷体"/>
                <w:b/>
                <w:color w:val="auto"/>
                <w:szCs w:val="24"/>
                <w:highlight w:val="none"/>
              </w:rPr>
              <w:t>磋商</w:t>
            </w:r>
            <w:r>
              <w:rPr>
                <w:rFonts w:hint="eastAsia" w:ascii="楷体" w:hAnsi="楷体" w:eastAsia="楷体" w:cs="楷体"/>
                <w:b/>
                <w:color w:val="auto"/>
                <w:szCs w:val="24"/>
                <w:highlight w:val="none"/>
                <w:lang w:eastAsia="zh-CN"/>
              </w:rPr>
              <w:t>要求</w:t>
            </w:r>
            <w:r>
              <w:rPr>
                <w:rFonts w:hint="eastAsia" w:ascii="楷体" w:hAnsi="楷体" w:eastAsia="楷体" w:cs="楷体"/>
                <w:b/>
                <w:color w:val="auto"/>
                <w:szCs w:val="24"/>
                <w:highlight w:val="none"/>
              </w:rPr>
              <w:t>响应</w:t>
            </w:r>
          </w:p>
        </w:tc>
        <w:tc>
          <w:tcPr>
            <w:tcW w:w="1263" w:type="dxa"/>
            <w:tcBorders>
              <w:top w:val="single" w:color="auto" w:sz="4" w:space="0"/>
              <w:left w:val="nil"/>
              <w:bottom w:val="single" w:color="auto" w:sz="4" w:space="0"/>
              <w:right w:val="single" w:color="auto" w:sz="4" w:space="0"/>
            </w:tcBorders>
            <w:noWrap w:val="0"/>
            <w:vAlign w:val="center"/>
          </w:tcPr>
          <w:p w14:paraId="7B61843F">
            <w:pPr>
              <w:spacing w:line="360" w:lineRule="auto"/>
              <w:jc w:val="center"/>
              <w:rPr>
                <w:rFonts w:hint="eastAsia" w:ascii="楷体" w:hAnsi="楷体" w:eastAsia="楷体" w:cs="楷体"/>
                <w:b/>
                <w:color w:val="auto"/>
                <w:kern w:val="2"/>
                <w:sz w:val="21"/>
                <w:szCs w:val="21"/>
                <w:highlight w:val="none"/>
              </w:rPr>
            </w:pPr>
            <w:r>
              <w:rPr>
                <w:rFonts w:hint="eastAsia" w:ascii="楷体" w:hAnsi="楷体" w:eastAsia="楷体" w:cs="楷体"/>
                <w:b/>
                <w:color w:val="auto"/>
                <w:szCs w:val="24"/>
                <w:highlight w:val="none"/>
              </w:rPr>
              <w:t>偏离说明</w:t>
            </w:r>
          </w:p>
        </w:tc>
        <w:tc>
          <w:tcPr>
            <w:tcW w:w="861" w:type="dxa"/>
            <w:tcBorders>
              <w:top w:val="single" w:color="auto" w:sz="4" w:space="0"/>
              <w:left w:val="nil"/>
              <w:bottom w:val="single" w:color="auto" w:sz="4" w:space="0"/>
              <w:right w:val="single" w:color="auto" w:sz="4" w:space="0"/>
            </w:tcBorders>
            <w:noWrap w:val="0"/>
            <w:vAlign w:val="center"/>
          </w:tcPr>
          <w:p w14:paraId="6DD9F366">
            <w:pPr>
              <w:spacing w:line="360" w:lineRule="auto"/>
              <w:jc w:val="center"/>
              <w:rPr>
                <w:rFonts w:hint="eastAsia" w:ascii="楷体" w:hAnsi="楷体" w:eastAsia="楷体" w:cs="楷体"/>
                <w:b/>
                <w:color w:val="auto"/>
                <w:kern w:val="2"/>
                <w:sz w:val="21"/>
                <w:szCs w:val="21"/>
                <w:highlight w:val="none"/>
              </w:rPr>
            </w:pPr>
            <w:r>
              <w:rPr>
                <w:rFonts w:hint="eastAsia" w:ascii="楷体" w:hAnsi="楷体" w:eastAsia="楷体" w:cs="楷体"/>
                <w:b/>
                <w:color w:val="auto"/>
                <w:szCs w:val="24"/>
                <w:highlight w:val="none"/>
              </w:rPr>
              <w:t>备注</w:t>
            </w:r>
          </w:p>
        </w:tc>
      </w:tr>
      <w:tr w14:paraId="095BDA6C">
        <w:tblPrEx>
          <w:tblCellMar>
            <w:top w:w="0" w:type="dxa"/>
            <w:left w:w="28" w:type="dxa"/>
            <w:bottom w:w="0" w:type="dxa"/>
            <w:right w:w="28" w:type="dxa"/>
          </w:tblCellMar>
        </w:tblPrEx>
        <w:trPr>
          <w:trHeight w:val="851" w:hRule="exact"/>
          <w:jc w:val="center"/>
        </w:trPr>
        <w:tc>
          <w:tcPr>
            <w:tcW w:w="737" w:type="dxa"/>
            <w:tcBorders>
              <w:top w:val="single" w:color="auto" w:sz="4" w:space="0"/>
              <w:left w:val="single" w:color="auto" w:sz="4" w:space="0"/>
              <w:bottom w:val="single" w:color="auto" w:sz="4" w:space="0"/>
              <w:right w:val="single" w:color="auto" w:sz="4" w:space="0"/>
            </w:tcBorders>
            <w:noWrap w:val="0"/>
            <w:vAlign w:val="top"/>
          </w:tcPr>
          <w:p w14:paraId="51374FE3">
            <w:pPr>
              <w:spacing w:line="360" w:lineRule="auto"/>
              <w:rPr>
                <w:rFonts w:hint="eastAsia" w:ascii="楷体" w:hAnsi="楷体" w:eastAsia="楷体" w:cs="楷体"/>
                <w:color w:val="auto"/>
                <w:kern w:val="2"/>
                <w:sz w:val="21"/>
                <w:szCs w:val="21"/>
                <w:highlight w:val="none"/>
              </w:rPr>
            </w:pPr>
          </w:p>
        </w:tc>
        <w:tc>
          <w:tcPr>
            <w:tcW w:w="1276" w:type="dxa"/>
            <w:tcBorders>
              <w:top w:val="single" w:color="auto" w:sz="4" w:space="0"/>
              <w:left w:val="nil"/>
              <w:bottom w:val="single" w:color="auto" w:sz="4" w:space="0"/>
              <w:right w:val="single" w:color="auto" w:sz="4" w:space="0"/>
            </w:tcBorders>
            <w:noWrap w:val="0"/>
            <w:vAlign w:val="top"/>
          </w:tcPr>
          <w:p w14:paraId="11FC2340">
            <w:pPr>
              <w:spacing w:line="360" w:lineRule="auto"/>
              <w:rPr>
                <w:rFonts w:hint="eastAsia" w:ascii="楷体" w:hAnsi="楷体" w:eastAsia="楷体" w:cs="楷体"/>
                <w:color w:val="auto"/>
                <w:kern w:val="2"/>
                <w:sz w:val="21"/>
                <w:szCs w:val="21"/>
                <w:highlight w:val="none"/>
              </w:rPr>
            </w:pPr>
          </w:p>
        </w:tc>
        <w:tc>
          <w:tcPr>
            <w:tcW w:w="2268" w:type="dxa"/>
            <w:tcBorders>
              <w:top w:val="single" w:color="auto" w:sz="4" w:space="0"/>
              <w:left w:val="nil"/>
              <w:bottom w:val="single" w:color="auto" w:sz="4" w:space="0"/>
              <w:right w:val="single" w:color="auto" w:sz="4" w:space="0"/>
            </w:tcBorders>
            <w:noWrap w:val="0"/>
            <w:vAlign w:val="top"/>
          </w:tcPr>
          <w:p w14:paraId="0A2BC931">
            <w:pPr>
              <w:spacing w:line="360" w:lineRule="auto"/>
              <w:rPr>
                <w:rFonts w:hint="eastAsia" w:ascii="楷体" w:hAnsi="楷体" w:eastAsia="楷体" w:cs="楷体"/>
                <w:color w:val="auto"/>
                <w:kern w:val="2"/>
                <w:sz w:val="21"/>
                <w:szCs w:val="21"/>
                <w:highlight w:val="none"/>
              </w:rPr>
            </w:pPr>
          </w:p>
        </w:tc>
        <w:tc>
          <w:tcPr>
            <w:tcW w:w="2439" w:type="dxa"/>
            <w:tcBorders>
              <w:top w:val="single" w:color="auto" w:sz="4" w:space="0"/>
              <w:left w:val="nil"/>
              <w:bottom w:val="single" w:color="auto" w:sz="4" w:space="0"/>
              <w:right w:val="single" w:color="auto" w:sz="4" w:space="0"/>
            </w:tcBorders>
            <w:noWrap w:val="0"/>
            <w:vAlign w:val="top"/>
          </w:tcPr>
          <w:p w14:paraId="2ED20BCD">
            <w:pPr>
              <w:spacing w:line="360" w:lineRule="auto"/>
              <w:rPr>
                <w:rFonts w:hint="eastAsia" w:ascii="楷体" w:hAnsi="楷体" w:eastAsia="楷体" w:cs="楷体"/>
                <w:color w:val="auto"/>
                <w:kern w:val="2"/>
                <w:sz w:val="21"/>
                <w:szCs w:val="21"/>
                <w:highlight w:val="none"/>
              </w:rPr>
            </w:pPr>
          </w:p>
        </w:tc>
        <w:tc>
          <w:tcPr>
            <w:tcW w:w="1263" w:type="dxa"/>
            <w:tcBorders>
              <w:top w:val="single" w:color="auto" w:sz="4" w:space="0"/>
              <w:left w:val="nil"/>
              <w:bottom w:val="single" w:color="auto" w:sz="4" w:space="0"/>
              <w:right w:val="single" w:color="auto" w:sz="4" w:space="0"/>
            </w:tcBorders>
            <w:noWrap w:val="0"/>
            <w:vAlign w:val="top"/>
          </w:tcPr>
          <w:p w14:paraId="24EDF9BD">
            <w:pPr>
              <w:spacing w:line="360" w:lineRule="auto"/>
              <w:rPr>
                <w:rFonts w:hint="eastAsia" w:ascii="楷体" w:hAnsi="楷体" w:eastAsia="楷体" w:cs="楷体"/>
                <w:color w:val="auto"/>
                <w:kern w:val="2"/>
                <w:sz w:val="21"/>
                <w:szCs w:val="21"/>
                <w:highlight w:val="none"/>
              </w:rPr>
            </w:pPr>
          </w:p>
        </w:tc>
        <w:tc>
          <w:tcPr>
            <w:tcW w:w="861" w:type="dxa"/>
            <w:tcBorders>
              <w:top w:val="single" w:color="auto" w:sz="4" w:space="0"/>
              <w:left w:val="nil"/>
              <w:bottom w:val="single" w:color="auto" w:sz="4" w:space="0"/>
              <w:right w:val="single" w:color="auto" w:sz="4" w:space="0"/>
            </w:tcBorders>
            <w:noWrap w:val="0"/>
            <w:vAlign w:val="top"/>
          </w:tcPr>
          <w:p w14:paraId="22DC0522">
            <w:pPr>
              <w:spacing w:line="360" w:lineRule="auto"/>
              <w:rPr>
                <w:rFonts w:hint="eastAsia" w:ascii="楷体" w:hAnsi="楷体" w:eastAsia="楷体" w:cs="楷体"/>
                <w:color w:val="auto"/>
                <w:kern w:val="2"/>
                <w:sz w:val="21"/>
                <w:szCs w:val="21"/>
                <w:highlight w:val="none"/>
              </w:rPr>
            </w:pPr>
          </w:p>
        </w:tc>
      </w:tr>
      <w:tr w14:paraId="63057EC6">
        <w:tblPrEx>
          <w:tblCellMar>
            <w:top w:w="0" w:type="dxa"/>
            <w:left w:w="28" w:type="dxa"/>
            <w:bottom w:w="0" w:type="dxa"/>
            <w:right w:w="28" w:type="dxa"/>
          </w:tblCellMar>
        </w:tblPrEx>
        <w:trPr>
          <w:trHeight w:val="851" w:hRule="exact"/>
          <w:jc w:val="center"/>
        </w:trPr>
        <w:tc>
          <w:tcPr>
            <w:tcW w:w="737" w:type="dxa"/>
            <w:tcBorders>
              <w:top w:val="single" w:color="auto" w:sz="4" w:space="0"/>
              <w:left w:val="single" w:color="auto" w:sz="4" w:space="0"/>
              <w:bottom w:val="single" w:color="auto" w:sz="4" w:space="0"/>
              <w:right w:val="single" w:color="auto" w:sz="4" w:space="0"/>
            </w:tcBorders>
            <w:noWrap w:val="0"/>
            <w:vAlign w:val="top"/>
          </w:tcPr>
          <w:p w14:paraId="4FCDFE31">
            <w:pPr>
              <w:spacing w:line="360" w:lineRule="auto"/>
              <w:rPr>
                <w:rFonts w:hint="eastAsia" w:ascii="楷体" w:hAnsi="楷体" w:eastAsia="楷体" w:cs="楷体"/>
                <w:color w:val="auto"/>
                <w:kern w:val="2"/>
                <w:sz w:val="21"/>
                <w:szCs w:val="21"/>
                <w:highlight w:val="none"/>
              </w:rPr>
            </w:pPr>
          </w:p>
        </w:tc>
        <w:tc>
          <w:tcPr>
            <w:tcW w:w="1276" w:type="dxa"/>
            <w:tcBorders>
              <w:top w:val="single" w:color="auto" w:sz="4" w:space="0"/>
              <w:left w:val="nil"/>
              <w:bottom w:val="single" w:color="auto" w:sz="4" w:space="0"/>
              <w:right w:val="single" w:color="auto" w:sz="4" w:space="0"/>
            </w:tcBorders>
            <w:noWrap w:val="0"/>
            <w:vAlign w:val="top"/>
          </w:tcPr>
          <w:p w14:paraId="7ADFE3DA">
            <w:pPr>
              <w:spacing w:line="360" w:lineRule="auto"/>
              <w:rPr>
                <w:rFonts w:hint="eastAsia" w:ascii="楷体" w:hAnsi="楷体" w:eastAsia="楷体" w:cs="楷体"/>
                <w:color w:val="auto"/>
                <w:kern w:val="2"/>
                <w:sz w:val="21"/>
                <w:szCs w:val="21"/>
                <w:highlight w:val="none"/>
              </w:rPr>
            </w:pPr>
          </w:p>
        </w:tc>
        <w:tc>
          <w:tcPr>
            <w:tcW w:w="2268" w:type="dxa"/>
            <w:tcBorders>
              <w:top w:val="single" w:color="auto" w:sz="4" w:space="0"/>
              <w:left w:val="nil"/>
              <w:bottom w:val="single" w:color="auto" w:sz="4" w:space="0"/>
              <w:right w:val="single" w:color="auto" w:sz="4" w:space="0"/>
            </w:tcBorders>
            <w:noWrap w:val="0"/>
            <w:vAlign w:val="top"/>
          </w:tcPr>
          <w:p w14:paraId="44047C8E">
            <w:pPr>
              <w:spacing w:line="360" w:lineRule="auto"/>
              <w:rPr>
                <w:rFonts w:hint="eastAsia" w:ascii="楷体" w:hAnsi="楷体" w:eastAsia="楷体" w:cs="楷体"/>
                <w:color w:val="auto"/>
                <w:kern w:val="2"/>
                <w:sz w:val="21"/>
                <w:szCs w:val="21"/>
                <w:highlight w:val="none"/>
              </w:rPr>
            </w:pPr>
          </w:p>
        </w:tc>
        <w:tc>
          <w:tcPr>
            <w:tcW w:w="2439" w:type="dxa"/>
            <w:tcBorders>
              <w:top w:val="single" w:color="auto" w:sz="4" w:space="0"/>
              <w:left w:val="nil"/>
              <w:bottom w:val="single" w:color="auto" w:sz="4" w:space="0"/>
              <w:right w:val="single" w:color="auto" w:sz="4" w:space="0"/>
            </w:tcBorders>
            <w:noWrap w:val="0"/>
            <w:vAlign w:val="top"/>
          </w:tcPr>
          <w:p w14:paraId="32616C2F">
            <w:pPr>
              <w:spacing w:line="360" w:lineRule="auto"/>
              <w:rPr>
                <w:rFonts w:hint="eastAsia" w:ascii="楷体" w:hAnsi="楷体" w:eastAsia="楷体" w:cs="楷体"/>
                <w:color w:val="auto"/>
                <w:kern w:val="2"/>
                <w:sz w:val="21"/>
                <w:szCs w:val="21"/>
                <w:highlight w:val="none"/>
              </w:rPr>
            </w:pPr>
          </w:p>
        </w:tc>
        <w:tc>
          <w:tcPr>
            <w:tcW w:w="1263" w:type="dxa"/>
            <w:tcBorders>
              <w:top w:val="single" w:color="auto" w:sz="4" w:space="0"/>
              <w:left w:val="nil"/>
              <w:bottom w:val="single" w:color="auto" w:sz="4" w:space="0"/>
              <w:right w:val="single" w:color="auto" w:sz="4" w:space="0"/>
            </w:tcBorders>
            <w:noWrap w:val="0"/>
            <w:vAlign w:val="top"/>
          </w:tcPr>
          <w:p w14:paraId="3030FAA1">
            <w:pPr>
              <w:spacing w:line="360" w:lineRule="auto"/>
              <w:rPr>
                <w:rFonts w:hint="eastAsia" w:ascii="楷体" w:hAnsi="楷体" w:eastAsia="楷体" w:cs="楷体"/>
                <w:color w:val="auto"/>
                <w:kern w:val="2"/>
                <w:sz w:val="21"/>
                <w:szCs w:val="21"/>
                <w:highlight w:val="none"/>
              </w:rPr>
            </w:pPr>
          </w:p>
        </w:tc>
        <w:tc>
          <w:tcPr>
            <w:tcW w:w="861" w:type="dxa"/>
            <w:tcBorders>
              <w:top w:val="single" w:color="auto" w:sz="4" w:space="0"/>
              <w:left w:val="nil"/>
              <w:bottom w:val="single" w:color="auto" w:sz="4" w:space="0"/>
              <w:right w:val="single" w:color="auto" w:sz="4" w:space="0"/>
            </w:tcBorders>
            <w:noWrap w:val="0"/>
            <w:vAlign w:val="top"/>
          </w:tcPr>
          <w:p w14:paraId="22BD4A96">
            <w:pPr>
              <w:spacing w:line="360" w:lineRule="auto"/>
              <w:rPr>
                <w:rFonts w:hint="eastAsia" w:ascii="楷体" w:hAnsi="楷体" w:eastAsia="楷体" w:cs="楷体"/>
                <w:color w:val="auto"/>
                <w:kern w:val="2"/>
                <w:sz w:val="21"/>
                <w:szCs w:val="21"/>
                <w:highlight w:val="none"/>
              </w:rPr>
            </w:pPr>
          </w:p>
        </w:tc>
      </w:tr>
      <w:tr w14:paraId="58AB1729">
        <w:tblPrEx>
          <w:tblCellMar>
            <w:top w:w="0" w:type="dxa"/>
            <w:left w:w="28" w:type="dxa"/>
            <w:bottom w:w="0" w:type="dxa"/>
            <w:right w:w="28" w:type="dxa"/>
          </w:tblCellMar>
        </w:tblPrEx>
        <w:trPr>
          <w:trHeight w:val="851" w:hRule="exact"/>
          <w:jc w:val="center"/>
        </w:trPr>
        <w:tc>
          <w:tcPr>
            <w:tcW w:w="737" w:type="dxa"/>
            <w:tcBorders>
              <w:top w:val="single" w:color="auto" w:sz="4" w:space="0"/>
              <w:left w:val="single" w:color="auto" w:sz="4" w:space="0"/>
              <w:bottom w:val="single" w:color="auto" w:sz="4" w:space="0"/>
              <w:right w:val="single" w:color="auto" w:sz="4" w:space="0"/>
            </w:tcBorders>
            <w:noWrap w:val="0"/>
            <w:vAlign w:val="top"/>
          </w:tcPr>
          <w:p w14:paraId="559A8399">
            <w:pPr>
              <w:spacing w:line="360" w:lineRule="auto"/>
              <w:rPr>
                <w:rFonts w:hint="eastAsia" w:ascii="楷体" w:hAnsi="楷体" w:eastAsia="楷体" w:cs="楷体"/>
                <w:color w:val="auto"/>
                <w:kern w:val="2"/>
                <w:sz w:val="21"/>
                <w:szCs w:val="21"/>
                <w:highlight w:val="none"/>
              </w:rPr>
            </w:pPr>
          </w:p>
        </w:tc>
        <w:tc>
          <w:tcPr>
            <w:tcW w:w="1276" w:type="dxa"/>
            <w:tcBorders>
              <w:top w:val="single" w:color="auto" w:sz="4" w:space="0"/>
              <w:left w:val="nil"/>
              <w:bottom w:val="single" w:color="auto" w:sz="4" w:space="0"/>
              <w:right w:val="single" w:color="auto" w:sz="4" w:space="0"/>
            </w:tcBorders>
            <w:noWrap w:val="0"/>
            <w:vAlign w:val="top"/>
          </w:tcPr>
          <w:p w14:paraId="3496AAC2">
            <w:pPr>
              <w:spacing w:line="360" w:lineRule="auto"/>
              <w:rPr>
                <w:rFonts w:hint="eastAsia" w:ascii="楷体" w:hAnsi="楷体" w:eastAsia="楷体" w:cs="楷体"/>
                <w:color w:val="auto"/>
                <w:kern w:val="2"/>
                <w:sz w:val="21"/>
                <w:szCs w:val="21"/>
                <w:highlight w:val="none"/>
              </w:rPr>
            </w:pPr>
          </w:p>
        </w:tc>
        <w:tc>
          <w:tcPr>
            <w:tcW w:w="2268" w:type="dxa"/>
            <w:tcBorders>
              <w:top w:val="single" w:color="auto" w:sz="4" w:space="0"/>
              <w:left w:val="nil"/>
              <w:bottom w:val="single" w:color="auto" w:sz="4" w:space="0"/>
              <w:right w:val="single" w:color="auto" w:sz="4" w:space="0"/>
            </w:tcBorders>
            <w:noWrap w:val="0"/>
            <w:vAlign w:val="top"/>
          </w:tcPr>
          <w:p w14:paraId="12173FC9">
            <w:pPr>
              <w:spacing w:line="360" w:lineRule="auto"/>
              <w:rPr>
                <w:rFonts w:hint="eastAsia" w:ascii="楷体" w:hAnsi="楷体" w:eastAsia="楷体" w:cs="楷体"/>
                <w:color w:val="auto"/>
                <w:kern w:val="2"/>
                <w:sz w:val="21"/>
                <w:szCs w:val="21"/>
                <w:highlight w:val="none"/>
              </w:rPr>
            </w:pPr>
          </w:p>
        </w:tc>
        <w:tc>
          <w:tcPr>
            <w:tcW w:w="2439" w:type="dxa"/>
            <w:tcBorders>
              <w:top w:val="single" w:color="auto" w:sz="4" w:space="0"/>
              <w:left w:val="nil"/>
              <w:bottom w:val="single" w:color="auto" w:sz="4" w:space="0"/>
              <w:right w:val="single" w:color="auto" w:sz="4" w:space="0"/>
            </w:tcBorders>
            <w:noWrap w:val="0"/>
            <w:vAlign w:val="top"/>
          </w:tcPr>
          <w:p w14:paraId="3BCA0449">
            <w:pPr>
              <w:spacing w:line="360" w:lineRule="auto"/>
              <w:rPr>
                <w:rFonts w:hint="eastAsia" w:ascii="楷体" w:hAnsi="楷体" w:eastAsia="楷体" w:cs="楷体"/>
                <w:color w:val="auto"/>
                <w:kern w:val="2"/>
                <w:sz w:val="21"/>
                <w:szCs w:val="21"/>
                <w:highlight w:val="none"/>
              </w:rPr>
            </w:pPr>
          </w:p>
        </w:tc>
        <w:tc>
          <w:tcPr>
            <w:tcW w:w="1263" w:type="dxa"/>
            <w:tcBorders>
              <w:top w:val="single" w:color="auto" w:sz="4" w:space="0"/>
              <w:left w:val="nil"/>
              <w:bottom w:val="single" w:color="auto" w:sz="4" w:space="0"/>
              <w:right w:val="single" w:color="auto" w:sz="4" w:space="0"/>
            </w:tcBorders>
            <w:noWrap w:val="0"/>
            <w:vAlign w:val="top"/>
          </w:tcPr>
          <w:p w14:paraId="7D2A8EAA">
            <w:pPr>
              <w:spacing w:line="360" w:lineRule="auto"/>
              <w:rPr>
                <w:rFonts w:hint="eastAsia" w:ascii="楷体" w:hAnsi="楷体" w:eastAsia="楷体" w:cs="楷体"/>
                <w:color w:val="auto"/>
                <w:kern w:val="2"/>
                <w:sz w:val="21"/>
                <w:szCs w:val="21"/>
                <w:highlight w:val="none"/>
              </w:rPr>
            </w:pPr>
          </w:p>
        </w:tc>
        <w:tc>
          <w:tcPr>
            <w:tcW w:w="861" w:type="dxa"/>
            <w:tcBorders>
              <w:top w:val="single" w:color="auto" w:sz="4" w:space="0"/>
              <w:left w:val="nil"/>
              <w:bottom w:val="single" w:color="auto" w:sz="4" w:space="0"/>
              <w:right w:val="single" w:color="auto" w:sz="4" w:space="0"/>
            </w:tcBorders>
            <w:noWrap w:val="0"/>
            <w:vAlign w:val="top"/>
          </w:tcPr>
          <w:p w14:paraId="50FB4577">
            <w:pPr>
              <w:spacing w:line="360" w:lineRule="auto"/>
              <w:rPr>
                <w:rFonts w:hint="eastAsia" w:ascii="楷体" w:hAnsi="楷体" w:eastAsia="楷体" w:cs="楷体"/>
                <w:color w:val="auto"/>
                <w:kern w:val="2"/>
                <w:sz w:val="21"/>
                <w:szCs w:val="21"/>
                <w:highlight w:val="none"/>
              </w:rPr>
            </w:pPr>
          </w:p>
        </w:tc>
      </w:tr>
      <w:tr w14:paraId="0705B18A">
        <w:tblPrEx>
          <w:tblCellMar>
            <w:top w:w="0" w:type="dxa"/>
            <w:left w:w="28" w:type="dxa"/>
            <w:bottom w:w="0" w:type="dxa"/>
            <w:right w:w="28" w:type="dxa"/>
          </w:tblCellMar>
        </w:tblPrEx>
        <w:trPr>
          <w:trHeight w:val="851" w:hRule="exact"/>
          <w:jc w:val="center"/>
        </w:trPr>
        <w:tc>
          <w:tcPr>
            <w:tcW w:w="737" w:type="dxa"/>
            <w:tcBorders>
              <w:top w:val="single" w:color="auto" w:sz="4" w:space="0"/>
              <w:left w:val="single" w:color="auto" w:sz="4" w:space="0"/>
              <w:bottom w:val="single" w:color="auto" w:sz="4" w:space="0"/>
              <w:right w:val="single" w:color="auto" w:sz="4" w:space="0"/>
            </w:tcBorders>
            <w:noWrap w:val="0"/>
            <w:vAlign w:val="top"/>
          </w:tcPr>
          <w:p w14:paraId="7C00B30C">
            <w:pPr>
              <w:spacing w:line="360" w:lineRule="auto"/>
              <w:rPr>
                <w:rFonts w:hint="eastAsia" w:ascii="楷体" w:hAnsi="楷体" w:eastAsia="楷体" w:cs="楷体"/>
                <w:color w:val="auto"/>
                <w:kern w:val="2"/>
                <w:sz w:val="21"/>
                <w:szCs w:val="21"/>
                <w:highlight w:val="none"/>
              </w:rPr>
            </w:pPr>
          </w:p>
        </w:tc>
        <w:tc>
          <w:tcPr>
            <w:tcW w:w="1276" w:type="dxa"/>
            <w:tcBorders>
              <w:top w:val="single" w:color="auto" w:sz="4" w:space="0"/>
              <w:left w:val="nil"/>
              <w:bottom w:val="single" w:color="auto" w:sz="4" w:space="0"/>
              <w:right w:val="single" w:color="auto" w:sz="4" w:space="0"/>
            </w:tcBorders>
            <w:noWrap w:val="0"/>
            <w:vAlign w:val="top"/>
          </w:tcPr>
          <w:p w14:paraId="0C59AE52">
            <w:pPr>
              <w:spacing w:line="360" w:lineRule="auto"/>
              <w:rPr>
                <w:rFonts w:hint="eastAsia" w:ascii="楷体" w:hAnsi="楷体" w:eastAsia="楷体" w:cs="楷体"/>
                <w:color w:val="auto"/>
                <w:kern w:val="2"/>
                <w:sz w:val="21"/>
                <w:szCs w:val="21"/>
                <w:highlight w:val="none"/>
              </w:rPr>
            </w:pPr>
          </w:p>
        </w:tc>
        <w:tc>
          <w:tcPr>
            <w:tcW w:w="2268" w:type="dxa"/>
            <w:tcBorders>
              <w:top w:val="single" w:color="auto" w:sz="4" w:space="0"/>
              <w:left w:val="nil"/>
              <w:bottom w:val="single" w:color="auto" w:sz="4" w:space="0"/>
              <w:right w:val="single" w:color="auto" w:sz="4" w:space="0"/>
            </w:tcBorders>
            <w:noWrap w:val="0"/>
            <w:vAlign w:val="top"/>
          </w:tcPr>
          <w:p w14:paraId="4A989E4F">
            <w:pPr>
              <w:spacing w:line="360" w:lineRule="auto"/>
              <w:rPr>
                <w:rFonts w:hint="eastAsia" w:ascii="楷体" w:hAnsi="楷体" w:eastAsia="楷体" w:cs="楷体"/>
                <w:color w:val="auto"/>
                <w:kern w:val="2"/>
                <w:sz w:val="21"/>
                <w:szCs w:val="21"/>
                <w:highlight w:val="none"/>
              </w:rPr>
            </w:pPr>
          </w:p>
        </w:tc>
        <w:tc>
          <w:tcPr>
            <w:tcW w:w="2439" w:type="dxa"/>
            <w:tcBorders>
              <w:top w:val="single" w:color="auto" w:sz="4" w:space="0"/>
              <w:left w:val="nil"/>
              <w:bottom w:val="single" w:color="auto" w:sz="4" w:space="0"/>
              <w:right w:val="single" w:color="auto" w:sz="4" w:space="0"/>
            </w:tcBorders>
            <w:noWrap w:val="0"/>
            <w:vAlign w:val="top"/>
          </w:tcPr>
          <w:p w14:paraId="3ABB582F">
            <w:pPr>
              <w:spacing w:line="360" w:lineRule="auto"/>
              <w:rPr>
                <w:rFonts w:hint="eastAsia" w:ascii="楷体" w:hAnsi="楷体" w:eastAsia="楷体" w:cs="楷体"/>
                <w:color w:val="auto"/>
                <w:kern w:val="2"/>
                <w:sz w:val="21"/>
                <w:szCs w:val="21"/>
                <w:highlight w:val="none"/>
              </w:rPr>
            </w:pPr>
          </w:p>
        </w:tc>
        <w:tc>
          <w:tcPr>
            <w:tcW w:w="1263" w:type="dxa"/>
            <w:tcBorders>
              <w:top w:val="single" w:color="auto" w:sz="4" w:space="0"/>
              <w:left w:val="nil"/>
              <w:bottom w:val="single" w:color="auto" w:sz="4" w:space="0"/>
              <w:right w:val="single" w:color="auto" w:sz="4" w:space="0"/>
            </w:tcBorders>
            <w:noWrap w:val="0"/>
            <w:vAlign w:val="top"/>
          </w:tcPr>
          <w:p w14:paraId="2D458A80">
            <w:pPr>
              <w:spacing w:line="360" w:lineRule="auto"/>
              <w:rPr>
                <w:rFonts w:hint="eastAsia" w:ascii="楷体" w:hAnsi="楷体" w:eastAsia="楷体" w:cs="楷体"/>
                <w:color w:val="auto"/>
                <w:kern w:val="2"/>
                <w:sz w:val="21"/>
                <w:szCs w:val="21"/>
                <w:highlight w:val="none"/>
              </w:rPr>
            </w:pPr>
          </w:p>
        </w:tc>
        <w:tc>
          <w:tcPr>
            <w:tcW w:w="861" w:type="dxa"/>
            <w:tcBorders>
              <w:top w:val="single" w:color="auto" w:sz="4" w:space="0"/>
              <w:left w:val="nil"/>
              <w:bottom w:val="single" w:color="auto" w:sz="4" w:space="0"/>
              <w:right w:val="single" w:color="auto" w:sz="4" w:space="0"/>
            </w:tcBorders>
            <w:noWrap w:val="0"/>
            <w:vAlign w:val="top"/>
          </w:tcPr>
          <w:p w14:paraId="3ABC8CF4">
            <w:pPr>
              <w:spacing w:line="360" w:lineRule="auto"/>
              <w:rPr>
                <w:rFonts w:hint="eastAsia" w:ascii="楷体" w:hAnsi="楷体" w:eastAsia="楷体" w:cs="楷体"/>
                <w:color w:val="auto"/>
                <w:kern w:val="2"/>
                <w:sz w:val="21"/>
                <w:szCs w:val="21"/>
                <w:highlight w:val="none"/>
              </w:rPr>
            </w:pPr>
          </w:p>
        </w:tc>
      </w:tr>
      <w:tr w14:paraId="05539537">
        <w:tblPrEx>
          <w:tblCellMar>
            <w:top w:w="0" w:type="dxa"/>
            <w:left w:w="28" w:type="dxa"/>
            <w:bottom w:w="0" w:type="dxa"/>
            <w:right w:w="28" w:type="dxa"/>
          </w:tblCellMar>
        </w:tblPrEx>
        <w:trPr>
          <w:trHeight w:val="851" w:hRule="exact"/>
          <w:jc w:val="center"/>
        </w:trPr>
        <w:tc>
          <w:tcPr>
            <w:tcW w:w="737" w:type="dxa"/>
            <w:tcBorders>
              <w:top w:val="single" w:color="auto" w:sz="4" w:space="0"/>
              <w:left w:val="single" w:color="auto" w:sz="4" w:space="0"/>
              <w:bottom w:val="single" w:color="auto" w:sz="4" w:space="0"/>
              <w:right w:val="single" w:color="auto" w:sz="4" w:space="0"/>
            </w:tcBorders>
            <w:noWrap w:val="0"/>
            <w:vAlign w:val="top"/>
          </w:tcPr>
          <w:p w14:paraId="4591687C">
            <w:pPr>
              <w:spacing w:line="360" w:lineRule="auto"/>
              <w:rPr>
                <w:rFonts w:hint="eastAsia" w:ascii="楷体" w:hAnsi="楷体" w:eastAsia="楷体" w:cs="楷体"/>
                <w:color w:val="auto"/>
                <w:kern w:val="2"/>
                <w:sz w:val="21"/>
                <w:szCs w:val="21"/>
                <w:highlight w:val="none"/>
              </w:rPr>
            </w:pPr>
          </w:p>
        </w:tc>
        <w:tc>
          <w:tcPr>
            <w:tcW w:w="1276" w:type="dxa"/>
            <w:tcBorders>
              <w:top w:val="single" w:color="auto" w:sz="4" w:space="0"/>
              <w:left w:val="nil"/>
              <w:bottom w:val="single" w:color="auto" w:sz="4" w:space="0"/>
              <w:right w:val="single" w:color="auto" w:sz="4" w:space="0"/>
            </w:tcBorders>
            <w:noWrap w:val="0"/>
            <w:vAlign w:val="top"/>
          </w:tcPr>
          <w:p w14:paraId="4D5DFC8C">
            <w:pPr>
              <w:spacing w:line="360" w:lineRule="auto"/>
              <w:rPr>
                <w:rFonts w:hint="eastAsia" w:ascii="楷体" w:hAnsi="楷体" w:eastAsia="楷体" w:cs="楷体"/>
                <w:color w:val="auto"/>
                <w:kern w:val="2"/>
                <w:sz w:val="21"/>
                <w:szCs w:val="21"/>
                <w:highlight w:val="none"/>
              </w:rPr>
            </w:pPr>
          </w:p>
        </w:tc>
        <w:tc>
          <w:tcPr>
            <w:tcW w:w="2268" w:type="dxa"/>
            <w:tcBorders>
              <w:top w:val="single" w:color="auto" w:sz="4" w:space="0"/>
              <w:left w:val="nil"/>
              <w:bottom w:val="single" w:color="auto" w:sz="4" w:space="0"/>
              <w:right w:val="single" w:color="auto" w:sz="4" w:space="0"/>
            </w:tcBorders>
            <w:noWrap w:val="0"/>
            <w:vAlign w:val="top"/>
          </w:tcPr>
          <w:p w14:paraId="4C1AFF30">
            <w:pPr>
              <w:spacing w:line="360" w:lineRule="auto"/>
              <w:rPr>
                <w:rFonts w:hint="eastAsia" w:ascii="楷体" w:hAnsi="楷体" w:eastAsia="楷体" w:cs="楷体"/>
                <w:color w:val="auto"/>
                <w:kern w:val="2"/>
                <w:sz w:val="21"/>
                <w:szCs w:val="21"/>
                <w:highlight w:val="none"/>
              </w:rPr>
            </w:pPr>
          </w:p>
        </w:tc>
        <w:tc>
          <w:tcPr>
            <w:tcW w:w="2439" w:type="dxa"/>
            <w:tcBorders>
              <w:top w:val="single" w:color="auto" w:sz="4" w:space="0"/>
              <w:left w:val="nil"/>
              <w:bottom w:val="single" w:color="auto" w:sz="4" w:space="0"/>
              <w:right w:val="single" w:color="auto" w:sz="4" w:space="0"/>
            </w:tcBorders>
            <w:noWrap w:val="0"/>
            <w:vAlign w:val="top"/>
          </w:tcPr>
          <w:p w14:paraId="7A7BB79D">
            <w:pPr>
              <w:spacing w:line="360" w:lineRule="auto"/>
              <w:rPr>
                <w:rFonts w:hint="eastAsia" w:ascii="楷体" w:hAnsi="楷体" w:eastAsia="楷体" w:cs="楷体"/>
                <w:color w:val="auto"/>
                <w:kern w:val="2"/>
                <w:sz w:val="21"/>
                <w:szCs w:val="21"/>
                <w:highlight w:val="none"/>
              </w:rPr>
            </w:pPr>
          </w:p>
        </w:tc>
        <w:tc>
          <w:tcPr>
            <w:tcW w:w="1263" w:type="dxa"/>
            <w:tcBorders>
              <w:top w:val="single" w:color="auto" w:sz="4" w:space="0"/>
              <w:left w:val="nil"/>
              <w:bottom w:val="single" w:color="auto" w:sz="4" w:space="0"/>
              <w:right w:val="single" w:color="auto" w:sz="4" w:space="0"/>
            </w:tcBorders>
            <w:noWrap w:val="0"/>
            <w:vAlign w:val="top"/>
          </w:tcPr>
          <w:p w14:paraId="0341C162">
            <w:pPr>
              <w:spacing w:line="360" w:lineRule="auto"/>
              <w:rPr>
                <w:rFonts w:hint="eastAsia" w:ascii="楷体" w:hAnsi="楷体" w:eastAsia="楷体" w:cs="楷体"/>
                <w:color w:val="auto"/>
                <w:kern w:val="2"/>
                <w:sz w:val="21"/>
                <w:szCs w:val="21"/>
                <w:highlight w:val="none"/>
              </w:rPr>
            </w:pPr>
          </w:p>
        </w:tc>
        <w:tc>
          <w:tcPr>
            <w:tcW w:w="861" w:type="dxa"/>
            <w:tcBorders>
              <w:top w:val="single" w:color="auto" w:sz="4" w:space="0"/>
              <w:left w:val="nil"/>
              <w:bottom w:val="single" w:color="auto" w:sz="4" w:space="0"/>
              <w:right w:val="single" w:color="auto" w:sz="4" w:space="0"/>
            </w:tcBorders>
            <w:noWrap w:val="0"/>
            <w:vAlign w:val="top"/>
          </w:tcPr>
          <w:p w14:paraId="5ABE50B5">
            <w:pPr>
              <w:spacing w:line="360" w:lineRule="auto"/>
              <w:rPr>
                <w:rFonts w:hint="eastAsia" w:ascii="楷体" w:hAnsi="楷体" w:eastAsia="楷体" w:cs="楷体"/>
                <w:color w:val="auto"/>
                <w:kern w:val="2"/>
                <w:sz w:val="21"/>
                <w:szCs w:val="21"/>
                <w:highlight w:val="none"/>
              </w:rPr>
            </w:pPr>
          </w:p>
        </w:tc>
      </w:tr>
      <w:tr w14:paraId="43140AD8">
        <w:tblPrEx>
          <w:tblCellMar>
            <w:top w:w="0" w:type="dxa"/>
            <w:left w:w="28" w:type="dxa"/>
            <w:bottom w:w="0" w:type="dxa"/>
            <w:right w:w="28" w:type="dxa"/>
          </w:tblCellMar>
        </w:tblPrEx>
        <w:trPr>
          <w:trHeight w:val="851" w:hRule="exact"/>
          <w:jc w:val="center"/>
        </w:trPr>
        <w:tc>
          <w:tcPr>
            <w:tcW w:w="737" w:type="dxa"/>
            <w:tcBorders>
              <w:top w:val="single" w:color="auto" w:sz="4" w:space="0"/>
              <w:left w:val="single" w:color="auto" w:sz="4" w:space="0"/>
              <w:bottom w:val="single" w:color="auto" w:sz="4" w:space="0"/>
              <w:right w:val="single" w:color="auto" w:sz="4" w:space="0"/>
            </w:tcBorders>
            <w:noWrap w:val="0"/>
            <w:vAlign w:val="top"/>
          </w:tcPr>
          <w:p w14:paraId="464E16AF">
            <w:pPr>
              <w:spacing w:line="360" w:lineRule="auto"/>
              <w:rPr>
                <w:rFonts w:hint="eastAsia" w:ascii="楷体" w:hAnsi="楷体" w:eastAsia="楷体" w:cs="楷体"/>
                <w:color w:val="auto"/>
                <w:kern w:val="2"/>
                <w:sz w:val="21"/>
                <w:szCs w:val="21"/>
                <w:highlight w:val="none"/>
              </w:rPr>
            </w:pPr>
          </w:p>
        </w:tc>
        <w:tc>
          <w:tcPr>
            <w:tcW w:w="1276" w:type="dxa"/>
            <w:tcBorders>
              <w:top w:val="single" w:color="auto" w:sz="4" w:space="0"/>
              <w:left w:val="nil"/>
              <w:bottom w:val="single" w:color="auto" w:sz="4" w:space="0"/>
              <w:right w:val="single" w:color="auto" w:sz="4" w:space="0"/>
            </w:tcBorders>
            <w:noWrap w:val="0"/>
            <w:vAlign w:val="top"/>
          </w:tcPr>
          <w:p w14:paraId="10F20FBE">
            <w:pPr>
              <w:spacing w:line="360" w:lineRule="auto"/>
              <w:rPr>
                <w:rFonts w:hint="eastAsia" w:ascii="楷体" w:hAnsi="楷体" w:eastAsia="楷体" w:cs="楷体"/>
                <w:color w:val="auto"/>
                <w:kern w:val="2"/>
                <w:sz w:val="21"/>
                <w:szCs w:val="21"/>
                <w:highlight w:val="none"/>
              </w:rPr>
            </w:pPr>
          </w:p>
        </w:tc>
        <w:tc>
          <w:tcPr>
            <w:tcW w:w="2268" w:type="dxa"/>
            <w:tcBorders>
              <w:top w:val="single" w:color="auto" w:sz="4" w:space="0"/>
              <w:left w:val="nil"/>
              <w:bottom w:val="single" w:color="auto" w:sz="4" w:space="0"/>
              <w:right w:val="single" w:color="auto" w:sz="4" w:space="0"/>
            </w:tcBorders>
            <w:noWrap w:val="0"/>
            <w:vAlign w:val="top"/>
          </w:tcPr>
          <w:p w14:paraId="0008AB1A">
            <w:pPr>
              <w:spacing w:line="360" w:lineRule="auto"/>
              <w:rPr>
                <w:rFonts w:hint="eastAsia" w:ascii="楷体" w:hAnsi="楷体" w:eastAsia="楷体" w:cs="楷体"/>
                <w:color w:val="auto"/>
                <w:kern w:val="2"/>
                <w:sz w:val="21"/>
                <w:szCs w:val="21"/>
                <w:highlight w:val="none"/>
              </w:rPr>
            </w:pPr>
          </w:p>
        </w:tc>
        <w:tc>
          <w:tcPr>
            <w:tcW w:w="2439" w:type="dxa"/>
            <w:tcBorders>
              <w:top w:val="single" w:color="auto" w:sz="4" w:space="0"/>
              <w:left w:val="nil"/>
              <w:bottom w:val="single" w:color="auto" w:sz="4" w:space="0"/>
              <w:right w:val="single" w:color="auto" w:sz="4" w:space="0"/>
            </w:tcBorders>
            <w:noWrap w:val="0"/>
            <w:vAlign w:val="top"/>
          </w:tcPr>
          <w:p w14:paraId="1F5EAD54">
            <w:pPr>
              <w:spacing w:line="360" w:lineRule="auto"/>
              <w:rPr>
                <w:rFonts w:hint="eastAsia" w:ascii="楷体" w:hAnsi="楷体" w:eastAsia="楷体" w:cs="楷体"/>
                <w:color w:val="auto"/>
                <w:kern w:val="2"/>
                <w:sz w:val="21"/>
                <w:szCs w:val="21"/>
                <w:highlight w:val="none"/>
              </w:rPr>
            </w:pPr>
          </w:p>
        </w:tc>
        <w:tc>
          <w:tcPr>
            <w:tcW w:w="1263" w:type="dxa"/>
            <w:tcBorders>
              <w:top w:val="single" w:color="auto" w:sz="4" w:space="0"/>
              <w:left w:val="nil"/>
              <w:bottom w:val="single" w:color="auto" w:sz="4" w:space="0"/>
              <w:right w:val="single" w:color="auto" w:sz="4" w:space="0"/>
            </w:tcBorders>
            <w:noWrap w:val="0"/>
            <w:vAlign w:val="top"/>
          </w:tcPr>
          <w:p w14:paraId="22DD5CD5">
            <w:pPr>
              <w:spacing w:line="360" w:lineRule="auto"/>
              <w:rPr>
                <w:rFonts w:hint="eastAsia" w:ascii="楷体" w:hAnsi="楷体" w:eastAsia="楷体" w:cs="楷体"/>
                <w:color w:val="auto"/>
                <w:kern w:val="2"/>
                <w:sz w:val="21"/>
                <w:szCs w:val="21"/>
                <w:highlight w:val="none"/>
              </w:rPr>
            </w:pPr>
          </w:p>
        </w:tc>
        <w:tc>
          <w:tcPr>
            <w:tcW w:w="861" w:type="dxa"/>
            <w:tcBorders>
              <w:top w:val="single" w:color="auto" w:sz="4" w:space="0"/>
              <w:left w:val="nil"/>
              <w:bottom w:val="single" w:color="auto" w:sz="4" w:space="0"/>
              <w:right w:val="single" w:color="auto" w:sz="4" w:space="0"/>
            </w:tcBorders>
            <w:noWrap w:val="0"/>
            <w:vAlign w:val="top"/>
          </w:tcPr>
          <w:p w14:paraId="70F45DF1">
            <w:pPr>
              <w:spacing w:line="360" w:lineRule="auto"/>
              <w:rPr>
                <w:rFonts w:hint="eastAsia" w:ascii="楷体" w:hAnsi="楷体" w:eastAsia="楷体" w:cs="楷体"/>
                <w:color w:val="auto"/>
                <w:kern w:val="2"/>
                <w:sz w:val="21"/>
                <w:szCs w:val="21"/>
                <w:highlight w:val="none"/>
              </w:rPr>
            </w:pPr>
          </w:p>
        </w:tc>
      </w:tr>
    </w:tbl>
    <w:p w14:paraId="0FC1FA80">
      <w:pPr>
        <w:widowControl/>
        <w:spacing w:line="360" w:lineRule="auto"/>
        <w:ind w:left="723" w:hanging="723" w:hangingChars="300"/>
        <w:jc w:val="left"/>
        <w:rPr>
          <w:rFonts w:hint="eastAsia" w:ascii="楷体" w:hAnsi="楷体" w:eastAsia="楷体" w:cs="楷体"/>
          <w:b/>
          <w:color w:val="auto"/>
          <w:szCs w:val="22"/>
          <w:highlight w:val="none"/>
          <w:lang w:eastAsia="zh-CN"/>
        </w:rPr>
      </w:pPr>
      <w:r>
        <w:rPr>
          <w:rFonts w:hint="eastAsia" w:ascii="楷体" w:hAnsi="楷体" w:eastAsia="楷体" w:cs="楷体"/>
          <w:b/>
          <w:color w:val="auto"/>
          <w:szCs w:val="22"/>
          <w:highlight w:val="none"/>
        </w:rPr>
        <w:t>注:1.</w:t>
      </w:r>
      <w:r>
        <w:rPr>
          <w:rFonts w:hint="eastAsia" w:ascii="楷体" w:hAnsi="楷体" w:eastAsia="楷体" w:cs="楷体"/>
          <w:b/>
          <w:color w:val="auto"/>
          <w:szCs w:val="22"/>
          <w:highlight w:val="none"/>
          <w:lang w:eastAsia="zh-CN"/>
        </w:rPr>
        <w:t>本表须对第四章“磋商内容及技术要求”进行响应。</w:t>
      </w:r>
    </w:p>
    <w:p w14:paraId="4880DBE7">
      <w:pPr>
        <w:widowControl/>
        <w:spacing w:line="360" w:lineRule="auto"/>
        <w:jc w:val="left"/>
        <w:rPr>
          <w:rFonts w:hint="eastAsia" w:ascii="楷体" w:hAnsi="楷体" w:eastAsia="楷体" w:cs="楷体"/>
          <w:b/>
          <w:color w:val="auto"/>
          <w:szCs w:val="22"/>
          <w:highlight w:val="none"/>
        </w:rPr>
      </w:pPr>
      <w:r>
        <w:rPr>
          <w:rFonts w:hint="eastAsia" w:ascii="楷体" w:hAnsi="楷体" w:eastAsia="楷体" w:cs="楷体"/>
          <w:b/>
          <w:color w:val="auto"/>
          <w:szCs w:val="22"/>
          <w:highlight w:val="none"/>
          <w:lang w:val="en-US" w:eastAsia="zh-CN"/>
        </w:rPr>
        <w:t>2.</w:t>
      </w:r>
      <w:r>
        <w:rPr>
          <w:rFonts w:hint="eastAsia" w:ascii="楷体" w:hAnsi="楷体" w:eastAsia="楷体" w:cs="楷体"/>
          <w:b/>
          <w:color w:val="auto"/>
          <w:szCs w:val="22"/>
          <w:highlight w:val="none"/>
        </w:rPr>
        <w:t>本表只填写磋商响应文件中与磋商文件有偏离（包括正偏离和负偏离）的内容，磋商响应文件中</w:t>
      </w:r>
      <w:r>
        <w:rPr>
          <w:rFonts w:hint="eastAsia" w:ascii="楷体" w:hAnsi="楷体" w:eastAsia="楷体" w:cs="楷体"/>
          <w:b/>
          <w:color w:val="auto"/>
          <w:szCs w:val="22"/>
          <w:highlight w:val="none"/>
          <w:lang w:val="en-US" w:eastAsia="zh-CN"/>
        </w:rPr>
        <w:t>技术</w:t>
      </w:r>
      <w:r>
        <w:rPr>
          <w:rFonts w:hint="eastAsia" w:ascii="楷体" w:hAnsi="楷体" w:eastAsia="楷体" w:cs="楷体"/>
          <w:b/>
          <w:color w:val="auto"/>
          <w:szCs w:val="22"/>
          <w:highlight w:val="none"/>
        </w:rPr>
        <w:t>响应与磋商文件要求完全一致的，不用在此表中列出，但必须提交空白表。</w:t>
      </w:r>
    </w:p>
    <w:p w14:paraId="01E3D1E1">
      <w:pPr>
        <w:widowControl/>
        <w:spacing w:line="360" w:lineRule="auto"/>
        <w:jc w:val="left"/>
        <w:rPr>
          <w:rFonts w:hint="eastAsia" w:ascii="楷体" w:hAnsi="楷体" w:eastAsia="楷体" w:cs="楷体"/>
          <w:b/>
          <w:color w:val="auto"/>
          <w:szCs w:val="24"/>
          <w:highlight w:val="none"/>
        </w:rPr>
      </w:pPr>
    </w:p>
    <w:p w14:paraId="0021F963">
      <w:pPr>
        <w:spacing w:line="360" w:lineRule="auto"/>
        <w:rPr>
          <w:rFonts w:hint="eastAsia" w:ascii="楷体" w:hAnsi="楷体" w:eastAsia="楷体" w:cs="楷体"/>
          <w:color w:val="auto"/>
          <w:kern w:val="2"/>
          <w:sz w:val="21"/>
          <w:szCs w:val="21"/>
          <w:highlight w:val="none"/>
        </w:rPr>
      </w:pPr>
    </w:p>
    <w:p w14:paraId="52FD6308">
      <w:pPr>
        <w:spacing w:line="360" w:lineRule="auto"/>
        <w:rPr>
          <w:rFonts w:hint="eastAsia" w:ascii="楷体" w:hAnsi="楷体" w:eastAsia="楷体" w:cs="楷体"/>
          <w:color w:val="auto"/>
          <w:highlight w:val="none"/>
        </w:rPr>
      </w:pPr>
      <w:r>
        <w:rPr>
          <w:rFonts w:hint="eastAsia" w:ascii="楷体" w:hAnsi="楷体" w:eastAsia="楷体" w:cs="楷体"/>
          <w:color w:val="auto"/>
          <w:highlight w:val="none"/>
        </w:rPr>
        <w:t xml:space="preserve">供应商名称（公章）  ：          </w:t>
      </w:r>
    </w:p>
    <w:p w14:paraId="3B48DD01">
      <w:pPr>
        <w:spacing w:line="360" w:lineRule="auto"/>
        <w:jc w:val="left"/>
        <w:rPr>
          <w:rFonts w:hint="eastAsia" w:ascii="楷体" w:hAnsi="楷体" w:eastAsia="楷体" w:cs="楷体"/>
          <w:color w:val="auto"/>
          <w:highlight w:val="none"/>
        </w:rPr>
      </w:pPr>
      <w:r>
        <w:rPr>
          <w:rFonts w:hint="eastAsia" w:ascii="楷体" w:hAnsi="楷体" w:eastAsia="楷体" w:cs="楷体"/>
          <w:color w:val="auto"/>
          <w:highlight w:val="none"/>
        </w:rPr>
        <w:t>法定代表人/被授权人</w:t>
      </w:r>
      <w:r>
        <w:rPr>
          <w:rFonts w:hint="eastAsia" w:ascii="楷体" w:hAnsi="楷体" w:eastAsia="楷体" w:cs="楷体"/>
          <w:color w:val="auto"/>
          <w:spacing w:val="4"/>
          <w:szCs w:val="24"/>
          <w:highlight w:val="none"/>
        </w:rPr>
        <w:t>（签字或盖章）</w:t>
      </w:r>
      <w:r>
        <w:rPr>
          <w:rFonts w:hint="eastAsia" w:ascii="楷体" w:hAnsi="楷体" w:eastAsia="楷体" w:cs="楷体"/>
          <w:color w:val="auto"/>
          <w:highlight w:val="none"/>
        </w:rPr>
        <w:t>：</w:t>
      </w:r>
    </w:p>
    <w:p w14:paraId="7EE73D53">
      <w:pPr>
        <w:spacing w:line="360" w:lineRule="auto"/>
        <w:rPr>
          <w:rFonts w:hint="eastAsia" w:ascii="楷体" w:hAnsi="楷体" w:eastAsia="楷体" w:cs="楷体"/>
          <w:color w:val="auto"/>
          <w:highlight w:val="none"/>
        </w:rPr>
      </w:pPr>
      <w:r>
        <w:rPr>
          <w:rFonts w:hint="eastAsia" w:ascii="楷体" w:hAnsi="楷体" w:eastAsia="楷体" w:cs="楷体"/>
          <w:color w:val="auto"/>
          <w:szCs w:val="24"/>
          <w:highlight w:val="none"/>
        </w:rPr>
        <w:t>日    期：</w:t>
      </w:r>
    </w:p>
    <w:p w14:paraId="743B5C1C">
      <w:pPr>
        <w:spacing w:line="360" w:lineRule="auto"/>
        <w:ind w:firstLine="643" w:firstLineChars="200"/>
        <w:rPr>
          <w:rFonts w:hint="eastAsia" w:ascii="楷体" w:hAnsi="楷体" w:eastAsia="楷体" w:cs="楷体"/>
          <w:b/>
          <w:bCs/>
          <w:color w:val="auto"/>
          <w:kern w:val="2"/>
          <w:sz w:val="32"/>
          <w:szCs w:val="32"/>
          <w:highlight w:val="none"/>
        </w:rPr>
        <w:sectPr>
          <w:pgSz w:w="11906" w:h="16838"/>
          <w:pgMar w:top="1440" w:right="1800" w:bottom="1440" w:left="1800" w:header="851" w:footer="992" w:gutter="0"/>
          <w:pgNumType w:fmt="decimal"/>
          <w:cols w:space="720" w:num="1"/>
          <w:docGrid w:type="lines" w:linePitch="312" w:charSpace="0"/>
        </w:sectPr>
      </w:pPr>
    </w:p>
    <w:p w14:paraId="7AF286B7">
      <w:pPr>
        <w:spacing w:line="360" w:lineRule="auto"/>
        <w:jc w:val="left"/>
        <w:rPr>
          <w:rFonts w:hint="eastAsia" w:ascii="楷体" w:hAnsi="楷体" w:eastAsia="楷体" w:cs="楷体"/>
          <w:b/>
          <w:color w:val="auto"/>
          <w:sz w:val="30"/>
          <w:szCs w:val="30"/>
          <w:highlight w:val="none"/>
        </w:rPr>
      </w:pPr>
      <w:bookmarkStart w:id="237" w:name="_Toc18588_WPSOffice_Level1"/>
      <w:bookmarkStart w:id="238" w:name="_Toc15638_WPSOffice_Level1"/>
      <w:r>
        <w:rPr>
          <w:rFonts w:hint="eastAsia" w:ascii="楷体" w:hAnsi="楷体" w:eastAsia="楷体" w:cs="楷体"/>
          <w:b/>
          <w:bCs/>
          <w:color w:val="auto"/>
          <w:sz w:val="28"/>
          <w:szCs w:val="28"/>
          <w:highlight w:val="none"/>
        </w:rPr>
        <w:t>附件</w:t>
      </w:r>
      <w:r>
        <w:rPr>
          <w:rFonts w:hint="eastAsia" w:ascii="楷体" w:hAnsi="楷体" w:eastAsia="楷体" w:cs="楷体"/>
          <w:b/>
          <w:bCs/>
          <w:color w:val="auto"/>
          <w:sz w:val="28"/>
          <w:szCs w:val="28"/>
          <w:highlight w:val="none"/>
          <w:lang w:val="en-US" w:eastAsia="zh-CN"/>
        </w:rPr>
        <w:t>4</w:t>
      </w:r>
      <w:r>
        <w:rPr>
          <w:rFonts w:hint="eastAsia" w:ascii="楷体" w:hAnsi="楷体" w:eastAsia="楷体" w:cs="楷体"/>
          <w:b/>
          <w:bCs/>
          <w:color w:val="auto"/>
          <w:sz w:val="28"/>
          <w:szCs w:val="28"/>
          <w:highlight w:val="none"/>
        </w:rPr>
        <w:t>：</w:t>
      </w:r>
    </w:p>
    <w:p w14:paraId="18941046">
      <w:pPr>
        <w:spacing w:line="360" w:lineRule="auto"/>
        <w:jc w:val="center"/>
        <w:outlineLvl w:val="9"/>
        <w:rPr>
          <w:rFonts w:hint="eastAsia" w:ascii="楷体" w:hAnsi="楷体" w:eastAsia="楷体" w:cs="楷体"/>
          <w:b/>
          <w:bCs/>
          <w:color w:val="auto"/>
          <w:sz w:val="30"/>
          <w:szCs w:val="30"/>
          <w:highlight w:val="none"/>
        </w:rPr>
      </w:pPr>
      <w:r>
        <w:rPr>
          <w:rFonts w:hint="eastAsia" w:ascii="楷体" w:hAnsi="楷体" w:eastAsia="楷体" w:cs="楷体"/>
          <w:b/>
          <w:bCs/>
          <w:color w:val="auto"/>
          <w:sz w:val="30"/>
          <w:szCs w:val="30"/>
          <w:highlight w:val="none"/>
          <w:lang w:val="en-US" w:eastAsia="zh-CN"/>
        </w:rPr>
        <w:t>商务</w:t>
      </w:r>
      <w:r>
        <w:rPr>
          <w:rFonts w:hint="eastAsia" w:ascii="楷体" w:hAnsi="楷体" w:eastAsia="楷体" w:cs="楷体"/>
          <w:b/>
          <w:bCs/>
          <w:color w:val="auto"/>
          <w:sz w:val="30"/>
          <w:szCs w:val="30"/>
          <w:highlight w:val="none"/>
          <w:lang w:eastAsia="zh-CN"/>
        </w:rPr>
        <w:t>要求</w:t>
      </w:r>
      <w:r>
        <w:rPr>
          <w:rFonts w:hint="eastAsia" w:ascii="楷体" w:hAnsi="楷体" w:eastAsia="楷体" w:cs="楷体"/>
          <w:b/>
          <w:bCs/>
          <w:color w:val="auto"/>
          <w:sz w:val="30"/>
          <w:szCs w:val="30"/>
          <w:highlight w:val="none"/>
        </w:rPr>
        <w:t>响应表</w:t>
      </w:r>
    </w:p>
    <w:p w14:paraId="6F77A346">
      <w:pPr>
        <w:spacing w:line="360" w:lineRule="auto"/>
        <w:jc w:val="left"/>
        <w:rPr>
          <w:rFonts w:hint="eastAsia" w:ascii="楷体" w:hAnsi="楷体" w:eastAsia="楷体" w:cs="楷体"/>
          <w:b/>
          <w:color w:val="auto"/>
          <w:highlight w:val="none"/>
        </w:rPr>
      </w:pPr>
      <w:r>
        <w:rPr>
          <w:rFonts w:hint="eastAsia" w:ascii="楷体" w:hAnsi="楷体" w:eastAsia="楷体" w:cs="楷体"/>
          <w:b/>
          <w:color w:val="auto"/>
          <w:highlight w:val="none"/>
        </w:rPr>
        <w:t xml:space="preserve">  项目名称：</w:t>
      </w:r>
    </w:p>
    <w:p w14:paraId="0C33CF01">
      <w:pPr>
        <w:pStyle w:val="8"/>
        <w:spacing w:line="360" w:lineRule="auto"/>
        <w:ind w:firstLine="241" w:firstLineChars="100"/>
        <w:rPr>
          <w:rFonts w:hint="eastAsia" w:ascii="楷体" w:hAnsi="楷体" w:eastAsia="楷体" w:cs="楷体"/>
          <w:b/>
          <w:color w:val="auto"/>
          <w:kern w:val="0"/>
          <w:sz w:val="24"/>
          <w:szCs w:val="22"/>
          <w:highlight w:val="none"/>
        </w:rPr>
      </w:pPr>
      <w:r>
        <w:rPr>
          <w:rFonts w:hint="eastAsia" w:ascii="楷体" w:hAnsi="楷体" w:eastAsia="楷体" w:cs="楷体"/>
          <w:b/>
          <w:color w:val="auto"/>
          <w:kern w:val="0"/>
          <w:sz w:val="24"/>
          <w:szCs w:val="22"/>
          <w:highlight w:val="none"/>
        </w:rPr>
        <w:t>项目编号：</w:t>
      </w:r>
    </w:p>
    <w:p w14:paraId="7AA106EB">
      <w:pPr>
        <w:pStyle w:val="8"/>
        <w:spacing w:line="360" w:lineRule="auto"/>
        <w:ind w:firstLine="241" w:firstLineChars="100"/>
        <w:rPr>
          <w:rFonts w:hint="eastAsia" w:ascii="楷体" w:hAnsi="楷体" w:eastAsia="楷体" w:cs="楷体"/>
          <w:color w:val="auto"/>
          <w:highlight w:val="none"/>
        </w:rPr>
      </w:pPr>
      <w:r>
        <w:rPr>
          <w:rFonts w:hint="eastAsia" w:ascii="楷体" w:hAnsi="楷体" w:eastAsia="楷体" w:cs="楷体"/>
          <w:b/>
          <w:color w:val="auto"/>
          <w:kern w:val="0"/>
          <w:sz w:val="24"/>
          <w:szCs w:val="22"/>
          <w:highlight w:val="none"/>
          <w:lang w:val="en-US" w:eastAsia="zh-CN"/>
        </w:rPr>
        <w:t>采购包</w:t>
      </w:r>
      <w:r>
        <w:rPr>
          <w:rFonts w:hint="eastAsia" w:ascii="楷体" w:hAnsi="楷体" w:eastAsia="楷体" w:cs="楷体"/>
          <w:b/>
          <w:color w:val="auto"/>
          <w:kern w:val="0"/>
          <w:sz w:val="24"/>
          <w:szCs w:val="22"/>
          <w:highlight w:val="none"/>
          <w:u w:val="single"/>
          <w:lang w:val="en-US" w:eastAsia="zh-CN"/>
        </w:rPr>
        <w:t xml:space="preserve">   </w:t>
      </w:r>
      <w:r>
        <w:rPr>
          <w:rFonts w:hint="eastAsia" w:ascii="楷体" w:hAnsi="楷体" w:eastAsia="楷体" w:cs="楷体"/>
          <w:b/>
          <w:color w:val="auto"/>
          <w:szCs w:val="24"/>
          <w:highlight w:val="none"/>
        </w:rPr>
        <w:t xml:space="preserve">     </w:t>
      </w:r>
      <w:r>
        <w:rPr>
          <w:rFonts w:hint="eastAsia" w:ascii="楷体" w:hAnsi="楷体" w:eastAsia="楷体" w:cs="楷体"/>
          <w:color w:val="auto"/>
          <w:szCs w:val="24"/>
          <w:highlight w:val="none"/>
        </w:rPr>
        <w:t xml:space="preserve">                                    </w:t>
      </w:r>
    </w:p>
    <w:tbl>
      <w:tblPr>
        <w:tblStyle w:val="17"/>
        <w:tblW w:w="0" w:type="auto"/>
        <w:jc w:val="center"/>
        <w:tblLayout w:type="fixed"/>
        <w:tblCellMar>
          <w:top w:w="0" w:type="dxa"/>
          <w:left w:w="28" w:type="dxa"/>
          <w:bottom w:w="0" w:type="dxa"/>
          <w:right w:w="28" w:type="dxa"/>
        </w:tblCellMar>
      </w:tblPr>
      <w:tblGrid>
        <w:gridCol w:w="737"/>
        <w:gridCol w:w="1276"/>
        <w:gridCol w:w="2268"/>
        <w:gridCol w:w="2439"/>
        <w:gridCol w:w="1263"/>
        <w:gridCol w:w="861"/>
      </w:tblGrid>
      <w:tr w14:paraId="200749B7">
        <w:tblPrEx>
          <w:tblCellMar>
            <w:top w:w="0" w:type="dxa"/>
            <w:left w:w="28" w:type="dxa"/>
            <w:bottom w:w="0" w:type="dxa"/>
            <w:right w:w="28" w:type="dxa"/>
          </w:tblCellMar>
        </w:tblPrEx>
        <w:trPr>
          <w:trHeight w:val="851" w:hRule="exact"/>
          <w:jc w:val="center"/>
        </w:trPr>
        <w:tc>
          <w:tcPr>
            <w:tcW w:w="737" w:type="dxa"/>
            <w:tcBorders>
              <w:top w:val="single" w:color="auto" w:sz="4" w:space="0"/>
              <w:left w:val="single" w:color="auto" w:sz="4" w:space="0"/>
              <w:bottom w:val="single" w:color="auto" w:sz="4" w:space="0"/>
              <w:right w:val="single" w:color="auto" w:sz="4" w:space="0"/>
            </w:tcBorders>
            <w:noWrap w:val="0"/>
            <w:vAlign w:val="center"/>
          </w:tcPr>
          <w:p w14:paraId="66167F54">
            <w:pPr>
              <w:spacing w:line="360" w:lineRule="auto"/>
              <w:jc w:val="center"/>
              <w:rPr>
                <w:rFonts w:hint="eastAsia" w:ascii="楷体" w:hAnsi="楷体" w:eastAsia="楷体" w:cs="楷体"/>
                <w:b/>
                <w:color w:val="auto"/>
                <w:kern w:val="2"/>
                <w:sz w:val="21"/>
                <w:szCs w:val="21"/>
                <w:highlight w:val="none"/>
              </w:rPr>
            </w:pPr>
            <w:r>
              <w:rPr>
                <w:rFonts w:hint="eastAsia" w:ascii="楷体" w:hAnsi="楷体" w:eastAsia="楷体" w:cs="楷体"/>
                <w:b/>
                <w:color w:val="auto"/>
                <w:szCs w:val="24"/>
                <w:highlight w:val="none"/>
              </w:rPr>
              <w:t>序号</w:t>
            </w:r>
          </w:p>
        </w:tc>
        <w:tc>
          <w:tcPr>
            <w:tcW w:w="1276" w:type="dxa"/>
            <w:tcBorders>
              <w:top w:val="single" w:color="auto" w:sz="4" w:space="0"/>
              <w:left w:val="nil"/>
              <w:bottom w:val="single" w:color="auto" w:sz="4" w:space="0"/>
              <w:right w:val="single" w:color="auto" w:sz="4" w:space="0"/>
            </w:tcBorders>
            <w:noWrap w:val="0"/>
            <w:vAlign w:val="center"/>
          </w:tcPr>
          <w:p w14:paraId="735BAB7D">
            <w:pPr>
              <w:spacing w:line="360" w:lineRule="auto"/>
              <w:jc w:val="center"/>
              <w:rPr>
                <w:rFonts w:hint="eastAsia" w:ascii="楷体" w:hAnsi="楷体" w:eastAsia="楷体" w:cs="楷体"/>
                <w:b/>
                <w:color w:val="auto"/>
                <w:kern w:val="2"/>
                <w:sz w:val="21"/>
                <w:szCs w:val="21"/>
                <w:highlight w:val="none"/>
              </w:rPr>
            </w:pPr>
            <w:r>
              <w:rPr>
                <w:rFonts w:hint="eastAsia" w:ascii="楷体" w:hAnsi="楷体" w:eastAsia="楷体" w:cs="楷体"/>
                <w:b/>
                <w:color w:val="auto"/>
                <w:szCs w:val="24"/>
                <w:highlight w:val="none"/>
              </w:rPr>
              <w:t>名称</w:t>
            </w:r>
          </w:p>
        </w:tc>
        <w:tc>
          <w:tcPr>
            <w:tcW w:w="2268" w:type="dxa"/>
            <w:tcBorders>
              <w:top w:val="single" w:color="auto" w:sz="4" w:space="0"/>
              <w:left w:val="nil"/>
              <w:bottom w:val="single" w:color="auto" w:sz="4" w:space="0"/>
              <w:right w:val="single" w:color="auto" w:sz="4" w:space="0"/>
            </w:tcBorders>
            <w:noWrap w:val="0"/>
            <w:vAlign w:val="center"/>
          </w:tcPr>
          <w:p w14:paraId="47CFC022">
            <w:pPr>
              <w:spacing w:line="360" w:lineRule="auto"/>
              <w:jc w:val="center"/>
              <w:rPr>
                <w:rFonts w:hint="eastAsia" w:ascii="楷体" w:hAnsi="楷体" w:eastAsia="楷体" w:cs="楷体"/>
                <w:b/>
                <w:color w:val="auto"/>
                <w:kern w:val="2"/>
                <w:sz w:val="21"/>
                <w:szCs w:val="21"/>
                <w:highlight w:val="none"/>
                <w:lang w:eastAsia="zh-CN"/>
              </w:rPr>
            </w:pPr>
            <w:r>
              <w:rPr>
                <w:rFonts w:hint="eastAsia" w:ascii="楷体" w:hAnsi="楷体" w:eastAsia="楷体" w:cs="楷体"/>
                <w:b/>
                <w:color w:val="auto"/>
                <w:szCs w:val="24"/>
                <w:highlight w:val="none"/>
              </w:rPr>
              <w:t>磋商</w:t>
            </w:r>
            <w:r>
              <w:rPr>
                <w:rFonts w:hint="eastAsia" w:ascii="楷体" w:hAnsi="楷体" w:eastAsia="楷体" w:cs="楷体"/>
                <w:b/>
                <w:color w:val="auto"/>
                <w:szCs w:val="24"/>
                <w:highlight w:val="none"/>
                <w:lang w:eastAsia="zh-CN"/>
              </w:rPr>
              <w:t>要求</w:t>
            </w:r>
          </w:p>
        </w:tc>
        <w:tc>
          <w:tcPr>
            <w:tcW w:w="2439" w:type="dxa"/>
            <w:tcBorders>
              <w:top w:val="single" w:color="auto" w:sz="4" w:space="0"/>
              <w:left w:val="nil"/>
              <w:bottom w:val="single" w:color="auto" w:sz="4" w:space="0"/>
              <w:right w:val="single" w:color="auto" w:sz="4" w:space="0"/>
            </w:tcBorders>
            <w:noWrap w:val="0"/>
            <w:vAlign w:val="center"/>
          </w:tcPr>
          <w:p w14:paraId="77A82676">
            <w:pPr>
              <w:spacing w:line="360" w:lineRule="auto"/>
              <w:jc w:val="center"/>
              <w:rPr>
                <w:rFonts w:hint="eastAsia" w:ascii="楷体" w:hAnsi="楷体" w:eastAsia="楷体" w:cs="楷体"/>
                <w:b/>
                <w:color w:val="auto"/>
                <w:kern w:val="2"/>
                <w:sz w:val="21"/>
                <w:szCs w:val="21"/>
                <w:highlight w:val="none"/>
              </w:rPr>
            </w:pPr>
            <w:r>
              <w:rPr>
                <w:rFonts w:hint="eastAsia" w:ascii="楷体" w:hAnsi="楷体" w:eastAsia="楷体" w:cs="楷体"/>
                <w:b/>
                <w:color w:val="auto"/>
                <w:szCs w:val="24"/>
                <w:highlight w:val="none"/>
              </w:rPr>
              <w:t>磋商</w:t>
            </w:r>
            <w:r>
              <w:rPr>
                <w:rFonts w:hint="eastAsia" w:ascii="楷体" w:hAnsi="楷体" w:eastAsia="楷体" w:cs="楷体"/>
                <w:b/>
                <w:color w:val="auto"/>
                <w:szCs w:val="24"/>
                <w:highlight w:val="none"/>
                <w:lang w:eastAsia="zh-CN"/>
              </w:rPr>
              <w:t>要求</w:t>
            </w:r>
            <w:r>
              <w:rPr>
                <w:rFonts w:hint="eastAsia" w:ascii="楷体" w:hAnsi="楷体" w:eastAsia="楷体" w:cs="楷体"/>
                <w:b/>
                <w:color w:val="auto"/>
                <w:szCs w:val="24"/>
                <w:highlight w:val="none"/>
              </w:rPr>
              <w:t>响应</w:t>
            </w:r>
          </w:p>
        </w:tc>
        <w:tc>
          <w:tcPr>
            <w:tcW w:w="1263" w:type="dxa"/>
            <w:tcBorders>
              <w:top w:val="single" w:color="auto" w:sz="4" w:space="0"/>
              <w:left w:val="nil"/>
              <w:bottom w:val="single" w:color="auto" w:sz="4" w:space="0"/>
              <w:right w:val="single" w:color="auto" w:sz="4" w:space="0"/>
            </w:tcBorders>
            <w:noWrap w:val="0"/>
            <w:vAlign w:val="center"/>
          </w:tcPr>
          <w:p w14:paraId="21CEF0CD">
            <w:pPr>
              <w:spacing w:line="360" w:lineRule="auto"/>
              <w:jc w:val="center"/>
              <w:rPr>
                <w:rFonts w:hint="eastAsia" w:ascii="楷体" w:hAnsi="楷体" w:eastAsia="楷体" w:cs="楷体"/>
                <w:b/>
                <w:color w:val="auto"/>
                <w:kern w:val="2"/>
                <w:sz w:val="21"/>
                <w:szCs w:val="21"/>
                <w:highlight w:val="none"/>
              </w:rPr>
            </w:pPr>
            <w:r>
              <w:rPr>
                <w:rFonts w:hint="eastAsia" w:ascii="楷体" w:hAnsi="楷体" w:eastAsia="楷体" w:cs="楷体"/>
                <w:b/>
                <w:color w:val="auto"/>
                <w:szCs w:val="24"/>
                <w:highlight w:val="none"/>
              </w:rPr>
              <w:t>偏离说明</w:t>
            </w:r>
          </w:p>
        </w:tc>
        <w:tc>
          <w:tcPr>
            <w:tcW w:w="861" w:type="dxa"/>
            <w:tcBorders>
              <w:top w:val="single" w:color="auto" w:sz="4" w:space="0"/>
              <w:left w:val="nil"/>
              <w:bottom w:val="single" w:color="auto" w:sz="4" w:space="0"/>
              <w:right w:val="single" w:color="auto" w:sz="4" w:space="0"/>
            </w:tcBorders>
            <w:noWrap w:val="0"/>
            <w:vAlign w:val="center"/>
          </w:tcPr>
          <w:p w14:paraId="2E3D9CDE">
            <w:pPr>
              <w:spacing w:line="360" w:lineRule="auto"/>
              <w:jc w:val="center"/>
              <w:rPr>
                <w:rFonts w:hint="eastAsia" w:ascii="楷体" w:hAnsi="楷体" w:eastAsia="楷体" w:cs="楷体"/>
                <w:b/>
                <w:color w:val="auto"/>
                <w:kern w:val="2"/>
                <w:sz w:val="21"/>
                <w:szCs w:val="21"/>
                <w:highlight w:val="none"/>
              </w:rPr>
            </w:pPr>
            <w:r>
              <w:rPr>
                <w:rFonts w:hint="eastAsia" w:ascii="楷体" w:hAnsi="楷体" w:eastAsia="楷体" w:cs="楷体"/>
                <w:b/>
                <w:color w:val="auto"/>
                <w:szCs w:val="24"/>
                <w:highlight w:val="none"/>
              </w:rPr>
              <w:t>备注</w:t>
            </w:r>
          </w:p>
        </w:tc>
      </w:tr>
      <w:tr w14:paraId="7C6568BC">
        <w:tblPrEx>
          <w:tblCellMar>
            <w:top w:w="0" w:type="dxa"/>
            <w:left w:w="28" w:type="dxa"/>
            <w:bottom w:w="0" w:type="dxa"/>
            <w:right w:w="28" w:type="dxa"/>
          </w:tblCellMar>
        </w:tblPrEx>
        <w:trPr>
          <w:trHeight w:val="851" w:hRule="exact"/>
          <w:jc w:val="center"/>
        </w:trPr>
        <w:tc>
          <w:tcPr>
            <w:tcW w:w="737" w:type="dxa"/>
            <w:tcBorders>
              <w:top w:val="single" w:color="auto" w:sz="4" w:space="0"/>
              <w:left w:val="single" w:color="auto" w:sz="4" w:space="0"/>
              <w:bottom w:val="single" w:color="auto" w:sz="4" w:space="0"/>
              <w:right w:val="single" w:color="auto" w:sz="4" w:space="0"/>
            </w:tcBorders>
            <w:noWrap w:val="0"/>
            <w:vAlign w:val="top"/>
          </w:tcPr>
          <w:p w14:paraId="7966744C">
            <w:pPr>
              <w:spacing w:line="360" w:lineRule="auto"/>
              <w:rPr>
                <w:rFonts w:hint="eastAsia" w:ascii="楷体" w:hAnsi="楷体" w:eastAsia="楷体" w:cs="楷体"/>
                <w:color w:val="auto"/>
                <w:kern w:val="2"/>
                <w:sz w:val="21"/>
                <w:szCs w:val="21"/>
                <w:highlight w:val="none"/>
              </w:rPr>
            </w:pPr>
          </w:p>
        </w:tc>
        <w:tc>
          <w:tcPr>
            <w:tcW w:w="1276" w:type="dxa"/>
            <w:tcBorders>
              <w:top w:val="single" w:color="auto" w:sz="4" w:space="0"/>
              <w:left w:val="nil"/>
              <w:bottom w:val="single" w:color="auto" w:sz="4" w:space="0"/>
              <w:right w:val="single" w:color="auto" w:sz="4" w:space="0"/>
            </w:tcBorders>
            <w:noWrap w:val="0"/>
            <w:vAlign w:val="top"/>
          </w:tcPr>
          <w:p w14:paraId="42A695A4">
            <w:pPr>
              <w:spacing w:line="360" w:lineRule="auto"/>
              <w:rPr>
                <w:rFonts w:hint="eastAsia" w:ascii="楷体" w:hAnsi="楷体" w:eastAsia="楷体" w:cs="楷体"/>
                <w:color w:val="auto"/>
                <w:kern w:val="2"/>
                <w:sz w:val="21"/>
                <w:szCs w:val="21"/>
                <w:highlight w:val="none"/>
              </w:rPr>
            </w:pPr>
          </w:p>
        </w:tc>
        <w:tc>
          <w:tcPr>
            <w:tcW w:w="2268" w:type="dxa"/>
            <w:tcBorders>
              <w:top w:val="single" w:color="auto" w:sz="4" w:space="0"/>
              <w:left w:val="nil"/>
              <w:bottom w:val="single" w:color="auto" w:sz="4" w:space="0"/>
              <w:right w:val="single" w:color="auto" w:sz="4" w:space="0"/>
            </w:tcBorders>
            <w:noWrap w:val="0"/>
            <w:vAlign w:val="top"/>
          </w:tcPr>
          <w:p w14:paraId="07E41A99">
            <w:pPr>
              <w:spacing w:line="360" w:lineRule="auto"/>
              <w:rPr>
                <w:rFonts w:hint="eastAsia" w:ascii="楷体" w:hAnsi="楷体" w:eastAsia="楷体" w:cs="楷体"/>
                <w:color w:val="auto"/>
                <w:kern w:val="2"/>
                <w:sz w:val="21"/>
                <w:szCs w:val="21"/>
                <w:highlight w:val="none"/>
              </w:rPr>
            </w:pPr>
          </w:p>
        </w:tc>
        <w:tc>
          <w:tcPr>
            <w:tcW w:w="2439" w:type="dxa"/>
            <w:tcBorders>
              <w:top w:val="single" w:color="auto" w:sz="4" w:space="0"/>
              <w:left w:val="nil"/>
              <w:bottom w:val="single" w:color="auto" w:sz="4" w:space="0"/>
              <w:right w:val="single" w:color="auto" w:sz="4" w:space="0"/>
            </w:tcBorders>
            <w:noWrap w:val="0"/>
            <w:vAlign w:val="top"/>
          </w:tcPr>
          <w:p w14:paraId="4669B3E1">
            <w:pPr>
              <w:spacing w:line="360" w:lineRule="auto"/>
              <w:rPr>
                <w:rFonts w:hint="eastAsia" w:ascii="楷体" w:hAnsi="楷体" w:eastAsia="楷体" w:cs="楷体"/>
                <w:color w:val="auto"/>
                <w:kern w:val="2"/>
                <w:sz w:val="21"/>
                <w:szCs w:val="21"/>
                <w:highlight w:val="none"/>
              </w:rPr>
            </w:pPr>
          </w:p>
        </w:tc>
        <w:tc>
          <w:tcPr>
            <w:tcW w:w="1263" w:type="dxa"/>
            <w:tcBorders>
              <w:top w:val="single" w:color="auto" w:sz="4" w:space="0"/>
              <w:left w:val="nil"/>
              <w:bottom w:val="single" w:color="auto" w:sz="4" w:space="0"/>
              <w:right w:val="single" w:color="auto" w:sz="4" w:space="0"/>
            </w:tcBorders>
            <w:noWrap w:val="0"/>
            <w:vAlign w:val="top"/>
          </w:tcPr>
          <w:p w14:paraId="623019CA">
            <w:pPr>
              <w:spacing w:line="360" w:lineRule="auto"/>
              <w:rPr>
                <w:rFonts w:hint="eastAsia" w:ascii="楷体" w:hAnsi="楷体" w:eastAsia="楷体" w:cs="楷体"/>
                <w:color w:val="auto"/>
                <w:kern w:val="2"/>
                <w:sz w:val="21"/>
                <w:szCs w:val="21"/>
                <w:highlight w:val="none"/>
              </w:rPr>
            </w:pPr>
          </w:p>
        </w:tc>
        <w:tc>
          <w:tcPr>
            <w:tcW w:w="861" w:type="dxa"/>
            <w:tcBorders>
              <w:top w:val="single" w:color="auto" w:sz="4" w:space="0"/>
              <w:left w:val="nil"/>
              <w:bottom w:val="single" w:color="auto" w:sz="4" w:space="0"/>
              <w:right w:val="single" w:color="auto" w:sz="4" w:space="0"/>
            </w:tcBorders>
            <w:noWrap w:val="0"/>
            <w:vAlign w:val="top"/>
          </w:tcPr>
          <w:p w14:paraId="4D86FFB8">
            <w:pPr>
              <w:spacing w:line="360" w:lineRule="auto"/>
              <w:rPr>
                <w:rFonts w:hint="eastAsia" w:ascii="楷体" w:hAnsi="楷体" w:eastAsia="楷体" w:cs="楷体"/>
                <w:color w:val="auto"/>
                <w:kern w:val="2"/>
                <w:sz w:val="21"/>
                <w:szCs w:val="21"/>
                <w:highlight w:val="none"/>
              </w:rPr>
            </w:pPr>
          </w:p>
        </w:tc>
      </w:tr>
      <w:tr w14:paraId="74B5DB6D">
        <w:tblPrEx>
          <w:tblCellMar>
            <w:top w:w="0" w:type="dxa"/>
            <w:left w:w="28" w:type="dxa"/>
            <w:bottom w:w="0" w:type="dxa"/>
            <w:right w:w="28" w:type="dxa"/>
          </w:tblCellMar>
        </w:tblPrEx>
        <w:trPr>
          <w:trHeight w:val="851" w:hRule="exact"/>
          <w:jc w:val="center"/>
        </w:trPr>
        <w:tc>
          <w:tcPr>
            <w:tcW w:w="737" w:type="dxa"/>
            <w:tcBorders>
              <w:top w:val="single" w:color="auto" w:sz="4" w:space="0"/>
              <w:left w:val="single" w:color="auto" w:sz="4" w:space="0"/>
              <w:bottom w:val="single" w:color="auto" w:sz="4" w:space="0"/>
              <w:right w:val="single" w:color="auto" w:sz="4" w:space="0"/>
            </w:tcBorders>
            <w:noWrap w:val="0"/>
            <w:vAlign w:val="top"/>
          </w:tcPr>
          <w:p w14:paraId="190130E2">
            <w:pPr>
              <w:spacing w:line="360" w:lineRule="auto"/>
              <w:rPr>
                <w:rFonts w:hint="eastAsia" w:ascii="楷体" w:hAnsi="楷体" w:eastAsia="楷体" w:cs="楷体"/>
                <w:color w:val="auto"/>
                <w:kern w:val="2"/>
                <w:sz w:val="21"/>
                <w:szCs w:val="21"/>
                <w:highlight w:val="none"/>
              </w:rPr>
            </w:pPr>
          </w:p>
        </w:tc>
        <w:tc>
          <w:tcPr>
            <w:tcW w:w="1276" w:type="dxa"/>
            <w:tcBorders>
              <w:top w:val="single" w:color="auto" w:sz="4" w:space="0"/>
              <w:left w:val="nil"/>
              <w:bottom w:val="single" w:color="auto" w:sz="4" w:space="0"/>
              <w:right w:val="single" w:color="auto" w:sz="4" w:space="0"/>
            </w:tcBorders>
            <w:noWrap w:val="0"/>
            <w:vAlign w:val="top"/>
          </w:tcPr>
          <w:p w14:paraId="484EA580">
            <w:pPr>
              <w:spacing w:line="360" w:lineRule="auto"/>
              <w:rPr>
                <w:rFonts w:hint="eastAsia" w:ascii="楷体" w:hAnsi="楷体" w:eastAsia="楷体" w:cs="楷体"/>
                <w:color w:val="auto"/>
                <w:kern w:val="2"/>
                <w:sz w:val="21"/>
                <w:szCs w:val="21"/>
                <w:highlight w:val="none"/>
              </w:rPr>
            </w:pPr>
          </w:p>
        </w:tc>
        <w:tc>
          <w:tcPr>
            <w:tcW w:w="2268" w:type="dxa"/>
            <w:tcBorders>
              <w:top w:val="single" w:color="auto" w:sz="4" w:space="0"/>
              <w:left w:val="nil"/>
              <w:bottom w:val="single" w:color="auto" w:sz="4" w:space="0"/>
              <w:right w:val="single" w:color="auto" w:sz="4" w:space="0"/>
            </w:tcBorders>
            <w:noWrap w:val="0"/>
            <w:vAlign w:val="top"/>
          </w:tcPr>
          <w:p w14:paraId="10688969">
            <w:pPr>
              <w:spacing w:line="360" w:lineRule="auto"/>
              <w:rPr>
                <w:rFonts w:hint="eastAsia" w:ascii="楷体" w:hAnsi="楷体" w:eastAsia="楷体" w:cs="楷体"/>
                <w:color w:val="auto"/>
                <w:kern w:val="2"/>
                <w:sz w:val="21"/>
                <w:szCs w:val="21"/>
                <w:highlight w:val="none"/>
              </w:rPr>
            </w:pPr>
          </w:p>
        </w:tc>
        <w:tc>
          <w:tcPr>
            <w:tcW w:w="2439" w:type="dxa"/>
            <w:tcBorders>
              <w:top w:val="single" w:color="auto" w:sz="4" w:space="0"/>
              <w:left w:val="nil"/>
              <w:bottom w:val="single" w:color="auto" w:sz="4" w:space="0"/>
              <w:right w:val="single" w:color="auto" w:sz="4" w:space="0"/>
            </w:tcBorders>
            <w:noWrap w:val="0"/>
            <w:vAlign w:val="top"/>
          </w:tcPr>
          <w:p w14:paraId="051EBEDE">
            <w:pPr>
              <w:spacing w:line="360" w:lineRule="auto"/>
              <w:rPr>
                <w:rFonts w:hint="eastAsia" w:ascii="楷体" w:hAnsi="楷体" w:eastAsia="楷体" w:cs="楷体"/>
                <w:color w:val="auto"/>
                <w:kern w:val="2"/>
                <w:sz w:val="21"/>
                <w:szCs w:val="21"/>
                <w:highlight w:val="none"/>
              </w:rPr>
            </w:pPr>
          </w:p>
        </w:tc>
        <w:tc>
          <w:tcPr>
            <w:tcW w:w="1263" w:type="dxa"/>
            <w:tcBorders>
              <w:top w:val="single" w:color="auto" w:sz="4" w:space="0"/>
              <w:left w:val="nil"/>
              <w:bottom w:val="single" w:color="auto" w:sz="4" w:space="0"/>
              <w:right w:val="single" w:color="auto" w:sz="4" w:space="0"/>
            </w:tcBorders>
            <w:noWrap w:val="0"/>
            <w:vAlign w:val="top"/>
          </w:tcPr>
          <w:p w14:paraId="495C57C9">
            <w:pPr>
              <w:spacing w:line="360" w:lineRule="auto"/>
              <w:rPr>
                <w:rFonts w:hint="eastAsia" w:ascii="楷体" w:hAnsi="楷体" w:eastAsia="楷体" w:cs="楷体"/>
                <w:color w:val="auto"/>
                <w:kern w:val="2"/>
                <w:sz w:val="21"/>
                <w:szCs w:val="21"/>
                <w:highlight w:val="none"/>
              </w:rPr>
            </w:pPr>
          </w:p>
        </w:tc>
        <w:tc>
          <w:tcPr>
            <w:tcW w:w="861" w:type="dxa"/>
            <w:tcBorders>
              <w:top w:val="single" w:color="auto" w:sz="4" w:space="0"/>
              <w:left w:val="nil"/>
              <w:bottom w:val="single" w:color="auto" w:sz="4" w:space="0"/>
              <w:right w:val="single" w:color="auto" w:sz="4" w:space="0"/>
            </w:tcBorders>
            <w:noWrap w:val="0"/>
            <w:vAlign w:val="top"/>
          </w:tcPr>
          <w:p w14:paraId="57A1254C">
            <w:pPr>
              <w:spacing w:line="360" w:lineRule="auto"/>
              <w:rPr>
                <w:rFonts w:hint="eastAsia" w:ascii="楷体" w:hAnsi="楷体" w:eastAsia="楷体" w:cs="楷体"/>
                <w:color w:val="auto"/>
                <w:kern w:val="2"/>
                <w:sz w:val="21"/>
                <w:szCs w:val="21"/>
                <w:highlight w:val="none"/>
              </w:rPr>
            </w:pPr>
          </w:p>
        </w:tc>
      </w:tr>
      <w:tr w14:paraId="22AB7DBB">
        <w:tblPrEx>
          <w:tblCellMar>
            <w:top w:w="0" w:type="dxa"/>
            <w:left w:w="28" w:type="dxa"/>
            <w:bottom w:w="0" w:type="dxa"/>
            <w:right w:w="28" w:type="dxa"/>
          </w:tblCellMar>
        </w:tblPrEx>
        <w:trPr>
          <w:trHeight w:val="851" w:hRule="exact"/>
          <w:jc w:val="center"/>
        </w:trPr>
        <w:tc>
          <w:tcPr>
            <w:tcW w:w="737" w:type="dxa"/>
            <w:tcBorders>
              <w:top w:val="single" w:color="auto" w:sz="4" w:space="0"/>
              <w:left w:val="single" w:color="auto" w:sz="4" w:space="0"/>
              <w:bottom w:val="single" w:color="auto" w:sz="4" w:space="0"/>
              <w:right w:val="single" w:color="auto" w:sz="4" w:space="0"/>
            </w:tcBorders>
            <w:noWrap w:val="0"/>
            <w:vAlign w:val="top"/>
          </w:tcPr>
          <w:p w14:paraId="3743A189">
            <w:pPr>
              <w:spacing w:line="360" w:lineRule="auto"/>
              <w:rPr>
                <w:rFonts w:hint="eastAsia" w:ascii="楷体" w:hAnsi="楷体" w:eastAsia="楷体" w:cs="楷体"/>
                <w:color w:val="auto"/>
                <w:kern w:val="2"/>
                <w:sz w:val="21"/>
                <w:szCs w:val="21"/>
                <w:highlight w:val="none"/>
              </w:rPr>
            </w:pPr>
          </w:p>
        </w:tc>
        <w:tc>
          <w:tcPr>
            <w:tcW w:w="1276" w:type="dxa"/>
            <w:tcBorders>
              <w:top w:val="single" w:color="auto" w:sz="4" w:space="0"/>
              <w:left w:val="nil"/>
              <w:bottom w:val="single" w:color="auto" w:sz="4" w:space="0"/>
              <w:right w:val="single" w:color="auto" w:sz="4" w:space="0"/>
            </w:tcBorders>
            <w:noWrap w:val="0"/>
            <w:vAlign w:val="top"/>
          </w:tcPr>
          <w:p w14:paraId="223A46C9">
            <w:pPr>
              <w:spacing w:line="360" w:lineRule="auto"/>
              <w:rPr>
                <w:rFonts w:hint="eastAsia" w:ascii="楷体" w:hAnsi="楷体" w:eastAsia="楷体" w:cs="楷体"/>
                <w:color w:val="auto"/>
                <w:kern w:val="2"/>
                <w:sz w:val="21"/>
                <w:szCs w:val="21"/>
                <w:highlight w:val="none"/>
              </w:rPr>
            </w:pPr>
          </w:p>
        </w:tc>
        <w:tc>
          <w:tcPr>
            <w:tcW w:w="2268" w:type="dxa"/>
            <w:tcBorders>
              <w:top w:val="single" w:color="auto" w:sz="4" w:space="0"/>
              <w:left w:val="nil"/>
              <w:bottom w:val="single" w:color="auto" w:sz="4" w:space="0"/>
              <w:right w:val="single" w:color="auto" w:sz="4" w:space="0"/>
            </w:tcBorders>
            <w:noWrap w:val="0"/>
            <w:vAlign w:val="top"/>
          </w:tcPr>
          <w:p w14:paraId="454A9297">
            <w:pPr>
              <w:spacing w:line="360" w:lineRule="auto"/>
              <w:rPr>
                <w:rFonts w:hint="eastAsia" w:ascii="楷体" w:hAnsi="楷体" w:eastAsia="楷体" w:cs="楷体"/>
                <w:color w:val="auto"/>
                <w:kern w:val="2"/>
                <w:sz w:val="21"/>
                <w:szCs w:val="21"/>
                <w:highlight w:val="none"/>
              </w:rPr>
            </w:pPr>
          </w:p>
        </w:tc>
        <w:tc>
          <w:tcPr>
            <w:tcW w:w="2439" w:type="dxa"/>
            <w:tcBorders>
              <w:top w:val="single" w:color="auto" w:sz="4" w:space="0"/>
              <w:left w:val="nil"/>
              <w:bottom w:val="single" w:color="auto" w:sz="4" w:space="0"/>
              <w:right w:val="single" w:color="auto" w:sz="4" w:space="0"/>
            </w:tcBorders>
            <w:noWrap w:val="0"/>
            <w:vAlign w:val="top"/>
          </w:tcPr>
          <w:p w14:paraId="0DAAB7C1">
            <w:pPr>
              <w:spacing w:line="360" w:lineRule="auto"/>
              <w:rPr>
                <w:rFonts w:hint="eastAsia" w:ascii="楷体" w:hAnsi="楷体" w:eastAsia="楷体" w:cs="楷体"/>
                <w:color w:val="auto"/>
                <w:kern w:val="2"/>
                <w:sz w:val="21"/>
                <w:szCs w:val="21"/>
                <w:highlight w:val="none"/>
              </w:rPr>
            </w:pPr>
          </w:p>
        </w:tc>
        <w:tc>
          <w:tcPr>
            <w:tcW w:w="1263" w:type="dxa"/>
            <w:tcBorders>
              <w:top w:val="single" w:color="auto" w:sz="4" w:space="0"/>
              <w:left w:val="nil"/>
              <w:bottom w:val="single" w:color="auto" w:sz="4" w:space="0"/>
              <w:right w:val="single" w:color="auto" w:sz="4" w:space="0"/>
            </w:tcBorders>
            <w:noWrap w:val="0"/>
            <w:vAlign w:val="top"/>
          </w:tcPr>
          <w:p w14:paraId="4BB68B06">
            <w:pPr>
              <w:spacing w:line="360" w:lineRule="auto"/>
              <w:rPr>
                <w:rFonts w:hint="eastAsia" w:ascii="楷体" w:hAnsi="楷体" w:eastAsia="楷体" w:cs="楷体"/>
                <w:color w:val="auto"/>
                <w:kern w:val="2"/>
                <w:sz w:val="21"/>
                <w:szCs w:val="21"/>
                <w:highlight w:val="none"/>
              </w:rPr>
            </w:pPr>
          </w:p>
        </w:tc>
        <w:tc>
          <w:tcPr>
            <w:tcW w:w="861" w:type="dxa"/>
            <w:tcBorders>
              <w:top w:val="single" w:color="auto" w:sz="4" w:space="0"/>
              <w:left w:val="nil"/>
              <w:bottom w:val="single" w:color="auto" w:sz="4" w:space="0"/>
              <w:right w:val="single" w:color="auto" w:sz="4" w:space="0"/>
            </w:tcBorders>
            <w:noWrap w:val="0"/>
            <w:vAlign w:val="top"/>
          </w:tcPr>
          <w:p w14:paraId="2B552CA8">
            <w:pPr>
              <w:spacing w:line="360" w:lineRule="auto"/>
              <w:rPr>
                <w:rFonts w:hint="eastAsia" w:ascii="楷体" w:hAnsi="楷体" w:eastAsia="楷体" w:cs="楷体"/>
                <w:color w:val="auto"/>
                <w:kern w:val="2"/>
                <w:sz w:val="21"/>
                <w:szCs w:val="21"/>
                <w:highlight w:val="none"/>
              </w:rPr>
            </w:pPr>
          </w:p>
        </w:tc>
      </w:tr>
      <w:tr w14:paraId="5438837F">
        <w:tblPrEx>
          <w:tblCellMar>
            <w:top w:w="0" w:type="dxa"/>
            <w:left w:w="28" w:type="dxa"/>
            <w:bottom w:w="0" w:type="dxa"/>
            <w:right w:w="28" w:type="dxa"/>
          </w:tblCellMar>
        </w:tblPrEx>
        <w:trPr>
          <w:trHeight w:val="851" w:hRule="exact"/>
          <w:jc w:val="center"/>
        </w:trPr>
        <w:tc>
          <w:tcPr>
            <w:tcW w:w="737" w:type="dxa"/>
            <w:tcBorders>
              <w:top w:val="single" w:color="auto" w:sz="4" w:space="0"/>
              <w:left w:val="single" w:color="auto" w:sz="4" w:space="0"/>
              <w:bottom w:val="single" w:color="auto" w:sz="4" w:space="0"/>
              <w:right w:val="single" w:color="auto" w:sz="4" w:space="0"/>
            </w:tcBorders>
            <w:noWrap w:val="0"/>
            <w:vAlign w:val="top"/>
          </w:tcPr>
          <w:p w14:paraId="3F7B5E06">
            <w:pPr>
              <w:spacing w:line="360" w:lineRule="auto"/>
              <w:rPr>
                <w:rFonts w:hint="eastAsia" w:ascii="楷体" w:hAnsi="楷体" w:eastAsia="楷体" w:cs="楷体"/>
                <w:color w:val="auto"/>
                <w:kern w:val="2"/>
                <w:sz w:val="21"/>
                <w:szCs w:val="21"/>
                <w:highlight w:val="none"/>
              </w:rPr>
            </w:pPr>
          </w:p>
        </w:tc>
        <w:tc>
          <w:tcPr>
            <w:tcW w:w="1276" w:type="dxa"/>
            <w:tcBorders>
              <w:top w:val="single" w:color="auto" w:sz="4" w:space="0"/>
              <w:left w:val="nil"/>
              <w:bottom w:val="single" w:color="auto" w:sz="4" w:space="0"/>
              <w:right w:val="single" w:color="auto" w:sz="4" w:space="0"/>
            </w:tcBorders>
            <w:noWrap w:val="0"/>
            <w:vAlign w:val="top"/>
          </w:tcPr>
          <w:p w14:paraId="0523F53C">
            <w:pPr>
              <w:spacing w:line="360" w:lineRule="auto"/>
              <w:rPr>
                <w:rFonts w:hint="eastAsia" w:ascii="楷体" w:hAnsi="楷体" w:eastAsia="楷体" w:cs="楷体"/>
                <w:color w:val="auto"/>
                <w:kern w:val="2"/>
                <w:sz w:val="21"/>
                <w:szCs w:val="21"/>
                <w:highlight w:val="none"/>
              </w:rPr>
            </w:pPr>
          </w:p>
        </w:tc>
        <w:tc>
          <w:tcPr>
            <w:tcW w:w="2268" w:type="dxa"/>
            <w:tcBorders>
              <w:top w:val="single" w:color="auto" w:sz="4" w:space="0"/>
              <w:left w:val="nil"/>
              <w:bottom w:val="single" w:color="auto" w:sz="4" w:space="0"/>
              <w:right w:val="single" w:color="auto" w:sz="4" w:space="0"/>
            </w:tcBorders>
            <w:noWrap w:val="0"/>
            <w:vAlign w:val="top"/>
          </w:tcPr>
          <w:p w14:paraId="57551D63">
            <w:pPr>
              <w:spacing w:line="360" w:lineRule="auto"/>
              <w:rPr>
                <w:rFonts w:hint="eastAsia" w:ascii="楷体" w:hAnsi="楷体" w:eastAsia="楷体" w:cs="楷体"/>
                <w:color w:val="auto"/>
                <w:kern w:val="2"/>
                <w:sz w:val="21"/>
                <w:szCs w:val="21"/>
                <w:highlight w:val="none"/>
              </w:rPr>
            </w:pPr>
          </w:p>
        </w:tc>
        <w:tc>
          <w:tcPr>
            <w:tcW w:w="2439" w:type="dxa"/>
            <w:tcBorders>
              <w:top w:val="single" w:color="auto" w:sz="4" w:space="0"/>
              <w:left w:val="nil"/>
              <w:bottom w:val="single" w:color="auto" w:sz="4" w:space="0"/>
              <w:right w:val="single" w:color="auto" w:sz="4" w:space="0"/>
            </w:tcBorders>
            <w:noWrap w:val="0"/>
            <w:vAlign w:val="top"/>
          </w:tcPr>
          <w:p w14:paraId="3FCB78CC">
            <w:pPr>
              <w:spacing w:line="360" w:lineRule="auto"/>
              <w:rPr>
                <w:rFonts w:hint="eastAsia" w:ascii="楷体" w:hAnsi="楷体" w:eastAsia="楷体" w:cs="楷体"/>
                <w:color w:val="auto"/>
                <w:kern w:val="2"/>
                <w:sz w:val="21"/>
                <w:szCs w:val="21"/>
                <w:highlight w:val="none"/>
              </w:rPr>
            </w:pPr>
          </w:p>
        </w:tc>
        <w:tc>
          <w:tcPr>
            <w:tcW w:w="1263" w:type="dxa"/>
            <w:tcBorders>
              <w:top w:val="single" w:color="auto" w:sz="4" w:space="0"/>
              <w:left w:val="nil"/>
              <w:bottom w:val="single" w:color="auto" w:sz="4" w:space="0"/>
              <w:right w:val="single" w:color="auto" w:sz="4" w:space="0"/>
            </w:tcBorders>
            <w:noWrap w:val="0"/>
            <w:vAlign w:val="top"/>
          </w:tcPr>
          <w:p w14:paraId="186C4EFF">
            <w:pPr>
              <w:spacing w:line="360" w:lineRule="auto"/>
              <w:rPr>
                <w:rFonts w:hint="eastAsia" w:ascii="楷体" w:hAnsi="楷体" w:eastAsia="楷体" w:cs="楷体"/>
                <w:color w:val="auto"/>
                <w:kern w:val="2"/>
                <w:sz w:val="21"/>
                <w:szCs w:val="21"/>
                <w:highlight w:val="none"/>
              </w:rPr>
            </w:pPr>
          </w:p>
        </w:tc>
        <w:tc>
          <w:tcPr>
            <w:tcW w:w="861" w:type="dxa"/>
            <w:tcBorders>
              <w:top w:val="single" w:color="auto" w:sz="4" w:space="0"/>
              <w:left w:val="nil"/>
              <w:bottom w:val="single" w:color="auto" w:sz="4" w:space="0"/>
              <w:right w:val="single" w:color="auto" w:sz="4" w:space="0"/>
            </w:tcBorders>
            <w:noWrap w:val="0"/>
            <w:vAlign w:val="top"/>
          </w:tcPr>
          <w:p w14:paraId="713C5B3D">
            <w:pPr>
              <w:spacing w:line="360" w:lineRule="auto"/>
              <w:rPr>
                <w:rFonts w:hint="eastAsia" w:ascii="楷体" w:hAnsi="楷体" w:eastAsia="楷体" w:cs="楷体"/>
                <w:color w:val="auto"/>
                <w:kern w:val="2"/>
                <w:sz w:val="21"/>
                <w:szCs w:val="21"/>
                <w:highlight w:val="none"/>
              </w:rPr>
            </w:pPr>
          </w:p>
        </w:tc>
      </w:tr>
      <w:tr w14:paraId="68F6F5F7">
        <w:tblPrEx>
          <w:tblCellMar>
            <w:top w:w="0" w:type="dxa"/>
            <w:left w:w="28" w:type="dxa"/>
            <w:bottom w:w="0" w:type="dxa"/>
            <w:right w:w="28" w:type="dxa"/>
          </w:tblCellMar>
        </w:tblPrEx>
        <w:trPr>
          <w:trHeight w:val="851" w:hRule="exact"/>
          <w:jc w:val="center"/>
        </w:trPr>
        <w:tc>
          <w:tcPr>
            <w:tcW w:w="737" w:type="dxa"/>
            <w:tcBorders>
              <w:top w:val="single" w:color="auto" w:sz="4" w:space="0"/>
              <w:left w:val="single" w:color="auto" w:sz="4" w:space="0"/>
              <w:bottom w:val="single" w:color="auto" w:sz="4" w:space="0"/>
              <w:right w:val="single" w:color="auto" w:sz="4" w:space="0"/>
            </w:tcBorders>
            <w:noWrap w:val="0"/>
            <w:vAlign w:val="top"/>
          </w:tcPr>
          <w:p w14:paraId="6AA3E6BE">
            <w:pPr>
              <w:spacing w:line="360" w:lineRule="auto"/>
              <w:rPr>
                <w:rFonts w:hint="eastAsia" w:ascii="楷体" w:hAnsi="楷体" w:eastAsia="楷体" w:cs="楷体"/>
                <w:color w:val="auto"/>
                <w:kern w:val="2"/>
                <w:sz w:val="21"/>
                <w:szCs w:val="21"/>
                <w:highlight w:val="none"/>
              </w:rPr>
            </w:pPr>
          </w:p>
        </w:tc>
        <w:tc>
          <w:tcPr>
            <w:tcW w:w="1276" w:type="dxa"/>
            <w:tcBorders>
              <w:top w:val="single" w:color="auto" w:sz="4" w:space="0"/>
              <w:left w:val="nil"/>
              <w:bottom w:val="single" w:color="auto" w:sz="4" w:space="0"/>
              <w:right w:val="single" w:color="auto" w:sz="4" w:space="0"/>
            </w:tcBorders>
            <w:noWrap w:val="0"/>
            <w:vAlign w:val="top"/>
          </w:tcPr>
          <w:p w14:paraId="0F38C0AD">
            <w:pPr>
              <w:spacing w:line="360" w:lineRule="auto"/>
              <w:rPr>
                <w:rFonts w:hint="eastAsia" w:ascii="楷体" w:hAnsi="楷体" w:eastAsia="楷体" w:cs="楷体"/>
                <w:color w:val="auto"/>
                <w:kern w:val="2"/>
                <w:sz w:val="21"/>
                <w:szCs w:val="21"/>
                <w:highlight w:val="none"/>
              </w:rPr>
            </w:pPr>
          </w:p>
        </w:tc>
        <w:tc>
          <w:tcPr>
            <w:tcW w:w="2268" w:type="dxa"/>
            <w:tcBorders>
              <w:top w:val="single" w:color="auto" w:sz="4" w:space="0"/>
              <w:left w:val="nil"/>
              <w:bottom w:val="single" w:color="auto" w:sz="4" w:space="0"/>
              <w:right w:val="single" w:color="auto" w:sz="4" w:space="0"/>
            </w:tcBorders>
            <w:noWrap w:val="0"/>
            <w:vAlign w:val="top"/>
          </w:tcPr>
          <w:p w14:paraId="1EBEE376">
            <w:pPr>
              <w:spacing w:line="360" w:lineRule="auto"/>
              <w:rPr>
                <w:rFonts w:hint="eastAsia" w:ascii="楷体" w:hAnsi="楷体" w:eastAsia="楷体" w:cs="楷体"/>
                <w:color w:val="auto"/>
                <w:kern w:val="2"/>
                <w:sz w:val="21"/>
                <w:szCs w:val="21"/>
                <w:highlight w:val="none"/>
              </w:rPr>
            </w:pPr>
          </w:p>
        </w:tc>
        <w:tc>
          <w:tcPr>
            <w:tcW w:w="2439" w:type="dxa"/>
            <w:tcBorders>
              <w:top w:val="single" w:color="auto" w:sz="4" w:space="0"/>
              <w:left w:val="nil"/>
              <w:bottom w:val="single" w:color="auto" w:sz="4" w:space="0"/>
              <w:right w:val="single" w:color="auto" w:sz="4" w:space="0"/>
            </w:tcBorders>
            <w:noWrap w:val="0"/>
            <w:vAlign w:val="top"/>
          </w:tcPr>
          <w:p w14:paraId="3051566E">
            <w:pPr>
              <w:spacing w:line="360" w:lineRule="auto"/>
              <w:rPr>
                <w:rFonts w:hint="eastAsia" w:ascii="楷体" w:hAnsi="楷体" w:eastAsia="楷体" w:cs="楷体"/>
                <w:color w:val="auto"/>
                <w:kern w:val="2"/>
                <w:sz w:val="21"/>
                <w:szCs w:val="21"/>
                <w:highlight w:val="none"/>
              </w:rPr>
            </w:pPr>
          </w:p>
        </w:tc>
        <w:tc>
          <w:tcPr>
            <w:tcW w:w="1263" w:type="dxa"/>
            <w:tcBorders>
              <w:top w:val="single" w:color="auto" w:sz="4" w:space="0"/>
              <w:left w:val="nil"/>
              <w:bottom w:val="single" w:color="auto" w:sz="4" w:space="0"/>
              <w:right w:val="single" w:color="auto" w:sz="4" w:space="0"/>
            </w:tcBorders>
            <w:noWrap w:val="0"/>
            <w:vAlign w:val="top"/>
          </w:tcPr>
          <w:p w14:paraId="26AC5422">
            <w:pPr>
              <w:spacing w:line="360" w:lineRule="auto"/>
              <w:rPr>
                <w:rFonts w:hint="eastAsia" w:ascii="楷体" w:hAnsi="楷体" w:eastAsia="楷体" w:cs="楷体"/>
                <w:color w:val="auto"/>
                <w:kern w:val="2"/>
                <w:sz w:val="21"/>
                <w:szCs w:val="21"/>
                <w:highlight w:val="none"/>
              </w:rPr>
            </w:pPr>
          </w:p>
        </w:tc>
        <w:tc>
          <w:tcPr>
            <w:tcW w:w="861" w:type="dxa"/>
            <w:tcBorders>
              <w:top w:val="single" w:color="auto" w:sz="4" w:space="0"/>
              <w:left w:val="nil"/>
              <w:bottom w:val="single" w:color="auto" w:sz="4" w:space="0"/>
              <w:right w:val="single" w:color="auto" w:sz="4" w:space="0"/>
            </w:tcBorders>
            <w:noWrap w:val="0"/>
            <w:vAlign w:val="top"/>
          </w:tcPr>
          <w:p w14:paraId="69795F3A">
            <w:pPr>
              <w:spacing w:line="360" w:lineRule="auto"/>
              <w:rPr>
                <w:rFonts w:hint="eastAsia" w:ascii="楷体" w:hAnsi="楷体" w:eastAsia="楷体" w:cs="楷体"/>
                <w:color w:val="auto"/>
                <w:kern w:val="2"/>
                <w:sz w:val="21"/>
                <w:szCs w:val="21"/>
                <w:highlight w:val="none"/>
              </w:rPr>
            </w:pPr>
          </w:p>
        </w:tc>
      </w:tr>
      <w:tr w14:paraId="4938CBD8">
        <w:tblPrEx>
          <w:tblCellMar>
            <w:top w:w="0" w:type="dxa"/>
            <w:left w:w="28" w:type="dxa"/>
            <w:bottom w:w="0" w:type="dxa"/>
            <w:right w:w="28" w:type="dxa"/>
          </w:tblCellMar>
        </w:tblPrEx>
        <w:trPr>
          <w:trHeight w:val="851" w:hRule="exact"/>
          <w:jc w:val="center"/>
        </w:trPr>
        <w:tc>
          <w:tcPr>
            <w:tcW w:w="737" w:type="dxa"/>
            <w:tcBorders>
              <w:top w:val="single" w:color="auto" w:sz="4" w:space="0"/>
              <w:left w:val="single" w:color="auto" w:sz="4" w:space="0"/>
              <w:bottom w:val="single" w:color="auto" w:sz="4" w:space="0"/>
              <w:right w:val="single" w:color="auto" w:sz="4" w:space="0"/>
            </w:tcBorders>
            <w:noWrap w:val="0"/>
            <w:vAlign w:val="top"/>
          </w:tcPr>
          <w:p w14:paraId="58315B8D">
            <w:pPr>
              <w:spacing w:line="360" w:lineRule="auto"/>
              <w:rPr>
                <w:rFonts w:hint="eastAsia" w:ascii="楷体" w:hAnsi="楷体" w:eastAsia="楷体" w:cs="楷体"/>
                <w:color w:val="auto"/>
                <w:kern w:val="2"/>
                <w:sz w:val="21"/>
                <w:szCs w:val="21"/>
                <w:highlight w:val="none"/>
              </w:rPr>
            </w:pPr>
          </w:p>
        </w:tc>
        <w:tc>
          <w:tcPr>
            <w:tcW w:w="1276" w:type="dxa"/>
            <w:tcBorders>
              <w:top w:val="single" w:color="auto" w:sz="4" w:space="0"/>
              <w:left w:val="nil"/>
              <w:bottom w:val="single" w:color="auto" w:sz="4" w:space="0"/>
              <w:right w:val="single" w:color="auto" w:sz="4" w:space="0"/>
            </w:tcBorders>
            <w:noWrap w:val="0"/>
            <w:vAlign w:val="top"/>
          </w:tcPr>
          <w:p w14:paraId="1BFE27AF">
            <w:pPr>
              <w:spacing w:line="360" w:lineRule="auto"/>
              <w:rPr>
                <w:rFonts w:hint="eastAsia" w:ascii="楷体" w:hAnsi="楷体" w:eastAsia="楷体" w:cs="楷体"/>
                <w:color w:val="auto"/>
                <w:kern w:val="2"/>
                <w:sz w:val="21"/>
                <w:szCs w:val="21"/>
                <w:highlight w:val="none"/>
              </w:rPr>
            </w:pPr>
          </w:p>
        </w:tc>
        <w:tc>
          <w:tcPr>
            <w:tcW w:w="2268" w:type="dxa"/>
            <w:tcBorders>
              <w:top w:val="single" w:color="auto" w:sz="4" w:space="0"/>
              <w:left w:val="nil"/>
              <w:bottom w:val="single" w:color="auto" w:sz="4" w:space="0"/>
              <w:right w:val="single" w:color="auto" w:sz="4" w:space="0"/>
            </w:tcBorders>
            <w:noWrap w:val="0"/>
            <w:vAlign w:val="top"/>
          </w:tcPr>
          <w:p w14:paraId="4C64795F">
            <w:pPr>
              <w:spacing w:line="360" w:lineRule="auto"/>
              <w:rPr>
                <w:rFonts w:hint="eastAsia" w:ascii="楷体" w:hAnsi="楷体" w:eastAsia="楷体" w:cs="楷体"/>
                <w:color w:val="auto"/>
                <w:kern w:val="2"/>
                <w:sz w:val="21"/>
                <w:szCs w:val="21"/>
                <w:highlight w:val="none"/>
              </w:rPr>
            </w:pPr>
          </w:p>
        </w:tc>
        <w:tc>
          <w:tcPr>
            <w:tcW w:w="2439" w:type="dxa"/>
            <w:tcBorders>
              <w:top w:val="single" w:color="auto" w:sz="4" w:space="0"/>
              <w:left w:val="nil"/>
              <w:bottom w:val="single" w:color="auto" w:sz="4" w:space="0"/>
              <w:right w:val="single" w:color="auto" w:sz="4" w:space="0"/>
            </w:tcBorders>
            <w:noWrap w:val="0"/>
            <w:vAlign w:val="top"/>
          </w:tcPr>
          <w:p w14:paraId="4E19E7C7">
            <w:pPr>
              <w:spacing w:line="360" w:lineRule="auto"/>
              <w:rPr>
                <w:rFonts w:hint="eastAsia" w:ascii="楷体" w:hAnsi="楷体" w:eastAsia="楷体" w:cs="楷体"/>
                <w:color w:val="auto"/>
                <w:kern w:val="2"/>
                <w:sz w:val="21"/>
                <w:szCs w:val="21"/>
                <w:highlight w:val="none"/>
              </w:rPr>
            </w:pPr>
          </w:p>
        </w:tc>
        <w:tc>
          <w:tcPr>
            <w:tcW w:w="1263" w:type="dxa"/>
            <w:tcBorders>
              <w:top w:val="single" w:color="auto" w:sz="4" w:space="0"/>
              <w:left w:val="nil"/>
              <w:bottom w:val="single" w:color="auto" w:sz="4" w:space="0"/>
              <w:right w:val="single" w:color="auto" w:sz="4" w:space="0"/>
            </w:tcBorders>
            <w:noWrap w:val="0"/>
            <w:vAlign w:val="top"/>
          </w:tcPr>
          <w:p w14:paraId="4BE00CD1">
            <w:pPr>
              <w:spacing w:line="360" w:lineRule="auto"/>
              <w:rPr>
                <w:rFonts w:hint="eastAsia" w:ascii="楷体" w:hAnsi="楷体" w:eastAsia="楷体" w:cs="楷体"/>
                <w:color w:val="auto"/>
                <w:kern w:val="2"/>
                <w:sz w:val="21"/>
                <w:szCs w:val="21"/>
                <w:highlight w:val="none"/>
              </w:rPr>
            </w:pPr>
          </w:p>
        </w:tc>
        <w:tc>
          <w:tcPr>
            <w:tcW w:w="861" w:type="dxa"/>
            <w:tcBorders>
              <w:top w:val="single" w:color="auto" w:sz="4" w:space="0"/>
              <w:left w:val="nil"/>
              <w:bottom w:val="single" w:color="auto" w:sz="4" w:space="0"/>
              <w:right w:val="single" w:color="auto" w:sz="4" w:space="0"/>
            </w:tcBorders>
            <w:noWrap w:val="0"/>
            <w:vAlign w:val="top"/>
          </w:tcPr>
          <w:p w14:paraId="2BE43210">
            <w:pPr>
              <w:spacing w:line="360" w:lineRule="auto"/>
              <w:rPr>
                <w:rFonts w:hint="eastAsia" w:ascii="楷体" w:hAnsi="楷体" w:eastAsia="楷体" w:cs="楷体"/>
                <w:color w:val="auto"/>
                <w:kern w:val="2"/>
                <w:sz w:val="21"/>
                <w:szCs w:val="21"/>
                <w:highlight w:val="none"/>
              </w:rPr>
            </w:pPr>
          </w:p>
        </w:tc>
      </w:tr>
    </w:tbl>
    <w:p w14:paraId="03B7D834">
      <w:pPr>
        <w:widowControl/>
        <w:spacing w:line="360" w:lineRule="auto"/>
        <w:ind w:left="723" w:hanging="723" w:hangingChars="300"/>
        <w:jc w:val="left"/>
        <w:rPr>
          <w:rFonts w:hint="eastAsia" w:ascii="楷体" w:hAnsi="楷体" w:eastAsia="楷体" w:cs="楷体"/>
          <w:b/>
          <w:color w:val="auto"/>
          <w:szCs w:val="22"/>
          <w:highlight w:val="none"/>
          <w:lang w:eastAsia="zh-CN"/>
        </w:rPr>
      </w:pPr>
      <w:r>
        <w:rPr>
          <w:rFonts w:hint="eastAsia" w:ascii="楷体" w:hAnsi="楷体" w:eastAsia="楷体" w:cs="楷体"/>
          <w:b/>
          <w:color w:val="auto"/>
          <w:szCs w:val="22"/>
          <w:highlight w:val="none"/>
        </w:rPr>
        <w:t>注:1.</w:t>
      </w:r>
      <w:r>
        <w:rPr>
          <w:rFonts w:hint="eastAsia" w:ascii="楷体" w:hAnsi="楷体" w:eastAsia="楷体" w:cs="楷体"/>
          <w:b/>
          <w:color w:val="auto"/>
          <w:szCs w:val="22"/>
          <w:highlight w:val="none"/>
          <w:lang w:eastAsia="zh-CN"/>
        </w:rPr>
        <w:t>本表须对</w:t>
      </w:r>
      <w:r>
        <w:rPr>
          <w:rFonts w:hint="eastAsia" w:ascii="楷体" w:hAnsi="楷体" w:eastAsia="楷体" w:cs="楷体"/>
          <w:b/>
          <w:color w:val="auto"/>
          <w:szCs w:val="22"/>
          <w:highlight w:val="none"/>
          <w:lang w:val="en-US" w:eastAsia="zh-CN"/>
        </w:rPr>
        <w:t>磋商文件所有商务要求</w:t>
      </w:r>
      <w:r>
        <w:rPr>
          <w:rFonts w:hint="eastAsia" w:ascii="楷体" w:hAnsi="楷体" w:eastAsia="楷体" w:cs="楷体"/>
          <w:b/>
          <w:color w:val="auto"/>
          <w:szCs w:val="22"/>
          <w:highlight w:val="none"/>
          <w:lang w:eastAsia="zh-CN"/>
        </w:rPr>
        <w:t>进行响应。</w:t>
      </w:r>
    </w:p>
    <w:p w14:paraId="3BDD60C9">
      <w:pPr>
        <w:widowControl/>
        <w:spacing w:line="360" w:lineRule="auto"/>
        <w:jc w:val="left"/>
        <w:rPr>
          <w:rFonts w:hint="eastAsia" w:ascii="楷体" w:hAnsi="楷体" w:eastAsia="楷体" w:cs="楷体"/>
          <w:b/>
          <w:color w:val="auto"/>
          <w:szCs w:val="22"/>
          <w:highlight w:val="none"/>
        </w:rPr>
      </w:pPr>
      <w:r>
        <w:rPr>
          <w:rFonts w:hint="eastAsia" w:ascii="楷体" w:hAnsi="楷体" w:eastAsia="楷体" w:cs="楷体"/>
          <w:b/>
          <w:color w:val="auto"/>
          <w:szCs w:val="22"/>
          <w:highlight w:val="none"/>
          <w:lang w:val="en-US" w:eastAsia="zh-CN"/>
        </w:rPr>
        <w:t>2.</w:t>
      </w:r>
      <w:r>
        <w:rPr>
          <w:rFonts w:hint="eastAsia" w:ascii="楷体" w:hAnsi="楷体" w:eastAsia="楷体" w:cs="楷体"/>
          <w:b/>
          <w:color w:val="auto"/>
          <w:szCs w:val="22"/>
          <w:highlight w:val="none"/>
        </w:rPr>
        <w:t>本表只填写磋商响应文件中与磋商文件有偏离（包括正偏离和负偏离）的内容，磋商响应文件中</w:t>
      </w:r>
      <w:r>
        <w:rPr>
          <w:rFonts w:hint="eastAsia" w:ascii="楷体" w:hAnsi="楷体" w:eastAsia="楷体" w:cs="楷体"/>
          <w:b/>
          <w:color w:val="auto"/>
          <w:szCs w:val="22"/>
          <w:highlight w:val="none"/>
          <w:lang w:val="en-US" w:eastAsia="zh-CN"/>
        </w:rPr>
        <w:t>商务</w:t>
      </w:r>
      <w:r>
        <w:rPr>
          <w:rFonts w:hint="eastAsia" w:ascii="楷体" w:hAnsi="楷体" w:eastAsia="楷体" w:cs="楷体"/>
          <w:b/>
          <w:color w:val="auto"/>
          <w:szCs w:val="22"/>
          <w:highlight w:val="none"/>
        </w:rPr>
        <w:t>响应与磋商文件要求完全一致的，不用在此表中列出，但必须提交空白表。</w:t>
      </w:r>
    </w:p>
    <w:p w14:paraId="380E149D">
      <w:pPr>
        <w:widowControl/>
        <w:spacing w:line="360" w:lineRule="auto"/>
        <w:jc w:val="left"/>
        <w:rPr>
          <w:rFonts w:hint="eastAsia" w:ascii="楷体" w:hAnsi="楷体" w:eastAsia="楷体" w:cs="楷体"/>
          <w:b/>
          <w:color w:val="auto"/>
          <w:szCs w:val="24"/>
          <w:highlight w:val="none"/>
        </w:rPr>
      </w:pPr>
    </w:p>
    <w:p w14:paraId="5EF2B519">
      <w:pPr>
        <w:spacing w:line="360" w:lineRule="auto"/>
        <w:rPr>
          <w:rFonts w:hint="eastAsia" w:ascii="楷体" w:hAnsi="楷体" w:eastAsia="楷体" w:cs="楷体"/>
          <w:color w:val="auto"/>
          <w:kern w:val="2"/>
          <w:sz w:val="21"/>
          <w:szCs w:val="21"/>
          <w:highlight w:val="none"/>
        </w:rPr>
      </w:pPr>
    </w:p>
    <w:p w14:paraId="3702B385">
      <w:pPr>
        <w:spacing w:line="360" w:lineRule="auto"/>
        <w:rPr>
          <w:rFonts w:hint="eastAsia" w:ascii="楷体" w:hAnsi="楷体" w:eastAsia="楷体" w:cs="楷体"/>
          <w:color w:val="auto"/>
          <w:highlight w:val="none"/>
        </w:rPr>
      </w:pPr>
      <w:r>
        <w:rPr>
          <w:rFonts w:hint="eastAsia" w:ascii="楷体" w:hAnsi="楷体" w:eastAsia="楷体" w:cs="楷体"/>
          <w:color w:val="auto"/>
          <w:highlight w:val="none"/>
        </w:rPr>
        <w:t xml:space="preserve">供应商名称（公章）  ：          </w:t>
      </w:r>
    </w:p>
    <w:p w14:paraId="5DC64D98">
      <w:pPr>
        <w:spacing w:line="360" w:lineRule="auto"/>
        <w:jc w:val="left"/>
        <w:rPr>
          <w:rFonts w:hint="eastAsia" w:ascii="楷体" w:hAnsi="楷体" w:eastAsia="楷体" w:cs="楷体"/>
          <w:color w:val="auto"/>
          <w:highlight w:val="none"/>
        </w:rPr>
      </w:pPr>
      <w:r>
        <w:rPr>
          <w:rFonts w:hint="eastAsia" w:ascii="楷体" w:hAnsi="楷体" w:eastAsia="楷体" w:cs="楷体"/>
          <w:color w:val="auto"/>
          <w:highlight w:val="none"/>
        </w:rPr>
        <w:t>法定代表人/被授权人</w:t>
      </w:r>
      <w:r>
        <w:rPr>
          <w:rFonts w:hint="eastAsia" w:ascii="楷体" w:hAnsi="楷体" w:eastAsia="楷体" w:cs="楷体"/>
          <w:color w:val="auto"/>
          <w:spacing w:val="4"/>
          <w:szCs w:val="24"/>
          <w:highlight w:val="none"/>
        </w:rPr>
        <w:t>（签字或盖章）</w:t>
      </w:r>
      <w:r>
        <w:rPr>
          <w:rFonts w:hint="eastAsia" w:ascii="楷体" w:hAnsi="楷体" w:eastAsia="楷体" w:cs="楷体"/>
          <w:color w:val="auto"/>
          <w:highlight w:val="none"/>
        </w:rPr>
        <w:t>：</w:t>
      </w:r>
    </w:p>
    <w:p w14:paraId="331BE557">
      <w:pPr>
        <w:spacing w:line="360" w:lineRule="auto"/>
        <w:rPr>
          <w:rFonts w:hint="eastAsia" w:ascii="楷体" w:hAnsi="楷体" w:eastAsia="楷体" w:cs="楷体"/>
          <w:color w:val="auto"/>
          <w:highlight w:val="none"/>
        </w:rPr>
      </w:pPr>
      <w:r>
        <w:rPr>
          <w:rFonts w:hint="eastAsia" w:ascii="楷体" w:hAnsi="楷体" w:eastAsia="楷体" w:cs="楷体"/>
          <w:color w:val="auto"/>
          <w:szCs w:val="24"/>
          <w:highlight w:val="none"/>
        </w:rPr>
        <w:t>日    期：</w:t>
      </w:r>
    </w:p>
    <w:p w14:paraId="5B2FA058">
      <w:pPr>
        <w:spacing w:line="360" w:lineRule="auto"/>
        <w:ind w:firstLine="643" w:firstLineChars="200"/>
        <w:rPr>
          <w:rFonts w:hint="eastAsia" w:ascii="楷体" w:hAnsi="楷体" w:eastAsia="楷体" w:cs="楷体"/>
          <w:b/>
          <w:bCs/>
          <w:color w:val="auto"/>
          <w:kern w:val="2"/>
          <w:sz w:val="32"/>
          <w:szCs w:val="32"/>
          <w:highlight w:val="none"/>
        </w:rPr>
        <w:sectPr>
          <w:pgSz w:w="11906" w:h="16838"/>
          <w:pgMar w:top="1440" w:right="1800" w:bottom="1440" w:left="1800" w:header="851" w:footer="992" w:gutter="0"/>
          <w:pgNumType w:fmt="decimal"/>
          <w:cols w:space="720" w:num="1"/>
          <w:docGrid w:type="lines" w:linePitch="312" w:charSpace="0"/>
        </w:sectPr>
      </w:pPr>
    </w:p>
    <w:p w14:paraId="3CD1BFB6">
      <w:pPr>
        <w:spacing w:line="360" w:lineRule="auto"/>
        <w:jc w:val="left"/>
        <w:rPr>
          <w:rFonts w:hint="eastAsia" w:ascii="楷体" w:hAnsi="楷体" w:eastAsia="楷体" w:cs="楷体"/>
          <w:b/>
          <w:bCs/>
          <w:color w:val="auto"/>
          <w:sz w:val="28"/>
          <w:szCs w:val="28"/>
          <w:highlight w:val="none"/>
        </w:rPr>
      </w:pPr>
      <w:r>
        <w:rPr>
          <w:rFonts w:hint="eastAsia" w:ascii="楷体" w:hAnsi="楷体" w:eastAsia="楷体" w:cs="楷体"/>
          <w:b/>
          <w:bCs/>
          <w:color w:val="auto"/>
          <w:sz w:val="28"/>
          <w:szCs w:val="28"/>
          <w:highlight w:val="none"/>
        </w:rPr>
        <w:t>附件</w:t>
      </w:r>
      <w:r>
        <w:rPr>
          <w:rFonts w:hint="eastAsia" w:ascii="楷体" w:hAnsi="楷体" w:eastAsia="楷体" w:cs="楷体"/>
          <w:b/>
          <w:bCs/>
          <w:color w:val="auto"/>
          <w:sz w:val="28"/>
          <w:szCs w:val="28"/>
          <w:highlight w:val="none"/>
          <w:lang w:val="en-US" w:eastAsia="zh-CN"/>
        </w:rPr>
        <w:t>5</w:t>
      </w:r>
      <w:r>
        <w:rPr>
          <w:rFonts w:hint="eastAsia" w:ascii="楷体" w:hAnsi="楷体" w:eastAsia="楷体" w:cs="楷体"/>
          <w:b/>
          <w:bCs/>
          <w:color w:val="auto"/>
          <w:sz w:val="28"/>
          <w:szCs w:val="28"/>
          <w:highlight w:val="none"/>
        </w:rPr>
        <w:t>：</w:t>
      </w:r>
      <w:bookmarkEnd w:id="237"/>
      <w:bookmarkEnd w:id="238"/>
    </w:p>
    <w:p w14:paraId="743F39EE">
      <w:pPr>
        <w:pStyle w:val="25"/>
        <w:spacing w:line="360" w:lineRule="auto"/>
        <w:ind w:firstLine="0" w:firstLineChars="0"/>
        <w:jc w:val="center"/>
        <w:outlineLvl w:val="6"/>
        <w:rPr>
          <w:rFonts w:hint="eastAsia" w:ascii="楷体" w:hAnsi="楷体" w:eastAsia="楷体" w:cs="楷体"/>
          <w:color w:val="auto"/>
          <w:sz w:val="32"/>
          <w:szCs w:val="32"/>
          <w:highlight w:val="none"/>
        </w:rPr>
      </w:pPr>
      <w:bookmarkStart w:id="239" w:name="_Toc1530"/>
      <w:bookmarkStart w:id="240" w:name="_Toc13771"/>
      <w:bookmarkStart w:id="241" w:name="_Toc17717"/>
      <w:bookmarkStart w:id="242" w:name="_Toc7860"/>
      <w:bookmarkStart w:id="243" w:name="_Toc567"/>
      <w:bookmarkStart w:id="244" w:name="_Toc1330"/>
      <w:bookmarkStart w:id="245" w:name="_Toc7114"/>
      <w:bookmarkStart w:id="246" w:name="_Toc24116"/>
      <w:bookmarkStart w:id="247" w:name="_Toc375"/>
      <w:r>
        <w:rPr>
          <w:rFonts w:hint="eastAsia" w:ascii="楷体" w:hAnsi="楷体" w:eastAsia="楷体" w:cs="楷体"/>
          <w:color w:val="auto"/>
          <w:sz w:val="32"/>
          <w:szCs w:val="32"/>
          <w:highlight w:val="none"/>
        </w:rPr>
        <w:t>拟投入人员汇总表</w:t>
      </w:r>
      <w:bookmarkEnd w:id="239"/>
      <w:bookmarkEnd w:id="240"/>
      <w:bookmarkEnd w:id="241"/>
      <w:bookmarkEnd w:id="242"/>
      <w:bookmarkEnd w:id="243"/>
      <w:bookmarkEnd w:id="244"/>
      <w:bookmarkEnd w:id="245"/>
      <w:bookmarkEnd w:id="246"/>
      <w:bookmarkEnd w:id="247"/>
    </w:p>
    <w:p w14:paraId="7A3C7E4F">
      <w:pPr>
        <w:outlineLvl w:val="9"/>
        <w:rPr>
          <w:rFonts w:hint="eastAsia" w:ascii="楷体" w:hAnsi="楷体" w:eastAsia="楷体" w:cs="楷体"/>
          <w:color w:val="auto"/>
          <w:highlight w:val="none"/>
        </w:rPr>
      </w:pPr>
    </w:p>
    <w:tbl>
      <w:tblPr>
        <w:tblStyle w:val="17"/>
        <w:tblW w:w="0" w:type="auto"/>
        <w:tblInd w:w="-1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46"/>
        <w:gridCol w:w="1424"/>
        <w:gridCol w:w="1223"/>
        <w:gridCol w:w="992"/>
        <w:gridCol w:w="946"/>
        <w:gridCol w:w="1108"/>
        <w:gridCol w:w="2146"/>
      </w:tblGrid>
      <w:tr w14:paraId="765AA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01" w:hRule="atLeast"/>
          <w:tblHeader/>
        </w:trPr>
        <w:tc>
          <w:tcPr>
            <w:tcW w:w="746" w:type="dxa"/>
            <w:noWrap w:val="0"/>
            <w:tcMar>
              <w:top w:w="15" w:type="dxa"/>
              <w:left w:w="15" w:type="dxa"/>
              <w:bottom w:w="0" w:type="dxa"/>
              <w:right w:w="15" w:type="dxa"/>
            </w:tcMar>
            <w:vAlign w:val="center"/>
          </w:tcPr>
          <w:p w14:paraId="726E6E55">
            <w:pPr>
              <w:pStyle w:val="26"/>
              <w:spacing w:line="360" w:lineRule="auto"/>
              <w:ind w:left="0" w:leftChars="0"/>
              <w:outlineLvl w:val="9"/>
              <w:rPr>
                <w:rFonts w:hint="eastAsia" w:ascii="楷体" w:hAnsi="楷体" w:eastAsia="楷体" w:cs="楷体"/>
                <w:bCs/>
                <w:color w:val="auto"/>
                <w:szCs w:val="21"/>
                <w:highlight w:val="none"/>
              </w:rPr>
            </w:pPr>
            <w:r>
              <w:rPr>
                <w:rFonts w:hint="eastAsia" w:ascii="楷体" w:hAnsi="楷体" w:eastAsia="楷体" w:cs="楷体"/>
                <w:bCs/>
                <w:color w:val="auto"/>
                <w:szCs w:val="21"/>
                <w:highlight w:val="none"/>
              </w:rPr>
              <w:t>序号</w:t>
            </w:r>
          </w:p>
        </w:tc>
        <w:tc>
          <w:tcPr>
            <w:tcW w:w="1424" w:type="dxa"/>
            <w:noWrap w:val="0"/>
            <w:tcMar>
              <w:top w:w="15" w:type="dxa"/>
              <w:left w:w="15" w:type="dxa"/>
              <w:bottom w:w="0" w:type="dxa"/>
              <w:right w:w="15" w:type="dxa"/>
            </w:tcMar>
            <w:vAlign w:val="center"/>
          </w:tcPr>
          <w:p w14:paraId="29236386">
            <w:pPr>
              <w:pStyle w:val="26"/>
              <w:spacing w:line="360" w:lineRule="auto"/>
              <w:ind w:left="0" w:leftChars="0"/>
              <w:outlineLvl w:val="9"/>
              <w:rPr>
                <w:rFonts w:hint="eastAsia" w:ascii="楷体" w:hAnsi="楷体" w:eastAsia="楷体" w:cs="楷体"/>
                <w:bCs/>
                <w:color w:val="auto"/>
                <w:szCs w:val="21"/>
                <w:highlight w:val="none"/>
              </w:rPr>
            </w:pPr>
            <w:r>
              <w:rPr>
                <w:rFonts w:hint="eastAsia" w:ascii="楷体" w:hAnsi="楷体" w:eastAsia="楷体" w:cs="楷体"/>
                <w:bCs/>
                <w:color w:val="auto"/>
                <w:szCs w:val="21"/>
                <w:highlight w:val="none"/>
              </w:rPr>
              <w:t>姓  名</w:t>
            </w:r>
          </w:p>
        </w:tc>
        <w:tc>
          <w:tcPr>
            <w:tcW w:w="1223" w:type="dxa"/>
            <w:noWrap w:val="0"/>
            <w:tcMar>
              <w:top w:w="15" w:type="dxa"/>
              <w:left w:w="15" w:type="dxa"/>
              <w:bottom w:w="0" w:type="dxa"/>
              <w:right w:w="15" w:type="dxa"/>
            </w:tcMar>
            <w:vAlign w:val="center"/>
          </w:tcPr>
          <w:p w14:paraId="752EDDFD">
            <w:pPr>
              <w:pStyle w:val="26"/>
              <w:spacing w:line="360" w:lineRule="auto"/>
              <w:ind w:left="0" w:leftChars="0"/>
              <w:outlineLvl w:val="9"/>
              <w:rPr>
                <w:rFonts w:hint="eastAsia" w:ascii="楷体" w:hAnsi="楷体" w:eastAsia="楷体" w:cs="楷体"/>
                <w:bCs/>
                <w:color w:val="auto"/>
                <w:szCs w:val="21"/>
                <w:highlight w:val="none"/>
              </w:rPr>
            </w:pPr>
            <w:r>
              <w:rPr>
                <w:rFonts w:hint="eastAsia" w:ascii="楷体" w:hAnsi="楷体" w:eastAsia="楷体" w:cs="楷体"/>
                <w:bCs/>
                <w:color w:val="auto"/>
                <w:szCs w:val="21"/>
                <w:highlight w:val="none"/>
              </w:rPr>
              <w:t>性别</w:t>
            </w:r>
          </w:p>
        </w:tc>
        <w:tc>
          <w:tcPr>
            <w:tcW w:w="992" w:type="dxa"/>
            <w:noWrap w:val="0"/>
            <w:tcMar>
              <w:top w:w="15" w:type="dxa"/>
              <w:left w:w="15" w:type="dxa"/>
              <w:bottom w:w="0" w:type="dxa"/>
              <w:right w:w="15" w:type="dxa"/>
            </w:tcMar>
            <w:vAlign w:val="center"/>
          </w:tcPr>
          <w:p w14:paraId="5E34B544">
            <w:pPr>
              <w:pStyle w:val="26"/>
              <w:spacing w:line="360" w:lineRule="auto"/>
              <w:ind w:left="0" w:leftChars="0"/>
              <w:outlineLvl w:val="9"/>
              <w:rPr>
                <w:rFonts w:hint="eastAsia" w:ascii="楷体" w:hAnsi="楷体" w:eastAsia="楷体" w:cs="楷体"/>
                <w:bCs/>
                <w:color w:val="auto"/>
                <w:szCs w:val="21"/>
                <w:highlight w:val="none"/>
              </w:rPr>
            </w:pPr>
            <w:r>
              <w:rPr>
                <w:rFonts w:hint="eastAsia" w:ascii="楷体" w:hAnsi="楷体" w:eastAsia="楷体" w:cs="楷体"/>
                <w:bCs/>
                <w:color w:val="auto"/>
                <w:szCs w:val="21"/>
                <w:highlight w:val="none"/>
              </w:rPr>
              <w:t>年龄</w:t>
            </w:r>
          </w:p>
        </w:tc>
        <w:tc>
          <w:tcPr>
            <w:tcW w:w="946" w:type="dxa"/>
            <w:noWrap w:val="0"/>
            <w:tcMar>
              <w:top w:w="15" w:type="dxa"/>
              <w:left w:w="15" w:type="dxa"/>
              <w:bottom w:w="0" w:type="dxa"/>
              <w:right w:w="15" w:type="dxa"/>
            </w:tcMar>
            <w:vAlign w:val="center"/>
          </w:tcPr>
          <w:p w14:paraId="1C2C3093">
            <w:pPr>
              <w:pStyle w:val="26"/>
              <w:spacing w:line="360" w:lineRule="auto"/>
              <w:ind w:left="0" w:leftChars="0"/>
              <w:outlineLvl w:val="9"/>
              <w:rPr>
                <w:rFonts w:hint="eastAsia" w:ascii="楷体" w:hAnsi="楷体" w:eastAsia="楷体" w:cs="楷体"/>
                <w:bCs/>
                <w:color w:val="auto"/>
                <w:szCs w:val="21"/>
                <w:highlight w:val="none"/>
              </w:rPr>
            </w:pPr>
            <w:r>
              <w:rPr>
                <w:rFonts w:hint="eastAsia" w:ascii="楷体" w:hAnsi="楷体" w:eastAsia="楷体" w:cs="楷体"/>
                <w:bCs/>
                <w:color w:val="auto"/>
                <w:szCs w:val="21"/>
                <w:highlight w:val="none"/>
              </w:rPr>
              <w:t>学历</w:t>
            </w:r>
          </w:p>
        </w:tc>
        <w:tc>
          <w:tcPr>
            <w:tcW w:w="1108" w:type="dxa"/>
            <w:noWrap w:val="0"/>
            <w:tcMar>
              <w:top w:w="15" w:type="dxa"/>
              <w:left w:w="15" w:type="dxa"/>
              <w:bottom w:w="0" w:type="dxa"/>
              <w:right w:w="15" w:type="dxa"/>
            </w:tcMar>
            <w:vAlign w:val="center"/>
          </w:tcPr>
          <w:p w14:paraId="4B3B8CA8">
            <w:pPr>
              <w:pStyle w:val="26"/>
              <w:spacing w:line="360" w:lineRule="auto"/>
              <w:ind w:left="0" w:leftChars="0"/>
              <w:outlineLvl w:val="9"/>
              <w:rPr>
                <w:rFonts w:hint="eastAsia" w:ascii="楷体" w:hAnsi="楷体" w:eastAsia="楷体" w:cs="楷体"/>
                <w:bCs/>
                <w:color w:val="auto"/>
                <w:szCs w:val="21"/>
                <w:highlight w:val="none"/>
              </w:rPr>
            </w:pPr>
            <w:r>
              <w:rPr>
                <w:rFonts w:hint="eastAsia" w:ascii="楷体" w:hAnsi="楷体" w:eastAsia="楷体" w:cs="楷体"/>
                <w:bCs/>
                <w:color w:val="auto"/>
                <w:szCs w:val="21"/>
                <w:highlight w:val="none"/>
              </w:rPr>
              <w:t>工作</w:t>
            </w:r>
          </w:p>
          <w:p w14:paraId="330EAE80">
            <w:pPr>
              <w:pStyle w:val="26"/>
              <w:spacing w:line="360" w:lineRule="auto"/>
              <w:ind w:left="0" w:leftChars="0"/>
              <w:outlineLvl w:val="9"/>
              <w:rPr>
                <w:rFonts w:hint="eastAsia" w:ascii="楷体" w:hAnsi="楷体" w:eastAsia="楷体" w:cs="楷体"/>
                <w:bCs/>
                <w:color w:val="auto"/>
                <w:szCs w:val="21"/>
                <w:highlight w:val="none"/>
              </w:rPr>
            </w:pPr>
            <w:r>
              <w:rPr>
                <w:rFonts w:hint="eastAsia" w:ascii="楷体" w:hAnsi="楷体" w:eastAsia="楷体" w:cs="楷体"/>
                <w:bCs/>
                <w:color w:val="auto"/>
                <w:szCs w:val="21"/>
                <w:highlight w:val="none"/>
              </w:rPr>
              <w:t>年限</w:t>
            </w:r>
          </w:p>
        </w:tc>
        <w:tc>
          <w:tcPr>
            <w:tcW w:w="2146" w:type="dxa"/>
            <w:noWrap w:val="0"/>
            <w:tcMar>
              <w:top w:w="15" w:type="dxa"/>
              <w:left w:w="15" w:type="dxa"/>
              <w:bottom w:w="0" w:type="dxa"/>
              <w:right w:w="15" w:type="dxa"/>
            </w:tcMar>
            <w:vAlign w:val="center"/>
          </w:tcPr>
          <w:p w14:paraId="6BCE91F4">
            <w:pPr>
              <w:pStyle w:val="26"/>
              <w:spacing w:line="360" w:lineRule="auto"/>
              <w:ind w:left="0" w:leftChars="0"/>
              <w:outlineLvl w:val="9"/>
              <w:rPr>
                <w:rFonts w:hint="eastAsia" w:ascii="楷体" w:hAnsi="楷体" w:eastAsia="楷体" w:cs="楷体"/>
                <w:bCs/>
                <w:color w:val="auto"/>
                <w:szCs w:val="21"/>
                <w:highlight w:val="none"/>
              </w:rPr>
            </w:pPr>
            <w:r>
              <w:rPr>
                <w:rFonts w:hint="eastAsia" w:ascii="楷体" w:hAnsi="楷体" w:eastAsia="楷体" w:cs="楷体"/>
                <w:bCs/>
                <w:color w:val="auto"/>
                <w:szCs w:val="21"/>
                <w:highlight w:val="none"/>
              </w:rPr>
              <w:t>拟担任的职务</w:t>
            </w:r>
          </w:p>
        </w:tc>
      </w:tr>
      <w:tr w14:paraId="40ED5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atLeast"/>
        </w:trPr>
        <w:tc>
          <w:tcPr>
            <w:tcW w:w="746" w:type="dxa"/>
            <w:noWrap w:val="0"/>
            <w:tcMar>
              <w:top w:w="15" w:type="dxa"/>
              <w:left w:w="15" w:type="dxa"/>
              <w:bottom w:w="0" w:type="dxa"/>
              <w:right w:w="15" w:type="dxa"/>
            </w:tcMar>
            <w:vAlign w:val="bottom"/>
          </w:tcPr>
          <w:p w14:paraId="22F88F74">
            <w:pPr>
              <w:pStyle w:val="26"/>
              <w:spacing w:line="360" w:lineRule="auto"/>
              <w:ind w:left="0" w:leftChars="0" w:firstLine="480" w:firstLineChars="200"/>
              <w:jc w:val="both"/>
              <w:outlineLvl w:val="9"/>
              <w:rPr>
                <w:rFonts w:hint="eastAsia" w:ascii="楷体" w:hAnsi="楷体" w:eastAsia="楷体" w:cs="楷体"/>
                <w:color w:val="auto"/>
                <w:szCs w:val="21"/>
                <w:highlight w:val="none"/>
              </w:rPr>
            </w:pPr>
          </w:p>
        </w:tc>
        <w:tc>
          <w:tcPr>
            <w:tcW w:w="1424" w:type="dxa"/>
            <w:noWrap w:val="0"/>
            <w:tcMar>
              <w:top w:w="15" w:type="dxa"/>
              <w:left w:w="15" w:type="dxa"/>
              <w:bottom w:w="0" w:type="dxa"/>
              <w:right w:w="15" w:type="dxa"/>
            </w:tcMar>
            <w:vAlign w:val="bottom"/>
          </w:tcPr>
          <w:p w14:paraId="64061F1E">
            <w:pPr>
              <w:pStyle w:val="26"/>
              <w:spacing w:line="360" w:lineRule="auto"/>
              <w:ind w:left="0" w:leftChars="0" w:firstLine="480" w:firstLineChars="200"/>
              <w:jc w:val="both"/>
              <w:outlineLvl w:val="9"/>
              <w:rPr>
                <w:rFonts w:hint="eastAsia" w:ascii="楷体" w:hAnsi="楷体" w:eastAsia="楷体" w:cs="楷体"/>
                <w:color w:val="auto"/>
                <w:szCs w:val="21"/>
                <w:highlight w:val="none"/>
              </w:rPr>
            </w:pPr>
          </w:p>
        </w:tc>
        <w:tc>
          <w:tcPr>
            <w:tcW w:w="1223" w:type="dxa"/>
            <w:noWrap w:val="0"/>
            <w:tcMar>
              <w:top w:w="15" w:type="dxa"/>
              <w:left w:w="15" w:type="dxa"/>
              <w:bottom w:w="0" w:type="dxa"/>
              <w:right w:w="15" w:type="dxa"/>
            </w:tcMar>
            <w:vAlign w:val="bottom"/>
          </w:tcPr>
          <w:p w14:paraId="789A159A">
            <w:pPr>
              <w:pStyle w:val="26"/>
              <w:spacing w:line="360" w:lineRule="auto"/>
              <w:ind w:left="0" w:leftChars="0" w:firstLine="480" w:firstLineChars="200"/>
              <w:jc w:val="both"/>
              <w:outlineLvl w:val="9"/>
              <w:rPr>
                <w:rFonts w:hint="eastAsia" w:ascii="楷体" w:hAnsi="楷体" w:eastAsia="楷体" w:cs="楷体"/>
                <w:color w:val="auto"/>
                <w:szCs w:val="21"/>
                <w:highlight w:val="none"/>
              </w:rPr>
            </w:pPr>
          </w:p>
        </w:tc>
        <w:tc>
          <w:tcPr>
            <w:tcW w:w="992" w:type="dxa"/>
            <w:noWrap w:val="0"/>
            <w:tcMar>
              <w:top w:w="15" w:type="dxa"/>
              <w:left w:w="15" w:type="dxa"/>
              <w:bottom w:w="0" w:type="dxa"/>
              <w:right w:w="15" w:type="dxa"/>
            </w:tcMar>
            <w:vAlign w:val="bottom"/>
          </w:tcPr>
          <w:p w14:paraId="2D9DD411">
            <w:pPr>
              <w:pStyle w:val="26"/>
              <w:spacing w:line="360" w:lineRule="auto"/>
              <w:ind w:left="0" w:leftChars="0" w:firstLine="480" w:firstLineChars="200"/>
              <w:jc w:val="both"/>
              <w:outlineLvl w:val="9"/>
              <w:rPr>
                <w:rFonts w:hint="eastAsia" w:ascii="楷体" w:hAnsi="楷体" w:eastAsia="楷体" w:cs="楷体"/>
                <w:color w:val="auto"/>
                <w:szCs w:val="21"/>
                <w:highlight w:val="none"/>
              </w:rPr>
            </w:pPr>
          </w:p>
        </w:tc>
        <w:tc>
          <w:tcPr>
            <w:tcW w:w="946" w:type="dxa"/>
            <w:noWrap w:val="0"/>
            <w:tcMar>
              <w:top w:w="15" w:type="dxa"/>
              <w:left w:w="15" w:type="dxa"/>
              <w:bottom w:w="0" w:type="dxa"/>
              <w:right w:w="15" w:type="dxa"/>
            </w:tcMar>
            <w:vAlign w:val="bottom"/>
          </w:tcPr>
          <w:p w14:paraId="4AE0DACD">
            <w:pPr>
              <w:pStyle w:val="26"/>
              <w:spacing w:line="360" w:lineRule="auto"/>
              <w:ind w:left="0" w:leftChars="0" w:firstLine="480" w:firstLineChars="200"/>
              <w:jc w:val="both"/>
              <w:outlineLvl w:val="9"/>
              <w:rPr>
                <w:rFonts w:hint="eastAsia" w:ascii="楷体" w:hAnsi="楷体" w:eastAsia="楷体" w:cs="楷体"/>
                <w:color w:val="auto"/>
                <w:szCs w:val="21"/>
                <w:highlight w:val="none"/>
              </w:rPr>
            </w:pPr>
          </w:p>
        </w:tc>
        <w:tc>
          <w:tcPr>
            <w:tcW w:w="1108" w:type="dxa"/>
            <w:noWrap w:val="0"/>
            <w:tcMar>
              <w:top w:w="15" w:type="dxa"/>
              <w:left w:w="15" w:type="dxa"/>
              <w:bottom w:w="0" w:type="dxa"/>
              <w:right w:w="15" w:type="dxa"/>
            </w:tcMar>
            <w:vAlign w:val="bottom"/>
          </w:tcPr>
          <w:p w14:paraId="1E9DA687">
            <w:pPr>
              <w:pStyle w:val="26"/>
              <w:spacing w:line="360" w:lineRule="auto"/>
              <w:ind w:left="0" w:leftChars="0" w:firstLine="480" w:firstLineChars="200"/>
              <w:jc w:val="both"/>
              <w:outlineLvl w:val="9"/>
              <w:rPr>
                <w:rFonts w:hint="eastAsia" w:ascii="楷体" w:hAnsi="楷体" w:eastAsia="楷体" w:cs="楷体"/>
                <w:color w:val="auto"/>
                <w:szCs w:val="21"/>
                <w:highlight w:val="none"/>
              </w:rPr>
            </w:pPr>
          </w:p>
        </w:tc>
        <w:tc>
          <w:tcPr>
            <w:tcW w:w="2146" w:type="dxa"/>
            <w:noWrap w:val="0"/>
            <w:tcMar>
              <w:top w:w="15" w:type="dxa"/>
              <w:left w:w="15" w:type="dxa"/>
              <w:bottom w:w="0" w:type="dxa"/>
              <w:right w:w="15" w:type="dxa"/>
            </w:tcMar>
            <w:vAlign w:val="bottom"/>
          </w:tcPr>
          <w:p w14:paraId="7E888B98">
            <w:pPr>
              <w:pStyle w:val="26"/>
              <w:spacing w:line="360" w:lineRule="auto"/>
              <w:ind w:left="0" w:leftChars="0" w:firstLine="480" w:firstLineChars="200"/>
              <w:jc w:val="both"/>
              <w:outlineLvl w:val="9"/>
              <w:rPr>
                <w:rFonts w:hint="eastAsia" w:ascii="楷体" w:hAnsi="楷体" w:eastAsia="楷体" w:cs="楷体"/>
                <w:color w:val="auto"/>
                <w:szCs w:val="21"/>
                <w:highlight w:val="none"/>
              </w:rPr>
            </w:pPr>
          </w:p>
        </w:tc>
      </w:tr>
      <w:tr w14:paraId="3742F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atLeast"/>
        </w:trPr>
        <w:tc>
          <w:tcPr>
            <w:tcW w:w="746" w:type="dxa"/>
            <w:noWrap w:val="0"/>
            <w:tcMar>
              <w:top w:w="15" w:type="dxa"/>
              <w:left w:w="15" w:type="dxa"/>
              <w:bottom w:w="0" w:type="dxa"/>
              <w:right w:w="15" w:type="dxa"/>
            </w:tcMar>
            <w:vAlign w:val="bottom"/>
          </w:tcPr>
          <w:p w14:paraId="241A95F6">
            <w:pPr>
              <w:pStyle w:val="26"/>
              <w:spacing w:line="360" w:lineRule="auto"/>
              <w:ind w:left="0" w:leftChars="0" w:firstLine="480" w:firstLineChars="200"/>
              <w:jc w:val="both"/>
              <w:outlineLvl w:val="9"/>
              <w:rPr>
                <w:rFonts w:hint="eastAsia" w:ascii="楷体" w:hAnsi="楷体" w:eastAsia="楷体" w:cs="楷体"/>
                <w:color w:val="auto"/>
                <w:szCs w:val="21"/>
                <w:highlight w:val="none"/>
              </w:rPr>
            </w:pPr>
          </w:p>
        </w:tc>
        <w:tc>
          <w:tcPr>
            <w:tcW w:w="1424" w:type="dxa"/>
            <w:noWrap w:val="0"/>
            <w:tcMar>
              <w:top w:w="15" w:type="dxa"/>
              <w:left w:w="15" w:type="dxa"/>
              <w:bottom w:w="0" w:type="dxa"/>
              <w:right w:w="15" w:type="dxa"/>
            </w:tcMar>
            <w:vAlign w:val="bottom"/>
          </w:tcPr>
          <w:p w14:paraId="507C6ED6">
            <w:pPr>
              <w:pStyle w:val="26"/>
              <w:spacing w:line="360" w:lineRule="auto"/>
              <w:ind w:left="0" w:leftChars="0" w:firstLine="480" w:firstLineChars="200"/>
              <w:jc w:val="both"/>
              <w:outlineLvl w:val="9"/>
              <w:rPr>
                <w:rFonts w:hint="eastAsia" w:ascii="楷体" w:hAnsi="楷体" w:eastAsia="楷体" w:cs="楷体"/>
                <w:color w:val="auto"/>
                <w:szCs w:val="21"/>
                <w:highlight w:val="none"/>
              </w:rPr>
            </w:pPr>
          </w:p>
        </w:tc>
        <w:tc>
          <w:tcPr>
            <w:tcW w:w="1223" w:type="dxa"/>
            <w:noWrap w:val="0"/>
            <w:tcMar>
              <w:top w:w="15" w:type="dxa"/>
              <w:left w:w="15" w:type="dxa"/>
              <w:bottom w:w="0" w:type="dxa"/>
              <w:right w:w="15" w:type="dxa"/>
            </w:tcMar>
            <w:vAlign w:val="bottom"/>
          </w:tcPr>
          <w:p w14:paraId="17E6D8A7">
            <w:pPr>
              <w:pStyle w:val="26"/>
              <w:spacing w:line="360" w:lineRule="auto"/>
              <w:ind w:left="0" w:leftChars="0" w:firstLine="480" w:firstLineChars="200"/>
              <w:jc w:val="both"/>
              <w:outlineLvl w:val="9"/>
              <w:rPr>
                <w:rFonts w:hint="eastAsia" w:ascii="楷体" w:hAnsi="楷体" w:eastAsia="楷体" w:cs="楷体"/>
                <w:color w:val="auto"/>
                <w:szCs w:val="21"/>
                <w:highlight w:val="none"/>
              </w:rPr>
            </w:pPr>
          </w:p>
        </w:tc>
        <w:tc>
          <w:tcPr>
            <w:tcW w:w="992" w:type="dxa"/>
            <w:noWrap w:val="0"/>
            <w:tcMar>
              <w:top w:w="15" w:type="dxa"/>
              <w:left w:w="15" w:type="dxa"/>
              <w:bottom w:w="0" w:type="dxa"/>
              <w:right w:w="15" w:type="dxa"/>
            </w:tcMar>
            <w:vAlign w:val="bottom"/>
          </w:tcPr>
          <w:p w14:paraId="40E1A696">
            <w:pPr>
              <w:pStyle w:val="26"/>
              <w:spacing w:line="360" w:lineRule="auto"/>
              <w:ind w:left="0" w:leftChars="0" w:firstLine="480" w:firstLineChars="200"/>
              <w:jc w:val="both"/>
              <w:outlineLvl w:val="9"/>
              <w:rPr>
                <w:rFonts w:hint="eastAsia" w:ascii="楷体" w:hAnsi="楷体" w:eastAsia="楷体" w:cs="楷体"/>
                <w:color w:val="auto"/>
                <w:szCs w:val="21"/>
                <w:highlight w:val="none"/>
              </w:rPr>
            </w:pPr>
          </w:p>
        </w:tc>
        <w:tc>
          <w:tcPr>
            <w:tcW w:w="946" w:type="dxa"/>
            <w:noWrap w:val="0"/>
            <w:tcMar>
              <w:top w:w="15" w:type="dxa"/>
              <w:left w:w="15" w:type="dxa"/>
              <w:bottom w:w="0" w:type="dxa"/>
              <w:right w:w="15" w:type="dxa"/>
            </w:tcMar>
            <w:vAlign w:val="bottom"/>
          </w:tcPr>
          <w:p w14:paraId="259A1C18">
            <w:pPr>
              <w:pStyle w:val="26"/>
              <w:spacing w:line="360" w:lineRule="auto"/>
              <w:ind w:left="0" w:leftChars="0" w:firstLine="480" w:firstLineChars="200"/>
              <w:jc w:val="both"/>
              <w:outlineLvl w:val="9"/>
              <w:rPr>
                <w:rFonts w:hint="eastAsia" w:ascii="楷体" w:hAnsi="楷体" w:eastAsia="楷体" w:cs="楷体"/>
                <w:color w:val="auto"/>
                <w:szCs w:val="21"/>
                <w:highlight w:val="none"/>
              </w:rPr>
            </w:pPr>
          </w:p>
        </w:tc>
        <w:tc>
          <w:tcPr>
            <w:tcW w:w="1108" w:type="dxa"/>
            <w:noWrap w:val="0"/>
            <w:tcMar>
              <w:top w:w="15" w:type="dxa"/>
              <w:left w:w="15" w:type="dxa"/>
              <w:bottom w:w="0" w:type="dxa"/>
              <w:right w:w="15" w:type="dxa"/>
            </w:tcMar>
            <w:vAlign w:val="bottom"/>
          </w:tcPr>
          <w:p w14:paraId="03435F7E">
            <w:pPr>
              <w:pStyle w:val="26"/>
              <w:spacing w:line="360" w:lineRule="auto"/>
              <w:ind w:left="0" w:leftChars="0" w:firstLine="480" w:firstLineChars="200"/>
              <w:jc w:val="both"/>
              <w:outlineLvl w:val="9"/>
              <w:rPr>
                <w:rFonts w:hint="eastAsia" w:ascii="楷体" w:hAnsi="楷体" w:eastAsia="楷体" w:cs="楷体"/>
                <w:color w:val="auto"/>
                <w:szCs w:val="21"/>
                <w:highlight w:val="none"/>
              </w:rPr>
            </w:pPr>
          </w:p>
        </w:tc>
        <w:tc>
          <w:tcPr>
            <w:tcW w:w="2146" w:type="dxa"/>
            <w:noWrap w:val="0"/>
            <w:tcMar>
              <w:top w:w="15" w:type="dxa"/>
              <w:left w:w="15" w:type="dxa"/>
              <w:bottom w:w="0" w:type="dxa"/>
              <w:right w:w="15" w:type="dxa"/>
            </w:tcMar>
            <w:vAlign w:val="bottom"/>
          </w:tcPr>
          <w:p w14:paraId="1BEADEBC">
            <w:pPr>
              <w:pStyle w:val="26"/>
              <w:spacing w:line="360" w:lineRule="auto"/>
              <w:ind w:left="0" w:leftChars="0" w:firstLine="480" w:firstLineChars="200"/>
              <w:jc w:val="both"/>
              <w:outlineLvl w:val="9"/>
              <w:rPr>
                <w:rFonts w:hint="eastAsia" w:ascii="楷体" w:hAnsi="楷体" w:eastAsia="楷体" w:cs="楷体"/>
                <w:color w:val="auto"/>
                <w:szCs w:val="21"/>
                <w:highlight w:val="none"/>
              </w:rPr>
            </w:pPr>
          </w:p>
        </w:tc>
      </w:tr>
      <w:tr w14:paraId="2656C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08" w:hRule="atLeast"/>
        </w:trPr>
        <w:tc>
          <w:tcPr>
            <w:tcW w:w="746" w:type="dxa"/>
            <w:noWrap w:val="0"/>
            <w:tcMar>
              <w:top w:w="15" w:type="dxa"/>
              <w:left w:w="15" w:type="dxa"/>
              <w:bottom w:w="0" w:type="dxa"/>
              <w:right w:w="15" w:type="dxa"/>
            </w:tcMar>
            <w:vAlign w:val="bottom"/>
          </w:tcPr>
          <w:p w14:paraId="1238ECF2">
            <w:pPr>
              <w:pStyle w:val="26"/>
              <w:spacing w:line="360" w:lineRule="auto"/>
              <w:ind w:left="0" w:leftChars="0" w:firstLine="480" w:firstLineChars="200"/>
              <w:jc w:val="both"/>
              <w:outlineLvl w:val="9"/>
              <w:rPr>
                <w:rFonts w:hint="eastAsia" w:ascii="楷体" w:hAnsi="楷体" w:eastAsia="楷体" w:cs="楷体"/>
                <w:color w:val="auto"/>
                <w:szCs w:val="21"/>
                <w:highlight w:val="none"/>
              </w:rPr>
            </w:pPr>
          </w:p>
        </w:tc>
        <w:tc>
          <w:tcPr>
            <w:tcW w:w="1424" w:type="dxa"/>
            <w:noWrap w:val="0"/>
            <w:tcMar>
              <w:top w:w="15" w:type="dxa"/>
              <w:left w:w="15" w:type="dxa"/>
              <w:bottom w:w="0" w:type="dxa"/>
              <w:right w:w="15" w:type="dxa"/>
            </w:tcMar>
            <w:vAlign w:val="bottom"/>
          </w:tcPr>
          <w:p w14:paraId="7227539F">
            <w:pPr>
              <w:pStyle w:val="26"/>
              <w:spacing w:line="360" w:lineRule="auto"/>
              <w:ind w:left="0" w:leftChars="0" w:firstLine="480" w:firstLineChars="200"/>
              <w:jc w:val="both"/>
              <w:outlineLvl w:val="9"/>
              <w:rPr>
                <w:rFonts w:hint="eastAsia" w:ascii="楷体" w:hAnsi="楷体" w:eastAsia="楷体" w:cs="楷体"/>
                <w:color w:val="auto"/>
                <w:szCs w:val="21"/>
                <w:highlight w:val="none"/>
              </w:rPr>
            </w:pPr>
          </w:p>
        </w:tc>
        <w:tc>
          <w:tcPr>
            <w:tcW w:w="1223" w:type="dxa"/>
            <w:noWrap w:val="0"/>
            <w:tcMar>
              <w:top w:w="15" w:type="dxa"/>
              <w:left w:w="15" w:type="dxa"/>
              <w:bottom w:w="0" w:type="dxa"/>
              <w:right w:w="15" w:type="dxa"/>
            </w:tcMar>
            <w:vAlign w:val="bottom"/>
          </w:tcPr>
          <w:p w14:paraId="6407CAE9">
            <w:pPr>
              <w:pStyle w:val="26"/>
              <w:spacing w:line="360" w:lineRule="auto"/>
              <w:ind w:left="0" w:leftChars="0" w:firstLine="480" w:firstLineChars="200"/>
              <w:jc w:val="both"/>
              <w:outlineLvl w:val="9"/>
              <w:rPr>
                <w:rFonts w:hint="eastAsia" w:ascii="楷体" w:hAnsi="楷体" w:eastAsia="楷体" w:cs="楷体"/>
                <w:color w:val="auto"/>
                <w:szCs w:val="21"/>
                <w:highlight w:val="none"/>
              </w:rPr>
            </w:pPr>
          </w:p>
        </w:tc>
        <w:tc>
          <w:tcPr>
            <w:tcW w:w="992" w:type="dxa"/>
            <w:noWrap w:val="0"/>
            <w:tcMar>
              <w:top w:w="15" w:type="dxa"/>
              <w:left w:w="15" w:type="dxa"/>
              <w:bottom w:w="0" w:type="dxa"/>
              <w:right w:w="15" w:type="dxa"/>
            </w:tcMar>
            <w:vAlign w:val="bottom"/>
          </w:tcPr>
          <w:p w14:paraId="0281CB24">
            <w:pPr>
              <w:pStyle w:val="26"/>
              <w:spacing w:line="360" w:lineRule="auto"/>
              <w:ind w:left="0" w:leftChars="0" w:firstLine="480" w:firstLineChars="200"/>
              <w:jc w:val="both"/>
              <w:outlineLvl w:val="9"/>
              <w:rPr>
                <w:rFonts w:hint="eastAsia" w:ascii="楷体" w:hAnsi="楷体" w:eastAsia="楷体" w:cs="楷体"/>
                <w:color w:val="auto"/>
                <w:szCs w:val="21"/>
                <w:highlight w:val="none"/>
              </w:rPr>
            </w:pPr>
          </w:p>
        </w:tc>
        <w:tc>
          <w:tcPr>
            <w:tcW w:w="946" w:type="dxa"/>
            <w:noWrap w:val="0"/>
            <w:tcMar>
              <w:top w:w="15" w:type="dxa"/>
              <w:left w:w="15" w:type="dxa"/>
              <w:bottom w:w="0" w:type="dxa"/>
              <w:right w:w="15" w:type="dxa"/>
            </w:tcMar>
            <w:vAlign w:val="bottom"/>
          </w:tcPr>
          <w:p w14:paraId="6AF13629">
            <w:pPr>
              <w:pStyle w:val="26"/>
              <w:spacing w:line="360" w:lineRule="auto"/>
              <w:ind w:left="0" w:leftChars="0" w:firstLine="480" w:firstLineChars="200"/>
              <w:jc w:val="both"/>
              <w:outlineLvl w:val="9"/>
              <w:rPr>
                <w:rFonts w:hint="eastAsia" w:ascii="楷体" w:hAnsi="楷体" w:eastAsia="楷体" w:cs="楷体"/>
                <w:color w:val="auto"/>
                <w:szCs w:val="21"/>
                <w:highlight w:val="none"/>
              </w:rPr>
            </w:pPr>
          </w:p>
        </w:tc>
        <w:tc>
          <w:tcPr>
            <w:tcW w:w="1108" w:type="dxa"/>
            <w:noWrap w:val="0"/>
            <w:tcMar>
              <w:top w:w="15" w:type="dxa"/>
              <w:left w:w="15" w:type="dxa"/>
              <w:bottom w:w="0" w:type="dxa"/>
              <w:right w:w="15" w:type="dxa"/>
            </w:tcMar>
            <w:vAlign w:val="bottom"/>
          </w:tcPr>
          <w:p w14:paraId="460BDC38">
            <w:pPr>
              <w:pStyle w:val="26"/>
              <w:spacing w:line="360" w:lineRule="auto"/>
              <w:ind w:left="0" w:leftChars="0" w:firstLine="480" w:firstLineChars="200"/>
              <w:jc w:val="both"/>
              <w:outlineLvl w:val="9"/>
              <w:rPr>
                <w:rFonts w:hint="eastAsia" w:ascii="楷体" w:hAnsi="楷体" w:eastAsia="楷体" w:cs="楷体"/>
                <w:color w:val="auto"/>
                <w:szCs w:val="21"/>
                <w:highlight w:val="none"/>
              </w:rPr>
            </w:pPr>
          </w:p>
        </w:tc>
        <w:tc>
          <w:tcPr>
            <w:tcW w:w="2146" w:type="dxa"/>
            <w:noWrap w:val="0"/>
            <w:tcMar>
              <w:top w:w="15" w:type="dxa"/>
              <w:left w:w="15" w:type="dxa"/>
              <w:bottom w:w="0" w:type="dxa"/>
              <w:right w:w="15" w:type="dxa"/>
            </w:tcMar>
            <w:vAlign w:val="bottom"/>
          </w:tcPr>
          <w:p w14:paraId="5E8CDA5F">
            <w:pPr>
              <w:pStyle w:val="26"/>
              <w:spacing w:line="360" w:lineRule="auto"/>
              <w:ind w:left="0" w:leftChars="0" w:firstLine="480" w:firstLineChars="200"/>
              <w:jc w:val="both"/>
              <w:outlineLvl w:val="9"/>
              <w:rPr>
                <w:rFonts w:hint="eastAsia" w:ascii="楷体" w:hAnsi="楷体" w:eastAsia="楷体" w:cs="楷体"/>
                <w:color w:val="auto"/>
                <w:szCs w:val="21"/>
                <w:highlight w:val="none"/>
              </w:rPr>
            </w:pPr>
          </w:p>
        </w:tc>
      </w:tr>
      <w:tr w14:paraId="54CA0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atLeast"/>
        </w:trPr>
        <w:tc>
          <w:tcPr>
            <w:tcW w:w="746" w:type="dxa"/>
            <w:noWrap w:val="0"/>
            <w:tcMar>
              <w:top w:w="15" w:type="dxa"/>
              <w:left w:w="15" w:type="dxa"/>
              <w:bottom w:w="0" w:type="dxa"/>
              <w:right w:w="15" w:type="dxa"/>
            </w:tcMar>
            <w:vAlign w:val="bottom"/>
          </w:tcPr>
          <w:p w14:paraId="494BD2F0">
            <w:pPr>
              <w:pStyle w:val="26"/>
              <w:spacing w:line="360" w:lineRule="auto"/>
              <w:ind w:left="0" w:leftChars="0" w:firstLine="480" w:firstLineChars="200"/>
              <w:jc w:val="both"/>
              <w:outlineLvl w:val="9"/>
              <w:rPr>
                <w:rFonts w:hint="eastAsia" w:ascii="楷体" w:hAnsi="楷体" w:eastAsia="楷体" w:cs="楷体"/>
                <w:color w:val="auto"/>
                <w:szCs w:val="21"/>
                <w:highlight w:val="none"/>
              </w:rPr>
            </w:pPr>
          </w:p>
        </w:tc>
        <w:tc>
          <w:tcPr>
            <w:tcW w:w="1424" w:type="dxa"/>
            <w:noWrap w:val="0"/>
            <w:tcMar>
              <w:top w:w="15" w:type="dxa"/>
              <w:left w:w="15" w:type="dxa"/>
              <w:bottom w:w="0" w:type="dxa"/>
              <w:right w:w="15" w:type="dxa"/>
            </w:tcMar>
            <w:vAlign w:val="bottom"/>
          </w:tcPr>
          <w:p w14:paraId="68030854">
            <w:pPr>
              <w:pStyle w:val="26"/>
              <w:spacing w:line="360" w:lineRule="auto"/>
              <w:ind w:left="0" w:leftChars="0" w:firstLine="480" w:firstLineChars="200"/>
              <w:jc w:val="both"/>
              <w:outlineLvl w:val="9"/>
              <w:rPr>
                <w:rFonts w:hint="eastAsia" w:ascii="楷体" w:hAnsi="楷体" w:eastAsia="楷体" w:cs="楷体"/>
                <w:color w:val="auto"/>
                <w:szCs w:val="21"/>
                <w:highlight w:val="none"/>
              </w:rPr>
            </w:pPr>
          </w:p>
        </w:tc>
        <w:tc>
          <w:tcPr>
            <w:tcW w:w="1223" w:type="dxa"/>
            <w:noWrap w:val="0"/>
            <w:tcMar>
              <w:top w:w="15" w:type="dxa"/>
              <w:left w:w="15" w:type="dxa"/>
              <w:bottom w:w="0" w:type="dxa"/>
              <w:right w:w="15" w:type="dxa"/>
            </w:tcMar>
            <w:vAlign w:val="bottom"/>
          </w:tcPr>
          <w:p w14:paraId="54E50B62">
            <w:pPr>
              <w:pStyle w:val="26"/>
              <w:spacing w:line="360" w:lineRule="auto"/>
              <w:ind w:left="0" w:leftChars="0" w:firstLine="480" w:firstLineChars="200"/>
              <w:jc w:val="both"/>
              <w:outlineLvl w:val="9"/>
              <w:rPr>
                <w:rFonts w:hint="eastAsia" w:ascii="楷体" w:hAnsi="楷体" w:eastAsia="楷体" w:cs="楷体"/>
                <w:color w:val="auto"/>
                <w:szCs w:val="21"/>
                <w:highlight w:val="none"/>
              </w:rPr>
            </w:pPr>
          </w:p>
        </w:tc>
        <w:tc>
          <w:tcPr>
            <w:tcW w:w="992" w:type="dxa"/>
            <w:noWrap w:val="0"/>
            <w:tcMar>
              <w:top w:w="15" w:type="dxa"/>
              <w:left w:w="15" w:type="dxa"/>
              <w:bottom w:w="0" w:type="dxa"/>
              <w:right w:w="15" w:type="dxa"/>
            </w:tcMar>
            <w:vAlign w:val="bottom"/>
          </w:tcPr>
          <w:p w14:paraId="6C2AE3E5">
            <w:pPr>
              <w:pStyle w:val="26"/>
              <w:spacing w:line="360" w:lineRule="auto"/>
              <w:ind w:left="0" w:leftChars="0" w:firstLine="480" w:firstLineChars="200"/>
              <w:jc w:val="both"/>
              <w:outlineLvl w:val="9"/>
              <w:rPr>
                <w:rFonts w:hint="eastAsia" w:ascii="楷体" w:hAnsi="楷体" w:eastAsia="楷体" w:cs="楷体"/>
                <w:color w:val="auto"/>
                <w:szCs w:val="21"/>
                <w:highlight w:val="none"/>
              </w:rPr>
            </w:pPr>
          </w:p>
        </w:tc>
        <w:tc>
          <w:tcPr>
            <w:tcW w:w="946" w:type="dxa"/>
            <w:noWrap w:val="0"/>
            <w:tcMar>
              <w:top w:w="15" w:type="dxa"/>
              <w:left w:w="15" w:type="dxa"/>
              <w:bottom w:w="0" w:type="dxa"/>
              <w:right w:w="15" w:type="dxa"/>
            </w:tcMar>
            <w:vAlign w:val="bottom"/>
          </w:tcPr>
          <w:p w14:paraId="6EBFF436">
            <w:pPr>
              <w:pStyle w:val="26"/>
              <w:spacing w:line="360" w:lineRule="auto"/>
              <w:ind w:left="0" w:leftChars="0" w:firstLine="480" w:firstLineChars="200"/>
              <w:jc w:val="both"/>
              <w:outlineLvl w:val="9"/>
              <w:rPr>
                <w:rFonts w:hint="eastAsia" w:ascii="楷体" w:hAnsi="楷体" w:eastAsia="楷体" w:cs="楷体"/>
                <w:color w:val="auto"/>
                <w:szCs w:val="21"/>
                <w:highlight w:val="none"/>
              </w:rPr>
            </w:pPr>
          </w:p>
        </w:tc>
        <w:tc>
          <w:tcPr>
            <w:tcW w:w="1108" w:type="dxa"/>
            <w:noWrap w:val="0"/>
            <w:tcMar>
              <w:top w:w="15" w:type="dxa"/>
              <w:left w:w="15" w:type="dxa"/>
              <w:bottom w:w="0" w:type="dxa"/>
              <w:right w:w="15" w:type="dxa"/>
            </w:tcMar>
            <w:vAlign w:val="bottom"/>
          </w:tcPr>
          <w:p w14:paraId="07AFFBC0">
            <w:pPr>
              <w:pStyle w:val="26"/>
              <w:spacing w:line="360" w:lineRule="auto"/>
              <w:ind w:left="0" w:leftChars="0" w:firstLine="480" w:firstLineChars="200"/>
              <w:jc w:val="both"/>
              <w:outlineLvl w:val="9"/>
              <w:rPr>
                <w:rFonts w:hint="eastAsia" w:ascii="楷体" w:hAnsi="楷体" w:eastAsia="楷体" w:cs="楷体"/>
                <w:color w:val="auto"/>
                <w:szCs w:val="21"/>
                <w:highlight w:val="none"/>
              </w:rPr>
            </w:pPr>
          </w:p>
        </w:tc>
        <w:tc>
          <w:tcPr>
            <w:tcW w:w="2146" w:type="dxa"/>
            <w:noWrap w:val="0"/>
            <w:tcMar>
              <w:top w:w="15" w:type="dxa"/>
              <w:left w:w="15" w:type="dxa"/>
              <w:bottom w:w="0" w:type="dxa"/>
              <w:right w:w="15" w:type="dxa"/>
            </w:tcMar>
            <w:vAlign w:val="bottom"/>
          </w:tcPr>
          <w:p w14:paraId="3B82189D">
            <w:pPr>
              <w:pStyle w:val="26"/>
              <w:spacing w:line="360" w:lineRule="auto"/>
              <w:ind w:left="0" w:leftChars="0" w:firstLine="480" w:firstLineChars="200"/>
              <w:jc w:val="both"/>
              <w:outlineLvl w:val="9"/>
              <w:rPr>
                <w:rFonts w:hint="eastAsia" w:ascii="楷体" w:hAnsi="楷体" w:eastAsia="楷体" w:cs="楷体"/>
                <w:color w:val="auto"/>
                <w:szCs w:val="21"/>
                <w:highlight w:val="none"/>
              </w:rPr>
            </w:pPr>
          </w:p>
        </w:tc>
      </w:tr>
      <w:tr w14:paraId="52ACD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atLeast"/>
        </w:trPr>
        <w:tc>
          <w:tcPr>
            <w:tcW w:w="746" w:type="dxa"/>
            <w:noWrap w:val="0"/>
            <w:tcMar>
              <w:top w:w="15" w:type="dxa"/>
              <w:left w:w="15" w:type="dxa"/>
              <w:bottom w:w="0" w:type="dxa"/>
              <w:right w:w="15" w:type="dxa"/>
            </w:tcMar>
            <w:vAlign w:val="bottom"/>
          </w:tcPr>
          <w:p w14:paraId="0F79E045">
            <w:pPr>
              <w:pStyle w:val="26"/>
              <w:spacing w:line="360" w:lineRule="auto"/>
              <w:ind w:left="0" w:leftChars="0" w:firstLine="480" w:firstLineChars="200"/>
              <w:jc w:val="both"/>
              <w:outlineLvl w:val="9"/>
              <w:rPr>
                <w:rFonts w:hint="eastAsia" w:ascii="楷体" w:hAnsi="楷体" w:eastAsia="楷体" w:cs="楷体"/>
                <w:color w:val="auto"/>
                <w:szCs w:val="21"/>
                <w:highlight w:val="none"/>
              </w:rPr>
            </w:pPr>
          </w:p>
        </w:tc>
        <w:tc>
          <w:tcPr>
            <w:tcW w:w="1424" w:type="dxa"/>
            <w:noWrap w:val="0"/>
            <w:tcMar>
              <w:top w:w="15" w:type="dxa"/>
              <w:left w:w="15" w:type="dxa"/>
              <w:bottom w:w="0" w:type="dxa"/>
              <w:right w:w="15" w:type="dxa"/>
            </w:tcMar>
            <w:vAlign w:val="bottom"/>
          </w:tcPr>
          <w:p w14:paraId="3CA1A2BB">
            <w:pPr>
              <w:pStyle w:val="26"/>
              <w:spacing w:line="360" w:lineRule="auto"/>
              <w:ind w:left="0" w:leftChars="0" w:firstLine="480" w:firstLineChars="200"/>
              <w:jc w:val="both"/>
              <w:outlineLvl w:val="9"/>
              <w:rPr>
                <w:rFonts w:hint="eastAsia" w:ascii="楷体" w:hAnsi="楷体" w:eastAsia="楷体" w:cs="楷体"/>
                <w:color w:val="auto"/>
                <w:szCs w:val="21"/>
                <w:highlight w:val="none"/>
              </w:rPr>
            </w:pPr>
          </w:p>
        </w:tc>
        <w:tc>
          <w:tcPr>
            <w:tcW w:w="1223" w:type="dxa"/>
            <w:noWrap w:val="0"/>
            <w:tcMar>
              <w:top w:w="15" w:type="dxa"/>
              <w:left w:w="15" w:type="dxa"/>
              <w:bottom w:w="0" w:type="dxa"/>
              <w:right w:w="15" w:type="dxa"/>
            </w:tcMar>
            <w:vAlign w:val="bottom"/>
          </w:tcPr>
          <w:p w14:paraId="70845B27">
            <w:pPr>
              <w:pStyle w:val="26"/>
              <w:spacing w:line="360" w:lineRule="auto"/>
              <w:ind w:left="0" w:leftChars="0" w:firstLine="480" w:firstLineChars="200"/>
              <w:jc w:val="both"/>
              <w:outlineLvl w:val="9"/>
              <w:rPr>
                <w:rFonts w:hint="eastAsia" w:ascii="楷体" w:hAnsi="楷体" w:eastAsia="楷体" w:cs="楷体"/>
                <w:color w:val="auto"/>
                <w:szCs w:val="21"/>
                <w:highlight w:val="none"/>
              </w:rPr>
            </w:pPr>
          </w:p>
        </w:tc>
        <w:tc>
          <w:tcPr>
            <w:tcW w:w="992" w:type="dxa"/>
            <w:noWrap w:val="0"/>
            <w:tcMar>
              <w:top w:w="15" w:type="dxa"/>
              <w:left w:w="15" w:type="dxa"/>
              <w:bottom w:w="0" w:type="dxa"/>
              <w:right w:w="15" w:type="dxa"/>
            </w:tcMar>
            <w:vAlign w:val="bottom"/>
          </w:tcPr>
          <w:p w14:paraId="6229458B">
            <w:pPr>
              <w:pStyle w:val="26"/>
              <w:spacing w:line="360" w:lineRule="auto"/>
              <w:ind w:left="0" w:leftChars="0" w:firstLine="480" w:firstLineChars="200"/>
              <w:jc w:val="both"/>
              <w:outlineLvl w:val="9"/>
              <w:rPr>
                <w:rFonts w:hint="eastAsia" w:ascii="楷体" w:hAnsi="楷体" w:eastAsia="楷体" w:cs="楷体"/>
                <w:color w:val="auto"/>
                <w:szCs w:val="21"/>
                <w:highlight w:val="none"/>
              </w:rPr>
            </w:pPr>
          </w:p>
        </w:tc>
        <w:tc>
          <w:tcPr>
            <w:tcW w:w="946" w:type="dxa"/>
            <w:noWrap w:val="0"/>
            <w:tcMar>
              <w:top w:w="15" w:type="dxa"/>
              <w:left w:w="15" w:type="dxa"/>
              <w:bottom w:w="0" w:type="dxa"/>
              <w:right w:w="15" w:type="dxa"/>
            </w:tcMar>
            <w:vAlign w:val="bottom"/>
          </w:tcPr>
          <w:p w14:paraId="4A0D3DFF">
            <w:pPr>
              <w:pStyle w:val="26"/>
              <w:spacing w:line="360" w:lineRule="auto"/>
              <w:ind w:left="0" w:leftChars="0" w:firstLine="480" w:firstLineChars="200"/>
              <w:jc w:val="both"/>
              <w:outlineLvl w:val="9"/>
              <w:rPr>
                <w:rFonts w:hint="eastAsia" w:ascii="楷体" w:hAnsi="楷体" w:eastAsia="楷体" w:cs="楷体"/>
                <w:color w:val="auto"/>
                <w:szCs w:val="21"/>
                <w:highlight w:val="none"/>
              </w:rPr>
            </w:pPr>
          </w:p>
        </w:tc>
        <w:tc>
          <w:tcPr>
            <w:tcW w:w="1108" w:type="dxa"/>
            <w:noWrap w:val="0"/>
            <w:tcMar>
              <w:top w:w="15" w:type="dxa"/>
              <w:left w:w="15" w:type="dxa"/>
              <w:bottom w:w="0" w:type="dxa"/>
              <w:right w:w="15" w:type="dxa"/>
            </w:tcMar>
            <w:vAlign w:val="bottom"/>
          </w:tcPr>
          <w:p w14:paraId="2B6029D4">
            <w:pPr>
              <w:pStyle w:val="26"/>
              <w:spacing w:line="360" w:lineRule="auto"/>
              <w:ind w:left="0" w:leftChars="0" w:firstLine="480" w:firstLineChars="200"/>
              <w:jc w:val="both"/>
              <w:outlineLvl w:val="9"/>
              <w:rPr>
                <w:rFonts w:hint="eastAsia" w:ascii="楷体" w:hAnsi="楷体" w:eastAsia="楷体" w:cs="楷体"/>
                <w:color w:val="auto"/>
                <w:szCs w:val="21"/>
                <w:highlight w:val="none"/>
              </w:rPr>
            </w:pPr>
          </w:p>
        </w:tc>
        <w:tc>
          <w:tcPr>
            <w:tcW w:w="2146" w:type="dxa"/>
            <w:noWrap w:val="0"/>
            <w:tcMar>
              <w:top w:w="15" w:type="dxa"/>
              <w:left w:w="15" w:type="dxa"/>
              <w:bottom w:w="0" w:type="dxa"/>
              <w:right w:w="15" w:type="dxa"/>
            </w:tcMar>
            <w:vAlign w:val="bottom"/>
          </w:tcPr>
          <w:p w14:paraId="157CD78C">
            <w:pPr>
              <w:pStyle w:val="26"/>
              <w:spacing w:line="360" w:lineRule="auto"/>
              <w:ind w:left="0" w:leftChars="0" w:firstLine="480" w:firstLineChars="200"/>
              <w:jc w:val="both"/>
              <w:outlineLvl w:val="9"/>
              <w:rPr>
                <w:rFonts w:hint="eastAsia" w:ascii="楷体" w:hAnsi="楷体" w:eastAsia="楷体" w:cs="楷体"/>
                <w:color w:val="auto"/>
                <w:szCs w:val="21"/>
                <w:highlight w:val="none"/>
              </w:rPr>
            </w:pPr>
          </w:p>
        </w:tc>
      </w:tr>
      <w:tr w14:paraId="18BDF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08" w:hRule="atLeast"/>
        </w:trPr>
        <w:tc>
          <w:tcPr>
            <w:tcW w:w="746" w:type="dxa"/>
            <w:noWrap w:val="0"/>
            <w:tcMar>
              <w:top w:w="15" w:type="dxa"/>
              <w:left w:w="15" w:type="dxa"/>
              <w:bottom w:w="0" w:type="dxa"/>
              <w:right w:w="15" w:type="dxa"/>
            </w:tcMar>
            <w:vAlign w:val="bottom"/>
          </w:tcPr>
          <w:p w14:paraId="3A64B9DB">
            <w:pPr>
              <w:pStyle w:val="26"/>
              <w:spacing w:line="360" w:lineRule="auto"/>
              <w:ind w:left="0" w:leftChars="0" w:firstLine="480" w:firstLineChars="200"/>
              <w:jc w:val="both"/>
              <w:outlineLvl w:val="9"/>
              <w:rPr>
                <w:rFonts w:hint="eastAsia" w:ascii="楷体" w:hAnsi="楷体" w:eastAsia="楷体" w:cs="楷体"/>
                <w:color w:val="auto"/>
                <w:szCs w:val="21"/>
                <w:highlight w:val="none"/>
              </w:rPr>
            </w:pPr>
          </w:p>
        </w:tc>
        <w:tc>
          <w:tcPr>
            <w:tcW w:w="1424" w:type="dxa"/>
            <w:noWrap w:val="0"/>
            <w:tcMar>
              <w:top w:w="15" w:type="dxa"/>
              <w:left w:w="15" w:type="dxa"/>
              <w:bottom w:w="0" w:type="dxa"/>
              <w:right w:w="15" w:type="dxa"/>
            </w:tcMar>
            <w:vAlign w:val="bottom"/>
          </w:tcPr>
          <w:p w14:paraId="0AB422C5">
            <w:pPr>
              <w:pStyle w:val="26"/>
              <w:spacing w:line="360" w:lineRule="auto"/>
              <w:ind w:left="0" w:leftChars="0" w:firstLine="480" w:firstLineChars="200"/>
              <w:jc w:val="both"/>
              <w:outlineLvl w:val="9"/>
              <w:rPr>
                <w:rFonts w:hint="eastAsia" w:ascii="楷体" w:hAnsi="楷体" w:eastAsia="楷体" w:cs="楷体"/>
                <w:color w:val="auto"/>
                <w:szCs w:val="21"/>
                <w:highlight w:val="none"/>
              </w:rPr>
            </w:pPr>
          </w:p>
        </w:tc>
        <w:tc>
          <w:tcPr>
            <w:tcW w:w="1223" w:type="dxa"/>
            <w:noWrap w:val="0"/>
            <w:tcMar>
              <w:top w:w="15" w:type="dxa"/>
              <w:left w:w="15" w:type="dxa"/>
              <w:bottom w:w="0" w:type="dxa"/>
              <w:right w:w="15" w:type="dxa"/>
            </w:tcMar>
            <w:vAlign w:val="bottom"/>
          </w:tcPr>
          <w:p w14:paraId="23D9616F">
            <w:pPr>
              <w:pStyle w:val="26"/>
              <w:spacing w:line="360" w:lineRule="auto"/>
              <w:ind w:left="0" w:leftChars="0" w:firstLine="480" w:firstLineChars="200"/>
              <w:jc w:val="both"/>
              <w:outlineLvl w:val="9"/>
              <w:rPr>
                <w:rFonts w:hint="eastAsia" w:ascii="楷体" w:hAnsi="楷体" w:eastAsia="楷体" w:cs="楷体"/>
                <w:color w:val="auto"/>
                <w:szCs w:val="21"/>
                <w:highlight w:val="none"/>
              </w:rPr>
            </w:pPr>
          </w:p>
        </w:tc>
        <w:tc>
          <w:tcPr>
            <w:tcW w:w="992" w:type="dxa"/>
            <w:noWrap w:val="0"/>
            <w:tcMar>
              <w:top w:w="15" w:type="dxa"/>
              <w:left w:w="15" w:type="dxa"/>
              <w:bottom w:w="0" w:type="dxa"/>
              <w:right w:w="15" w:type="dxa"/>
            </w:tcMar>
            <w:vAlign w:val="bottom"/>
          </w:tcPr>
          <w:p w14:paraId="197E9B2E">
            <w:pPr>
              <w:pStyle w:val="26"/>
              <w:spacing w:line="360" w:lineRule="auto"/>
              <w:ind w:left="0" w:leftChars="0" w:firstLine="480" w:firstLineChars="200"/>
              <w:jc w:val="both"/>
              <w:outlineLvl w:val="9"/>
              <w:rPr>
                <w:rFonts w:hint="eastAsia" w:ascii="楷体" w:hAnsi="楷体" w:eastAsia="楷体" w:cs="楷体"/>
                <w:color w:val="auto"/>
                <w:szCs w:val="21"/>
                <w:highlight w:val="none"/>
              </w:rPr>
            </w:pPr>
          </w:p>
        </w:tc>
        <w:tc>
          <w:tcPr>
            <w:tcW w:w="946" w:type="dxa"/>
            <w:noWrap w:val="0"/>
            <w:tcMar>
              <w:top w:w="15" w:type="dxa"/>
              <w:left w:w="15" w:type="dxa"/>
              <w:bottom w:w="0" w:type="dxa"/>
              <w:right w:w="15" w:type="dxa"/>
            </w:tcMar>
            <w:vAlign w:val="bottom"/>
          </w:tcPr>
          <w:p w14:paraId="2AF2B7DC">
            <w:pPr>
              <w:pStyle w:val="26"/>
              <w:spacing w:line="360" w:lineRule="auto"/>
              <w:ind w:left="0" w:leftChars="0" w:firstLine="480" w:firstLineChars="200"/>
              <w:jc w:val="both"/>
              <w:outlineLvl w:val="9"/>
              <w:rPr>
                <w:rFonts w:hint="eastAsia" w:ascii="楷体" w:hAnsi="楷体" w:eastAsia="楷体" w:cs="楷体"/>
                <w:color w:val="auto"/>
                <w:szCs w:val="21"/>
                <w:highlight w:val="none"/>
              </w:rPr>
            </w:pPr>
          </w:p>
        </w:tc>
        <w:tc>
          <w:tcPr>
            <w:tcW w:w="1108" w:type="dxa"/>
            <w:noWrap w:val="0"/>
            <w:tcMar>
              <w:top w:w="15" w:type="dxa"/>
              <w:left w:w="15" w:type="dxa"/>
              <w:bottom w:w="0" w:type="dxa"/>
              <w:right w:w="15" w:type="dxa"/>
            </w:tcMar>
            <w:vAlign w:val="bottom"/>
          </w:tcPr>
          <w:p w14:paraId="6BCD1818">
            <w:pPr>
              <w:pStyle w:val="26"/>
              <w:spacing w:line="360" w:lineRule="auto"/>
              <w:ind w:left="0" w:leftChars="0" w:firstLine="480" w:firstLineChars="200"/>
              <w:jc w:val="both"/>
              <w:outlineLvl w:val="9"/>
              <w:rPr>
                <w:rFonts w:hint="eastAsia" w:ascii="楷体" w:hAnsi="楷体" w:eastAsia="楷体" w:cs="楷体"/>
                <w:color w:val="auto"/>
                <w:szCs w:val="21"/>
                <w:highlight w:val="none"/>
              </w:rPr>
            </w:pPr>
          </w:p>
        </w:tc>
        <w:tc>
          <w:tcPr>
            <w:tcW w:w="2146" w:type="dxa"/>
            <w:noWrap w:val="0"/>
            <w:tcMar>
              <w:top w:w="15" w:type="dxa"/>
              <w:left w:w="15" w:type="dxa"/>
              <w:bottom w:w="0" w:type="dxa"/>
              <w:right w:w="15" w:type="dxa"/>
            </w:tcMar>
            <w:vAlign w:val="bottom"/>
          </w:tcPr>
          <w:p w14:paraId="6FB1C2D9">
            <w:pPr>
              <w:pStyle w:val="26"/>
              <w:spacing w:line="360" w:lineRule="auto"/>
              <w:ind w:left="0" w:leftChars="0" w:firstLine="480" w:firstLineChars="200"/>
              <w:jc w:val="both"/>
              <w:outlineLvl w:val="9"/>
              <w:rPr>
                <w:rFonts w:hint="eastAsia" w:ascii="楷体" w:hAnsi="楷体" w:eastAsia="楷体" w:cs="楷体"/>
                <w:color w:val="auto"/>
                <w:szCs w:val="21"/>
                <w:highlight w:val="none"/>
              </w:rPr>
            </w:pPr>
          </w:p>
        </w:tc>
      </w:tr>
      <w:tr w14:paraId="37FD0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atLeast"/>
        </w:trPr>
        <w:tc>
          <w:tcPr>
            <w:tcW w:w="746" w:type="dxa"/>
            <w:noWrap w:val="0"/>
            <w:tcMar>
              <w:top w:w="15" w:type="dxa"/>
              <w:left w:w="15" w:type="dxa"/>
              <w:bottom w:w="0" w:type="dxa"/>
              <w:right w:w="15" w:type="dxa"/>
            </w:tcMar>
            <w:vAlign w:val="bottom"/>
          </w:tcPr>
          <w:p w14:paraId="02CAECAD">
            <w:pPr>
              <w:pStyle w:val="26"/>
              <w:spacing w:line="360" w:lineRule="auto"/>
              <w:ind w:left="0" w:leftChars="0" w:firstLine="480" w:firstLineChars="200"/>
              <w:jc w:val="both"/>
              <w:outlineLvl w:val="9"/>
              <w:rPr>
                <w:rFonts w:hint="eastAsia" w:ascii="楷体" w:hAnsi="楷体" w:eastAsia="楷体" w:cs="楷体"/>
                <w:color w:val="auto"/>
                <w:szCs w:val="21"/>
                <w:highlight w:val="none"/>
              </w:rPr>
            </w:pPr>
          </w:p>
        </w:tc>
        <w:tc>
          <w:tcPr>
            <w:tcW w:w="1424" w:type="dxa"/>
            <w:noWrap w:val="0"/>
            <w:tcMar>
              <w:top w:w="15" w:type="dxa"/>
              <w:left w:w="15" w:type="dxa"/>
              <w:bottom w:w="0" w:type="dxa"/>
              <w:right w:w="15" w:type="dxa"/>
            </w:tcMar>
            <w:vAlign w:val="bottom"/>
          </w:tcPr>
          <w:p w14:paraId="0EC56AC5">
            <w:pPr>
              <w:pStyle w:val="26"/>
              <w:spacing w:line="360" w:lineRule="auto"/>
              <w:ind w:left="0" w:leftChars="0" w:firstLine="480" w:firstLineChars="200"/>
              <w:jc w:val="both"/>
              <w:outlineLvl w:val="9"/>
              <w:rPr>
                <w:rFonts w:hint="eastAsia" w:ascii="楷体" w:hAnsi="楷体" w:eastAsia="楷体" w:cs="楷体"/>
                <w:color w:val="auto"/>
                <w:szCs w:val="21"/>
                <w:highlight w:val="none"/>
              </w:rPr>
            </w:pPr>
          </w:p>
        </w:tc>
        <w:tc>
          <w:tcPr>
            <w:tcW w:w="1223" w:type="dxa"/>
            <w:noWrap w:val="0"/>
            <w:tcMar>
              <w:top w:w="15" w:type="dxa"/>
              <w:left w:w="15" w:type="dxa"/>
              <w:bottom w:w="0" w:type="dxa"/>
              <w:right w:w="15" w:type="dxa"/>
            </w:tcMar>
            <w:vAlign w:val="bottom"/>
          </w:tcPr>
          <w:p w14:paraId="27381195">
            <w:pPr>
              <w:pStyle w:val="26"/>
              <w:spacing w:line="360" w:lineRule="auto"/>
              <w:ind w:left="0" w:leftChars="0" w:firstLine="480" w:firstLineChars="200"/>
              <w:jc w:val="both"/>
              <w:outlineLvl w:val="9"/>
              <w:rPr>
                <w:rFonts w:hint="eastAsia" w:ascii="楷体" w:hAnsi="楷体" w:eastAsia="楷体" w:cs="楷体"/>
                <w:color w:val="auto"/>
                <w:szCs w:val="21"/>
                <w:highlight w:val="none"/>
              </w:rPr>
            </w:pPr>
          </w:p>
        </w:tc>
        <w:tc>
          <w:tcPr>
            <w:tcW w:w="992" w:type="dxa"/>
            <w:noWrap w:val="0"/>
            <w:tcMar>
              <w:top w:w="15" w:type="dxa"/>
              <w:left w:w="15" w:type="dxa"/>
              <w:bottom w:w="0" w:type="dxa"/>
              <w:right w:w="15" w:type="dxa"/>
            </w:tcMar>
            <w:vAlign w:val="bottom"/>
          </w:tcPr>
          <w:p w14:paraId="74103CC0">
            <w:pPr>
              <w:pStyle w:val="26"/>
              <w:spacing w:line="360" w:lineRule="auto"/>
              <w:ind w:left="0" w:leftChars="0" w:firstLine="480" w:firstLineChars="200"/>
              <w:jc w:val="both"/>
              <w:outlineLvl w:val="9"/>
              <w:rPr>
                <w:rFonts w:hint="eastAsia" w:ascii="楷体" w:hAnsi="楷体" w:eastAsia="楷体" w:cs="楷体"/>
                <w:color w:val="auto"/>
                <w:szCs w:val="21"/>
                <w:highlight w:val="none"/>
              </w:rPr>
            </w:pPr>
          </w:p>
        </w:tc>
        <w:tc>
          <w:tcPr>
            <w:tcW w:w="946" w:type="dxa"/>
            <w:noWrap w:val="0"/>
            <w:tcMar>
              <w:top w:w="15" w:type="dxa"/>
              <w:left w:w="15" w:type="dxa"/>
              <w:bottom w:w="0" w:type="dxa"/>
              <w:right w:w="15" w:type="dxa"/>
            </w:tcMar>
            <w:vAlign w:val="bottom"/>
          </w:tcPr>
          <w:p w14:paraId="3F254935">
            <w:pPr>
              <w:pStyle w:val="26"/>
              <w:spacing w:line="360" w:lineRule="auto"/>
              <w:ind w:left="0" w:leftChars="0" w:firstLine="480" w:firstLineChars="200"/>
              <w:jc w:val="both"/>
              <w:outlineLvl w:val="9"/>
              <w:rPr>
                <w:rFonts w:hint="eastAsia" w:ascii="楷体" w:hAnsi="楷体" w:eastAsia="楷体" w:cs="楷体"/>
                <w:color w:val="auto"/>
                <w:szCs w:val="21"/>
                <w:highlight w:val="none"/>
              </w:rPr>
            </w:pPr>
          </w:p>
        </w:tc>
        <w:tc>
          <w:tcPr>
            <w:tcW w:w="1108" w:type="dxa"/>
            <w:noWrap w:val="0"/>
            <w:tcMar>
              <w:top w:w="15" w:type="dxa"/>
              <w:left w:w="15" w:type="dxa"/>
              <w:bottom w:w="0" w:type="dxa"/>
              <w:right w:w="15" w:type="dxa"/>
            </w:tcMar>
            <w:vAlign w:val="bottom"/>
          </w:tcPr>
          <w:p w14:paraId="282B591C">
            <w:pPr>
              <w:pStyle w:val="26"/>
              <w:spacing w:line="360" w:lineRule="auto"/>
              <w:ind w:left="0" w:leftChars="0" w:firstLine="480" w:firstLineChars="200"/>
              <w:jc w:val="both"/>
              <w:outlineLvl w:val="9"/>
              <w:rPr>
                <w:rFonts w:hint="eastAsia" w:ascii="楷体" w:hAnsi="楷体" w:eastAsia="楷体" w:cs="楷体"/>
                <w:color w:val="auto"/>
                <w:szCs w:val="21"/>
                <w:highlight w:val="none"/>
              </w:rPr>
            </w:pPr>
          </w:p>
        </w:tc>
        <w:tc>
          <w:tcPr>
            <w:tcW w:w="2146" w:type="dxa"/>
            <w:noWrap w:val="0"/>
            <w:tcMar>
              <w:top w:w="15" w:type="dxa"/>
              <w:left w:w="15" w:type="dxa"/>
              <w:bottom w:w="0" w:type="dxa"/>
              <w:right w:w="15" w:type="dxa"/>
            </w:tcMar>
            <w:vAlign w:val="bottom"/>
          </w:tcPr>
          <w:p w14:paraId="05F51696">
            <w:pPr>
              <w:pStyle w:val="26"/>
              <w:spacing w:line="360" w:lineRule="auto"/>
              <w:ind w:left="0" w:leftChars="0" w:firstLine="480" w:firstLineChars="200"/>
              <w:jc w:val="both"/>
              <w:outlineLvl w:val="9"/>
              <w:rPr>
                <w:rFonts w:hint="eastAsia" w:ascii="楷体" w:hAnsi="楷体" w:eastAsia="楷体" w:cs="楷体"/>
                <w:color w:val="auto"/>
                <w:szCs w:val="21"/>
                <w:highlight w:val="none"/>
              </w:rPr>
            </w:pPr>
          </w:p>
        </w:tc>
      </w:tr>
      <w:tr w14:paraId="2D5C0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atLeast"/>
        </w:trPr>
        <w:tc>
          <w:tcPr>
            <w:tcW w:w="746" w:type="dxa"/>
            <w:noWrap w:val="0"/>
            <w:tcMar>
              <w:top w:w="15" w:type="dxa"/>
              <w:left w:w="15" w:type="dxa"/>
              <w:bottom w:w="0" w:type="dxa"/>
              <w:right w:w="15" w:type="dxa"/>
            </w:tcMar>
            <w:vAlign w:val="bottom"/>
          </w:tcPr>
          <w:p w14:paraId="37112033">
            <w:pPr>
              <w:pStyle w:val="26"/>
              <w:spacing w:line="360" w:lineRule="auto"/>
              <w:ind w:left="0" w:leftChars="0" w:firstLine="480" w:firstLineChars="200"/>
              <w:jc w:val="both"/>
              <w:outlineLvl w:val="9"/>
              <w:rPr>
                <w:rFonts w:hint="eastAsia" w:ascii="楷体" w:hAnsi="楷体" w:eastAsia="楷体" w:cs="楷体"/>
                <w:color w:val="auto"/>
                <w:szCs w:val="21"/>
                <w:highlight w:val="none"/>
              </w:rPr>
            </w:pPr>
          </w:p>
        </w:tc>
        <w:tc>
          <w:tcPr>
            <w:tcW w:w="1424" w:type="dxa"/>
            <w:noWrap w:val="0"/>
            <w:tcMar>
              <w:top w:w="15" w:type="dxa"/>
              <w:left w:w="15" w:type="dxa"/>
              <w:bottom w:w="0" w:type="dxa"/>
              <w:right w:w="15" w:type="dxa"/>
            </w:tcMar>
            <w:vAlign w:val="bottom"/>
          </w:tcPr>
          <w:p w14:paraId="3000CE93">
            <w:pPr>
              <w:pStyle w:val="26"/>
              <w:spacing w:line="360" w:lineRule="auto"/>
              <w:ind w:left="0" w:leftChars="0" w:firstLine="480" w:firstLineChars="200"/>
              <w:jc w:val="both"/>
              <w:outlineLvl w:val="9"/>
              <w:rPr>
                <w:rFonts w:hint="eastAsia" w:ascii="楷体" w:hAnsi="楷体" w:eastAsia="楷体" w:cs="楷体"/>
                <w:color w:val="auto"/>
                <w:szCs w:val="21"/>
                <w:highlight w:val="none"/>
              </w:rPr>
            </w:pPr>
          </w:p>
        </w:tc>
        <w:tc>
          <w:tcPr>
            <w:tcW w:w="1223" w:type="dxa"/>
            <w:noWrap w:val="0"/>
            <w:tcMar>
              <w:top w:w="15" w:type="dxa"/>
              <w:left w:w="15" w:type="dxa"/>
              <w:bottom w:w="0" w:type="dxa"/>
              <w:right w:w="15" w:type="dxa"/>
            </w:tcMar>
            <w:vAlign w:val="bottom"/>
          </w:tcPr>
          <w:p w14:paraId="336FAD75">
            <w:pPr>
              <w:pStyle w:val="26"/>
              <w:spacing w:line="360" w:lineRule="auto"/>
              <w:ind w:left="0" w:leftChars="0" w:firstLine="480" w:firstLineChars="200"/>
              <w:jc w:val="both"/>
              <w:outlineLvl w:val="9"/>
              <w:rPr>
                <w:rFonts w:hint="eastAsia" w:ascii="楷体" w:hAnsi="楷体" w:eastAsia="楷体" w:cs="楷体"/>
                <w:color w:val="auto"/>
                <w:szCs w:val="21"/>
                <w:highlight w:val="none"/>
              </w:rPr>
            </w:pPr>
          </w:p>
        </w:tc>
        <w:tc>
          <w:tcPr>
            <w:tcW w:w="992" w:type="dxa"/>
            <w:noWrap w:val="0"/>
            <w:tcMar>
              <w:top w:w="15" w:type="dxa"/>
              <w:left w:w="15" w:type="dxa"/>
              <w:bottom w:w="0" w:type="dxa"/>
              <w:right w:w="15" w:type="dxa"/>
            </w:tcMar>
            <w:vAlign w:val="bottom"/>
          </w:tcPr>
          <w:p w14:paraId="3EF6F0F1">
            <w:pPr>
              <w:pStyle w:val="26"/>
              <w:spacing w:line="360" w:lineRule="auto"/>
              <w:ind w:left="0" w:leftChars="0" w:firstLine="480" w:firstLineChars="200"/>
              <w:jc w:val="both"/>
              <w:outlineLvl w:val="9"/>
              <w:rPr>
                <w:rFonts w:hint="eastAsia" w:ascii="楷体" w:hAnsi="楷体" w:eastAsia="楷体" w:cs="楷体"/>
                <w:color w:val="auto"/>
                <w:szCs w:val="21"/>
                <w:highlight w:val="none"/>
              </w:rPr>
            </w:pPr>
          </w:p>
        </w:tc>
        <w:tc>
          <w:tcPr>
            <w:tcW w:w="946" w:type="dxa"/>
            <w:noWrap w:val="0"/>
            <w:tcMar>
              <w:top w:w="15" w:type="dxa"/>
              <w:left w:w="15" w:type="dxa"/>
              <w:bottom w:w="0" w:type="dxa"/>
              <w:right w:w="15" w:type="dxa"/>
            </w:tcMar>
            <w:vAlign w:val="bottom"/>
          </w:tcPr>
          <w:p w14:paraId="5383BDB8">
            <w:pPr>
              <w:pStyle w:val="26"/>
              <w:spacing w:line="360" w:lineRule="auto"/>
              <w:ind w:left="0" w:leftChars="0" w:firstLine="480" w:firstLineChars="200"/>
              <w:jc w:val="both"/>
              <w:outlineLvl w:val="9"/>
              <w:rPr>
                <w:rFonts w:hint="eastAsia" w:ascii="楷体" w:hAnsi="楷体" w:eastAsia="楷体" w:cs="楷体"/>
                <w:color w:val="auto"/>
                <w:szCs w:val="21"/>
                <w:highlight w:val="none"/>
              </w:rPr>
            </w:pPr>
          </w:p>
        </w:tc>
        <w:tc>
          <w:tcPr>
            <w:tcW w:w="1108" w:type="dxa"/>
            <w:noWrap w:val="0"/>
            <w:tcMar>
              <w:top w:w="15" w:type="dxa"/>
              <w:left w:w="15" w:type="dxa"/>
              <w:bottom w:w="0" w:type="dxa"/>
              <w:right w:w="15" w:type="dxa"/>
            </w:tcMar>
            <w:vAlign w:val="bottom"/>
          </w:tcPr>
          <w:p w14:paraId="7365893A">
            <w:pPr>
              <w:pStyle w:val="26"/>
              <w:spacing w:line="360" w:lineRule="auto"/>
              <w:ind w:left="0" w:leftChars="0" w:firstLine="480" w:firstLineChars="200"/>
              <w:jc w:val="both"/>
              <w:outlineLvl w:val="9"/>
              <w:rPr>
                <w:rFonts w:hint="eastAsia" w:ascii="楷体" w:hAnsi="楷体" w:eastAsia="楷体" w:cs="楷体"/>
                <w:color w:val="auto"/>
                <w:szCs w:val="21"/>
                <w:highlight w:val="none"/>
              </w:rPr>
            </w:pPr>
          </w:p>
        </w:tc>
        <w:tc>
          <w:tcPr>
            <w:tcW w:w="2146" w:type="dxa"/>
            <w:noWrap w:val="0"/>
            <w:tcMar>
              <w:top w:w="15" w:type="dxa"/>
              <w:left w:w="15" w:type="dxa"/>
              <w:bottom w:w="0" w:type="dxa"/>
              <w:right w:w="15" w:type="dxa"/>
            </w:tcMar>
            <w:vAlign w:val="bottom"/>
          </w:tcPr>
          <w:p w14:paraId="6701E474">
            <w:pPr>
              <w:pStyle w:val="26"/>
              <w:spacing w:line="360" w:lineRule="auto"/>
              <w:ind w:left="0" w:leftChars="0" w:firstLine="480" w:firstLineChars="200"/>
              <w:jc w:val="both"/>
              <w:outlineLvl w:val="9"/>
              <w:rPr>
                <w:rFonts w:hint="eastAsia" w:ascii="楷体" w:hAnsi="楷体" w:eastAsia="楷体" w:cs="楷体"/>
                <w:color w:val="auto"/>
                <w:szCs w:val="21"/>
                <w:highlight w:val="none"/>
              </w:rPr>
            </w:pPr>
          </w:p>
        </w:tc>
      </w:tr>
      <w:tr w14:paraId="37377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08" w:hRule="atLeast"/>
        </w:trPr>
        <w:tc>
          <w:tcPr>
            <w:tcW w:w="746" w:type="dxa"/>
            <w:noWrap w:val="0"/>
            <w:tcMar>
              <w:top w:w="15" w:type="dxa"/>
              <w:left w:w="15" w:type="dxa"/>
              <w:bottom w:w="0" w:type="dxa"/>
              <w:right w:w="15" w:type="dxa"/>
            </w:tcMar>
            <w:vAlign w:val="bottom"/>
          </w:tcPr>
          <w:p w14:paraId="25FEFBCD">
            <w:pPr>
              <w:pStyle w:val="26"/>
              <w:spacing w:line="360" w:lineRule="auto"/>
              <w:ind w:left="0" w:leftChars="0" w:firstLine="480" w:firstLineChars="200"/>
              <w:jc w:val="both"/>
              <w:outlineLvl w:val="9"/>
              <w:rPr>
                <w:rFonts w:hint="eastAsia" w:ascii="楷体" w:hAnsi="楷体" w:eastAsia="楷体" w:cs="楷体"/>
                <w:color w:val="auto"/>
                <w:szCs w:val="21"/>
                <w:highlight w:val="none"/>
              </w:rPr>
            </w:pPr>
          </w:p>
        </w:tc>
        <w:tc>
          <w:tcPr>
            <w:tcW w:w="1424" w:type="dxa"/>
            <w:noWrap w:val="0"/>
            <w:tcMar>
              <w:top w:w="15" w:type="dxa"/>
              <w:left w:w="15" w:type="dxa"/>
              <w:bottom w:w="0" w:type="dxa"/>
              <w:right w:w="15" w:type="dxa"/>
            </w:tcMar>
            <w:vAlign w:val="bottom"/>
          </w:tcPr>
          <w:p w14:paraId="2B21EE09">
            <w:pPr>
              <w:pStyle w:val="26"/>
              <w:spacing w:line="360" w:lineRule="auto"/>
              <w:ind w:left="0" w:leftChars="0" w:firstLine="480" w:firstLineChars="200"/>
              <w:jc w:val="both"/>
              <w:outlineLvl w:val="9"/>
              <w:rPr>
                <w:rFonts w:hint="eastAsia" w:ascii="楷体" w:hAnsi="楷体" w:eastAsia="楷体" w:cs="楷体"/>
                <w:color w:val="auto"/>
                <w:szCs w:val="21"/>
                <w:highlight w:val="none"/>
              </w:rPr>
            </w:pPr>
          </w:p>
        </w:tc>
        <w:tc>
          <w:tcPr>
            <w:tcW w:w="1223" w:type="dxa"/>
            <w:noWrap w:val="0"/>
            <w:tcMar>
              <w:top w:w="15" w:type="dxa"/>
              <w:left w:w="15" w:type="dxa"/>
              <w:bottom w:w="0" w:type="dxa"/>
              <w:right w:w="15" w:type="dxa"/>
            </w:tcMar>
            <w:vAlign w:val="bottom"/>
          </w:tcPr>
          <w:p w14:paraId="07168DE7">
            <w:pPr>
              <w:pStyle w:val="26"/>
              <w:spacing w:line="360" w:lineRule="auto"/>
              <w:ind w:left="0" w:leftChars="0" w:firstLine="480" w:firstLineChars="200"/>
              <w:jc w:val="both"/>
              <w:outlineLvl w:val="9"/>
              <w:rPr>
                <w:rFonts w:hint="eastAsia" w:ascii="楷体" w:hAnsi="楷体" w:eastAsia="楷体" w:cs="楷体"/>
                <w:color w:val="auto"/>
                <w:szCs w:val="21"/>
                <w:highlight w:val="none"/>
              </w:rPr>
            </w:pPr>
          </w:p>
        </w:tc>
        <w:tc>
          <w:tcPr>
            <w:tcW w:w="992" w:type="dxa"/>
            <w:noWrap w:val="0"/>
            <w:tcMar>
              <w:top w:w="15" w:type="dxa"/>
              <w:left w:w="15" w:type="dxa"/>
              <w:bottom w:w="0" w:type="dxa"/>
              <w:right w:w="15" w:type="dxa"/>
            </w:tcMar>
            <w:vAlign w:val="bottom"/>
          </w:tcPr>
          <w:p w14:paraId="20372A2A">
            <w:pPr>
              <w:pStyle w:val="26"/>
              <w:spacing w:line="360" w:lineRule="auto"/>
              <w:ind w:left="0" w:leftChars="0" w:firstLine="480" w:firstLineChars="200"/>
              <w:jc w:val="both"/>
              <w:outlineLvl w:val="9"/>
              <w:rPr>
                <w:rFonts w:hint="eastAsia" w:ascii="楷体" w:hAnsi="楷体" w:eastAsia="楷体" w:cs="楷体"/>
                <w:color w:val="auto"/>
                <w:szCs w:val="21"/>
                <w:highlight w:val="none"/>
              </w:rPr>
            </w:pPr>
          </w:p>
        </w:tc>
        <w:tc>
          <w:tcPr>
            <w:tcW w:w="946" w:type="dxa"/>
            <w:noWrap w:val="0"/>
            <w:tcMar>
              <w:top w:w="15" w:type="dxa"/>
              <w:left w:w="15" w:type="dxa"/>
              <w:bottom w:w="0" w:type="dxa"/>
              <w:right w:w="15" w:type="dxa"/>
            </w:tcMar>
            <w:vAlign w:val="bottom"/>
          </w:tcPr>
          <w:p w14:paraId="6616D4DC">
            <w:pPr>
              <w:pStyle w:val="26"/>
              <w:spacing w:line="360" w:lineRule="auto"/>
              <w:ind w:left="0" w:leftChars="0" w:firstLine="480" w:firstLineChars="200"/>
              <w:jc w:val="both"/>
              <w:outlineLvl w:val="9"/>
              <w:rPr>
                <w:rFonts w:hint="eastAsia" w:ascii="楷体" w:hAnsi="楷体" w:eastAsia="楷体" w:cs="楷体"/>
                <w:color w:val="auto"/>
                <w:szCs w:val="21"/>
                <w:highlight w:val="none"/>
              </w:rPr>
            </w:pPr>
          </w:p>
        </w:tc>
        <w:tc>
          <w:tcPr>
            <w:tcW w:w="1108" w:type="dxa"/>
            <w:noWrap w:val="0"/>
            <w:tcMar>
              <w:top w:w="15" w:type="dxa"/>
              <w:left w:w="15" w:type="dxa"/>
              <w:bottom w:w="0" w:type="dxa"/>
              <w:right w:w="15" w:type="dxa"/>
            </w:tcMar>
            <w:vAlign w:val="bottom"/>
          </w:tcPr>
          <w:p w14:paraId="438ED6FD">
            <w:pPr>
              <w:pStyle w:val="26"/>
              <w:spacing w:line="360" w:lineRule="auto"/>
              <w:ind w:left="0" w:leftChars="0" w:firstLine="480" w:firstLineChars="200"/>
              <w:jc w:val="both"/>
              <w:outlineLvl w:val="9"/>
              <w:rPr>
                <w:rFonts w:hint="eastAsia" w:ascii="楷体" w:hAnsi="楷体" w:eastAsia="楷体" w:cs="楷体"/>
                <w:color w:val="auto"/>
                <w:szCs w:val="21"/>
                <w:highlight w:val="none"/>
              </w:rPr>
            </w:pPr>
          </w:p>
        </w:tc>
        <w:tc>
          <w:tcPr>
            <w:tcW w:w="2146" w:type="dxa"/>
            <w:noWrap w:val="0"/>
            <w:tcMar>
              <w:top w:w="15" w:type="dxa"/>
              <w:left w:w="15" w:type="dxa"/>
              <w:bottom w:w="0" w:type="dxa"/>
              <w:right w:w="15" w:type="dxa"/>
            </w:tcMar>
            <w:vAlign w:val="bottom"/>
          </w:tcPr>
          <w:p w14:paraId="6EA081DC">
            <w:pPr>
              <w:pStyle w:val="26"/>
              <w:spacing w:line="360" w:lineRule="auto"/>
              <w:ind w:left="0" w:leftChars="0" w:firstLine="480" w:firstLineChars="200"/>
              <w:jc w:val="both"/>
              <w:outlineLvl w:val="9"/>
              <w:rPr>
                <w:rFonts w:hint="eastAsia" w:ascii="楷体" w:hAnsi="楷体" w:eastAsia="楷体" w:cs="楷体"/>
                <w:color w:val="auto"/>
                <w:szCs w:val="21"/>
                <w:highlight w:val="none"/>
              </w:rPr>
            </w:pPr>
          </w:p>
        </w:tc>
      </w:tr>
      <w:tr w14:paraId="2A4F5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atLeast"/>
        </w:trPr>
        <w:tc>
          <w:tcPr>
            <w:tcW w:w="746" w:type="dxa"/>
            <w:noWrap w:val="0"/>
            <w:tcMar>
              <w:top w:w="15" w:type="dxa"/>
              <w:left w:w="15" w:type="dxa"/>
              <w:bottom w:w="0" w:type="dxa"/>
              <w:right w:w="15" w:type="dxa"/>
            </w:tcMar>
            <w:vAlign w:val="bottom"/>
          </w:tcPr>
          <w:p w14:paraId="48509994">
            <w:pPr>
              <w:pStyle w:val="26"/>
              <w:spacing w:line="360" w:lineRule="auto"/>
              <w:ind w:left="0" w:leftChars="0" w:firstLine="480" w:firstLineChars="200"/>
              <w:jc w:val="both"/>
              <w:outlineLvl w:val="9"/>
              <w:rPr>
                <w:rFonts w:hint="eastAsia" w:ascii="楷体" w:hAnsi="楷体" w:eastAsia="楷体" w:cs="楷体"/>
                <w:color w:val="auto"/>
                <w:szCs w:val="21"/>
                <w:highlight w:val="none"/>
              </w:rPr>
            </w:pPr>
          </w:p>
        </w:tc>
        <w:tc>
          <w:tcPr>
            <w:tcW w:w="1424" w:type="dxa"/>
            <w:noWrap w:val="0"/>
            <w:tcMar>
              <w:top w:w="15" w:type="dxa"/>
              <w:left w:w="15" w:type="dxa"/>
              <w:bottom w:w="0" w:type="dxa"/>
              <w:right w:w="15" w:type="dxa"/>
            </w:tcMar>
            <w:vAlign w:val="bottom"/>
          </w:tcPr>
          <w:p w14:paraId="4CBABAFB">
            <w:pPr>
              <w:pStyle w:val="26"/>
              <w:spacing w:line="360" w:lineRule="auto"/>
              <w:ind w:left="0" w:leftChars="0" w:firstLine="480" w:firstLineChars="200"/>
              <w:jc w:val="both"/>
              <w:outlineLvl w:val="9"/>
              <w:rPr>
                <w:rFonts w:hint="eastAsia" w:ascii="楷体" w:hAnsi="楷体" w:eastAsia="楷体" w:cs="楷体"/>
                <w:color w:val="auto"/>
                <w:szCs w:val="21"/>
                <w:highlight w:val="none"/>
              </w:rPr>
            </w:pPr>
          </w:p>
        </w:tc>
        <w:tc>
          <w:tcPr>
            <w:tcW w:w="1223" w:type="dxa"/>
            <w:noWrap w:val="0"/>
            <w:tcMar>
              <w:top w:w="15" w:type="dxa"/>
              <w:left w:w="15" w:type="dxa"/>
              <w:bottom w:w="0" w:type="dxa"/>
              <w:right w:w="15" w:type="dxa"/>
            </w:tcMar>
            <w:vAlign w:val="bottom"/>
          </w:tcPr>
          <w:p w14:paraId="4AEFEB63">
            <w:pPr>
              <w:pStyle w:val="26"/>
              <w:spacing w:line="360" w:lineRule="auto"/>
              <w:ind w:left="0" w:leftChars="0" w:firstLine="480" w:firstLineChars="200"/>
              <w:jc w:val="both"/>
              <w:outlineLvl w:val="9"/>
              <w:rPr>
                <w:rFonts w:hint="eastAsia" w:ascii="楷体" w:hAnsi="楷体" w:eastAsia="楷体" w:cs="楷体"/>
                <w:color w:val="auto"/>
                <w:szCs w:val="21"/>
                <w:highlight w:val="none"/>
              </w:rPr>
            </w:pPr>
          </w:p>
        </w:tc>
        <w:tc>
          <w:tcPr>
            <w:tcW w:w="992" w:type="dxa"/>
            <w:noWrap w:val="0"/>
            <w:tcMar>
              <w:top w:w="15" w:type="dxa"/>
              <w:left w:w="15" w:type="dxa"/>
              <w:bottom w:w="0" w:type="dxa"/>
              <w:right w:w="15" w:type="dxa"/>
            </w:tcMar>
            <w:vAlign w:val="bottom"/>
          </w:tcPr>
          <w:p w14:paraId="35B8F171">
            <w:pPr>
              <w:pStyle w:val="26"/>
              <w:spacing w:line="360" w:lineRule="auto"/>
              <w:ind w:left="0" w:leftChars="0" w:firstLine="480" w:firstLineChars="200"/>
              <w:jc w:val="both"/>
              <w:outlineLvl w:val="9"/>
              <w:rPr>
                <w:rFonts w:hint="eastAsia" w:ascii="楷体" w:hAnsi="楷体" w:eastAsia="楷体" w:cs="楷体"/>
                <w:color w:val="auto"/>
                <w:szCs w:val="21"/>
                <w:highlight w:val="none"/>
              </w:rPr>
            </w:pPr>
          </w:p>
        </w:tc>
        <w:tc>
          <w:tcPr>
            <w:tcW w:w="946" w:type="dxa"/>
            <w:noWrap w:val="0"/>
            <w:tcMar>
              <w:top w:w="15" w:type="dxa"/>
              <w:left w:w="15" w:type="dxa"/>
              <w:bottom w:w="0" w:type="dxa"/>
              <w:right w:w="15" w:type="dxa"/>
            </w:tcMar>
            <w:vAlign w:val="bottom"/>
          </w:tcPr>
          <w:p w14:paraId="0079A295">
            <w:pPr>
              <w:pStyle w:val="26"/>
              <w:spacing w:line="360" w:lineRule="auto"/>
              <w:ind w:left="0" w:leftChars="0" w:firstLine="480" w:firstLineChars="200"/>
              <w:jc w:val="both"/>
              <w:outlineLvl w:val="9"/>
              <w:rPr>
                <w:rFonts w:hint="eastAsia" w:ascii="楷体" w:hAnsi="楷体" w:eastAsia="楷体" w:cs="楷体"/>
                <w:color w:val="auto"/>
                <w:szCs w:val="21"/>
                <w:highlight w:val="none"/>
              </w:rPr>
            </w:pPr>
          </w:p>
        </w:tc>
        <w:tc>
          <w:tcPr>
            <w:tcW w:w="1108" w:type="dxa"/>
            <w:noWrap w:val="0"/>
            <w:tcMar>
              <w:top w:w="15" w:type="dxa"/>
              <w:left w:w="15" w:type="dxa"/>
              <w:bottom w:w="0" w:type="dxa"/>
              <w:right w:w="15" w:type="dxa"/>
            </w:tcMar>
            <w:vAlign w:val="bottom"/>
          </w:tcPr>
          <w:p w14:paraId="79BBDA05">
            <w:pPr>
              <w:pStyle w:val="26"/>
              <w:spacing w:line="360" w:lineRule="auto"/>
              <w:ind w:left="0" w:leftChars="0" w:firstLine="480" w:firstLineChars="200"/>
              <w:jc w:val="both"/>
              <w:outlineLvl w:val="9"/>
              <w:rPr>
                <w:rFonts w:hint="eastAsia" w:ascii="楷体" w:hAnsi="楷体" w:eastAsia="楷体" w:cs="楷体"/>
                <w:color w:val="auto"/>
                <w:szCs w:val="21"/>
                <w:highlight w:val="none"/>
              </w:rPr>
            </w:pPr>
          </w:p>
        </w:tc>
        <w:tc>
          <w:tcPr>
            <w:tcW w:w="2146" w:type="dxa"/>
            <w:noWrap w:val="0"/>
            <w:tcMar>
              <w:top w:w="15" w:type="dxa"/>
              <w:left w:w="15" w:type="dxa"/>
              <w:bottom w:w="0" w:type="dxa"/>
              <w:right w:w="15" w:type="dxa"/>
            </w:tcMar>
            <w:vAlign w:val="bottom"/>
          </w:tcPr>
          <w:p w14:paraId="1FBBD064">
            <w:pPr>
              <w:pStyle w:val="26"/>
              <w:spacing w:line="360" w:lineRule="auto"/>
              <w:ind w:left="0" w:leftChars="0" w:firstLine="480" w:firstLineChars="200"/>
              <w:jc w:val="both"/>
              <w:outlineLvl w:val="9"/>
              <w:rPr>
                <w:rFonts w:hint="eastAsia" w:ascii="楷体" w:hAnsi="楷体" w:eastAsia="楷体" w:cs="楷体"/>
                <w:color w:val="auto"/>
                <w:szCs w:val="21"/>
                <w:highlight w:val="none"/>
              </w:rPr>
            </w:pPr>
          </w:p>
        </w:tc>
      </w:tr>
      <w:tr w14:paraId="4430A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atLeast"/>
        </w:trPr>
        <w:tc>
          <w:tcPr>
            <w:tcW w:w="746" w:type="dxa"/>
            <w:noWrap w:val="0"/>
            <w:tcMar>
              <w:top w:w="15" w:type="dxa"/>
              <w:left w:w="15" w:type="dxa"/>
              <w:bottom w:w="0" w:type="dxa"/>
              <w:right w:w="15" w:type="dxa"/>
            </w:tcMar>
            <w:vAlign w:val="bottom"/>
          </w:tcPr>
          <w:p w14:paraId="65D4BCB5">
            <w:pPr>
              <w:pStyle w:val="26"/>
              <w:spacing w:line="360" w:lineRule="auto"/>
              <w:ind w:left="0" w:leftChars="0" w:firstLine="480" w:firstLineChars="200"/>
              <w:jc w:val="both"/>
              <w:outlineLvl w:val="9"/>
              <w:rPr>
                <w:rFonts w:hint="eastAsia" w:ascii="楷体" w:hAnsi="楷体" w:eastAsia="楷体" w:cs="楷体"/>
                <w:color w:val="auto"/>
                <w:szCs w:val="21"/>
                <w:highlight w:val="none"/>
              </w:rPr>
            </w:pPr>
          </w:p>
        </w:tc>
        <w:tc>
          <w:tcPr>
            <w:tcW w:w="1424" w:type="dxa"/>
            <w:noWrap w:val="0"/>
            <w:tcMar>
              <w:top w:w="15" w:type="dxa"/>
              <w:left w:w="15" w:type="dxa"/>
              <w:bottom w:w="0" w:type="dxa"/>
              <w:right w:w="15" w:type="dxa"/>
            </w:tcMar>
            <w:vAlign w:val="bottom"/>
          </w:tcPr>
          <w:p w14:paraId="2752E639">
            <w:pPr>
              <w:pStyle w:val="26"/>
              <w:spacing w:line="360" w:lineRule="auto"/>
              <w:ind w:left="0" w:leftChars="0" w:firstLine="480" w:firstLineChars="200"/>
              <w:jc w:val="both"/>
              <w:outlineLvl w:val="9"/>
              <w:rPr>
                <w:rFonts w:hint="eastAsia" w:ascii="楷体" w:hAnsi="楷体" w:eastAsia="楷体" w:cs="楷体"/>
                <w:color w:val="auto"/>
                <w:szCs w:val="21"/>
                <w:highlight w:val="none"/>
              </w:rPr>
            </w:pPr>
          </w:p>
        </w:tc>
        <w:tc>
          <w:tcPr>
            <w:tcW w:w="1223" w:type="dxa"/>
            <w:noWrap w:val="0"/>
            <w:tcMar>
              <w:top w:w="15" w:type="dxa"/>
              <w:left w:w="15" w:type="dxa"/>
              <w:bottom w:w="0" w:type="dxa"/>
              <w:right w:w="15" w:type="dxa"/>
            </w:tcMar>
            <w:vAlign w:val="bottom"/>
          </w:tcPr>
          <w:p w14:paraId="12145465">
            <w:pPr>
              <w:pStyle w:val="26"/>
              <w:spacing w:line="360" w:lineRule="auto"/>
              <w:ind w:left="0" w:leftChars="0" w:firstLine="480" w:firstLineChars="200"/>
              <w:jc w:val="both"/>
              <w:outlineLvl w:val="9"/>
              <w:rPr>
                <w:rFonts w:hint="eastAsia" w:ascii="楷体" w:hAnsi="楷体" w:eastAsia="楷体" w:cs="楷体"/>
                <w:color w:val="auto"/>
                <w:szCs w:val="21"/>
                <w:highlight w:val="none"/>
              </w:rPr>
            </w:pPr>
          </w:p>
        </w:tc>
        <w:tc>
          <w:tcPr>
            <w:tcW w:w="992" w:type="dxa"/>
            <w:noWrap w:val="0"/>
            <w:tcMar>
              <w:top w:w="15" w:type="dxa"/>
              <w:left w:w="15" w:type="dxa"/>
              <w:bottom w:w="0" w:type="dxa"/>
              <w:right w:w="15" w:type="dxa"/>
            </w:tcMar>
            <w:vAlign w:val="bottom"/>
          </w:tcPr>
          <w:p w14:paraId="0E76D5FA">
            <w:pPr>
              <w:pStyle w:val="26"/>
              <w:spacing w:line="360" w:lineRule="auto"/>
              <w:ind w:left="0" w:leftChars="0" w:firstLine="480" w:firstLineChars="200"/>
              <w:jc w:val="both"/>
              <w:outlineLvl w:val="9"/>
              <w:rPr>
                <w:rFonts w:hint="eastAsia" w:ascii="楷体" w:hAnsi="楷体" w:eastAsia="楷体" w:cs="楷体"/>
                <w:color w:val="auto"/>
                <w:szCs w:val="21"/>
                <w:highlight w:val="none"/>
              </w:rPr>
            </w:pPr>
          </w:p>
        </w:tc>
        <w:tc>
          <w:tcPr>
            <w:tcW w:w="946" w:type="dxa"/>
            <w:noWrap w:val="0"/>
            <w:tcMar>
              <w:top w:w="15" w:type="dxa"/>
              <w:left w:w="15" w:type="dxa"/>
              <w:bottom w:w="0" w:type="dxa"/>
              <w:right w:w="15" w:type="dxa"/>
            </w:tcMar>
            <w:vAlign w:val="bottom"/>
          </w:tcPr>
          <w:p w14:paraId="34590D04">
            <w:pPr>
              <w:pStyle w:val="26"/>
              <w:spacing w:line="360" w:lineRule="auto"/>
              <w:ind w:left="0" w:leftChars="0" w:firstLine="480" w:firstLineChars="200"/>
              <w:jc w:val="both"/>
              <w:outlineLvl w:val="9"/>
              <w:rPr>
                <w:rFonts w:hint="eastAsia" w:ascii="楷体" w:hAnsi="楷体" w:eastAsia="楷体" w:cs="楷体"/>
                <w:color w:val="auto"/>
                <w:szCs w:val="21"/>
                <w:highlight w:val="none"/>
              </w:rPr>
            </w:pPr>
          </w:p>
        </w:tc>
        <w:tc>
          <w:tcPr>
            <w:tcW w:w="1108" w:type="dxa"/>
            <w:noWrap w:val="0"/>
            <w:tcMar>
              <w:top w:w="15" w:type="dxa"/>
              <w:left w:w="15" w:type="dxa"/>
              <w:bottom w:w="0" w:type="dxa"/>
              <w:right w:w="15" w:type="dxa"/>
            </w:tcMar>
            <w:vAlign w:val="bottom"/>
          </w:tcPr>
          <w:p w14:paraId="0654838E">
            <w:pPr>
              <w:pStyle w:val="26"/>
              <w:spacing w:line="360" w:lineRule="auto"/>
              <w:ind w:left="0" w:leftChars="0" w:firstLine="480" w:firstLineChars="200"/>
              <w:jc w:val="both"/>
              <w:outlineLvl w:val="9"/>
              <w:rPr>
                <w:rFonts w:hint="eastAsia" w:ascii="楷体" w:hAnsi="楷体" w:eastAsia="楷体" w:cs="楷体"/>
                <w:color w:val="auto"/>
                <w:szCs w:val="21"/>
                <w:highlight w:val="none"/>
              </w:rPr>
            </w:pPr>
          </w:p>
        </w:tc>
        <w:tc>
          <w:tcPr>
            <w:tcW w:w="2146" w:type="dxa"/>
            <w:noWrap w:val="0"/>
            <w:tcMar>
              <w:top w:w="15" w:type="dxa"/>
              <w:left w:w="15" w:type="dxa"/>
              <w:bottom w:w="0" w:type="dxa"/>
              <w:right w:w="15" w:type="dxa"/>
            </w:tcMar>
            <w:vAlign w:val="bottom"/>
          </w:tcPr>
          <w:p w14:paraId="7E2CC7C4">
            <w:pPr>
              <w:pStyle w:val="26"/>
              <w:spacing w:line="360" w:lineRule="auto"/>
              <w:ind w:left="0" w:leftChars="0" w:firstLine="480" w:firstLineChars="200"/>
              <w:jc w:val="both"/>
              <w:outlineLvl w:val="9"/>
              <w:rPr>
                <w:rFonts w:hint="eastAsia" w:ascii="楷体" w:hAnsi="楷体" w:eastAsia="楷体" w:cs="楷体"/>
                <w:color w:val="auto"/>
                <w:szCs w:val="21"/>
                <w:highlight w:val="none"/>
              </w:rPr>
            </w:pPr>
          </w:p>
        </w:tc>
      </w:tr>
      <w:tr w14:paraId="2231F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08" w:hRule="atLeast"/>
        </w:trPr>
        <w:tc>
          <w:tcPr>
            <w:tcW w:w="746" w:type="dxa"/>
            <w:noWrap w:val="0"/>
            <w:tcMar>
              <w:top w:w="15" w:type="dxa"/>
              <w:left w:w="15" w:type="dxa"/>
              <w:bottom w:w="0" w:type="dxa"/>
              <w:right w:w="15" w:type="dxa"/>
            </w:tcMar>
            <w:vAlign w:val="bottom"/>
          </w:tcPr>
          <w:p w14:paraId="701D0BC5">
            <w:pPr>
              <w:pStyle w:val="26"/>
              <w:spacing w:line="360" w:lineRule="auto"/>
              <w:ind w:left="0" w:leftChars="0" w:firstLine="480" w:firstLineChars="200"/>
              <w:jc w:val="both"/>
              <w:outlineLvl w:val="9"/>
              <w:rPr>
                <w:rFonts w:hint="eastAsia" w:ascii="楷体" w:hAnsi="楷体" w:eastAsia="楷体" w:cs="楷体"/>
                <w:color w:val="auto"/>
                <w:szCs w:val="21"/>
                <w:highlight w:val="none"/>
              </w:rPr>
            </w:pPr>
          </w:p>
        </w:tc>
        <w:tc>
          <w:tcPr>
            <w:tcW w:w="1424" w:type="dxa"/>
            <w:noWrap w:val="0"/>
            <w:tcMar>
              <w:top w:w="15" w:type="dxa"/>
              <w:left w:w="15" w:type="dxa"/>
              <w:bottom w:w="0" w:type="dxa"/>
              <w:right w:w="15" w:type="dxa"/>
            </w:tcMar>
            <w:vAlign w:val="bottom"/>
          </w:tcPr>
          <w:p w14:paraId="7EF9DEC1">
            <w:pPr>
              <w:pStyle w:val="26"/>
              <w:spacing w:line="360" w:lineRule="auto"/>
              <w:ind w:left="0" w:leftChars="0" w:firstLine="480" w:firstLineChars="200"/>
              <w:jc w:val="both"/>
              <w:outlineLvl w:val="9"/>
              <w:rPr>
                <w:rFonts w:hint="eastAsia" w:ascii="楷体" w:hAnsi="楷体" w:eastAsia="楷体" w:cs="楷体"/>
                <w:color w:val="auto"/>
                <w:szCs w:val="21"/>
                <w:highlight w:val="none"/>
              </w:rPr>
            </w:pPr>
          </w:p>
        </w:tc>
        <w:tc>
          <w:tcPr>
            <w:tcW w:w="1223" w:type="dxa"/>
            <w:noWrap w:val="0"/>
            <w:tcMar>
              <w:top w:w="15" w:type="dxa"/>
              <w:left w:w="15" w:type="dxa"/>
              <w:bottom w:w="0" w:type="dxa"/>
              <w:right w:w="15" w:type="dxa"/>
            </w:tcMar>
            <w:vAlign w:val="bottom"/>
          </w:tcPr>
          <w:p w14:paraId="139FED43">
            <w:pPr>
              <w:pStyle w:val="26"/>
              <w:spacing w:line="360" w:lineRule="auto"/>
              <w:ind w:left="0" w:leftChars="0" w:firstLine="480" w:firstLineChars="200"/>
              <w:jc w:val="both"/>
              <w:outlineLvl w:val="9"/>
              <w:rPr>
                <w:rFonts w:hint="eastAsia" w:ascii="楷体" w:hAnsi="楷体" w:eastAsia="楷体" w:cs="楷体"/>
                <w:color w:val="auto"/>
                <w:szCs w:val="21"/>
                <w:highlight w:val="none"/>
              </w:rPr>
            </w:pPr>
          </w:p>
        </w:tc>
        <w:tc>
          <w:tcPr>
            <w:tcW w:w="992" w:type="dxa"/>
            <w:noWrap w:val="0"/>
            <w:tcMar>
              <w:top w:w="15" w:type="dxa"/>
              <w:left w:w="15" w:type="dxa"/>
              <w:bottom w:w="0" w:type="dxa"/>
              <w:right w:w="15" w:type="dxa"/>
            </w:tcMar>
            <w:vAlign w:val="bottom"/>
          </w:tcPr>
          <w:p w14:paraId="47F8EC97">
            <w:pPr>
              <w:pStyle w:val="26"/>
              <w:spacing w:line="360" w:lineRule="auto"/>
              <w:ind w:left="0" w:leftChars="0" w:firstLine="480" w:firstLineChars="200"/>
              <w:jc w:val="both"/>
              <w:outlineLvl w:val="9"/>
              <w:rPr>
                <w:rFonts w:hint="eastAsia" w:ascii="楷体" w:hAnsi="楷体" w:eastAsia="楷体" w:cs="楷体"/>
                <w:color w:val="auto"/>
                <w:szCs w:val="21"/>
                <w:highlight w:val="none"/>
              </w:rPr>
            </w:pPr>
          </w:p>
        </w:tc>
        <w:tc>
          <w:tcPr>
            <w:tcW w:w="946" w:type="dxa"/>
            <w:noWrap w:val="0"/>
            <w:tcMar>
              <w:top w:w="15" w:type="dxa"/>
              <w:left w:w="15" w:type="dxa"/>
              <w:bottom w:w="0" w:type="dxa"/>
              <w:right w:w="15" w:type="dxa"/>
            </w:tcMar>
            <w:vAlign w:val="bottom"/>
          </w:tcPr>
          <w:p w14:paraId="40B95194">
            <w:pPr>
              <w:pStyle w:val="26"/>
              <w:spacing w:line="360" w:lineRule="auto"/>
              <w:ind w:left="0" w:leftChars="0" w:firstLine="480" w:firstLineChars="200"/>
              <w:jc w:val="both"/>
              <w:outlineLvl w:val="9"/>
              <w:rPr>
                <w:rFonts w:hint="eastAsia" w:ascii="楷体" w:hAnsi="楷体" w:eastAsia="楷体" w:cs="楷体"/>
                <w:color w:val="auto"/>
                <w:szCs w:val="21"/>
                <w:highlight w:val="none"/>
              </w:rPr>
            </w:pPr>
          </w:p>
        </w:tc>
        <w:tc>
          <w:tcPr>
            <w:tcW w:w="1108" w:type="dxa"/>
            <w:noWrap w:val="0"/>
            <w:tcMar>
              <w:top w:w="15" w:type="dxa"/>
              <w:left w:w="15" w:type="dxa"/>
              <w:bottom w:w="0" w:type="dxa"/>
              <w:right w:w="15" w:type="dxa"/>
            </w:tcMar>
            <w:vAlign w:val="bottom"/>
          </w:tcPr>
          <w:p w14:paraId="381C89D3">
            <w:pPr>
              <w:pStyle w:val="26"/>
              <w:spacing w:line="360" w:lineRule="auto"/>
              <w:ind w:left="0" w:leftChars="0" w:firstLine="480" w:firstLineChars="200"/>
              <w:jc w:val="both"/>
              <w:outlineLvl w:val="9"/>
              <w:rPr>
                <w:rFonts w:hint="eastAsia" w:ascii="楷体" w:hAnsi="楷体" w:eastAsia="楷体" w:cs="楷体"/>
                <w:color w:val="auto"/>
                <w:szCs w:val="21"/>
                <w:highlight w:val="none"/>
              </w:rPr>
            </w:pPr>
          </w:p>
        </w:tc>
        <w:tc>
          <w:tcPr>
            <w:tcW w:w="2146" w:type="dxa"/>
            <w:noWrap w:val="0"/>
            <w:tcMar>
              <w:top w:w="15" w:type="dxa"/>
              <w:left w:w="15" w:type="dxa"/>
              <w:bottom w:w="0" w:type="dxa"/>
              <w:right w:w="15" w:type="dxa"/>
            </w:tcMar>
            <w:vAlign w:val="bottom"/>
          </w:tcPr>
          <w:p w14:paraId="27EE4D9A">
            <w:pPr>
              <w:pStyle w:val="26"/>
              <w:spacing w:line="360" w:lineRule="auto"/>
              <w:ind w:left="0" w:leftChars="0" w:firstLine="480" w:firstLineChars="200"/>
              <w:jc w:val="both"/>
              <w:outlineLvl w:val="9"/>
              <w:rPr>
                <w:rFonts w:hint="eastAsia" w:ascii="楷体" w:hAnsi="楷体" w:eastAsia="楷体" w:cs="楷体"/>
                <w:color w:val="auto"/>
                <w:szCs w:val="21"/>
                <w:highlight w:val="none"/>
              </w:rPr>
            </w:pPr>
          </w:p>
        </w:tc>
      </w:tr>
      <w:tr w14:paraId="06E77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atLeast"/>
        </w:trPr>
        <w:tc>
          <w:tcPr>
            <w:tcW w:w="746" w:type="dxa"/>
            <w:noWrap w:val="0"/>
            <w:tcMar>
              <w:top w:w="15" w:type="dxa"/>
              <w:left w:w="15" w:type="dxa"/>
              <w:bottom w:w="0" w:type="dxa"/>
              <w:right w:w="15" w:type="dxa"/>
            </w:tcMar>
            <w:vAlign w:val="bottom"/>
          </w:tcPr>
          <w:p w14:paraId="31AB73A2">
            <w:pPr>
              <w:pStyle w:val="26"/>
              <w:spacing w:line="360" w:lineRule="auto"/>
              <w:ind w:left="0" w:leftChars="0" w:firstLine="480" w:firstLineChars="200"/>
              <w:jc w:val="both"/>
              <w:outlineLvl w:val="9"/>
              <w:rPr>
                <w:rFonts w:hint="eastAsia" w:ascii="楷体" w:hAnsi="楷体" w:eastAsia="楷体" w:cs="楷体"/>
                <w:color w:val="auto"/>
                <w:szCs w:val="21"/>
                <w:highlight w:val="none"/>
              </w:rPr>
            </w:pPr>
          </w:p>
        </w:tc>
        <w:tc>
          <w:tcPr>
            <w:tcW w:w="1424" w:type="dxa"/>
            <w:noWrap w:val="0"/>
            <w:tcMar>
              <w:top w:w="15" w:type="dxa"/>
              <w:left w:w="15" w:type="dxa"/>
              <w:bottom w:w="0" w:type="dxa"/>
              <w:right w:w="15" w:type="dxa"/>
            </w:tcMar>
            <w:vAlign w:val="bottom"/>
          </w:tcPr>
          <w:p w14:paraId="3FB02DBE">
            <w:pPr>
              <w:pStyle w:val="26"/>
              <w:spacing w:line="360" w:lineRule="auto"/>
              <w:ind w:left="0" w:leftChars="0" w:firstLine="480" w:firstLineChars="200"/>
              <w:jc w:val="both"/>
              <w:outlineLvl w:val="9"/>
              <w:rPr>
                <w:rFonts w:hint="eastAsia" w:ascii="楷体" w:hAnsi="楷体" w:eastAsia="楷体" w:cs="楷体"/>
                <w:color w:val="auto"/>
                <w:szCs w:val="21"/>
                <w:highlight w:val="none"/>
              </w:rPr>
            </w:pPr>
          </w:p>
        </w:tc>
        <w:tc>
          <w:tcPr>
            <w:tcW w:w="1223" w:type="dxa"/>
            <w:noWrap w:val="0"/>
            <w:tcMar>
              <w:top w:w="15" w:type="dxa"/>
              <w:left w:w="15" w:type="dxa"/>
              <w:bottom w:w="0" w:type="dxa"/>
              <w:right w:w="15" w:type="dxa"/>
            </w:tcMar>
            <w:vAlign w:val="bottom"/>
          </w:tcPr>
          <w:p w14:paraId="5E873683">
            <w:pPr>
              <w:pStyle w:val="26"/>
              <w:spacing w:line="360" w:lineRule="auto"/>
              <w:ind w:left="0" w:leftChars="0" w:firstLine="480" w:firstLineChars="200"/>
              <w:jc w:val="both"/>
              <w:outlineLvl w:val="9"/>
              <w:rPr>
                <w:rFonts w:hint="eastAsia" w:ascii="楷体" w:hAnsi="楷体" w:eastAsia="楷体" w:cs="楷体"/>
                <w:color w:val="auto"/>
                <w:szCs w:val="21"/>
                <w:highlight w:val="none"/>
              </w:rPr>
            </w:pPr>
          </w:p>
        </w:tc>
        <w:tc>
          <w:tcPr>
            <w:tcW w:w="992" w:type="dxa"/>
            <w:noWrap w:val="0"/>
            <w:tcMar>
              <w:top w:w="15" w:type="dxa"/>
              <w:left w:w="15" w:type="dxa"/>
              <w:bottom w:w="0" w:type="dxa"/>
              <w:right w:w="15" w:type="dxa"/>
            </w:tcMar>
            <w:vAlign w:val="bottom"/>
          </w:tcPr>
          <w:p w14:paraId="48B4AE33">
            <w:pPr>
              <w:pStyle w:val="26"/>
              <w:spacing w:line="360" w:lineRule="auto"/>
              <w:ind w:left="0" w:leftChars="0" w:firstLine="480" w:firstLineChars="200"/>
              <w:jc w:val="both"/>
              <w:outlineLvl w:val="9"/>
              <w:rPr>
                <w:rFonts w:hint="eastAsia" w:ascii="楷体" w:hAnsi="楷体" w:eastAsia="楷体" w:cs="楷体"/>
                <w:color w:val="auto"/>
                <w:szCs w:val="21"/>
                <w:highlight w:val="none"/>
              </w:rPr>
            </w:pPr>
          </w:p>
        </w:tc>
        <w:tc>
          <w:tcPr>
            <w:tcW w:w="946" w:type="dxa"/>
            <w:noWrap w:val="0"/>
            <w:tcMar>
              <w:top w:w="15" w:type="dxa"/>
              <w:left w:w="15" w:type="dxa"/>
              <w:bottom w:w="0" w:type="dxa"/>
              <w:right w:w="15" w:type="dxa"/>
            </w:tcMar>
            <w:vAlign w:val="bottom"/>
          </w:tcPr>
          <w:p w14:paraId="6EA877F7">
            <w:pPr>
              <w:pStyle w:val="26"/>
              <w:spacing w:line="360" w:lineRule="auto"/>
              <w:ind w:left="0" w:leftChars="0" w:firstLine="480" w:firstLineChars="200"/>
              <w:jc w:val="both"/>
              <w:outlineLvl w:val="9"/>
              <w:rPr>
                <w:rFonts w:hint="eastAsia" w:ascii="楷体" w:hAnsi="楷体" w:eastAsia="楷体" w:cs="楷体"/>
                <w:color w:val="auto"/>
                <w:szCs w:val="21"/>
                <w:highlight w:val="none"/>
              </w:rPr>
            </w:pPr>
          </w:p>
        </w:tc>
        <w:tc>
          <w:tcPr>
            <w:tcW w:w="1108" w:type="dxa"/>
            <w:noWrap w:val="0"/>
            <w:tcMar>
              <w:top w:w="15" w:type="dxa"/>
              <w:left w:w="15" w:type="dxa"/>
              <w:bottom w:w="0" w:type="dxa"/>
              <w:right w:w="15" w:type="dxa"/>
            </w:tcMar>
            <w:vAlign w:val="bottom"/>
          </w:tcPr>
          <w:p w14:paraId="012FE39F">
            <w:pPr>
              <w:pStyle w:val="26"/>
              <w:spacing w:line="360" w:lineRule="auto"/>
              <w:ind w:left="0" w:leftChars="0" w:firstLine="480" w:firstLineChars="200"/>
              <w:jc w:val="both"/>
              <w:outlineLvl w:val="9"/>
              <w:rPr>
                <w:rFonts w:hint="eastAsia" w:ascii="楷体" w:hAnsi="楷体" w:eastAsia="楷体" w:cs="楷体"/>
                <w:color w:val="auto"/>
                <w:szCs w:val="21"/>
                <w:highlight w:val="none"/>
              </w:rPr>
            </w:pPr>
          </w:p>
        </w:tc>
        <w:tc>
          <w:tcPr>
            <w:tcW w:w="2146" w:type="dxa"/>
            <w:noWrap w:val="0"/>
            <w:tcMar>
              <w:top w:w="15" w:type="dxa"/>
              <w:left w:w="15" w:type="dxa"/>
              <w:bottom w:w="0" w:type="dxa"/>
              <w:right w:w="15" w:type="dxa"/>
            </w:tcMar>
            <w:vAlign w:val="bottom"/>
          </w:tcPr>
          <w:p w14:paraId="6EF22763">
            <w:pPr>
              <w:pStyle w:val="26"/>
              <w:spacing w:line="360" w:lineRule="auto"/>
              <w:ind w:left="0" w:leftChars="0" w:firstLine="480" w:firstLineChars="200"/>
              <w:jc w:val="both"/>
              <w:outlineLvl w:val="9"/>
              <w:rPr>
                <w:rFonts w:hint="eastAsia" w:ascii="楷体" w:hAnsi="楷体" w:eastAsia="楷体" w:cs="楷体"/>
                <w:color w:val="auto"/>
                <w:szCs w:val="21"/>
                <w:highlight w:val="none"/>
              </w:rPr>
            </w:pPr>
          </w:p>
        </w:tc>
      </w:tr>
      <w:tr w14:paraId="15756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atLeast"/>
        </w:trPr>
        <w:tc>
          <w:tcPr>
            <w:tcW w:w="746" w:type="dxa"/>
            <w:noWrap w:val="0"/>
            <w:tcMar>
              <w:top w:w="15" w:type="dxa"/>
              <w:left w:w="15" w:type="dxa"/>
              <w:bottom w:w="0" w:type="dxa"/>
              <w:right w:w="15" w:type="dxa"/>
            </w:tcMar>
            <w:vAlign w:val="bottom"/>
          </w:tcPr>
          <w:p w14:paraId="6FED9F22">
            <w:pPr>
              <w:pStyle w:val="26"/>
              <w:spacing w:line="360" w:lineRule="auto"/>
              <w:ind w:left="0" w:leftChars="0" w:firstLine="480" w:firstLineChars="200"/>
              <w:jc w:val="both"/>
              <w:outlineLvl w:val="9"/>
              <w:rPr>
                <w:rFonts w:hint="eastAsia" w:ascii="楷体" w:hAnsi="楷体" w:eastAsia="楷体" w:cs="楷体"/>
                <w:color w:val="auto"/>
                <w:szCs w:val="21"/>
                <w:highlight w:val="none"/>
              </w:rPr>
            </w:pPr>
          </w:p>
        </w:tc>
        <w:tc>
          <w:tcPr>
            <w:tcW w:w="1424" w:type="dxa"/>
            <w:noWrap w:val="0"/>
            <w:tcMar>
              <w:top w:w="15" w:type="dxa"/>
              <w:left w:w="15" w:type="dxa"/>
              <w:bottom w:w="0" w:type="dxa"/>
              <w:right w:w="15" w:type="dxa"/>
            </w:tcMar>
            <w:vAlign w:val="bottom"/>
          </w:tcPr>
          <w:p w14:paraId="36B9DB78">
            <w:pPr>
              <w:pStyle w:val="26"/>
              <w:spacing w:line="360" w:lineRule="auto"/>
              <w:ind w:left="0" w:leftChars="0" w:firstLine="480" w:firstLineChars="200"/>
              <w:jc w:val="both"/>
              <w:outlineLvl w:val="9"/>
              <w:rPr>
                <w:rFonts w:hint="eastAsia" w:ascii="楷体" w:hAnsi="楷体" w:eastAsia="楷体" w:cs="楷体"/>
                <w:color w:val="auto"/>
                <w:szCs w:val="21"/>
                <w:highlight w:val="none"/>
              </w:rPr>
            </w:pPr>
          </w:p>
        </w:tc>
        <w:tc>
          <w:tcPr>
            <w:tcW w:w="1223" w:type="dxa"/>
            <w:noWrap w:val="0"/>
            <w:tcMar>
              <w:top w:w="15" w:type="dxa"/>
              <w:left w:w="15" w:type="dxa"/>
              <w:bottom w:w="0" w:type="dxa"/>
              <w:right w:w="15" w:type="dxa"/>
            </w:tcMar>
            <w:vAlign w:val="bottom"/>
          </w:tcPr>
          <w:p w14:paraId="0A225DD9">
            <w:pPr>
              <w:pStyle w:val="26"/>
              <w:spacing w:line="360" w:lineRule="auto"/>
              <w:ind w:left="0" w:leftChars="0" w:firstLine="480" w:firstLineChars="200"/>
              <w:jc w:val="both"/>
              <w:outlineLvl w:val="9"/>
              <w:rPr>
                <w:rFonts w:hint="eastAsia" w:ascii="楷体" w:hAnsi="楷体" w:eastAsia="楷体" w:cs="楷体"/>
                <w:color w:val="auto"/>
                <w:szCs w:val="21"/>
                <w:highlight w:val="none"/>
              </w:rPr>
            </w:pPr>
          </w:p>
        </w:tc>
        <w:tc>
          <w:tcPr>
            <w:tcW w:w="992" w:type="dxa"/>
            <w:noWrap w:val="0"/>
            <w:tcMar>
              <w:top w:w="15" w:type="dxa"/>
              <w:left w:w="15" w:type="dxa"/>
              <w:bottom w:w="0" w:type="dxa"/>
              <w:right w:w="15" w:type="dxa"/>
            </w:tcMar>
            <w:vAlign w:val="bottom"/>
          </w:tcPr>
          <w:p w14:paraId="2C8E8D9E">
            <w:pPr>
              <w:pStyle w:val="26"/>
              <w:spacing w:line="360" w:lineRule="auto"/>
              <w:ind w:left="0" w:leftChars="0" w:firstLine="480" w:firstLineChars="200"/>
              <w:jc w:val="both"/>
              <w:outlineLvl w:val="9"/>
              <w:rPr>
                <w:rFonts w:hint="eastAsia" w:ascii="楷体" w:hAnsi="楷体" w:eastAsia="楷体" w:cs="楷体"/>
                <w:color w:val="auto"/>
                <w:szCs w:val="21"/>
                <w:highlight w:val="none"/>
              </w:rPr>
            </w:pPr>
          </w:p>
        </w:tc>
        <w:tc>
          <w:tcPr>
            <w:tcW w:w="946" w:type="dxa"/>
            <w:noWrap w:val="0"/>
            <w:tcMar>
              <w:top w:w="15" w:type="dxa"/>
              <w:left w:w="15" w:type="dxa"/>
              <w:bottom w:w="0" w:type="dxa"/>
              <w:right w:w="15" w:type="dxa"/>
            </w:tcMar>
            <w:vAlign w:val="bottom"/>
          </w:tcPr>
          <w:p w14:paraId="6F872F76">
            <w:pPr>
              <w:pStyle w:val="26"/>
              <w:spacing w:line="360" w:lineRule="auto"/>
              <w:ind w:left="0" w:leftChars="0" w:firstLine="480" w:firstLineChars="200"/>
              <w:jc w:val="both"/>
              <w:outlineLvl w:val="9"/>
              <w:rPr>
                <w:rFonts w:hint="eastAsia" w:ascii="楷体" w:hAnsi="楷体" w:eastAsia="楷体" w:cs="楷体"/>
                <w:color w:val="auto"/>
                <w:szCs w:val="21"/>
                <w:highlight w:val="none"/>
              </w:rPr>
            </w:pPr>
          </w:p>
        </w:tc>
        <w:tc>
          <w:tcPr>
            <w:tcW w:w="1108" w:type="dxa"/>
            <w:noWrap w:val="0"/>
            <w:tcMar>
              <w:top w:w="15" w:type="dxa"/>
              <w:left w:w="15" w:type="dxa"/>
              <w:bottom w:w="0" w:type="dxa"/>
              <w:right w:w="15" w:type="dxa"/>
            </w:tcMar>
            <w:vAlign w:val="bottom"/>
          </w:tcPr>
          <w:p w14:paraId="5E58021B">
            <w:pPr>
              <w:pStyle w:val="26"/>
              <w:spacing w:line="360" w:lineRule="auto"/>
              <w:ind w:left="0" w:leftChars="0" w:firstLine="480" w:firstLineChars="200"/>
              <w:jc w:val="both"/>
              <w:outlineLvl w:val="9"/>
              <w:rPr>
                <w:rFonts w:hint="eastAsia" w:ascii="楷体" w:hAnsi="楷体" w:eastAsia="楷体" w:cs="楷体"/>
                <w:color w:val="auto"/>
                <w:szCs w:val="21"/>
                <w:highlight w:val="none"/>
              </w:rPr>
            </w:pPr>
          </w:p>
        </w:tc>
        <w:tc>
          <w:tcPr>
            <w:tcW w:w="2146" w:type="dxa"/>
            <w:noWrap w:val="0"/>
            <w:tcMar>
              <w:top w:w="15" w:type="dxa"/>
              <w:left w:w="15" w:type="dxa"/>
              <w:bottom w:w="0" w:type="dxa"/>
              <w:right w:w="15" w:type="dxa"/>
            </w:tcMar>
            <w:vAlign w:val="bottom"/>
          </w:tcPr>
          <w:p w14:paraId="0A95668E">
            <w:pPr>
              <w:pStyle w:val="26"/>
              <w:spacing w:line="360" w:lineRule="auto"/>
              <w:ind w:left="0" w:leftChars="0" w:firstLine="480" w:firstLineChars="200"/>
              <w:jc w:val="both"/>
              <w:outlineLvl w:val="9"/>
              <w:rPr>
                <w:rFonts w:hint="eastAsia" w:ascii="楷体" w:hAnsi="楷体" w:eastAsia="楷体" w:cs="楷体"/>
                <w:color w:val="auto"/>
                <w:szCs w:val="21"/>
                <w:highlight w:val="none"/>
              </w:rPr>
            </w:pPr>
          </w:p>
        </w:tc>
      </w:tr>
    </w:tbl>
    <w:p w14:paraId="3121BB0F">
      <w:pPr>
        <w:pStyle w:val="27"/>
        <w:tabs>
          <w:tab w:val="left" w:pos="2040"/>
        </w:tabs>
        <w:spacing w:before="0" w:beforeLines="0" w:line="400" w:lineRule="exact"/>
        <w:ind w:left="0" w:firstLine="0" w:firstLineChars="0"/>
        <w:outlineLvl w:val="9"/>
        <w:rPr>
          <w:rFonts w:hint="eastAsia" w:ascii="楷体" w:hAnsi="楷体" w:eastAsia="楷体" w:cs="楷体"/>
          <w:color w:val="auto"/>
          <w:highlight w:val="none"/>
        </w:rPr>
      </w:pPr>
      <w:r>
        <w:rPr>
          <w:rFonts w:hint="eastAsia" w:ascii="楷体" w:hAnsi="楷体" w:eastAsia="楷体" w:cs="楷体"/>
          <w:color w:val="auto"/>
          <w:highlight w:val="none"/>
        </w:rPr>
        <w:t>注：</w:t>
      </w:r>
    </w:p>
    <w:p w14:paraId="2B0B57D5">
      <w:pPr>
        <w:pStyle w:val="27"/>
        <w:tabs>
          <w:tab w:val="left" w:pos="2040"/>
        </w:tabs>
        <w:spacing w:before="0" w:beforeLines="0" w:line="360" w:lineRule="auto"/>
        <w:ind w:left="0" w:firstLine="480" w:firstLineChars="200"/>
        <w:outlineLvl w:val="9"/>
        <w:rPr>
          <w:rFonts w:hint="eastAsia" w:ascii="楷体" w:hAnsi="楷体" w:eastAsia="楷体" w:cs="楷体"/>
          <w:color w:val="auto"/>
          <w:highlight w:val="none"/>
        </w:rPr>
      </w:pPr>
      <w:r>
        <w:rPr>
          <w:rFonts w:hint="eastAsia" w:ascii="楷体" w:hAnsi="楷体" w:eastAsia="楷体" w:cs="楷体"/>
          <w:color w:val="auto"/>
          <w:highlight w:val="none"/>
        </w:rPr>
        <w:t>1.供应商可适当调整该表格式。</w:t>
      </w:r>
    </w:p>
    <w:p w14:paraId="59114AFC">
      <w:pPr>
        <w:pStyle w:val="27"/>
        <w:tabs>
          <w:tab w:val="left" w:pos="2040"/>
        </w:tabs>
        <w:spacing w:before="0" w:beforeLines="0" w:line="360" w:lineRule="auto"/>
        <w:ind w:left="0" w:firstLine="480" w:firstLineChars="200"/>
        <w:outlineLvl w:val="9"/>
        <w:rPr>
          <w:rFonts w:hint="eastAsia" w:ascii="楷体" w:hAnsi="楷体" w:eastAsia="楷体" w:cs="楷体"/>
          <w:color w:val="auto"/>
          <w:highlight w:val="none"/>
        </w:rPr>
      </w:pPr>
      <w:r>
        <w:rPr>
          <w:rFonts w:hint="eastAsia" w:ascii="楷体" w:hAnsi="楷体" w:eastAsia="楷体" w:cs="楷体"/>
          <w:color w:val="auto"/>
          <w:highlight w:val="none"/>
        </w:rPr>
        <w:t>2.附以上人员相关证明材料。</w:t>
      </w:r>
    </w:p>
    <w:p w14:paraId="123491EB">
      <w:pPr>
        <w:pStyle w:val="27"/>
        <w:tabs>
          <w:tab w:val="left" w:pos="2040"/>
        </w:tabs>
        <w:spacing w:before="0" w:beforeLines="0" w:line="360" w:lineRule="auto"/>
        <w:ind w:left="0" w:firstLine="480" w:firstLineChars="200"/>
        <w:outlineLvl w:val="9"/>
        <w:rPr>
          <w:rFonts w:hint="eastAsia" w:ascii="楷体" w:hAnsi="楷体" w:eastAsia="楷体" w:cs="楷体"/>
          <w:color w:val="auto"/>
          <w:highlight w:val="none"/>
        </w:rPr>
      </w:pPr>
    </w:p>
    <w:p w14:paraId="359B0C84">
      <w:pPr>
        <w:spacing w:line="360" w:lineRule="auto"/>
        <w:outlineLvl w:val="9"/>
        <w:rPr>
          <w:rFonts w:hint="eastAsia" w:ascii="楷体" w:hAnsi="楷体" w:eastAsia="楷体" w:cs="楷体"/>
          <w:color w:val="auto"/>
          <w:szCs w:val="24"/>
          <w:highlight w:val="none"/>
        </w:rPr>
      </w:pPr>
      <w:r>
        <w:rPr>
          <w:rFonts w:hint="eastAsia" w:ascii="楷体" w:hAnsi="楷体" w:eastAsia="楷体" w:cs="楷体"/>
          <w:color w:val="auto"/>
          <w:szCs w:val="24"/>
          <w:highlight w:val="none"/>
        </w:rPr>
        <w:t xml:space="preserve">供应商名称（公章）:             </w:t>
      </w:r>
    </w:p>
    <w:p w14:paraId="03219826">
      <w:pPr>
        <w:spacing w:line="360" w:lineRule="auto"/>
        <w:outlineLvl w:val="9"/>
        <w:rPr>
          <w:rFonts w:hint="eastAsia" w:ascii="楷体" w:hAnsi="楷体" w:eastAsia="楷体" w:cs="楷体"/>
          <w:color w:val="auto"/>
          <w:szCs w:val="24"/>
          <w:highlight w:val="none"/>
        </w:rPr>
      </w:pPr>
      <w:r>
        <w:rPr>
          <w:rFonts w:hint="eastAsia" w:ascii="楷体" w:hAnsi="楷体" w:eastAsia="楷体" w:cs="楷体"/>
          <w:color w:val="auto"/>
          <w:szCs w:val="24"/>
          <w:highlight w:val="none"/>
        </w:rPr>
        <w:t>法定代表人/被授权人（签字或盖章）：</w:t>
      </w:r>
    </w:p>
    <w:p w14:paraId="232BA0FB">
      <w:pPr>
        <w:spacing w:line="360" w:lineRule="auto"/>
        <w:outlineLvl w:val="9"/>
        <w:rPr>
          <w:rFonts w:hint="eastAsia" w:ascii="楷体" w:hAnsi="楷体" w:eastAsia="楷体" w:cs="楷体"/>
          <w:color w:val="auto"/>
          <w:szCs w:val="24"/>
          <w:highlight w:val="none"/>
        </w:rPr>
      </w:pPr>
      <w:r>
        <w:rPr>
          <w:rFonts w:hint="eastAsia" w:ascii="楷体" w:hAnsi="楷体" w:eastAsia="楷体" w:cs="楷体"/>
          <w:color w:val="auto"/>
          <w:szCs w:val="24"/>
          <w:highlight w:val="none"/>
        </w:rPr>
        <w:t xml:space="preserve">日    期：                                </w:t>
      </w:r>
    </w:p>
    <w:p w14:paraId="1B20333B">
      <w:pPr>
        <w:spacing w:line="480" w:lineRule="auto"/>
        <w:outlineLvl w:val="9"/>
        <w:rPr>
          <w:rFonts w:hint="eastAsia" w:ascii="楷体" w:hAnsi="楷体" w:eastAsia="楷体" w:cs="楷体"/>
          <w:b/>
          <w:bCs/>
          <w:color w:val="auto"/>
          <w:sz w:val="30"/>
          <w:szCs w:val="30"/>
          <w:highlight w:val="none"/>
        </w:rPr>
      </w:pPr>
      <w:r>
        <w:rPr>
          <w:rFonts w:hint="eastAsia" w:ascii="楷体" w:hAnsi="楷体" w:eastAsia="楷体" w:cs="楷体"/>
          <w:color w:val="auto"/>
          <w:szCs w:val="24"/>
          <w:highlight w:val="none"/>
          <w:u w:val="single"/>
        </w:rPr>
        <w:br w:type="page"/>
      </w:r>
      <w:bookmarkStart w:id="248" w:name="_Toc25698_WPSOffice_Level1"/>
      <w:bookmarkStart w:id="249" w:name="_Toc10028_WPSOffice_Level1"/>
      <w:r>
        <w:rPr>
          <w:rFonts w:hint="eastAsia" w:ascii="楷体" w:hAnsi="楷体" w:eastAsia="楷体" w:cs="楷体"/>
          <w:b/>
          <w:bCs/>
          <w:color w:val="auto"/>
          <w:sz w:val="30"/>
          <w:szCs w:val="30"/>
          <w:highlight w:val="none"/>
        </w:rPr>
        <w:t>附件</w:t>
      </w:r>
      <w:r>
        <w:rPr>
          <w:rFonts w:hint="eastAsia" w:ascii="楷体" w:hAnsi="楷体" w:eastAsia="楷体" w:cs="楷体"/>
          <w:b/>
          <w:bCs/>
          <w:color w:val="auto"/>
          <w:sz w:val="30"/>
          <w:szCs w:val="30"/>
          <w:highlight w:val="none"/>
          <w:lang w:val="en-US" w:eastAsia="zh-CN"/>
        </w:rPr>
        <w:t>6</w:t>
      </w:r>
      <w:r>
        <w:rPr>
          <w:rFonts w:hint="eastAsia" w:ascii="楷体" w:hAnsi="楷体" w:eastAsia="楷体" w:cs="楷体"/>
          <w:b/>
          <w:bCs/>
          <w:color w:val="auto"/>
          <w:sz w:val="30"/>
          <w:szCs w:val="30"/>
          <w:highlight w:val="none"/>
        </w:rPr>
        <w:t>：</w:t>
      </w:r>
      <w:bookmarkEnd w:id="248"/>
      <w:bookmarkEnd w:id="249"/>
    </w:p>
    <w:p w14:paraId="3E88BA77">
      <w:pPr>
        <w:spacing w:line="360" w:lineRule="auto"/>
        <w:jc w:val="center"/>
        <w:outlineLvl w:val="9"/>
        <w:rPr>
          <w:rFonts w:hint="eastAsia" w:ascii="楷体" w:hAnsi="楷体" w:eastAsia="楷体" w:cs="楷体"/>
          <w:b/>
          <w:bCs/>
          <w:color w:val="auto"/>
          <w:sz w:val="30"/>
          <w:szCs w:val="30"/>
          <w:highlight w:val="none"/>
        </w:rPr>
      </w:pPr>
      <w:bookmarkStart w:id="250" w:name="_Toc13080_WPSOffice_Level1"/>
      <w:bookmarkStart w:id="251" w:name="_Toc30631_WPSOffice_Level1"/>
      <w:r>
        <w:rPr>
          <w:rFonts w:hint="eastAsia" w:ascii="楷体" w:hAnsi="楷体" w:eastAsia="楷体" w:cs="楷体"/>
          <w:b/>
          <w:bCs/>
          <w:color w:val="auto"/>
          <w:sz w:val="30"/>
          <w:szCs w:val="30"/>
          <w:highlight w:val="none"/>
        </w:rPr>
        <w:t>拟投入项目</w:t>
      </w:r>
      <w:r>
        <w:rPr>
          <w:rFonts w:hint="eastAsia" w:ascii="楷体" w:hAnsi="楷体" w:eastAsia="楷体" w:cs="楷体"/>
          <w:b/>
          <w:bCs/>
          <w:color w:val="auto"/>
          <w:sz w:val="30"/>
          <w:szCs w:val="30"/>
          <w:highlight w:val="none"/>
          <w:lang w:eastAsia="zh-CN"/>
        </w:rPr>
        <w:t>负责人</w:t>
      </w:r>
      <w:r>
        <w:rPr>
          <w:rFonts w:hint="eastAsia" w:ascii="楷体" w:hAnsi="楷体" w:eastAsia="楷体" w:cs="楷体"/>
          <w:b/>
          <w:bCs/>
          <w:color w:val="auto"/>
          <w:sz w:val="30"/>
          <w:szCs w:val="30"/>
          <w:highlight w:val="none"/>
        </w:rPr>
        <w:t>简历表</w:t>
      </w:r>
      <w:bookmarkEnd w:id="250"/>
      <w:bookmarkEnd w:id="251"/>
    </w:p>
    <w:tbl>
      <w:tblPr>
        <w:tblStyle w:val="17"/>
        <w:tblW w:w="9004" w:type="dxa"/>
        <w:tblInd w:w="0" w:type="dxa"/>
        <w:tblLayout w:type="fixed"/>
        <w:tblCellMar>
          <w:top w:w="0" w:type="dxa"/>
          <w:left w:w="108" w:type="dxa"/>
          <w:bottom w:w="0" w:type="dxa"/>
          <w:right w:w="108" w:type="dxa"/>
        </w:tblCellMar>
      </w:tblPr>
      <w:tblGrid>
        <w:gridCol w:w="1494"/>
        <w:gridCol w:w="268"/>
        <w:gridCol w:w="1570"/>
        <w:gridCol w:w="1516"/>
        <w:gridCol w:w="1280"/>
        <w:gridCol w:w="43"/>
        <w:gridCol w:w="1700"/>
        <w:gridCol w:w="1133"/>
      </w:tblGrid>
      <w:tr w14:paraId="641C79DC">
        <w:tblPrEx>
          <w:tblCellMar>
            <w:top w:w="0" w:type="dxa"/>
            <w:left w:w="108" w:type="dxa"/>
            <w:bottom w:w="0" w:type="dxa"/>
            <w:right w:w="108" w:type="dxa"/>
          </w:tblCellMar>
        </w:tblPrEx>
        <w:trPr>
          <w:trHeight w:val="521" w:hRule="atLeast"/>
        </w:trPr>
        <w:tc>
          <w:tcPr>
            <w:tcW w:w="1762" w:type="dxa"/>
            <w:gridSpan w:val="2"/>
            <w:tcBorders>
              <w:top w:val="single" w:color="auto" w:sz="4" w:space="0"/>
              <w:left w:val="single" w:color="auto" w:sz="4" w:space="0"/>
              <w:bottom w:val="single" w:color="auto" w:sz="4" w:space="0"/>
              <w:right w:val="single" w:color="auto" w:sz="4" w:space="0"/>
            </w:tcBorders>
            <w:noWrap w:val="0"/>
            <w:vAlign w:val="center"/>
          </w:tcPr>
          <w:p w14:paraId="1A510EB7">
            <w:pPr>
              <w:pStyle w:val="26"/>
              <w:spacing w:line="400" w:lineRule="exact"/>
              <w:ind w:left="0" w:leftChars="0"/>
              <w:outlineLvl w:val="9"/>
              <w:rPr>
                <w:rFonts w:hint="eastAsia" w:ascii="楷体" w:hAnsi="楷体" w:eastAsia="楷体" w:cs="楷体"/>
                <w:color w:val="auto"/>
                <w:highlight w:val="none"/>
              </w:rPr>
            </w:pPr>
            <w:r>
              <w:rPr>
                <w:rFonts w:hint="eastAsia" w:ascii="楷体" w:hAnsi="楷体" w:eastAsia="楷体" w:cs="楷体"/>
                <w:color w:val="auto"/>
                <w:highlight w:val="none"/>
              </w:rPr>
              <w:t>姓  名</w:t>
            </w:r>
          </w:p>
        </w:tc>
        <w:tc>
          <w:tcPr>
            <w:tcW w:w="1570" w:type="dxa"/>
            <w:tcBorders>
              <w:top w:val="single" w:color="auto" w:sz="4" w:space="0"/>
              <w:left w:val="nil"/>
              <w:bottom w:val="single" w:color="auto" w:sz="4" w:space="0"/>
              <w:right w:val="single" w:color="auto" w:sz="4" w:space="0"/>
            </w:tcBorders>
            <w:noWrap w:val="0"/>
            <w:vAlign w:val="center"/>
          </w:tcPr>
          <w:p w14:paraId="29A9442A">
            <w:pPr>
              <w:pStyle w:val="26"/>
              <w:spacing w:line="400" w:lineRule="exact"/>
              <w:ind w:left="0" w:leftChars="0"/>
              <w:outlineLvl w:val="9"/>
              <w:rPr>
                <w:rFonts w:hint="eastAsia" w:ascii="楷体" w:hAnsi="楷体" w:eastAsia="楷体" w:cs="楷体"/>
                <w:color w:val="auto"/>
                <w:highlight w:val="none"/>
              </w:rPr>
            </w:pPr>
          </w:p>
        </w:tc>
        <w:tc>
          <w:tcPr>
            <w:tcW w:w="1516" w:type="dxa"/>
            <w:tcBorders>
              <w:top w:val="single" w:color="auto" w:sz="4" w:space="0"/>
              <w:left w:val="nil"/>
              <w:bottom w:val="single" w:color="auto" w:sz="4" w:space="0"/>
              <w:right w:val="single" w:color="auto" w:sz="4" w:space="0"/>
            </w:tcBorders>
            <w:noWrap w:val="0"/>
            <w:vAlign w:val="center"/>
          </w:tcPr>
          <w:p w14:paraId="2E151346">
            <w:pPr>
              <w:pStyle w:val="26"/>
              <w:spacing w:line="400" w:lineRule="exact"/>
              <w:ind w:left="0" w:leftChars="0"/>
              <w:outlineLvl w:val="9"/>
              <w:rPr>
                <w:rFonts w:hint="eastAsia" w:ascii="楷体" w:hAnsi="楷体" w:eastAsia="楷体" w:cs="楷体"/>
                <w:color w:val="auto"/>
                <w:highlight w:val="none"/>
              </w:rPr>
            </w:pPr>
            <w:r>
              <w:rPr>
                <w:rFonts w:hint="eastAsia" w:ascii="楷体" w:hAnsi="楷体" w:eastAsia="楷体" w:cs="楷体"/>
                <w:color w:val="auto"/>
                <w:highlight w:val="none"/>
              </w:rPr>
              <w:t>性  别</w:t>
            </w:r>
          </w:p>
        </w:tc>
        <w:tc>
          <w:tcPr>
            <w:tcW w:w="1323" w:type="dxa"/>
            <w:gridSpan w:val="2"/>
            <w:tcBorders>
              <w:top w:val="single" w:color="auto" w:sz="4" w:space="0"/>
              <w:left w:val="nil"/>
              <w:bottom w:val="single" w:color="auto" w:sz="4" w:space="0"/>
              <w:right w:val="single" w:color="auto" w:sz="4" w:space="0"/>
            </w:tcBorders>
            <w:noWrap w:val="0"/>
            <w:vAlign w:val="center"/>
          </w:tcPr>
          <w:p w14:paraId="6AA2A914">
            <w:pPr>
              <w:pStyle w:val="26"/>
              <w:spacing w:line="400" w:lineRule="exact"/>
              <w:ind w:left="0" w:leftChars="0"/>
              <w:outlineLvl w:val="9"/>
              <w:rPr>
                <w:rFonts w:hint="eastAsia" w:ascii="楷体" w:hAnsi="楷体" w:eastAsia="楷体" w:cs="楷体"/>
                <w:color w:val="auto"/>
                <w:highlight w:val="none"/>
              </w:rPr>
            </w:pPr>
          </w:p>
        </w:tc>
        <w:tc>
          <w:tcPr>
            <w:tcW w:w="1700" w:type="dxa"/>
            <w:tcBorders>
              <w:top w:val="single" w:color="auto" w:sz="4" w:space="0"/>
              <w:left w:val="nil"/>
              <w:bottom w:val="single" w:color="auto" w:sz="4" w:space="0"/>
              <w:right w:val="single" w:color="auto" w:sz="4" w:space="0"/>
            </w:tcBorders>
            <w:noWrap w:val="0"/>
            <w:vAlign w:val="center"/>
          </w:tcPr>
          <w:p w14:paraId="2A0FD6DB">
            <w:pPr>
              <w:pStyle w:val="26"/>
              <w:spacing w:line="400" w:lineRule="exact"/>
              <w:ind w:left="0" w:leftChars="0"/>
              <w:outlineLvl w:val="9"/>
              <w:rPr>
                <w:rFonts w:hint="eastAsia" w:ascii="楷体" w:hAnsi="楷体" w:eastAsia="楷体" w:cs="楷体"/>
                <w:color w:val="auto"/>
                <w:highlight w:val="none"/>
              </w:rPr>
            </w:pPr>
            <w:r>
              <w:rPr>
                <w:rFonts w:hint="eastAsia" w:ascii="楷体" w:hAnsi="楷体" w:eastAsia="楷体" w:cs="楷体"/>
                <w:color w:val="auto"/>
                <w:highlight w:val="none"/>
              </w:rPr>
              <w:t>年  龄</w:t>
            </w:r>
          </w:p>
        </w:tc>
        <w:tc>
          <w:tcPr>
            <w:tcW w:w="1133" w:type="dxa"/>
            <w:tcBorders>
              <w:top w:val="single" w:color="auto" w:sz="4" w:space="0"/>
              <w:left w:val="nil"/>
              <w:bottom w:val="single" w:color="auto" w:sz="4" w:space="0"/>
              <w:right w:val="single" w:color="auto" w:sz="4" w:space="0"/>
            </w:tcBorders>
            <w:noWrap w:val="0"/>
            <w:vAlign w:val="center"/>
          </w:tcPr>
          <w:p w14:paraId="04AB36C7">
            <w:pPr>
              <w:pStyle w:val="26"/>
              <w:spacing w:line="400" w:lineRule="exact"/>
              <w:ind w:left="0" w:leftChars="0" w:firstLine="480" w:firstLineChars="200"/>
              <w:outlineLvl w:val="9"/>
              <w:rPr>
                <w:rFonts w:hint="eastAsia" w:ascii="楷体" w:hAnsi="楷体" w:eastAsia="楷体" w:cs="楷体"/>
                <w:color w:val="auto"/>
                <w:highlight w:val="none"/>
              </w:rPr>
            </w:pPr>
          </w:p>
        </w:tc>
      </w:tr>
      <w:tr w14:paraId="4AEE13C6">
        <w:tblPrEx>
          <w:tblCellMar>
            <w:top w:w="0" w:type="dxa"/>
            <w:left w:w="108" w:type="dxa"/>
            <w:bottom w:w="0" w:type="dxa"/>
            <w:right w:w="108" w:type="dxa"/>
          </w:tblCellMar>
        </w:tblPrEx>
        <w:trPr>
          <w:trHeight w:val="522" w:hRule="atLeast"/>
        </w:trPr>
        <w:tc>
          <w:tcPr>
            <w:tcW w:w="1762" w:type="dxa"/>
            <w:gridSpan w:val="2"/>
            <w:tcBorders>
              <w:top w:val="single" w:color="auto" w:sz="4" w:space="0"/>
              <w:left w:val="single" w:color="auto" w:sz="4" w:space="0"/>
              <w:bottom w:val="single" w:color="auto" w:sz="4" w:space="0"/>
              <w:right w:val="single" w:color="auto" w:sz="4" w:space="0"/>
            </w:tcBorders>
            <w:noWrap w:val="0"/>
            <w:vAlign w:val="center"/>
          </w:tcPr>
          <w:p w14:paraId="6D525ACB">
            <w:pPr>
              <w:pStyle w:val="26"/>
              <w:spacing w:line="400" w:lineRule="exact"/>
              <w:ind w:left="0" w:leftChars="0"/>
              <w:outlineLvl w:val="9"/>
              <w:rPr>
                <w:rFonts w:hint="eastAsia" w:ascii="楷体" w:hAnsi="楷体" w:eastAsia="楷体" w:cs="楷体"/>
                <w:color w:val="auto"/>
                <w:highlight w:val="none"/>
              </w:rPr>
            </w:pPr>
            <w:r>
              <w:rPr>
                <w:rFonts w:hint="eastAsia" w:ascii="楷体" w:hAnsi="楷体" w:eastAsia="楷体" w:cs="楷体"/>
                <w:color w:val="auto"/>
                <w:highlight w:val="none"/>
              </w:rPr>
              <w:t>职  称</w:t>
            </w:r>
          </w:p>
        </w:tc>
        <w:tc>
          <w:tcPr>
            <w:tcW w:w="1570" w:type="dxa"/>
            <w:tcBorders>
              <w:top w:val="single" w:color="auto" w:sz="4" w:space="0"/>
              <w:left w:val="nil"/>
              <w:bottom w:val="single" w:color="auto" w:sz="4" w:space="0"/>
              <w:right w:val="single" w:color="auto" w:sz="4" w:space="0"/>
            </w:tcBorders>
            <w:noWrap w:val="0"/>
            <w:vAlign w:val="center"/>
          </w:tcPr>
          <w:p w14:paraId="079B4DD8">
            <w:pPr>
              <w:pStyle w:val="26"/>
              <w:spacing w:line="400" w:lineRule="exact"/>
              <w:ind w:left="0" w:leftChars="0"/>
              <w:outlineLvl w:val="9"/>
              <w:rPr>
                <w:rFonts w:hint="eastAsia" w:ascii="楷体" w:hAnsi="楷体" w:eastAsia="楷体" w:cs="楷体"/>
                <w:color w:val="auto"/>
                <w:highlight w:val="none"/>
              </w:rPr>
            </w:pPr>
          </w:p>
        </w:tc>
        <w:tc>
          <w:tcPr>
            <w:tcW w:w="1516" w:type="dxa"/>
            <w:tcBorders>
              <w:top w:val="single" w:color="auto" w:sz="4" w:space="0"/>
              <w:left w:val="nil"/>
              <w:bottom w:val="single" w:color="auto" w:sz="4" w:space="0"/>
              <w:right w:val="single" w:color="auto" w:sz="4" w:space="0"/>
            </w:tcBorders>
            <w:noWrap w:val="0"/>
            <w:vAlign w:val="center"/>
          </w:tcPr>
          <w:p w14:paraId="79579B31">
            <w:pPr>
              <w:pStyle w:val="26"/>
              <w:spacing w:line="400" w:lineRule="exact"/>
              <w:ind w:left="0" w:leftChars="0"/>
              <w:outlineLvl w:val="9"/>
              <w:rPr>
                <w:rFonts w:hint="eastAsia" w:ascii="楷体" w:hAnsi="楷体" w:eastAsia="楷体" w:cs="楷体"/>
                <w:color w:val="auto"/>
                <w:highlight w:val="none"/>
              </w:rPr>
            </w:pPr>
            <w:r>
              <w:rPr>
                <w:rFonts w:hint="eastAsia" w:ascii="楷体" w:hAnsi="楷体" w:eastAsia="楷体" w:cs="楷体"/>
                <w:color w:val="auto"/>
                <w:highlight w:val="none"/>
              </w:rPr>
              <w:t>身份证号</w:t>
            </w:r>
          </w:p>
        </w:tc>
        <w:tc>
          <w:tcPr>
            <w:tcW w:w="1323" w:type="dxa"/>
            <w:gridSpan w:val="2"/>
            <w:tcBorders>
              <w:top w:val="single" w:color="auto" w:sz="4" w:space="0"/>
              <w:left w:val="nil"/>
              <w:bottom w:val="single" w:color="auto" w:sz="4" w:space="0"/>
              <w:right w:val="single" w:color="auto" w:sz="4" w:space="0"/>
            </w:tcBorders>
            <w:noWrap w:val="0"/>
            <w:vAlign w:val="center"/>
          </w:tcPr>
          <w:p w14:paraId="1438FA3A">
            <w:pPr>
              <w:pStyle w:val="26"/>
              <w:spacing w:line="400" w:lineRule="exact"/>
              <w:ind w:left="0" w:leftChars="0"/>
              <w:outlineLvl w:val="9"/>
              <w:rPr>
                <w:rFonts w:hint="eastAsia" w:ascii="楷体" w:hAnsi="楷体" w:eastAsia="楷体" w:cs="楷体"/>
                <w:color w:val="auto"/>
                <w:highlight w:val="none"/>
              </w:rPr>
            </w:pPr>
          </w:p>
        </w:tc>
        <w:tc>
          <w:tcPr>
            <w:tcW w:w="1700" w:type="dxa"/>
            <w:tcBorders>
              <w:top w:val="single" w:color="auto" w:sz="4" w:space="0"/>
              <w:left w:val="nil"/>
              <w:bottom w:val="single" w:color="auto" w:sz="4" w:space="0"/>
              <w:right w:val="single" w:color="auto" w:sz="4" w:space="0"/>
            </w:tcBorders>
            <w:noWrap w:val="0"/>
            <w:vAlign w:val="center"/>
          </w:tcPr>
          <w:p w14:paraId="47589AB4">
            <w:pPr>
              <w:pStyle w:val="26"/>
              <w:spacing w:line="400" w:lineRule="exact"/>
              <w:ind w:left="0" w:leftChars="0"/>
              <w:outlineLvl w:val="9"/>
              <w:rPr>
                <w:rFonts w:hint="eastAsia" w:ascii="楷体" w:hAnsi="楷体" w:eastAsia="楷体" w:cs="楷体"/>
                <w:color w:val="auto"/>
                <w:highlight w:val="none"/>
              </w:rPr>
            </w:pPr>
            <w:r>
              <w:rPr>
                <w:rFonts w:hint="eastAsia" w:ascii="楷体" w:hAnsi="楷体" w:eastAsia="楷体" w:cs="楷体"/>
                <w:color w:val="auto"/>
                <w:highlight w:val="none"/>
              </w:rPr>
              <w:t>专业/年限</w:t>
            </w:r>
          </w:p>
        </w:tc>
        <w:tc>
          <w:tcPr>
            <w:tcW w:w="1133" w:type="dxa"/>
            <w:tcBorders>
              <w:top w:val="single" w:color="auto" w:sz="4" w:space="0"/>
              <w:left w:val="nil"/>
              <w:bottom w:val="single" w:color="auto" w:sz="4" w:space="0"/>
              <w:right w:val="single" w:color="auto" w:sz="4" w:space="0"/>
            </w:tcBorders>
            <w:noWrap w:val="0"/>
            <w:vAlign w:val="center"/>
          </w:tcPr>
          <w:p w14:paraId="6A8261F9">
            <w:pPr>
              <w:pStyle w:val="26"/>
              <w:spacing w:line="400" w:lineRule="exact"/>
              <w:ind w:left="0" w:leftChars="0" w:firstLine="480" w:firstLineChars="200"/>
              <w:outlineLvl w:val="9"/>
              <w:rPr>
                <w:rFonts w:hint="eastAsia" w:ascii="楷体" w:hAnsi="楷体" w:eastAsia="楷体" w:cs="楷体"/>
                <w:color w:val="auto"/>
                <w:highlight w:val="none"/>
              </w:rPr>
            </w:pPr>
          </w:p>
        </w:tc>
      </w:tr>
      <w:tr w14:paraId="3F6FF6F2">
        <w:tblPrEx>
          <w:tblCellMar>
            <w:top w:w="0" w:type="dxa"/>
            <w:left w:w="108" w:type="dxa"/>
            <w:bottom w:w="0" w:type="dxa"/>
            <w:right w:w="108" w:type="dxa"/>
          </w:tblCellMar>
        </w:tblPrEx>
        <w:trPr>
          <w:trHeight w:val="521" w:hRule="atLeast"/>
        </w:trPr>
        <w:tc>
          <w:tcPr>
            <w:tcW w:w="1762" w:type="dxa"/>
            <w:gridSpan w:val="2"/>
            <w:tcBorders>
              <w:top w:val="single" w:color="auto" w:sz="4" w:space="0"/>
              <w:left w:val="single" w:color="auto" w:sz="4" w:space="0"/>
              <w:bottom w:val="single" w:color="auto" w:sz="4" w:space="0"/>
              <w:right w:val="single" w:color="auto" w:sz="4" w:space="0"/>
            </w:tcBorders>
            <w:noWrap w:val="0"/>
            <w:vAlign w:val="center"/>
          </w:tcPr>
          <w:p w14:paraId="5A1C37FE">
            <w:pPr>
              <w:pStyle w:val="26"/>
              <w:spacing w:line="400" w:lineRule="exact"/>
              <w:ind w:left="0" w:leftChars="0"/>
              <w:outlineLvl w:val="9"/>
              <w:rPr>
                <w:rFonts w:hint="eastAsia" w:ascii="楷体" w:hAnsi="楷体" w:eastAsia="楷体" w:cs="楷体"/>
                <w:color w:val="auto"/>
                <w:highlight w:val="none"/>
              </w:rPr>
            </w:pPr>
            <w:r>
              <w:rPr>
                <w:rFonts w:hint="eastAsia" w:ascii="楷体" w:hAnsi="楷体" w:eastAsia="楷体" w:cs="楷体"/>
                <w:color w:val="auto"/>
                <w:highlight w:val="none"/>
              </w:rPr>
              <w:t>毕业时间</w:t>
            </w:r>
          </w:p>
        </w:tc>
        <w:tc>
          <w:tcPr>
            <w:tcW w:w="1570" w:type="dxa"/>
            <w:tcBorders>
              <w:top w:val="single" w:color="auto" w:sz="4" w:space="0"/>
              <w:left w:val="nil"/>
              <w:bottom w:val="single" w:color="auto" w:sz="4" w:space="0"/>
              <w:right w:val="single" w:color="auto" w:sz="4" w:space="0"/>
            </w:tcBorders>
            <w:noWrap w:val="0"/>
            <w:vAlign w:val="center"/>
          </w:tcPr>
          <w:p w14:paraId="3B4FBF14">
            <w:pPr>
              <w:pStyle w:val="26"/>
              <w:spacing w:line="400" w:lineRule="exact"/>
              <w:ind w:left="0" w:leftChars="0"/>
              <w:outlineLvl w:val="9"/>
              <w:rPr>
                <w:rFonts w:hint="eastAsia" w:ascii="楷体" w:hAnsi="楷体" w:eastAsia="楷体" w:cs="楷体"/>
                <w:color w:val="auto"/>
                <w:highlight w:val="none"/>
              </w:rPr>
            </w:pPr>
          </w:p>
        </w:tc>
        <w:tc>
          <w:tcPr>
            <w:tcW w:w="1516" w:type="dxa"/>
            <w:tcBorders>
              <w:top w:val="single" w:color="auto" w:sz="4" w:space="0"/>
              <w:left w:val="nil"/>
              <w:bottom w:val="single" w:color="auto" w:sz="4" w:space="0"/>
              <w:right w:val="single" w:color="auto" w:sz="4" w:space="0"/>
            </w:tcBorders>
            <w:noWrap w:val="0"/>
            <w:vAlign w:val="center"/>
          </w:tcPr>
          <w:p w14:paraId="4C79A627">
            <w:pPr>
              <w:pStyle w:val="26"/>
              <w:spacing w:line="400" w:lineRule="exact"/>
              <w:ind w:left="0" w:leftChars="0"/>
              <w:outlineLvl w:val="9"/>
              <w:rPr>
                <w:rFonts w:hint="eastAsia" w:ascii="楷体" w:hAnsi="楷体" w:eastAsia="楷体" w:cs="楷体"/>
                <w:color w:val="auto"/>
                <w:highlight w:val="none"/>
              </w:rPr>
            </w:pPr>
            <w:r>
              <w:rPr>
                <w:rFonts w:hint="eastAsia" w:ascii="楷体" w:hAnsi="楷体" w:eastAsia="楷体" w:cs="楷体"/>
                <w:color w:val="auto"/>
                <w:highlight w:val="none"/>
              </w:rPr>
              <w:t>毕业学校</w:t>
            </w:r>
          </w:p>
        </w:tc>
        <w:tc>
          <w:tcPr>
            <w:tcW w:w="1323" w:type="dxa"/>
            <w:gridSpan w:val="2"/>
            <w:tcBorders>
              <w:top w:val="single" w:color="auto" w:sz="4" w:space="0"/>
              <w:left w:val="nil"/>
              <w:bottom w:val="single" w:color="auto" w:sz="4" w:space="0"/>
              <w:right w:val="single" w:color="auto" w:sz="4" w:space="0"/>
            </w:tcBorders>
            <w:noWrap w:val="0"/>
            <w:vAlign w:val="center"/>
          </w:tcPr>
          <w:p w14:paraId="22488F43">
            <w:pPr>
              <w:pStyle w:val="26"/>
              <w:spacing w:line="400" w:lineRule="exact"/>
              <w:ind w:left="0" w:leftChars="0"/>
              <w:outlineLvl w:val="9"/>
              <w:rPr>
                <w:rFonts w:hint="eastAsia" w:ascii="楷体" w:hAnsi="楷体" w:eastAsia="楷体" w:cs="楷体"/>
                <w:color w:val="auto"/>
                <w:highlight w:val="none"/>
              </w:rPr>
            </w:pPr>
          </w:p>
        </w:tc>
        <w:tc>
          <w:tcPr>
            <w:tcW w:w="1700" w:type="dxa"/>
            <w:tcBorders>
              <w:top w:val="single" w:color="auto" w:sz="4" w:space="0"/>
              <w:left w:val="nil"/>
              <w:bottom w:val="single" w:color="auto" w:sz="4" w:space="0"/>
              <w:right w:val="single" w:color="auto" w:sz="4" w:space="0"/>
            </w:tcBorders>
            <w:noWrap w:val="0"/>
            <w:vAlign w:val="center"/>
          </w:tcPr>
          <w:p w14:paraId="18F1B981">
            <w:pPr>
              <w:pStyle w:val="26"/>
              <w:spacing w:line="400" w:lineRule="exact"/>
              <w:ind w:left="0" w:leftChars="0"/>
              <w:outlineLvl w:val="9"/>
              <w:rPr>
                <w:rFonts w:hint="eastAsia" w:ascii="楷体" w:hAnsi="楷体" w:eastAsia="楷体" w:cs="楷体"/>
                <w:color w:val="auto"/>
                <w:highlight w:val="none"/>
              </w:rPr>
            </w:pPr>
            <w:r>
              <w:rPr>
                <w:rFonts w:hint="eastAsia" w:ascii="楷体" w:hAnsi="楷体" w:eastAsia="楷体" w:cs="楷体"/>
                <w:color w:val="auto"/>
                <w:highlight w:val="none"/>
              </w:rPr>
              <w:t>学历/专业</w:t>
            </w:r>
          </w:p>
        </w:tc>
        <w:tc>
          <w:tcPr>
            <w:tcW w:w="1133" w:type="dxa"/>
            <w:tcBorders>
              <w:top w:val="single" w:color="auto" w:sz="4" w:space="0"/>
              <w:left w:val="nil"/>
              <w:bottom w:val="single" w:color="auto" w:sz="4" w:space="0"/>
              <w:right w:val="single" w:color="auto" w:sz="4" w:space="0"/>
            </w:tcBorders>
            <w:noWrap w:val="0"/>
            <w:vAlign w:val="center"/>
          </w:tcPr>
          <w:p w14:paraId="611B2FEA">
            <w:pPr>
              <w:pStyle w:val="26"/>
              <w:spacing w:line="400" w:lineRule="exact"/>
              <w:ind w:left="0" w:leftChars="0" w:firstLine="480" w:firstLineChars="200"/>
              <w:outlineLvl w:val="9"/>
              <w:rPr>
                <w:rFonts w:hint="eastAsia" w:ascii="楷体" w:hAnsi="楷体" w:eastAsia="楷体" w:cs="楷体"/>
                <w:color w:val="auto"/>
                <w:highlight w:val="none"/>
              </w:rPr>
            </w:pPr>
          </w:p>
        </w:tc>
      </w:tr>
      <w:tr w14:paraId="648F7C8E">
        <w:tblPrEx>
          <w:tblCellMar>
            <w:top w:w="0" w:type="dxa"/>
            <w:left w:w="108" w:type="dxa"/>
            <w:bottom w:w="0" w:type="dxa"/>
            <w:right w:w="108" w:type="dxa"/>
          </w:tblCellMar>
        </w:tblPrEx>
        <w:trPr>
          <w:trHeight w:val="521" w:hRule="atLeast"/>
        </w:trPr>
        <w:tc>
          <w:tcPr>
            <w:tcW w:w="1762" w:type="dxa"/>
            <w:gridSpan w:val="2"/>
            <w:tcBorders>
              <w:top w:val="single" w:color="auto" w:sz="4" w:space="0"/>
              <w:left w:val="single" w:color="auto" w:sz="4" w:space="0"/>
              <w:bottom w:val="single" w:color="auto" w:sz="4" w:space="0"/>
              <w:right w:val="single" w:color="auto" w:sz="4" w:space="0"/>
            </w:tcBorders>
            <w:noWrap w:val="0"/>
            <w:vAlign w:val="center"/>
          </w:tcPr>
          <w:p w14:paraId="298F6E2D">
            <w:pPr>
              <w:pStyle w:val="26"/>
              <w:spacing w:line="400" w:lineRule="exact"/>
              <w:ind w:left="0" w:leftChars="0"/>
              <w:outlineLvl w:val="9"/>
              <w:rPr>
                <w:rFonts w:hint="eastAsia" w:ascii="楷体" w:hAnsi="楷体" w:eastAsia="楷体" w:cs="楷体"/>
                <w:color w:val="auto"/>
                <w:highlight w:val="none"/>
              </w:rPr>
            </w:pPr>
            <w:r>
              <w:rPr>
                <w:rFonts w:hint="eastAsia" w:ascii="楷体" w:hAnsi="楷体" w:eastAsia="楷体" w:cs="楷体"/>
                <w:color w:val="auto"/>
                <w:highlight w:val="none"/>
              </w:rPr>
              <w:t>资格证书</w:t>
            </w:r>
          </w:p>
        </w:tc>
        <w:tc>
          <w:tcPr>
            <w:tcW w:w="1570" w:type="dxa"/>
            <w:tcBorders>
              <w:top w:val="single" w:color="auto" w:sz="4" w:space="0"/>
              <w:left w:val="nil"/>
              <w:bottom w:val="single" w:color="auto" w:sz="4" w:space="0"/>
              <w:right w:val="single" w:color="auto" w:sz="4" w:space="0"/>
            </w:tcBorders>
            <w:noWrap w:val="0"/>
            <w:vAlign w:val="center"/>
          </w:tcPr>
          <w:p w14:paraId="46C16CF2">
            <w:pPr>
              <w:pStyle w:val="26"/>
              <w:spacing w:line="400" w:lineRule="exact"/>
              <w:ind w:left="0" w:leftChars="0"/>
              <w:outlineLvl w:val="9"/>
              <w:rPr>
                <w:rFonts w:hint="eastAsia" w:ascii="楷体" w:hAnsi="楷体" w:eastAsia="楷体" w:cs="楷体"/>
                <w:color w:val="auto"/>
                <w:highlight w:val="none"/>
              </w:rPr>
            </w:pPr>
          </w:p>
        </w:tc>
        <w:tc>
          <w:tcPr>
            <w:tcW w:w="1516" w:type="dxa"/>
            <w:tcBorders>
              <w:top w:val="single" w:color="auto" w:sz="4" w:space="0"/>
              <w:left w:val="nil"/>
              <w:bottom w:val="single" w:color="auto" w:sz="4" w:space="0"/>
              <w:right w:val="single" w:color="auto" w:sz="4" w:space="0"/>
            </w:tcBorders>
            <w:noWrap w:val="0"/>
            <w:vAlign w:val="center"/>
          </w:tcPr>
          <w:p w14:paraId="3191AF04">
            <w:pPr>
              <w:pStyle w:val="26"/>
              <w:spacing w:line="400" w:lineRule="exact"/>
              <w:ind w:left="0" w:leftChars="0"/>
              <w:outlineLvl w:val="9"/>
              <w:rPr>
                <w:rFonts w:hint="eastAsia" w:ascii="楷体" w:hAnsi="楷体" w:eastAsia="楷体" w:cs="楷体"/>
                <w:color w:val="auto"/>
                <w:highlight w:val="none"/>
              </w:rPr>
            </w:pPr>
            <w:r>
              <w:rPr>
                <w:rFonts w:hint="eastAsia" w:ascii="楷体" w:hAnsi="楷体" w:eastAsia="楷体" w:cs="楷体"/>
                <w:color w:val="auto"/>
                <w:highlight w:val="none"/>
              </w:rPr>
              <w:t>注册时间</w:t>
            </w:r>
          </w:p>
        </w:tc>
        <w:tc>
          <w:tcPr>
            <w:tcW w:w="1323" w:type="dxa"/>
            <w:gridSpan w:val="2"/>
            <w:tcBorders>
              <w:top w:val="single" w:color="auto" w:sz="4" w:space="0"/>
              <w:left w:val="nil"/>
              <w:bottom w:val="single" w:color="auto" w:sz="4" w:space="0"/>
              <w:right w:val="single" w:color="auto" w:sz="4" w:space="0"/>
            </w:tcBorders>
            <w:noWrap w:val="0"/>
            <w:vAlign w:val="center"/>
          </w:tcPr>
          <w:p w14:paraId="348D397B">
            <w:pPr>
              <w:pStyle w:val="26"/>
              <w:spacing w:line="400" w:lineRule="exact"/>
              <w:ind w:left="0" w:leftChars="0"/>
              <w:outlineLvl w:val="9"/>
              <w:rPr>
                <w:rFonts w:hint="eastAsia" w:ascii="楷体" w:hAnsi="楷体" w:eastAsia="楷体" w:cs="楷体"/>
                <w:color w:val="auto"/>
                <w:highlight w:val="none"/>
              </w:rPr>
            </w:pPr>
          </w:p>
        </w:tc>
        <w:tc>
          <w:tcPr>
            <w:tcW w:w="1700" w:type="dxa"/>
            <w:tcBorders>
              <w:top w:val="single" w:color="auto" w:sz="4" w:space="0"/>
              <w:left w:val="nil"/>
              <w:bottom w:val="single" w:color="auto" w:sz="4" w:space="0"/>
              <w:right w:val="single" w:color="auto" w:sz="4" w:space="0"/>
            </w:tcBorders>
            <w:noWrap w:val="0"/>
            <w:vAlign w:val="center"/>
          </w:tcPr>
          <w:p w14:paraId="43A16BF3">
            <w:pPr>
              <w:pStyle w:val="26"/>
              <w:spacing w:line="400" w:lineRule="exact"/>
              <w:ind w:left="0" w:leftChars="0"/>
              <w:outlineLvl w:val="9"/>
              <w:rPr>
                <w:rFonts w:hint="eastAsia" w:ascii="楷体" w:hAnsi="楷体" w:eastAsia="楷体" w:cs="楷体"/>
                <w:color w:val="auto"/>
                <w:highlight w:val="none"/>
              </w:rPr>
            </w:pPr>
            <w:r>
              <w:rPr>
                <w:rFonts w:hint="eastAsia" w:ascii="楷体" w:hAnsi="楷体" w:eastAsia="楷体" w:cs="楷体"/>
                <w:color w:val="auto"/>
                <w:highlight w:val="none"/>
              </w:rPr>
              <w:t>从业时间</w:t>
            </w:r>
          </w:p>
        </w:tc>
        <w:tc>
          <w:tcPr>
            <w:tcW w:w="1133" w:type="dxa"/>
            <w:tcBorders>
              <w:top w:val="single" w:color="auto" w:sz="4" w:space="0"/>
              <w:left w:val="nil"/>
              <w:bottom w:val="single" w:color="auto" w:sz="4" w:space="0"/>
              <w:right w:val="single" w:color="auto" w:sz="4" w:space="0"/>
            </w:tcBorders>
            <w:noWrap w:val="0"/>
            <w:vAlign w:val="center"/>
          </w:tcPr>
          <w:p w14:paraId="606CAB59">
            <w:pPr>
              <w:pStyle w:val="26"/>
              <w:spacing w:line="400" w:lineRule="exact"/>
              <w:ind w:left="0" w:leftChars="0" w:firstLine="480" w:firstLineChars="200"/>
              <w:outlineLvl w:val="9"/>
              <w:rPr>
                <w:rFonts w:hint="eastAsia" w:ascii="楷体" w:hAnsi="楷体" w:eastAsia="楷体" w:cs="楷体"/>
                <w:color w:val="auto"/>
                <w:highlight w:val="none"/>
              </w:rPr>
            </w:pPr>
          </w:p>
        </w:tc>
      </w:tr>
      <w:tr w14:paraId="45A1851E">
        <w:tblPrEx>
          <w:tblCellMar>
            <w:top w:w="0" w:type="dxa"/>
            <w:left w:w="108" w:type="dxa"/>
            <w:bottom w:w="0" w:type="dxa"/>
            <w:right w:w="108" w:type="dxa"/>
          </w:tblCellMar>
        </w:tblPrEx>
        <w:trPr>
          <w:trHeight w:val="522" w:hRule="atLeast"/>
        </w:trPr>
        <w:tc>
          <w:tcPr>
            <w:tcW w:w="3332" w:type="dxa"/>
            <w:gridSpan w:val="3"/>
            <w:tcBorders>
              <w:top w:val="single" w:color="auto" w:sz="4" w:space="0"/>
              <w:left w:val="single" w:color="auto" w:sz="4" w:space="0"/>
              <w:bottom w:val="single" w:color="auto" w:sz="4" w:space="0"/>
              <w:right w:val="single" w:color="auto" w:sz="4" w:space="0"/>
            </w:tcBorders>
            <w:noWrap w:val="0"/>
            <w:vAlign w:val="center"/>
          </w:tcPr>
          <w:p w14:paraId="4ED67B86">
            <w:pPr>
              <w:pStyle w:val="26"/>
              <w:spacing w:line="400" w:lineRule="exact"/>
              <w:ind w:left="0" w:leftChars="0"/>
              <w:outlineLvl w:val="9"/>
              <w:rPr>
                <w:rFonts w:hint="eastAsia" w:ascii="楷体" w:hAnsi="楷体" w:eastAsia="楷体" w:cs="楷体"/>
                <w:color w:val="auto"/>
                <w:highlight w:val="none"/>
              </w:rPr>
            </w:pPr>
            <w:r>
              <w:rPr>
                <w:rFonts w:hint="eastAsia" w:ascii="楷体" w:hAnsi="楷体" w:eastAsia="楷体" w:cs="楷体"/>
                <w:color w:val="auto"/>
                <w:highlight w:val="none"/>
              </w:rPr>
              <w:t>是否属供应商固定雇员</w:t>
            </w:r>
          </w:p>
        </w:tc>
        <w:tc>
          <w:tcPr>
            <w:tcW w:w="1516" w:type="dxa"/>
            <w:tcBorders>
              <w:top w:val="single" w:color="auto" w:sz="4" w:space="0"/>
              <w:left w:val="nil"/>
              <w:bottom w:val="single" w:color="auto" w:sz="4" w:space="0"/>
              <w:right w:val="single" w:color="auto" w:sz="4" w:space="0"/>
            </w:tcBorders>
            <w:noWrap w:val="0"/>
            <w:vAlign w:val="center"/>
          </w:tcPr>
          <w:p w14:paraId="101C2C0F">
            <w:pPr>
              <w:pStyle w:val="26"/>
              <w:spacing w:line="400" w:lineRule="exact"/>
              <w:ind w:left="0" w:leftChars="0"/>
              <w:outlineLvl w:val="9"/>
              <w:rPr>
                <w:rFonts w:hint="eastAsia" w:ascii="楷体" w:hAnsi="楷体" w:eastAsia="楷体" w:cs="楷体"/>
                <w:color w:val="auto"/>
                <w:highlight w:val="none"/>
              </w:rPr>
            </w:pPr>
          </w:p>
        </w:tc>
        <w:tc>
          <w:tcPr>
            <w:tcW w:w="3023" w:type="dxa"/>
            <w:gridSpan w:val="3"/>
            <w:tcBorders>
              <w:top w:val="single" w:color="auto" w:sz="4" w:space="0"/>
              <w:left w:val="nil"/>
              <w:bottom w:val="single" w:color="auto" w:sz="4" w:space="0"/>
              <w:right w:val="single" w:color="auto" w:sz="4" w:space="0"/>
            </w:tcBorders>
            <w:noWrap w:val="0"/>
            <w:vAlign w:val="center"/>
          </w:tcPr>
          <w:p w14:paraId="27510D40">
            <w:pPr>
              <w:pStyle w:val="26"/>
              <w:spacing w:line="400" w:lineRule="exact"/>
              <w:ind w:left="0" w:leftChars="0"/>
              <w:outlineLvl w:val="9"/>
              <w:rPr>
                <w:rFonts w:hint="eastAsia" w:ascii="楷体" w:hAnsi="楷体" w:eastAsia="楷体" w:cs="楷体"/>
                <w:color w:val="auto"/>
                <w:highlight w:val="none"/>
              </w:rPr>
            </w:pPr>
            <w:r>
              <w:rPr>
                <w:rFonts w:hint="eastAsia" w:ascii="楷体" w:hAnsi="楷体" w:eastAsia="楷体" w:cs="楷体"/>
                <w:color w:val="auto"/>
                <w:highlight w:val="none"/>
              </w:rPr>
              <w:t>为供应商服务时间</w:t>
            </w:r>
          </w:p>
        </w:tc>
        <w:tc>
          <w:tcPr>
            <w:tcW w:w="1133" w:type="dxa"/>
            <w:tcBorders>
              <w:top w:val="single" w:color="auto" w:sz="4" w:space="0"/>
              <w:left w:val="nil"/>
              <w:bottom w:val="single" w:color="auto" w:sz="4" w:space="0"/>
              <w:right w:val="single" w:color="auto" w:sz="4" w:space="0"/>
            </w:tcBorders>
            <w:noWrap w:val="0"/>
            <w:vAlign w:val="center"/>
          </w:tcPr>
          <w:p w14:paraId="031A3910">
            <w:pPr>
              <w:pStyle w:val="26"/>
              <w:spacing w:line="400" w:lineRule="exact"/>
              <w:ind w:left="0" w:leftChars="0" w:firstLine="480" w:firstLineChars="200"/>
              <w:outlineLvl w:val="9"/>
              <w:rPr>
                <w:rFonts w:hint="eastAsia" w:ascii="楷体" w:hAnsi="楷体" w:eastAsia="楷体" w:cs="楷体"/>
                <w:color w:val="auto"/>
                <w:highlight w:val="none"/>
              </w:rPr>
            </w:pPr>
          </w:p>
        </w:tc>
      </w:tr>
      <w:tr w14:paraId="650F50D8">
        <w:tblPrEx>
          <w:tblCellMar>
            <w:top w:w="0" w:type="dxa"/>
            <w:left w:w="108" w:type="dxa"/>
            <w:bottom w:w="0" w:type="dxa"/>
            <w:right w:w="108" w:type="dxa"/>
          </w:tblCellMar>
        </w:tblPrEx>
        <w:trPr>
          <w:trHeight w:val="521" w:hRule="atLeast"/>
        </w:trPr>
        <w:tc>
          <w:tcPr>
            <w:tcW w:w="3332" w:type="dxa"/>
            <w:gridSpan w:val="3"/>
            <w:tcBorders>
              <w:top w:val="single" w:color="auto" w:sz="4" w:space="0"/>
              <w:left w:val="single" w:color="auto" w:sz="4" w:space="0"/>
              <w:bottom w:val="single" w:color="auto" w:sz="4" w:space="0"/>
              <w:right w:val="single" w:color="auto" w:sz="4" w:space="0"/>
            </w:tcBorders>
            <w:noWrap w:val="0"/>
            <w:vAlign w:val="center"/>
          </w:tcPr>
          <w:p w14:paraId="2F3A8940">
            <w:pPr>
              <w:pStyle w:val="26"/>
              <w:spacing w:line="400" w:lineRule="exact"/>
              <w:ind w:left="0" w:leftChars="0"/>
              <w:outlineLvl w:val="9"/>
              <w:rPr>
                <w:rFonts w:hint="eastAsia" w:ascii="楷体" w:hAnsi="楷体" w:eastAsia="楷体" w:cs="楷体"/>
                <w:color w:val="auto"/>
                <w:highlight w:val="none"/>
              </w:rPr>
            </w:pPr>
            <w:r>
              <w:rPr>
                <w:rFonts w:hint="eastAsia" w:ascii="楷体" w:hAnsi="楷体" w:eastAsia="楷体" w:cs="楷体"/>
                <w:color w:val="auto"/>
                <w:highlight w:val="none"/>
              </w:rPr>
              <w:t>拟在本项目担任职务</w:t>
            </w:r>
          </w:p>
        </w:tc>
        <w:tc>
          <w:tcPr>
            <w:tcW w:w="5672" w:type="dxa"/>
            <w:gridSpan w:val="5"/>
            <w:tcBorders>
              <w:top w:val="single" w:color="auto" w:sz="4" w:space="0"/>
              <w:left w:val="nil"/>
              <w:bottom w:val="single" w:color="auto" w:sz="4" w:space="0"/>
              <w:right w:val="single" w:color="auto" w:sz="4" w:space="0"/>
            </w:tcBorders>
            <w:noWrap w:val="0"/>
            <w:vAlign w:val="center"/>
          </w:tcPr>
          <w:p w14:paraId="303C502C">
            <w:pPr>
              <w:pStyle w:val="26"/>
              <w:spacing w:line="400" w:lineRule="exact"/>
              <w:ind w:left="0" w:leftChars="0"/>
              <w:outlineLvl w:val="9"/>
              <w:rPr>
                <w:rFonts w:hint="eastAsia" w:ascii="楷体" w:hAnsi="楷体" w:eastAsia="楷体" w:cs="楷体"/>
                <w:color w:val="auto"/>
                <w:highlight w:val="none"/>
              </w:rPr>
            </w:pPr>
          </w:p>
        </w:tc>
      </w:tr>
      <w:tr w14:paraId="251298A0">
        <w:tblPrEx>
          <w:tblCellMar>
            <w:top w:w="0" w:type="dxa"/>
            <w:left w:w="108" w:type="dxa"/>
            <w:bottom w:w="0" w:type="dxa"/>
            <w:right w:w="108" w:type="dxa"/>
          </w:tblCellMar>
        </w:tblPrEx>
        <w:trPr>
          <w:trHeight w:val="546" w:hRule="atLeast"/>
        </w:trPr>
        <w:tc>
          <w:tcPr>
            <w:tcW w:w="9004" w:type="dxa"/>
            <w:gridSpan w:val="8"/>
            <w:tcBorders>
              <w:top w:val="single" w:color="auto" w:sz="4" w:space="0"/>
              <w:left w:val="single" w:color="auto" w:sz="4" w:space="0"/>
              <w:bottom w:val="single" w:color="auto" w:sz="4" w:space="0"/>
              <w:right w:val="single" w:color="auto" w:sz="4" w:space="0"/>
            </w:tcBorders>
            <w:noWrap w:val="0"/>
            <w:vAlign w:val="center"/>
          </w:tcPr>
          <w:p w14:paraId="32BD10A4">
            <w:pPr>
              <w:pStyle w:val="26"/>
              <w:spacing w:line="400" w:lineRule="exact"/>
              <w:ind w:left="0" w:leftChars="0"/>
              <w:outlineLvl w:val="9"/>
              <w:rPr>
                <w:rFonts w:hint="eastAsia" w:ascii="楷体" w:hAnsi="楷体" w:eastAsia="楷体" w:cs="楷体"/>
                <w:color w:val="auto"/>
                <w:highlight w:val="none"/>
              </w:rPr>
            </w:pPr>
            <w:r>
              <w:rPr>
                <w:rFonts w:hint="eastAsia" w:ascii="楷体" w:hAnsi="楷体" w:eastAsia="楷体" w:cs="楷体"/>
                <w:color w:val="auto"/>
                <w:highlight w:val="none"/>
              </w:rPr>
              <w:t>工作经历</w:t>
            </w:r>
          </w:p>
        </w:tc>
      </w:tr>
      <w:tr w14:paraId="5A8B7265">
        <w:tblPrEx>
          <w:tblCellMar>
            <w:top w:w="0" w:type="dxa"/>
            <w:left w:w="108" w:type="dxa"/>
            <w:bottom w:w="0" w:type="dxa"/>
            <w:right w:w="108" w:type="dxa"/>
          </w:tblCellMar>
        </w:tblPrEx>
        <w:trPr>
          <w:trHeight w:val="546" w:hRule="atLeast"/>
        </w:trPr>
        <w:tc>
          <w:tcPr>
            <w:tcW w:w="1494" w:type="dxa"/>
            <w:tcBorders>
              <w:top w:val="single" w:color="auto" w:sz="4" w:space="0"/>
              <w:left w:val="single" w:color="auto" w:sz="4" w:space="0"/>
              <w:bottom w:val="single" w:color="auto" w:sz="4" w:space="0"/>
              <w:right w:val="single" w:color="auto" w:sz="4" w:space="0"/>
            </w:tcBorders>
            <w:noWrap w:val="0"/>
            <w:vAlign w:val="center"/>
          </w:tcPr>
          <w:p w14:paraId="1CFC7585">
            <w:pPr>
              <w:pStyle w:val="26"/>
              <w:spacing w:line="400" w:lineRule="exact"/>
              <w:ind w:left="0" w:leftChars="0"/>
              <w:outlineLvl w:val="9"/>
              <w:rPr>
                <w:rFonts w:hint="eastAsia" w:ascii="楷体" w:hAnsi="楷体" w:eastAsia="楷体" w:cs="楷体"/>
                <w:color w:val="auto"/>
                <w:highlight w:val="none"/>
              </w:rPr>
            </w:pPr>
            <w:r>
              <w:rPr>
                <w:rFonts w:hint="eastAsia" w:ascii="楷体" w:hAnsi="楷体" w:eastAsia="楷体" w:cs="楷体"/>
                <w:color w:val="auto"/>
                <w:highlight w:val="none"/>
              </w:rPr>
              <w:t>时  间</w:t>
            </w:r>
          </w:p>
        </w:tc>
        <w:tc>
          <w:tcPr>
            <w:tcW w:w="3354" w:type="dxa"/>
            <w:gridSpan w:val="3"/>
            <w:tcBorders>
              <w:top w:val="single" w:color="auto" w:sz="4" w:space="0"/>
              <w:left w:val="nil"/>
              <w:bottom w:val="single" w:color="auto" w:sz="4" w:space="0"/>
              <w:right w:val="single" w:color="auto" w:sz="4" w:space="0"/>
            </w:tcBorders>
            <w:noWrap w:val="0"/>
            <w:vAlign w:val="center"/>
          </w:tcPr>
          <w:p w14:paraId="17CB9321">
            <w:pPr>
              <w:pStyle w:val="26"/>
              <w:spacing w:line="400" w:lineRule="exact"/>
              <w:ind w:left="0" w:leftChars="0"/>
              <w:outlineLvl w:val="9"/>
              <w:rPr>
                <w:rFonts w:hint="eastAsia" w:ascii="楷体" w:hAnsi="楷体" w:eastAsia="楷体" w:cs="楷体"/>
                <w:color w:val="auto"/>
                <w:sz w:val="21"/>
                <w:szCs w:val="21"/>
                <w:highlight w:val="none"/>
              </w:rPr>
            </w:pPr>
            <w:r>
              <w:rPr>
                <w:rFonts w:hint="eastAsia" w:ascii="楷体" w:hAnsi="楷体" w:eastAsia="楷体" w:cs="楷体"/>
                <w:color w:val="auto"/>
                <w:highlight w:val="none"/>
              </w:rPr>
              <w:t>参加过的项目名称</w:t>
            </w:r>
          </w:p>
          <w:p w14:paraId="256B80ED">
            <w:pPr>
              <w:pStyle w:val="26"/>
              <w:spacing w:line="400" w:lineRule="exact"/>
              <w:ind w:left="0" w:leftChars="0"/>
              <w:outlineLvl w:val="9"/>
              <w:rPr>
                <w:rFonts w:hint="eastAsia" w:ascii="楷体" w:hAnsi="楷体" w:eastAsia="楷体" w:cs="楷体"/>
                <w:color w:val="auto"/>
                <w:highlight w:val="none"/>
              </w:rPr>
            </w:pPr>
            <w:r>
              <w:rPr>
                <w:rFonts w:hint="eastAsia" w:ascii="楷体" w:hAnsi="楷体" w:eastAsia="楷体" w:cs="楷体"/>
                <w:color w:val="auto"/>
                <w:highlight w:val="none"/>
              </w:rPr>
              <w:t>及当时所在单位</w:t>
            </w:r>
          </w:p>
        </w:tc>
        <w:tc>
          <w:tcPr>
            <w:tcW w:w="1280" w:type="dxa"/>
            <w:tcBorders>
              <w:top w:val="single" w:color="auto" w:sz="4" w:space="0"/>
              <w:left w:val="nil"/>
              <w:bottom w:val="single" w:color="auto" w:sz="4" w:space="0"/>
              <w:right w:val="single" w:color="auto" w:sz="4" w:space="0"/>
            </w:tcBorders>
            <w:noWrap w:val="0"/>
            <w:vAlign w:val="center"/>
          </w:tcPr>
          <w:p w14:paraId="5271AE88">
            <w:pPr>
              <w:pStyle w:val="26"/>
              <w:spacing w:line="400" w:lineRule="exact"/>
              <w:ind w:left="0" w:leftChars="0"/>
              <w:outlineLvl w:val="9"/>
              <w:rPr>
                <w:rFonts w:hint="eastAsia" w:ascii="楷体" w:hAnsi="楷体" w:eastAsia="楷体" w:cs="楷体"/>
                <w:color w:val="auto"/>
                <w:highlight w:val="none"/>
              </w:rPr>
            </w:pPr>
            <w:r>
              <w:rPr>
                <w:rFonts w:hint="eastAsia" w:ascii="楷体" w:hAnsi="楷体" w:eastAsia="楷体" w:cs="楷体"/>
                <w:color w:val="auto"/>
                <w:highlight w:val="none"/>
              </w:rPr>
              <w:t>担任何职</w:t>
            </w:r>
          </w:p>
        </w:tc>
        <w:tc>
          <w:tcPr>
            <w:tcW w:w="1743" w:type="dxa"/>
            <w:gridSpan w:val="2"/>
            <w:tcBorders>
              <w:top w:val="single" w:color="auto" w:sz="4" w:space="0"/>
              <w:left w:val="nil"/>
              <w:bottom w:val="single" w:color="auto" w:sz="4" w:space="0"/>
              <w:right w:val="single" w:color="auto" w:sz="4" w:space="0"/>
            </w:tcBorders>
            <w:noWrap w:val="0"/>
            <w:vAlign w:val="center"/>
          </w:tcPr>
          <w:p w14:paraId="43609582">
            <w:pPr>
              <w:pStyle w:val="26"/>
              <w:spacing w:line="400" w:lineRule="exact"/>
              <w:ind w:left="0" w:leftChars="0"/>
              <w:outlineLvl w:val="9"/>
              <w:rPr>
                <w:rFonts w:hint="eastAsia" w:ascii="楷体" w:hAnsi="楷体" w:eastAsia="楷体" w:cs="楷体"/>
                <w:color w:val="auto"/>
                <w:highlight w:val="none"/>
              </w:rPr>
            </w:pPr>
            <w:r>
              <w:rPr>
                <w:rFonts w:hint="eastAsia" w:ascii="楷体" w:hAnsi="楷体" w:eastAsia="楷体" w:cs="楷体"/>
                <w:color w:val="auto"/>
                <w:highlight w:val="none"/>
              </w:rPr>
              <w:t>主要工作内容</w:t>
            </w:r>
          </w:p>
        </w:tc>
        <w:tc>
          <w:tcPr>
            <w:tcW w:w="1133" w:type="dxa"/>
            <w:tcBorders>
              <w:top w:val="single" w:color="auto" w:sz="4" w:space="0"/>
              <w:left w:val="nil"/>
              <w:bottom w:val="single" w:color="auto" w:sz="4" w:space="0"/>
              <w:right w:val="single" w:color="auto" w:sz="4" w:space="0"/>
            </w:tcBorders>
            <w:noWrap w:val="0"/>
            <w:vAlign w:val="center"/>
          </w:tcPr>
          <w:p w14:paraId="53EE2A54">
            <w:pPr>
              <w:pStyle w:val="26"/>
              <w:spacing w:line="400" w:lineRule="exact"/>
              <w:ind w:left="0" w:leftChars="0"/>
              <w:outlineLvl w:val="9"/>
              <w:rPr>
                <w:rFonts w:hint="eastAsia" w:ascii="楷体" w:hAnsi="楷体" w:eastAsia="楷体" w:cs="楷体"/>
                <w:color w:val="auto"/>
                <w:highlight w:val="none"/>
              </w:rPr>
            </w:pPr>
            <w:r>
              <w:rPr>
                <w:rFonts w:hint="eastAsia" w:ascii="楷体" w:hAnsi="楷体" w:eastAsia="楷体" w:cs="楷体"/>
                <w:color w:val="auto"/>
                <w:highlight w:val="none"/>
              </w:rPr>
              <w:t>备 注</w:t>
            </w:r>
          </w:p>
        </w:tc>
      </w:tr>
      <w:tr w14:paraId="7E88CDCE">
        <w:tblPrEx>
          <w:tblCellMar>
            <w:top w:w="0" w:type="dxa"/>
            <w:left w:w="108" w:type="dxa"/>
            <w:bottom w:w="0" w:type="dxa"/>
            <w:right w:w="108" w:type="dxa"/>
          </w:tblCellMar>
        </w:tblPrEx>
        <w:trPr>
          <w:trHeight w:val="546" w:hRule="atLeast"/>
        </w:trPr>
        <w:tc>
          <w:tcPr>
            <w:tcW w:w="1494" w:type="dxa"/>
            <w:tcBorders>
              <w:top w:val="single" w:color="auto" w:sz="4" w:space="0"/>
              <w:left w:val="single" w:color="auto" w:sz="4" w:space="0"/>
              <w:bottom w:val="single" w:color="auto" w:sz="4" w:space="0"/>
              <w:right w:val="single" w:color="auto" w:sz="4" w:space="0"/>
            </w:tcBorders>
            <w:noWrap w:val="0"/>
            <w:vAlign w:val="center"/>
          </w:tcPr>
          <w:p w14:paraId="66678931">
            <w:pPr>
              <w:pStyle w:val="26"/>
              <w:spacing w:line="400" w:lineRule="exact"/>
              <w:ind w:left="0" w:leftChars="0"/>
              <w:jc w:val="both"/>
              <w:outlineLvl w:val="9"/>
              <w:rPr>
                <w:rFonts w:hint="eastAsia" w:ascii="楷体" w:hAnsi="楷体" w:eastAsia="楷体" w:cs="楷体"/>
                <w:color w:val="auto"/>
                <w:highlight w:val="none"/>
              </w:rPr>
            </w:pPr>
          </w:p>
        </w:tc>
        <w:tc>
          <w:tcPr>
            <w:tcW w:w="3354" w:type="dxa"/>
            <w:gridSpan w:val="3"/>
            <w:tcBorders>
              <w:top w:val="single" w:color="auto" w:sz="4" w:space="0"/>
              <w:left w:val="nil"/>
              <w:bottom w:val="single" w:color="auto" w:sz="4" w:space="0"/>
              <w:right w:val="single" w:color="auto" w:sz="4" w:space="0"/>
            </w:tcBorders>
            <w:noWrap w:val="0"/>
            <w:vAlign w:val="center"/>
          </w:tcPr>
          <w:p w14:paraId="4014BA55">
            <w:pPr>
              <w:pStyle w:val="26"/>
              <w:spacing w:line="400" w:lineRule="exact"/>
              <w:ind w:left="0" w:leftChars="0"/>
              <w:jc w:val="both"/>
              <w:outlineLvl w:val="9"/>
              <w:rPr>
                <w:rFonts w:hint="eastAsia" w:ascii="楷体" w:hAnsi="楷体" w:eastAsia="楷体" w:cs="楷体"/>
                <w:color w:val="auto"/>
                <w:highlight w:val="none"/>
              </w:rPr>
            </w:pPr>
          </w:p>
        </w:tc>
        <w:tc>
          <w:tcPr>
            <w:tcW w:w="1280" w:type="dxa"/>
            <w:tcBorders>
              <w:top w:val="single" w:color="auto" w:sz="4" w:space="0"/>
              <w:left w:val="nil"/>
              <w:bottom w:val="single" w:color="auto" w:sz="4" w:space="0"/>
              <w:right w:val="single" w:color="auto" w:sz="4" w:space="0"/>
            </w:tcBorders>
            <w:noWrap w:val="0"/>
            <w:vAlign w:val="center"/>
          </w:tcPr>
          <w:p w14:paraId="7AC2A935">
            <w:pPr>
              <w:pStyle w:val="26"/>
              <w:spacing w:line="400" w:lineRule="exact"/>
              <w:ind w:left="0" w:leftChars="0"/>
              <w:jc w:val="both"/>
              <w:outlineLvl w:val="9"/>
              <w:rPr>
                <w:rFonts w:hint="eastAsia" w:ascii="楷体" w:hAnsi="楷体" w:eastAsia="楷体" w:cs="楷体"/>
                <w:color w:val="auto"/>
                <w:highlight w:val="none"/>
              </w:rPr>
            </w:pPr>
          </w:p>
        </w:tc>
        <w:tc>
          <w:tcPr>
            <w:tcW w:w="1743" w:type="dxa"/>
            <w:gridSpan w:val="2"/>
            <w:tcBorders>
              <w:top w:val="single" w:color="auto" w:sz="4" w:space="0"/>
              <w:left w:val="nil"/>
              <w:bottom w:val="single" w:color="auto" w:sz="4" w:space="0"/>
              <w:right w:val="single" w:color="auto" w:sz="4" w:space="0"/>
            </w:tcBorders>
            <w:noWrap w:val="0"/>
            <w:vAlign w:val="center"/>
          </w:tcPr>
          <w:p w14:paraId="68969E5F">
            <w:pPr>
              <w:pStyle w:val="26"/>
              <w:spacing w:line="400" w:lineRule="exact"/>
              <w:ind w:left="0" w:leftChars="0"/>
              <w:jc w:val="both"/>
              <w:outlineLvl w:val="9"/>
              <w:rPr>
                <w:rFonts w:hint="eastAsia" w:ascii="楷体" w:hAnsi="楷体" w:eastAsia="楷体" w:cs="楷体"/>
                <w:color w:val="auto"/>
                <w:highlight w:val="none"/>
              </w:rPr>
            </w:pPr>
          </w:p>
        </w:tc>
        <w:tc>
          <w:tcPr>
            <w:tcW w:w="1133" w:type="dxa"/>
            <w:tcBorders>
              <w:top w:val="single" w:color="auto" w:sz="4" w:space="0"/>
              <w:left w:val="nil"/>
              <w:bottom w:val="single" w:color="auto" w:sz="4" w:space="0"/>
              <w:right w:val="single" w:color="auto" w:sz="4" w:space="0"/>
            </w:tcBorders>
            <w:noWrap w:val="0"/>
            <w:vAlign w:val="center"/>
          </w:tcPr>
          <w:p w14:paraId="6BD3E10D">
            <w:pPr>
              <w:pStyle w:val="26"/>
              <w:spacing w:line="400" w:lineRule="exact"/>
              <w:ind w:left="0" w:leftChars="0"/>
              <w:jc w:val="both"/>
              <w:outlineLvl w:val="9"/>
              <w:rPr>
                <w:rFonts w:hint="eastAsia" w:ascii="楷体" w:hAnsi="楷体" w:eastAsia="楷体" w:cs="楷体"/>
                <w:color w:val="auto"/>
                <w:highlight w:val="none"/>
              </w:rPr>
            </w:pPr>
          </w:p>
        </w:tc>
      </w:tr>
      <w:tr w14:paraId="6D65CF39">
        <w:tblPrEx>
          <w:tblCellMar>
            <w:top w:w="0" w:type="dxa"/>
            <w:left w:w="108" w:type="dxa"/>
            <w:bottom w:w="0" w:type="dxa"/>
            <w:right w:w="108" w:type="dxa"/>
          </w:tblCellMar>
        </w:tblPrEx>
        <w:trPr>
          <w:trHeight w:val="547" w:hRule="atLeast"/>
        </w:trPr>
        <w:tc>
          <w:tcPr>
            <w:tcW w:w="1494" w:type="dxa"/>
            <w:tcBorders>
              <w:top w:val="single" w:color="auto" w:sz="4" w:space="0"/>
              <w:left w:val="single" w:color="auto" w:sz="4" w:space="0"/>
              <w:bottom w:val="single" w:color="auto" w:sz="4" w:space="0"/>
              <w:right w:val="single" w:color="auto" w:sz="4" w:space="0"/>
            </w:tcBorders>
            <w:noWrap w:val="0"/>
            <w:vAlign w:val="center"/>
          </w:tcPr>
          <w:p w14:paraId="0D155B59">
            <w:pPr>
              <w:pStyle w:val="26"/>
              <w:spacing w:line="400" w:lineRule="exact"/>
              <w:ind w:left="0" w:leftChars="0"/>
              <w:jc w:val="both"/>
              <w:outlineLvl w:val="9"/>
              <w:rPr>
                <w:rFonts w:hint="eastAsia" w:ascii="楷体" w:hAnsi="楷体" w:eastAsia="楷体" w:cs="楷体"/>
                <w:color w:val="auto"/>
                <w:highlight w:val="none"/>
              </w:rPr>
            </w:pPr>
          </w:p>
        </w:tc>
        <w:tc>
          <w:tcPr>
            <w:tcW w:w="3354" w:type="dxa"/>
            <w:gridSpan w:val="3"/>
            <w:tcBorders>
              <w:top w:val="single" w:color="auto" w:sz="4" w:space="0"/>
              <w:left w:val="nil"/>
              <w:bottom w:val="single" w:color="auto" w:sz="4" w:space="0"/>
              <w:right w:val="single" w:color="auto" w:sz="4" w:space="0"/>
            </w:tcBorders>
            <w:noWrap w:val="0"/>
            <w:vAlign w:val="center"/>
          </w:tcPr>
          <w:p w14:paraId="1A20E274">
            <w:pPr>
              <w:pStyle w:val="26"/>
              <w:spacing w:line="400" w:lineRule="exact"/>
              <w:ind w:left="0" w:leftChars="0"/>
              <w:jc w:val="both"/>
              <w:outlineLvl w:val="9"/>
              <w:rPr>
                <w:rFonts w:hint="eastAsia" w:ascii="楷体" w:hAnsi="楷体" w:eastAsia="楷体" w:cs="楷体"/>
                <w:color w:val="auto"/>
                <w:highlight w:val="none"/>
              </w:rPr>
            </w:pPr>
          </w:p>
        </w:tc>
        <w:tc>
          <w:tcPr>
            <w:tcW w:w="1280" w:type="dxa"/>
            <w:tcBorders>
              <w:top w:val="single" w:color="auto" w:sz="4" w:space="0"/>
              <w:left w:val="nil"/>
              <w:bottom w:val="single" w:color="auto" w:sz="4" w:space="0"/>
              <w:right w:val="single" w:color="auto" w:sz="4" w:space="0"/>
            </w:tcBorders>
            <w:noWrap w:val="0"/>
            <w:vAlign w:val="center"/>
          </w:tcPr>
          <w:p w14:paraId="505939FC">
            <w:pPr>
              <w:pStyle w:val="26"/>
              <w:spacing w:line="400" w:lineRule="exact"/>
              <w:ind w:left="0" w:leftChars="0"/>
              <w:jc w:val="both"/>
              <w:outlineLvl w:val="9"/>
              <w:rPr>
                <w:rFonts w:hint="eastAsia" w:ascii="楷体" w:hAnsi="楷体" w:eastAsia="楷体" w:cs="楷体"/>
                <w:color w:val="auto"/>
                <w:highlight w:val="none"/>
              </w:rPr>
            </w:pPr>
          </w:p>
        </w:tc>
        <w:tc>
          <w:tcPr>
            <w:tcW w:w="1743" w:type="dxa"/>
            <w:gridSpan w:val="2"/>
            <w:tcBorders>
              <w:top w:val="single" w:color="auto" w:sz="4" w:space="0"/>
              <w:left w:val="nil"/>
              <w:bottom w:val="single" w:color="auto" w:sz="4" w:space="0"/>
              <w:right w:val="single" w:color="auto" w:sz="4" w:space="0"/>
            </w:tcBorders>
            <w:noWrap w:val="0"/>
            <w:vAlign w:val="center"/>
          </w:tcPr>
          <w:p w14:paraId="38E7CE7D">
            <w:pPr>
              <w:pStyle w:val="26"/>
              <w:spacing w:line="400" w:lineRule="exact"/>
              <w:ind w:left="0" w:leftChars="0"/>
              <w:jc w:val="both"/>
              <w:outlineLvl w:val="9"/>
              <w:rPr>
                <w:rFonts w:hint="eastAsia" w:ascii="楷体" w:hAnsi="楷体" w:eastAsia="楷体" w:cs="楷体"/>
                <w:color w:val="auto"/>
                <w:highlight w:val="none"/>
              </w:rPr>
            </w:pPr>
          </w:p>
        </w:tc>
        <w:tc>
          <w:tcPr>
            <w:tcW w:w="1133" w:type="dxa"/>
            <w:tcBorders>
              <w:top w:val="single" w:color="auto" w:sz="4" w:space="0"/>
              <w:left w:val="nil"/>
              <w:bottom w:val="single" w:color="auto" w:sz="4" w:space="0"/>
              <w:right w:val="single" w:color="auto" w:sz="4" w:space="0"/>
            </w:tcBorders>
            <w:noWrap w:val="0"/>
            <w:vAlign w:val="center"/>
          </w:tcPr>
          <w:p w14:paraId="13A21FFD">
            <w:pPr>
              <w:pStyle w:val="26"/>
              <w:spacing w:line="400" w:lineRule="exact"/>
              <w:ind w:left="0" w:leftChars="0"/>
              <w:jc w:val="both"/>
              <w:outlineLvl w:val="9"/>
              <w:rPr>
                <w:rFonts w:hint="eastAsia" w:ascii="楷体" w:hAnsi="楷体" w:eastAsia="楷体" w:cs="楷体"/>
                <w:color w:val="auto"/>
                <w:highlight w:val="none"/>
              </w:rPr>
            </w:pPr>
          </w:p>
        </w:tc>
      </w:tr>
      <w:tr w14:paraId="2B10CB6C">
        <w:tblPrEx>
          <w:tblCellMar>
            <w:top w:w="0" w:type="dxa"/>
            <w:left w:w="108" w:type="dxa"/>
            <w:bottom w:w="0" w:type="dxa"/>
            <w:right w:w="108" w:type="dxa"/>
          </w:tblCellMar>
        </w:tblPrEx>
        <w:trPr>
          <w:trHeight w:val="546" w:hRule="atLeast"/>
        </w:trPr>
        <w:tc>
          <w:tcPr>
            <w:tcW w:w="1494" w:type="dxa"/>
            <w:tcBorders>
              <w:top w:val="single" w:color="auto" w:sz="4" w:space="0"/>
              <w:left w:val="single" w:color="auto" w:sz="4" w:space="0"/>
              <w:bottom w:val="single" w:color="auto" w:sz="4" w:space="0"/>
              <w:right w:val="single" w:color="auto" w:sz="4" w:space="0"/>
            </w:tcBorders>
            <w:noWrap w:val="0"/>
            <w:vAlign w:val="center"/>
          </w:tcPr>
          <w:p w14:paraId="0E563427">
            <w:pPr>
              <w:pStyle w:val="26"/>
              <w:spacing w:line="400" w:lineRule="exact"/>
              <w:ind w:left="0" w:leftChars="0"/>
              <w:jc w:val="both"/>
              <w:outlineLvl w:val="9"/>
              <w:rPr>
                <w:rFonts w:hint="eastAsia" w:ascii="楷体" w:hAnsi="楷体" w:eastAsia="楷体" w:cs="楷体"/>
                <w:color w:val="auto"/>
                <w:highlight w:val="none"/>
              </w:rPr>
            </w:pPr>
          </w:p>
        </w:tc>
        <w:tc>
          <w:tcPr>
            <w:tcW w:w="3354" w:type="dxa"/>
            <w:gridSpan w:val="3"/>
            <w:tcBorders>
              <w:top w:val="single" w:color="auto" w:sz="4" w:space="0"/>
              <w:left w:val="nil"/>
              <w:bottom w:val="single" w:color="auto" w:sz="4" w:space="0"/>
              <w:right w:val="single" w:color="auto" w:sz="4" w:space="0"/>
            </w:tcBorders>
            <w:noWrap w:val="0"/>
            <w:vAlign w:val="center"/>
          </w:tcPr>
          <w:p w14:paraId="3C5A42E2">
            <w:pPr>
              <w:pStyle w:val="26"/>
              <w:spacing w:line="400" w:lineRule="exact"/>
              <w:ind w:left="0" w:leftChars="0"/>
              <w:jc w:val="both"/>
              <w:outlineLvl w:val="9"/>
              <w:rPr>
                <w:rFonts w:hint="eastAsia" w:ascii="楷体" w:hAnsi="楷体" w:eastAsia="楷体" w:cs="楷体"/>
                <w:color w:val="auto"/>
                <w:highlight w:val="none"/>
              </w:rPr>
            </w:pPr>
          </w:p>
        </w:tc>
        <w:tc>
          <w:tcPr>
            <w:tcW w:w="1280" w:type="dxa"/>
            <w:tcBorders>
              <w:top w:val="single" w:color="auto" w:sz="4" w:space="0"/>
              <w:left w:val="nil"/>
              <w:bottom w:val="single" w:color="auto" w:sz="4" w:space="0"/>
              <w:right w:val="single" w:color="auto" w:sz="4" w:space="0"/>
            </w:tcBorders>
            <w:noWrap w:val="0"/>
            <w:vAlign w:val="center"/>
          </w:tcPr>
          <w:p w14:paraId="574E384B">
            <w:pPr>
              <w:pStyle w:val="26"/>
              <w:spacing w:line="400" w:lineRule="exact"/>
              <w:ind w:left="0" w:leftChars="0"/>
              <w:jc w:val="both"/>
              <w:outlineLvl w:val="9"/>
              <w:rPr>
                <w:rFonts w:hint="eastAsia" w:ascii="楷体" w:hAnsi="楷体" w:eastAsia="楷体" w:cs="楷体"/>
                <w:color w:val="auto"/>
                <w:highlight w:val="none"/>
              </w:rPr>
            </w:pPr>
          </w:p>
        </w:tc>
        <w:tc>
          <w:tcPr>
            <w:tcW w:w="1743" w:type="dxa"/>
            <w:gridSpan w:val="2"/>
            <w:tcBorders>
              <w:top w:val="single" w:color="auto" w:sz="4" w:space="0"/>
              <w:left w:val="nil"/>
              <w:bottom w:val="single" w:color="auto" w:sz="4" w:space="0"/>
              <w:right w:val="single" w:color="auto" w:sz="4" w:space="0"/>
            </w:tcBorders>
            <w:noWrap w:val="0"/>
            <w:vAlign w:val="center"/>
          </w:tcPr>
          <w:p w14:paraId="1EE86A38">
            <w:pPr>
              <w:pStyle w:val="26"/>
              <w:spacing w:line="400" w:lineRule="exact"/>
              <w:ind w:left="0" w:leftChars="0"/>
              <w:jc w:val="both"/>
              <w:outlineLvl w:val="9"/>
              <w:rPr>
                <w:rFonts w:hint="eastAsia" w:ascii="楷体" w:hAnsi="楷体" w:eastAsia="楷体" w:cs="楷体"/>
                <w:color w:val="auto"/>
                <w:highlight w:val="none"/>
              </w:rPr>
            </w:pPr>
          </w:p>
        </w:tc>
        <w:tc>
          <w:tcPr>
            <w:tcW w:w="1133" w:type="dxa"/>
            <w:tcBorders>
              <w:top w:val="single" w:color="auto" w:sz="4" w:space="0"/>
              <w:left w:val="nil"/>
              <w:bottom w:val="single" w:color="auto" w:sz="4" w:space="0"/>
              <w:right w:val="single" w:color="auto" w:sz="4" w:space="0"/>
            </w:tcBorders>
            <w:noWrap w:val="0"/>
            <w:vAlign w:val="center"/>
          </w:tcPr>
          <w:p w14:paraId="43D0FF89">
            <w:pPr>
              <w:pStyle w:val="26"/>
              <w:spacing w:line="400" w:lineRule="exact"/>
              <w:ind w:left="0" w:leftChars="0"/>
              <w:jc w:val="both"/>
              <w:outlineLvl w:val="9"/>
              <w:rPr>
                <w:rFonts w:hint="eastAsia" w:ascii="楷体" w:hAnsi="楷体" w:eastAsia="楷体" w:cs="楷体"/>
                <w:color w:val="auto"/>
                <w:highlight w:val="none"/>
              </w:rPr>
            </w:pPr>
          </w:p>
        </w:tc>
      </w:tr>
      <w:tr w14:paraId="543195DB">
        <w:tblPrEx>
          <w:tblCellMar>
            <w:top w:w="0" w:type="dxa"/>
            <w:left w:w="108" w:type="dxa"/>
            <w:bottom w:w="0" w:type="dxa"/>
            <w:right w:w="108" w:type="dxa"/>
          </w:tblCellMar>
        </w:tblPrEx>
        <w:trPr>
          <w:trHeight w:val="546" w:hRule="atLeast"/>
        </w:trPr>
        <w:tc>
          <w:tcPr>
            <w:tcW w:w="1494" w:type="dxa"/>
            <w:tcBorders>
              <w:top w:val="single" w:color="auto" w:sz="4" w:space="0"/>
              <w:left w:val="single" w:color="auto" w:sz="4" w:space="0"/>
              <w:bottom w:val="single" w:color="auto" w:sz="4" w:space="0"/>
              <w:right w:val="single" w:color="auto" w:sz="4" w:space="0"/>
            </w:tcBorders>
            <w:noWrap w:val="0"/>
            <w:vAlign w:val="center"/>
          </w:tcPr>
          <w:p w14:paraId="70B8B508">
            <w:pPr>
              <w:pStyle w:val="26"/>
              <w:spacing w:line="400" w:lineRule="exact"/>
              <w:ind w:left="0" w:leftChars="0"/>
              <w:jc w:val="both"/>
              <w:outlineLvl w:val="9"/>
              <w:rPr>
                <w:rFonts w:hint="eastAsia" w:ascii="楷体" w:hAnsi="楷体" w:eastAsia="楷体" w:cs="楷体"/>
                <w:color w:val="auto"/>
                <w:highlight w:val="none"/>
              </w:rPr>
            </w:pPr>
          </w:p>
        </w:tc>
        <w:tc>
          <w:tcPr>
            <w:tcW w:w="3354" w:type="dxa"/>
            <w:gridSpan w:val="3"/>
            <w:tcBorders>
              <w:top w:val="single" w:color="auto" w:sz="4" w:space="0"/>
              <w:left w:val="nil"/>
              <w:bottom w:val="single" w:color="auto" w:sz="4" w:space="0"/>
              <w:right w:val="single" w:color="auto" w:sz="4" w:space="0"/>
            </w:tcBorders>
            <w:noWrap w:val="0"/>
            <w:vAlign w:val="center"/>
          </w:tcPr>
          <w:p w14:paraId="30C903D0">
            <w:pPr>
              <w:pStyle w:val="26"/>
              <w:spacing w:line="400" w:lineRule="exact"/>
              <w:ind w:left="0" w:leftChars="0"/>
              <w:jc w:val="both"/>
              <w:outlineLvl w:val="9"/>
              <w:rPr>
                <w:rFonts w:hint="eastAsia" w:ascii="楷体" w:hAnsi="楷体" w:eastAsia="楷体" w:cs="楷体"/>
                <w:color w:val="auto"/>
                <w:highlight w:val="none"/>
              </w:rPr>
            </w:pPr>
          </w:p>
        </w:tc>
        <w:tc>
          <w:tcPr>
            <w:tcW w:w="1280" w:type="dxa"/>
            <w:tcBorders>
              <w:top w:val="single" w:color="auto" w:sz="4" w:space="0"/>
              <w:left w:val="nil"/>
              <w:bottom w:val="single" w:color="auto" w:sz="4" w:space="0"/>
              <w:right w:val="single" w:color="auto" w:sz="4" w:space="0"/>
            </w:tcBorders>
            <w:noWrap w:val="0"/>
            <w:vAlign w:val="center"/>
          </w:tcPr>
          <w:p w14:paraId="5FB424ED">
            <w:pPr>
              <w:pStyle w:val="26"/>
              <w:spacing w:line="400" w:lineRule="exact"/>
              <w:ind w:left="0" w:leftChars="0"/>
              <w:jc w:val="both"/>
              <w:outlineLvl w:val="9"/>
              <w:rPr>
                <w:rFonts w:hint="eastAsia" w:ascii="楷体" w:hAnsi="楷体" w:eastAsia="楷体" w:cs="楷体"/>
                <w:color w:val="auto"/>
                <w:highlight w:val="none"/>
              </w:rPr>
            </w:pPr>
          </w:p>
        </w:tc>
        <w:tc>
          <w:tcPr>
            <w:tcW w:w="1743" w:type="dxa"/>
            <w:gridSpan w:val="2"/>
            <w:tcBorders>
              <w:top w:val="single" w:color="auto" w:sz="4" w:space="0"/>
              <w:left w:val="nil"/>
              <w:bottom w:val="single" w:color="auto" w:sz="4" w:space="0"/>
              <w:right w:val="single" w:color="auto" w:sz="4" w:space="0"/>
            </w:tcBorders>
            <w:noWrap w:val="0"/>
            <w:vAlign w:val="center"/>
          </w:tcPr>
          <w:p w14:paraId="08EE84F4">
            <w:pPr>
              <w:pStyle w:val="26"/>
              <w:spacing w:line="400" w:lineRule="exact"/>
              <w:ind w:left="0" w:leftChars="0"/>
              <w:jc w:val="both"/>
              <w:outlineLvl w:val="9"/>
              <w:rPr>
                <w:rFonts w:hint="eastAsia" w:ascii="楷体" w:hAnsi="楷体" w:eastAsia="楷体" w:cs="楷体"/>
                <w:color w:val="auto"/>
                <w:highlight w:val="none"/>
              </w:rPr>
            </w:pPr>
          </w:p>
        </w:tc>
        <w:tc>
          <w:tcPr>
            <w:tcW w:w="1133" w:type="dxa"/>
            <w:tcBorders>
              <w:top w:val="single" w:color="auto" w:sz="4" w:space="0"/>
              <w:left w:val="nil"/>
              <w:bottom w:val="single" w:color="auto" w:sz="4" w:space="0"/>
              <w:right w:val="single" w:color="auto" w:sz="4" w:space="0"/>
            </w:tcBorders>
            <w:noWrap w:val="0"/>
            <w:vAlign w:val="center"/>
          </w:tcPr>
          <w:p w14:paraId="33EE1AEE">
            <w:pPr>
              <w:pStyle w:val="26"/>
              <w:spacing w:line="400" w:lineRule="exact"/>
              <w:ind w:left="0" w:leftChars="0"/>
              <w:jc w:val="both"/>
              <w:outlineLvl w:val="9"/>
              <w:rPr>
                <w:rFonts w:hint="eastAsia" w:ascii="楷体" w:hAnsi="楷体" w:eastAsia="楷体" w:cs="楷体"/>
                <w:color w:val="auto"/>
                <w:highlight w:val="none"/>
              </w:rPr>
            </w:pPr>
          </w:p>
        </w:tc>
      </w:tr>
      <w:tr w14:paraId="0CEF0049">
        <w:tblPrEx>
          <w:tblCellMar>
            <w:top w:w="0" w:type="dxa"/>
            <w:left w:w="108" w:type="dxa"/>
            <w:bottom w:w="0" w:type="dxa"/>
            <w:right w:w="108" w:type="dxa"/>
          </w:tblCellMar>
        </w:tblPrEx>
        <w:trPr>
          <w:trHeight w:val="546" w:hRule="atLeast"/>
        </w:trPr>
        <w:tc>
          <w:tcPr>
            <w:tcW w:w="1494" w:type="dxa"/>
            <w:tcBorders>
              <w:top w:val="single" w:color="auto" w:sz="4" w:space="0"/>
              <w:left w:val="single" w:color="auto" w:sz="4" w:space="0"/>
              <w:bottom w:val="single" w:color="auto" w:sz="4" w:space="0"/>
              <w:right w:val="single" w:color="auto" w:sz="4" w:space="0"/>
            </w:tcBorders>
            <w:noWrap w:val="0"/>
            <w:vAlign w:val="center"/>
          </w:tcPr>
          <w:p w14:paraId="3DE4BB7B">
            <w:pPr>
              <w:pStyle w:val="26"/>
              <w:spacing w:line="400" w:lineRule="exact"/>
              <w:ind w:left="0" w:leftChars="0" w:firstLine="480" w:firstLineChars="200"/>
              <w:jc w:val="both"/>
              <w:outlineLvl w:val="9"/>
              <w:rPr>
                <w:rFonts w:hint="eastAsia" w:ascii="楷体" w:hAnsi="楷体" w:eastAsia="楷体" w:cs="楷体"/>
                <w:color w:val="auto"/>
                <w:highlight w:val="none"/>
              </w:rPr>
            </w:pPr>
          </w:p>
        </w:tc>
        <w:tc>
          <w:tcPr>
            <w:tcW w:w="3354" w:type="dxa"/>
            <w:gridSpan w:val="3"/>
            <w:tcBorders>
              <w:top w:val="single" w:color="auto" w:sz="4" w:space="0"/>
              <w:left w:val="nil"/>
              <w:bottom w:val="single" w:color="auto" w:sz="4" w:space="0"/>
              <w:right w:val="single" w:color="auto" w:sz="4" w:space="0"/>
            </w:tcBorders>
            <w:noWrap w:val="0"/>
            <w:vAlign w:val="center"/>
          </w:tcPr>
          <w:p w14:paraId="3CF99D0C">
            <w:pPr>
              <w:pStyle w:val="26"/>
              <w:spacing w:line="400" w:lineRule="exact"/>
              <w:ind w:left="0" w:leftChars="0" w:firstLine="480" w:firstLineChars="200"/>
              <w:jc w:val="both"/>
              <w:outlineLvl w:val="9"/>
              <w:rPr>
                <w:rFonts w:hint="eastAsia" w:ascii="楷体" w:hAnsi="楷体" w:eastAsia="楷体" w:cs="楷体"/>
                <w:color w:val="auto"/>
                <w:highlight w:val="none"/>
              </w:rPr>
            </w:pPr>
          </w:p>
        </w:tc>
        <w:tc>
          <w:tcPr>
            <w:tcW w:w="1280" w:type="dxa"/>
            <w:tcBorders>
              <w:top w:val="single" w:color="auto" w:sz="4" w:space="0"/>
              <w:left w:val="nil"/>
              <w:bottom w:val="single" w:color="auto" w:sz="4" w:space="0"/>
              <w:right w:val="single" w:color="auto" w:sz="4" w:space="0"/>
            </w:tcBorders>
            <w:noWrap w:val="0"/>
            <w:vAlign w:val="center"/>
          </w:tcPr>
          <w:p w14:paraId="5D35D219">
            <w:pPr>
              <w:pStyle w:val="26"/>
              <w:spacing w:line="400" w:lineRule="exact"/>
              <w:ind w:left="0" w:leftChars="0" w:firstLine="480" w:firstLineChars="200"/>
              <w:jc w:val="both"/>
              <w:outlineLvl w:val="9"/>
              <w:rPr>
                <w:rFonts w:hint="eastAsia" w:ascii="楷体" w:hAnsi="楷体" w:eastAsia="楷体" w:cs="楷体"/>
                <w:color w:val="auto"/>
                <w:highlight w:val="none"/>
              </w:rPr>
            </w:pPr>
          </w:p>
        </w:tc>
        <w:tc>
          <w:tcPr>
            <w:tcW w:w="1743" w:type="dxa"/>
            <w:gridSpan w:val="2"/>
            <w:tcBorders>
              <w:top w:val="single" w:color="auto" w:sz="4" w:space="0"/>
              <w:left w:val="nil"/>
              <w:bottom w:val="single" w:color="auto" w:sz="4" w:space="0"/>
              <w:right w:val="single" w:color="auto" w:sz="4" w:space="0"/>
            </w:tcBorders>
            <w:noWrap w:val="0"/>
            <w:vAlign w:val="center"/>
          </w:tcPr>
          <w:p w14:paraId="0349A820">
            <w:pPr>
              <w:pStyle w:val="26"/>
              <w:spacing w:line="400" w:lineRule="exact"/>
              <w:ind w:left="0" w:leftChars="0" w:firstLine="480" w:firstLineChars="200"/>
              <w:jc w:val="both"/>
              <w:outlineLvl w:val="9"/>
              <w:rPr>
                <w:rFonts w:hint="eastAsia" w:ascii="楷体" w:hAnsi="楷体" w:eastAsia="楷体" w:cs="楷体"/>
                <w:color w:val="auto"/>
                <w:highlight w:val="none"/>
              </w:rPr>
            </w:pPr>
          </w:p>
        </w:tc>
        <w:tc>
          <w:tcPr>
            <w:tcW w:w="1133" w:type="dxa"/>
            <w:tcBorders>
              <w:top w:val="single" w:color="auto" w:sz="4" w:space="0"/>
              <w:left w:val="nil"/>
              <w:bottom w:val="single" w:color="auto" w:sz="4" w:space="0"/>
              <w:right w:val="single" w:color="auto" w:sz="4" w:space="0"/>
            </w:tcBorders>
            <w:noWrap w:val="0"/>
            <w:vAlign w:val="center"/>
          </w:tcPr>
          <w:p w14:paraId="5C51C3B7">
            <w:pPr>
              <w:pStyle w:val="26"/>
              <w:spacing w:line="400" w:lineRule="exact"/>
              <w:ind w:left="0" w:leftChars="0" w:firstLine="480" w:firstLineChars="200"/>
              <w:jc w:val="both"/>
              <w:outlineLvl w:val="9"/>
              <w:rPr>
                <w:rFonts w:hint="eastAsia" w:ascii="楷体" w:hAnsi="楷体" w:eastAsia="楷体" w:cs="楷体"/>
                <w:color w:val="auto"/>
                <w:highlight w:val="none"/>
              </w:rPr>
            </w:pPr>
          </w:p>
        </w:tc>
      </w:tr>
      <w:tr w14:paraId="3556ACEF">
        <w:tblPrEx>
          <w:tblCellMar>
            <w:top w:w="0" w:type="dxa"/>
            <w:left w:w="108" w:type="dxa"/>
            <w:bottom w:w="0" w:type="dxa"/>
            <w:right w:w="108" w:type="dxa"/>
          </w:tblCellMar>
        </w:tblPrEx>
        <w:trPr>
          <w:trHeight w:val="546" w:hRule="atLeast"/>
        </w:trPr>
        <w:tc>
          <w:tcPr>
            <w:tcW w:w="1494" w:type="dxa"/>
            <w:tcBorders>
              <w:top w:val="single" w:color="auto" w:sz="4" w:space="0"/>
              <w:left w:val="single" w:color="auto" w:sz="4" w:space="0"/>
              <w:bottom w:val="single" w:color="auto" w:sz="4" w:space="0"/>
              <w:right w:val="single" w:color="auto" w:sz="4" w:space="0"/>
            </w:tcBorders>
            <w:noWrap w:val="0"/>
            <w:vAlign w:val="center"/>
          </w:tcPr>
          <w:p w14:paraId="54520B64">
            <w:pPr>
              <w:pStyle w:val="26"/>
              <w:spacing w:line="400" w:lineRule="exact"/>
              <w:ind w:left="0" w:leftChars="0" w:firstLine="480" w:firstLineChars="200"/>
              <w:jc w:val="both"/>
              <w:outlineLvl w:val="9"/>
              <w:rPr>
                <w:rFonts w:hint="eastAsia" w:ascii="楷体" w:hAnsi="楷体" w:eastAsia="楷体" w:cs="楷体"/>
                <w:color w:val="auto"/>
                <w:highlight w:val="none"/>
              </w:rPr>
            </w:pPr>
          </w:p>
        </w:tc>
        <w:tc>
          <w:tcPr>
            <w:tcW w:w="3354" w:type="dxa"/>
            <w:gridSpan w:val="3"/>
            <w:tcBorders>
              <w:top w:val="single" w:color="auto" w:sz="4" w:space="0"/>
              <w:left w:val="nil"/>
              <w:bottom w:val="single" w:color="auto" w:sz="4" w:space="0"/>
              <w:right w:val="single" w:color="auto" w:sz="4" w:space="0"/>
            </w:tcBorders>
            <w:noWrap w:val="0"/>
            <w:vAlign w:val="center"/>
          </w:tcPr>
          <w:p w14:paraId="6252D788">
            <w:pPr>
              <w:pStyle w:val="26"/>
              <w:spacing w:line="400" w:lineRule="exact"/>
              <w:ind w:left="0" w:leftChars="0" w:firstLine="480" w:firstLineChars="200"/>
              <w:jc w:val="both"/>
              <w:outlineLvl w:val="9"/>
              <w:rPr>
                <w:rFonts w:hint="eastAsia" w:ascii="楷体" w:hAnsi="楷体" w:eastAsia="楷体" w:cs="楷体"/>
                <w:color w:val="auto"/>
                <w:highlight w:val="none"/>
              </w:rPr>
            </w:pPr>
          </w:p>
        </w:tc>
        <w:tc>
          <w:tcPr>
            <w:tcW w:w="1280" w:type="dxa"/>
            <w:tcBorders>
              <w:top w:val="single" w:color="auto" w:sz="4" w:space="0"/>
              <w:left w:val="nil"/>
              <w:bottom w:val="single" w:color="auto" w:sz="4" w:space="0"/>
              <w:right w:val="single" w:color="auto" w:sz="4" w:space="0"/>
            </w:tcBorders>
            <w:noWrap w:val="0"/>
            <w:vAlign w:val="center"/>
          </w:tcPr>
          <w:p w14:paraId="183FB7EE">
            <w:pPr>
              <w:pStyle w:val="26"/>
              <w:spacing w:line="400" w:lineRule="exact"/>
              <w:ind w:left="0" w:leftChars="0" w:firstLine="480" w:firstLineChars="200"/>
              <w:jc w:val="both"/>
              <w:outlineLvl w:val="9"/>
              <w:rPr>
                <w:rFonts w:hint="eastAsia" w:ascii="楷体" w:hAnsi="楷体" w:eastAsia="楷体" w:cs="楷体"/>
                <w:color w:val="auto"/>
                <w:highlight w:val="none"/>
              </w:rPr>
            </w:pPr>
          </w:p>
        </w:tc>
        <w:tc>
          <w:tcPr>
            <w:tcW w:w="1743" w:type="dxa"/>
            <w:gridSpan w:val="2"/>
            <w:tcBorders>
              <w:top w:val="single" w:color="auto" w:sz="4" w:space="0"/>
              <w:left w:val="nil"/>
              <w:bottom w:val="single" w:color="auto" w:sz="4" w:space="0"/>
              <w:right w:val="single" w:color="auto" w:sz="4" w:space="0"/>
            </w:tcBorders>
            <w:noWrap w:val="0"/>
            <w:vAlign w:val="center"/>
          </w:tcPr>
          <w:p w14:paraId="4BA38A03">
            <w:pPr>
              <w:pStyle w:val="26"/>
              <w:spacing w:line="400" w:lineRule="exact"/>
              <w:ind w:left="0" w:leftChars="0" w:firstLine="480" w:firstLineChars="200"/>
              <w:jc w:val="both"/>
              <w:outlineLvl w:val="9"/>
              <w:rPr>
                <w:rFonts w:hint="eastAsia" w:ascii="楷体" w:hAnsi="楷体" w:eastAsia="楷体" w:cs="楷体"/>
                <w:color w:val="auto"/>
                <w:highlight w:val="none"/>
              </w:rPr>
            </w:pPr>
          </w:p>
        </w:tc>
        <w:tc>
          <w:tcPr>
            <w:tcW w:w="1133" w:type="dxa"/>
            <w:tcBorders>
              <w:top w:val="single" w:color="auto" w:sz="4" w:space="0"/>
              <w:left w:val="nil"/>
              <w:bottom w:val="single" w:color="auto" w:sz="4" w:space="0"/>
              <w:right w:val="single" w:color="auto" w:sz="4" w:space="0"/>
            </w:tcBorders>
            <w:noWrap w:val="0"/>
            <w:vAlign w:val="center"/>
          </w:tcPr>
          <w:p w14:paraId="074B950C">
            <w:pPr>
              <w:pStyle w:val="26"/>
              <w:spacing w:line="400" w:lineRule="exact"/>
              <w:ind w:left="0" w:leftChars="0" w:firstLine="480" w:firstLineChars="200"/>
              <w:jc w:val="both"/>
              <w:outlineLvl w:val="9"/>
              <w:rPr>
                <w:rFonts w:hint="eastAsia" w:ascii="楷体" w:hAnsi="楷体" w:eastAsia="楷体" w:cs="楷体"/>
                <w:color w:val="auto"/>
                <w:highlight w:val="none"/>
              </w:rPr>
            </w:pPr>
          </w:p>
        </w:tc>
      </w:tr>
    </w:tbl>
    <w:p w14:paraId="4C174F47">
      <w:pPr>
        <w:pStyle w:val="27"/>
        <w:spacing w:beforeLines="0" w:line="400" w:lineRule="exact"/>
        <w:ind w:left="348" w:hanging="348" w:hangingChars="145"/>
        <w:jc w:val="left"/>
        <w:outlineLvl w:val="9"/>
        <w:rPr>
          <w:rFonts w:hint="eastAsia" w:ascii="楷体" w:hAnsi="楷体" w:eastAsia="楷体" w:cs="楷体"/>
          <w:color w:val="auto"/>
          <w:highlight w:val="none"/>
        </w:rPr>
      </w:pPr>
      <w:r>
        <w:rPr>
          <w:rFonts w:hint="eastAsia" w:ascii="楷体" w:hAnsi="楷体" w:eastAsia="楷体" w:cs="楷体"/>
          <w:color w:val="auto"/>
          <w:highlight w:val="none"/>
        </w:rPr>
        <w:t>注：附以上人员相关证明材料。</w:t>
      </w:r>
    </w:p>
    <w:p w14:paraId="77611228">
      <w:pPr>
        <w:spacing w:line="360" w:lineRule="auto"/>
        <w:outlineLvl w:val="9"/>
        <w:rPr>
          <w:rFonts w:hint="eastAsia" w:ascii="楷体" w:hAnsi="楷体" w:eastAsia="楷体" w:cs="楷体"/>
          <w:color w:val="auto"/>
          <w:szCs w:val="24"/>
          <w:highlight w:val="none"/>
        </w:rPr>
      </w:pPr>
    </w:p>
    <w:p w14:paraId="548EE247">
      <w:pPr>
        <w:spacing w:line="360" w:lineRule="auto"/>
        <w:outlineLvl w:val="9"/>
        <w:rPr>
          <w:rFonts w:hint="eastAsia" w:ascii="楷体" w:hAnsi="楷体" w:eastAsia="楷体" w:cs="楷体"/>
          <w:color w:val="auto"/>
          <w:szCs w:val="24"/>
          <w:highlight w:val="none"/>
        </w:rPr>
      </w:pPr>
      <w:r>
        <w:rPr>
          <w:rFonts w:hint="eastAsia" w:ascii="楷体" w:hAnsi="楷体" w:eastAsia="楷体" w:cs="楷体"/>
          <w:color w:val="auto"/>
          <w:szCs w:val="24"/>
          <w:highlight w:val="none"/>
        </w:rPr>
        <w:t xml:space="preserve">供应商名称（公章）:             </w:t>
      </w:r>
    </w:p>
    <w:p w14:paraId="38197081">
      <w:pPr>
        <w:spacing w:line="360" w:lineRule="auto"/>
        <w:outlineLvl w:val="9"/>
        <w:rPr>
          <w:rFonts w:hint="eastAsia" w:ascii="楷体" w:hAnsi="楷体" w:eastAsia="楷体" w:cs="楷体"/>
          <w:color w:val="auto"/>
          <w:szCs w:val="24"/>
          <w:highlight w:val="none"/>
        </w:rPr>
      </w:pPr>
      <w:r>
        <w:rPr>
          <w:rFonts w:hint="eastAsia" w:ascii="楷体" w:hAnsi="楷体" w:eastAsia="楷体" w:cs="楷体"/>
          <w:color w:val="auto"/>
          <w:szCs w:val="24"/>
          <w:highlight w:val="none"/>
        </w:rPr>
        <w:t>法定代表人/被授权人（签字或盖章）：</w:t>
      </w:r>
    </w:p>
    <w:p w14:paraId="2FB6DA7E">
      <w:pPr>
        <w:spacing w:line="360" w:lineRule="auto"/>
        <w:outlineLvl w:val="9"/>
        <w:rPr>
          <w:rFonts w:hint="eastAsia" w:ascii="楷体" w:hAnsi="楷体" w:eastAsia="楷体" w:cs="楷体"/>
          <w:color w:val="auto"/>
          <w:szCs w:val="24"/>
          <w:highlight w:val="none"/>
        </w:rPr>
        <w:sectPr>
          <w:pgSz w:w="11906" w:h="16838"/>
          <w:pgMar w:top="1440" w:right="1800" w:bottom="1440" w:left="1800" w:header="851" w:footer="992" w:gutter="0"/>
          <w:pgNumType w:fmt="decimal"/>
          <w:cols w:space="720" w:num="1"/>
          <w:docGrid w:type="lines" w:linePitch="312" w:charSpace="0"/>
        </w:sectPr>
      </w:pPr>
      <w:r>
        <w:rPr>
          <w:rFonts w:hint="eastAsia" w:ascii="楷体" w:hAnsi="楷体" w:eastAsia="楷体" w:cs="楷体"/>
          <w:color w:val="auto"/>
          <w:szCs w:val="24"/>
          <w:highlight w:val="none"/>
        </w:rPr>
        <w:t>日    期：</w:t>
      </w:r>
    </w:p>
    <w:p w14:paraId="7011C2AD">
      <w:pPr>
        <w:spacing w:before="156" w:beforeLines="50" w:after="312" w:afterLines="100" w:line="420" w:lineRule="exact"/>
        <w:jc w:val="left"/>
        <w:rPr>
          <w:rFonts w:hint="eastAsia" w:ascii="楷体" w:hAnsi="楷体" w:eastAsia="楷体" w:cs="楷体"/>
          <w:b/>
          <w:bCs/>
          <w:szCs w:val="24"/>
          <w:highlight w:val="none"/>
        </w:rPr>
      </w:pPr>
      <w:r>
        <w:rPr>
          <w:rFonts w:hint="eastAsia" w:ascii="楷体" w:hAnsi="楷体" w:eastAsia="楷体" w:cs="楷体"/>
          <w:b/>
          <w:bCs/>
          <w:color w:val="auto"/>
          <w:sz w:val="30"/>
          <w:szCs w:val="30"/>
          <w:highlight w:val="none"/>
        </w:rPr>
        <w:t>附件</w:t>
      </w:r>
      <w:r>
        <w:rPr>
          <w:rFonts w:hint="eastAsia" w:ascii="楷体" w:hAnsi="楷体" w:eastAsia="楷体" w:cs="楷体"/>
          <w:b/>
          <w:bCs/>
          <w:color w:val="auto"/>
          <w:sz w:val="30"/>
          <w:szCs w:val="30"/>
          <w:highlight w:val="none"/>
          <w:lang w:val="en-US" w:eastAsia="zh-CN"/>
        </w:rPr>
        <w:t>7</w:t>
      </w:r>
      <w:r>
        <w:rPr>
          <w:rFonts w:hint="eastAsia" w:ascii="楷体" w:hAnsi="楷体" w:eastAsia="楷体" w:cs="楷体"/>
          <w:b/>
          <w:bCs/>
          <w:color w:val="auto"/>
          <w:sz w:val="30"/>
          <w:szCs w:val="30"/>
          <w:highlight w:val="none"/>
        </w:rPr>
        <w:t>：</w:t>
      </w:r>
    </w:p>
    <w:p w14:paraId="754B5189">
      <w:pPr>
        <w:spacing w:before="156" w:beforeLines="50" w:after="312" w:afterLines="100" w:line="420" w:lineRule="exact"/>
        <w:jc w:val="center"/>
        <w:rPr>
          <w:rFonts w:hint="eastAsia" w:ascii="楷体" w:hAnsi="楷体" w:eastAsia="楷体" w:cs="楷体"/>
          <w:b/>
          <w:bCs/>
          <w:szCs w:val="24"/>
          <w:highlight w:val="none"/>
        </w:rPr>
      </w:pPr>
      <w:r>
        <w:rPr>
          <w:rFonts w:hint="eastAsia" w:ascii="楷体" w:hAnsi="楷体" w:eastAsia="楷体" w:cs="楷体"/>
          <w:b/>
          <w:bCs/>
          <w:szCs w:val="24"/>
          <w:highlight w:val="none"/>
        </w:rPr>
        <w:t>拟投入本</w:t>
      </w:r>
      <w:r>
        <w:rPr>
          <w:rFonts w:hint="eastAsia" w:ascii="楷体" w:hAnsi="楷体" w:eastAsia="楷体" w:cs="楷体"/>
          <w:b/>
          <w:bCs/>
          <w:szCs w:val="24"/>
          <w:highlight w:val="none"/>
          <w:lang w:val="en-US" w:eastAsia="zh-CN"/>
        </w:rPr>
        <w:t>项目</w:t>
      </w:r>
      <w:r>
        <w:rPr>
          <w:rFonts w:hint="eastAsia" w:ascii="楷体" w:hAnsi="楷体" w:eastAsia="楷体" w:cs="楷体"/>
          <w:b/>
          <w:bCs/>
          <w:szCs w:val="24"/>
          <w:highlight w:val="none"/>
        </w:rPr>
        <w:t>的主要设备表</w:t>
      </w:r>
    </w:p>
    <w:tbl>
      <w:tblPr>
        <w:tblStyle w:val="17"/>
        <w:tblW w:w="89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8"/>
        <w:gridCol w:w="1624"/>
        <w:gridCol w:w="1362"/>
        <w:gridCol w:w="1001"/>
        <w:gridCol w:w="1180"/>
        <w:gridCol w:w="1402"/>
        <w:gridCol w:w="1279"/>
      </w:tblGrid>
      <w:tr w14:paraId="0BD9A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1098" w:type="dxa"/>
            <w:noWrap w:val="0"/>
            <w:vAlign w:val="center"/>
          </w:tcPr>
          <w:p w14:paraId="10DF6E36">
            <w:pPr>
              <w:jc w:val="center"/>
              <w:rPr>
                <w:rFonts w:hint="eastAsia" w:ascii="楷体" w:hAnsi="楷体" w:eastAsia="楷体" w:cs="楷体"/>
                <w:szCs w:val="24"/>
                <w:highlight w:val="none"/>
              </w:rPr>
            </w:pPr>
            <w:r>
              <w:rPr>
                <w:rFonts w:hint="eastAsia" w:ascii="楷体" w:hAnsi="楷体" w:eastAsia="楷体" w:cs="楷体"/>
                <w:szCs w:val="24"/>
                <w:highlight w:val="none"/>
              </w:rPr>
              <w:t>序号</w:t>
            </w:r>
          </w:p>
        </w:tc>
        <w:tc>
          <w:tcPr>
            <w:tcW w:w="1624" w:type="dxa"/>
            <w:noWrap w:val="0"/>
            <w:vAlign w:val="center"/>
          </w:tcPr>
          <w:p w14:paraId="688D1C2F">
            <w:pPr>
              <w:jc w:val="center"/>
              <w:rPr>
                <w:rFonts w:hint="eastAsia" w:ascii="楷体" w:hAnsi="楷体" w:eastAsia="楷体" w:cs="楷体"/>
                <w:szCs w:val="24"/>
                <w:highlight w:val="none"/>
              </w:rPr>
            </w:pPr>
            <w:r>
              <w:rPr>
                <w:rFonts w:hint="eastAsia" w:ascii="楷体" w:hAnsi="楷体" w:eastAsia="楷体" w:cs="楷体"/>
                <w:szCs w:val="24"/>
                <w:highlight w:val="none"/>
              </w:rPr>
              <w:t>仪器设备名称</w:t>
            </w:r>
          </w:p>
        </w:tc>
        <w:tc>
          <w:tcPr>
            <w:tcW w:w="1362" w:type="dxa"/>
            <w:noWrap w:val="0"/>
            <w:vAlign w:val="center"/>
          </w:tcPr>
          <w:p w14:paraId="21F8162E">
            <w:pPr>
              <w:jc w:val="center"/>
              <w:rPr>
                <w:rFonts w:hint="eastAsia" w:ascii="楷体" w:hAnsi="楷体" w:eastAsia="楷体" w:cs="楷体"/>
                <w:szCs w:val="24"/>
                <w:highlight w:val="none"/>
              </w:rPr>
            </w:pPr>
            <w:r>
              <w:rPr>
                <w:rFonts w:hint="eastAsia" w:ascii="楷体" w:hAnsi="楷体" w:eastAsia="楷体" w:cs="楷体"/>
                <w:szCs w:val="24"/>
                <w:highlight w:val="none"/>
              </w:rPr>
              <w:t>型号</w:t>
            </w:r>
          </w:p>
          <w:p w14:paraId="128F842E">
            <w:pPr>
              <w:jc w:val="center"/>
              <w:rPr>
                <w:rFonts w:hint="eastAsia" w:ascii="楷体" w:hAnsi="楷体" w:eastAsia="楷体" w:cs="楷体"/>
                <w:szCs w:val="24"/>
                <w:highlight w:val="none"/>
              </w:rPr>
            </w:pPr>
            <w:r>
              <w:rPr>
                <w:rFonts w:hint="eastAsia" w:ascii="楷体" w:hAnsi="楷体" w:eastAsia="楷体" w:cs="楷体"/>
                <w:szCs w:val="24"/>
                <w:highlight w:val="none"/>
              </w:rPr>
              <w:t>规格</w:t>
            </w:r>
          </w:p>
        </w:tc>
        <w:tc>
          <w:tcPr>
            <w:tcW w:w="1001" w:type="dxa"/>
            <w:noWrap w:val="0"/>
            <w:vAlign w:val="center"/>
          </w:tcPr>
          <w:p w14:paraId="7F8F4858">
            <w:pPr>
              <w:jc w:val="center"/>
              <w:rPr>
                <w:rFonts w:hint="eastAsia" w:ascii="楷体" w:hAnsi="楷体" w:eastAsia="楷体" w:cs="楷体"/>
                <w:szCs w:val="24"/>
                <w:highlight w:val="none"/>
              </w:rPr>
            </w:pPr>
            <w:r>
              <w:rPr>
                <w:rFonts w:hint="eastAsia" w:ascii="楷体" w:hAnsi="楷体" w:eastAsia="楷体" w:cs="楷体"/>
                <w:szCs w:val="24"/>
                <w:highlight w:val="none"/>
              </w:rPr>
              <w:t>数量</w:t>
            </w:r>
          </w:p>
        </w:tc>
        <w:tc>
          <w:tcPr>
            <w:tcW w:w="1180" w:type="dxa"/>
            <w:noWrap w:val="0"/>
            <w:vAlign w:val="center"/>
          </w:tcPr>
          <w:p w14:paraId="4E266AB9">
            <w:pPr>
              <w:jc w:val="center"/>
              <w:rPr>
                <w:rFonts w:hint="eastAsia" w:ascii="楷体" w:hAnsi="楷体" w:eastAsia="楷体" w:cs="楷体"/>
                <w:szCs w:val="24"/>
                <w:highlight w:val="none"/>
              </w:rPr>
            </w:pPr>
            <w:r>
              <w:rPr>
                <w:rFonts w:hint="eastAsia" w:ascii="楷体" w:hAnsi="楷体" w:eastAsia="楷体" w:cs="楷体"/>
                <w:szCs w:val="24"/>
                <w:highlight w:val="none"/>
              </w:rPr>
              <w:t>国别</w:t>
            </w:r>
          </w:p>
          <w:p w14:paraId="2CAC712A">
            <w:pPr>
              <w:jc w:val="center"/>
              <w:rPr>
                <w:rFonts w:hint="eastAsia" w:ascii="楷体" w:hAnsi="楷体" w:eastAsia="楷体" w:cs="楷体"/>
                <w:szCs w:val="24"/>
                <w:highlight w:val="none"/>
              </w:rPr>
            </w:pPr>
            <w:r>
              <w:rPr>
                <w:rFonts w:hint="eastAsia" w:ascii="楷体" w:hAnsi="楷体" w:eastAsia="楷体" w:cs="楷体"/>
                <w:szCs w:val="24"/>
                <w:highlight w:val="none"/>
              </w:rPr>
              <w:t>产地</w:t>
            </w:r>
          </w:p>
        </w:tc>
        <w:tc>
          <w:tcPr>
            <w:tcW w:w="1402" w:type="dxa"/>
            <w:noWrap w:val="0"/>
            <w:vAlign w:val="center"/>
          </w:tcPr>
          <w:p w14:paraId="2FC730AE">
            <w:pPr>
              <w:jc w:val="center"/>
              <w:rPr>
                <w:rFonts w:hint="eastAsia" w:ascii="楷体" w:hAnsi="楷体" w:eastAsia="楷体" w:cs="楷体"/>
                <w:szCs w:val="24"/>
                <w:highlight w:val="none"/>
              </w:rPr>
            </w:pPr>
            <w:r>
              <w:rPr>
                <w:rFonts w:hint="eastAsia" w:ascii="楷体" w:hAnsi="楷体" w:eastAsia="楷体" w:cs="楷体"/>
                <w:szCs w:val="24"/>
                <w:highlight w:val="none"/>
              </w:rPr>
              <w:t>用途</w:t>
            </w:r>
          </w:p>
        </w:tc>
        <w:tc>
          <w:tcPr>
            <w:tcW w:w="1279" w:type="dxa"/>
            <w:noWrap w:val="0"/>
            <w:vAlign w:val="center"/>
          </w:tcPr>
          <w:p w14:paraId="49C339E9">
            <w:pPr>
              <w:jc w:val="center"/>
              <w:rPr>
                <w:rFonts w:hint="eastAsia" w:ascii="楷体" w:hAnsi="楷体" w:eastAsia="楷体" w:cs="楷体"/>
                <w:szCs w:val="24"/>
                <w:highlight w:val="none"/>
              </w:rPr>
            </w:pPr>
            <w:r>
              <w:rPr>
                <w:rFonts w:hint="eastAsia" w:ascii="楷体" w:hAnsi="楷体" w:eastAsia="楷体" w:cs="楷体"/>
                <w:szCs w:val="24"/>
                <w:highlight w:val="none"/>
              </w:rPr>
              <w:t>备注</w:t>
            </w:r>
          </w:p>
        </w:tc>
      </w:tr>
      <w:tr w14:paraId="4F155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98" w:type="dxa"/>
            <w:noWrap w:val="0"/>
            <w:vAlign w:val="center"/>
          </w:tcPr>
          <w:p w14:paraId="0F24ED7C">
            <w:pPr>
              <w:jc w:val="center"/>
              <w:rPr>
                <w:rFonts w:hint="eastAsia" w:ascii="楷体" w:hAnsi="楷体" w:eastAsia="楷体" w:cs="楷体"/>
                <w:szCs w:val="24"/>
                <w:highlight w:val="none"/>
              </w:rPr>
            </w:pPr>
          </w:p>
        </w:tc>
        <w:tc>
          <w:tcPr>
            <w:tcW w:w="1624" w:type="dxa"/>
            <w:noWrap w:val="0"/>
            <w:vAlign w:val="center"/>
          </w:tcPr>
          <w:p w14:paraId="5E826A85">
            <w:pPr>
              <w:jc w:val="center"/>
              <w:rPr>
                <w:rFonts w:hint="eastAsia" w:ascii="楷体" w:hAnsi="楷体" w:eastAsia="楷体" w:cs="楷体"/>
                <w:szCs w:val="24"/>
                <w:highlight w:val="none"/>
              </w:rPr>
            </w:pPr>
          </w:p>
        </w:tc>
        <w:tc>
          <w:tcPr>
            <w:tcW w:w="1362" w:type="dxa"/>
            <w:noWrap w:val="0"/>
            <w:vAlign w:val="center"/>
          </w:tcPr>
          <w:p w14:paraId="513A9AF4">
            <w:pPr>
              <w:jc w:val="center"/>
              <w:rPr>
                <w:rFonts w:hint="eastAsia" w:ascii="楷体" w:hAnsi="楷体" w:eastAsia="楷体" w:cs="楷体"/>
                <w:szCs w:val="24"/>
                <w:highlight w:val="none"/>
              </w:rPr>
            </w:pPr>
          </w:p>
        </w:tc>
        <w:tc>
          <w:tcPr>
            <w:tcW w:w="1001" w:type="dxa"/>
            <w:noWrap w:val="0"/>
            <w:vAlign w:val="center"/>
          </w:tcPr>
          <w:p w14:paraId="4D29D261">
            <w:pPr>
              <w:jc w:val="center"/>
              <w:rPr>
                <w:rFonts w:hint="eastAsia" w:ascii="楷体" w:hAnsi="楷体" w:eastAsia="楷体" w:cs="楷体"/>
                <w:szCs w:val="24"/>
                <w:highlight w:val="none"/>
              </w:rPr>
            </w:pPr>
          </w:p>
        </w:tc>
        <w:tc>
          <w:tcPr>
            <w:tcW w:w="1180" w:type="dxa"/>
            <w:noWrap w:val="0"/>
            <w:vAlign w:val="center"/>
          </w:tcPr>
          <w:p w14:paraId="01876B24">
            <w:pPr>
              <w:jc w:val="center"/>
              <w:rPr>
                <w:rFonts w:hint="eastAsia" w:ascii="楷体" w:hAnsi="楷体" w:eastAsia="楷体" w:cs="楷体"/>
                <w:szCs w:val="24"/>
                <w:highlight w:val="none"/>
              </w:rPr>
            </w:pPr>
          </w:p>
        </w:tc>
        <w:tc>
          <w:tcPr>
            <w:tcW w:w="1402" w:type="dxa"/>
            <w:noWrap w:val="0"/>
            <w:vAlign w:val="center"/>
          </w:tcPr>
          <w:p w14:paraId="70BA1524">
            <w:pPr>
              <w:jc w:val="center"/>
              <w:rPr>
                <w:rFonts w:hint="eastAsia" w:ascii="楷体" w:hAnsi="楷体" w:eastAsia="楷体" w:cs="楷体"/>
                <w:szCs w:val="24"/>
                <w:highlight w:val="none"/>
              </w:rPr>
            </w:pPr>
          </w:p>
        </w:tc>
        <w:tc>
          <w:tcPr>
            <w:tcW w:w="1279" w:type="dxa"/>
            <w:noWrap w:val="0"/>
            <w:vAlign w:val="center"/>
          </w:tcPr>
          <w:p w14:paraId="399B3CA1">
            <w:pPr>
              <w:jc w:val="center"/>
              <w:rPr>
                <w:rFonts w:hint="eastAsia" w:ascii="楷体" w:hAnsi="楷体" w:eastAsia="楷体" w:cs="楷体"/>
                <w:szCs w:val="24"/>
                <w:highlight w:val="none"/>
              </w:rPr>
            </w:pPr>
          </w:p>
        </w:tc>
      </w:tr>
      <w:tr w14:paraId="1D1C1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98" w:type="dxa"/>
            <w:noWrap w:val="0"/>
            <w:vAlign w:val="center"/>
          </w:tcPr>
          <w:p w14:paraId="71FB8E81">
            <w:pPr>
              <w:jc w:val="center"/>
              <w:rPr>
                <w:rFonts w:hint="eastAsia" w:ascii="楷体" w:hAnsi="楷体" w:eastAsia="楷体" w:cs="楷体"/>
                <w:highlight w:val="none"/>
              </w:rPr>
            </w:pPr>
          </w:p>
        </w:tc>
        <w:tc>
          <w:tcPr>
            <w:tcW w:w="1624" w:type="dxa"/>
            <w:noWrap w:val="0"/>
            <w:vAlign w:val="center"/>
          </w:tcPr>
          <w:p w14:paraId="32BACBC6">
            <w:pPr>
              <w:jc w:val="center"/>
              <w:rPr>
                <w:rFonts w:hint="eastAsia" w:ascii="楷体" w:hAnsi="楷体" w:eastAsia="楷体" w:cs="楷体"/>
                <w:highlight w:val="none"/>
              </w:rPr>
            </w:pPr>
          </w:p>
        </w:tc>
        <w:tc>
          <w:tcPr>
            <w:tcW w:w="1362" w:type="dxa"/>
            <w:noWrap w:val="0"/>
            <w:vAlign w:val="center"/>
          </w:tcPr>
          <w:p w14:paraId="249F620C">
            <w:pPr>
              <w:jc w:val="center"/>
              <w:rPr>
                <w:rFonts w:hint="eastAsia" w:ascii="楷体" w:hAnsi="楷体" w:eastAsia="楷体" w:cs="楷体"/>
                <w:highlight w:val="none"/>
              </w:rPr>
            </w:pPr>
          </w:p>
        </w:tc>
        <w:tc>
          <w:tcPr>
            <w:tcW w:w="1001" w:type="dxa"/>
            <w:noWrap w:val="0"/>
            <w:vAlign w:val="center"/>
          </w:tcPr>
          <w:p w14:paraId="414FE8F1">
            <w:pPr>
              <w:jc w:val="center"/>
              <w:rPr>
                <w:rFonts w:hint="eastAsia" w:ascii="楷体" w:hAnsi="楷体" w:eastAsia="楷体" w:cs="楷体"/>
                <w:highlight w:val="none"/>
              </w:rPr>
            </w:pPr>
          </w:p>
        </w:tc>
        <w:tc>
          <w:tcPr>
            <w:tcW w:w="1180" w:type="dxa"/>
            <w:noWrap w:val="0"/>
            <w:vAlign w:val="center"/>
          </w:tcPr>
          <w:p w14:paraId="7C909DB2">
            <w:pPr>
              <w:jc w:val="center"/>
              <w:rPr>
                <w:rFonts w:hint="eastAsia" w:ascii="楷体" w:hAnsi="楷体" w:eastAsia="楷体" w:cs="楷体"/>
                <w:highlight w:val="none"/>
              </w:rPr>
            </w:pPr>
          </w:p>
        </w:tc>
        <w:tc>
          <w:tcPr>
            <w:tcW w:w="1402" w:type="dxa"/>
            <w:noWrap w:val="0"/>
            <w:vAlign w:val="center"/>
          </w:tcPr>
          <w:p w14:paraId="24F7CF52">
            <w:pPr>
              <w:jc w:val="center"/>
              <w:rPr>
                <w:rFonts w:hint="eastAsia" w:ascii="楷体" w:hAnsi="楷体" w:eastAsia="楷体" w:cs="楷体"/>
                <w:highlight w:val="none"/>
              </w:rPr>
            </w:pPr>
          </w:p>
        </w:tc>
        <w:tc>
          <w:tcPr>
            <w:tcW w:w="1279" w:type="dxa"/>
            <w:noWrap w:val="0"/>
            <w:vAlign w:val="center"/>
          </w:tcPr>
          <w:p w14:paraId="787AB023">
            <w:pPr>
              <w:jc w:val="center"/>
              <w:rPr>
                <w:rFonts w:hint="eastAsia" w:ascii="楷体" w:hAnsi="楷体" w:eastAsia="楷体" w:cs="楷体"/>
                <w:highlight w:val="none"/>
              </w:rPr>
            </w:pPr>
          </w:p>
        </w:tc>
      </w:tr>
      <w:tr w14:paraId="6DAB2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98" w:type="dxa"/>
            <w:noWrap w:val="0"/>
            <w:vAlign w:val="center"/>
          </w:tcPr>
          <w:p w14:paraId="03396E6D">
            <w:pPr>
              <w:jc w:val="center"/>
              <w:rPr>
                <w:rFonts w:hint="eastAsia" w:ascii="楷体" w:hAnsi="楷体" w:eastAsia="楷体" w:cs="楷体"/>
                <w:highlight w:val="none"/>
              </w:rPr>
            </w:pPr>
          </w:p>
        </w:tc>
        <w:tc>
          <w:tcPr>
            <w:tcW w:w="1624" w:type="dxa"/>
            <w:noWrap w:val="0"/>
            <w:vAlign w:val="center"/>
          </w:tcPr>
          <w:p w14:paraId="43712ADE">
            <w:pPr>
              <w:jc w:val="center"/>
              <w:rPr>
                <w:rFonts w:hint="eastAsia" w:ascii="楷体" w:hAnsi="楷体" w:eastAsia="楷体" w:cs="楷体"/>
                <w:highlight w:val="none"/>
              </w:rPr>
            </w:pPr>
          </w:p>
        </w:tc>
        <w:tc>
          <w:tcPr>
            <w:tcW w:w="1362" w:type="dxa"/>
            <w:noWrap w:val="0"/>
            <w:vAlign w:val="center"/>
          </w:tcPr>
          <w:p w14:paraId="02E4BD77">
            <w:pPr>
              <w:jc w:val="center"/>
              <w:rPr>
                <w:rFonts w:hint="eastAsia" w:ascii="楷体" w:hAnsi="楷体" w:eastAsia="楷体" w:cs="楷体"/>
                <w:highlight w:val="none"/>
              </w:rPr>
            </w:pPr>
          </w:p>
        </w:tc>
        <w:tc>
          <w:tcPr>
            <w:tcW w:w="1001" w:type="dxa"/>
            <w:noWrap w:val="0"/>
            <w:vAlign w:val="center"/>
          </w:tcPr>
          <w:p w14:paraId="403BAD01">
            <w:pPr>
              <w:jc w:val="center"/>
              <w:rPr>
                <w:rFonts w:hint="eastAsia" w:ascii="楷体" w:hAnsi="楷体" w:eastAsia="楷体" w:cs="楷体"/>
                <w:highlight w:val="none"/>
              </w:rPr>
            </w:pPr>
          </w:p>
        </w:tc>
        <w:tc>
          <w:tcPr>
            <w:tcW w:w="1180" w:type="dxa"/>
            <w:noWrap w:val="0"/>
            <w:vAlign w:val="center"/>
          </w:tcPr>
          <w:p w14:paraId="11F3602E">
            <w:pPr>
              <w:jc w:val="center"/>
              <w:rPr>
                <w:rFonts w:hint="eastAsia" w:ascii="楷体" w:hAnsi="楷体" w:eastAsia="楷体" w:cs="楷体"/>
                <w:highlight w:val="none"/>
              </w:rPr>
            </w:pPr>
          </w:p>
        </w:tc>
        <w:tc>
          <w:tcPr>
            <w:tcW w:w="1402" w:type="dxa"/>
            <w:noWrap w:val="0"/>
            <w:vAlign w:val="center"/>
          </w:tcPr>
          <w:p w14:paraId="294941BA">
            <w:pPr>
              <w:jc w:val="center"/>
              <w:rPr>
                <w:rFonts w:hint="eastAsia" w:ascii="楷体" w:hAnsi="楷体" w:eastAsia="楷体" w:cs="楷体"/>
                <w:highlight w:val="none"/>
              </w:rPr>
            </w:pPr>
          </w:p>
        </w:tc>
        <w:tc>
          <w:tcPr>
            <w:tcW w:w="1279" w:type="dxa"/>
            <w:noWrap w:val="0"/>
            <w:vAlign w:val="center"/>
          </w:tcPr>
          <w:p w14:paraId="2B15A9AD">
            <w:pPr>
              <w:jc w:val="center"/>
              <w:rPr>
                <w:rFonts w:hint="eastAsia" w:ascii="楷体" w:hAnsi="楷体" w:eastAsia="楷体" w:cs="楷体"/>
                <w:highlight w:val="none"/>
              </w:rPr>
            </w:pPr>
          </w:p>
        </w:tc>
      </w:tr>
      <w:tr w14:paraId="11BA6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98" w:type="dxa"/>
            <w:noWrap w:val="0"/>
            <w:vAlign w:val="center"/>
          </w:tcPr>
          <w:p w14:paraId="78597404">
            <w:pPr>
              <w:jc w:val="center"/>
              <w:rPr>
                <w:rFonts w:hint="eastAsia" w:ascii="楷体" w:hAnsi="楷体" w:eastAsia="楷体" w:cs="楷体"/>
                <w:highlight w:val="none"/>
              </w:rPr>
            </w:pPr>
          </w:p>
        </w:tc>
        <w:tc>
          <w:tcPr>
            <w:tcW w:w="1624" w:type="dxa"/>
            <w:noWrap w:val="0"/>
            <w:vAlign w:val="center"/>
          </w:tcPr>
          <w:p w14:paraId="62D351F0">
            <w:pPr>
              <w:jc w:val="center"/>
              <w:rPr>
                <w:rFonts w:hint="eastAsia" w:ascii="楷体" w:hAnsi="楷体" w:eastAsia="楷体" w:cs="楷体"/>
                <w:highlight w:val="none"/>
              </w:rPr>
            </w:pPr>
          </w:p>
        </w:tc>
        <w:tc>
          <w:tcPr>
            <w:tcW w:w="1362" w:type="dxa"/>
            <w:noWrap w:val="0"/>
            <w:vAlign w:val="center"/>
          </w:tcPr>
          <w:p w14:paraId="7B8D87CE">
            <w:pPr>
              <w:jc w:val="center"/>
              <w:rPr>
                <w:rFonts w:hint="eastAsia" w:ascii="楷体" w:hAnsi="楷体" w:eastAsia="楷体" w:cs="楷体"/>
                <w:highlight w:val="none"/>
              </w:rPr>
            </w:pPr>
          </w:p>
        </w:tc>
        <w:tc>
          <w:tcPr>
            <w:tcW w:w="1001" w:type="dxa"/>
            <w:noWrap w:val="0"/>
            <w:vAlign w:val="center"/>
          </w:tcPr>
          <w:p w14:paraId="2B765E02">
            <w:pPr>
              <w:jc w:val="center"/>
              <w:rPr>
                <w:rFonts w:hint="eastAsia" w:ascii="楷体" w:hAnsi="楷体" w:eastAsia="楷体" w:cs="楷体"/>
                <w:highlight w:val="none"/>
              </w:rPr>
            </w:pPr>
          </w:p>
        </w:tc>
        <w:tc>
          <w:tcPr>
            <w:tcW w:w="1180" w:type="dxa"/>
            <w:noWrap w:val="0"/>
            <w:vAlign w:val="center"/>
          </w:tcPr>
          <w:p w14:paraId="456A9C7A">
            <w:pPr>
              <w:jc w:val="center"/>
              <w:rPr>
                <w:rFonts w:hint="eastAsia" w:ascii="楷体" w:hAnsi="楷体" w:eastAsia="楷体" w:cs="楷体"/>
                <w:highlight w:val="none"/>
              </w:rPr>
            </w:pPr>
          </w:p>
        </w:tc>
        <w:tc>
          <w:tcPr>
            <w:tcW w:w="1402" w:type="dxa"/>
            <w:noWrap w:val="0"/>
            <w:vAlign w:val="center"/>
          </w:tcPr>
          <w:p w14:paraId="21E5F48A">
            <w:pPr>
              <w:jc w:val="center"/>
              <w:rPr>
                <w:rFonts w:hint="eastAsia" w:ascii="楷体" w:hAnsi="楷体" w:eastAsia="楷体" w:cs="楷体"/>
                <w:highlight w:val="none"/>
              </w:rPr>
            </w:pPr>
          </w:p>
        </w:tc>
        <w:tc>
          <w:tcPr>
            <w:tcW w:w="1279" w:type="dxa"/>
            <w:noWrap w:val="0"/>
            <w:vAlign w:val="center"/>
          </w:tcPr>
          <w:p w14:paraId="6D1CD942">
            <w:pPr>
              <w:jc w:val="center"/>
              <w:rPr>
                <w:rFonts w:hint="eastAsia" w:ascii="楷体" w:hAnsi="楷体" w:eastAsia="楷体" w:cs="楷体"/>
                <w:highlight w:val="none"/>
              </w:rPr>
            </w:pPr>
          </w:p>
        </w:tc>
      </w:tr>
      <w:tr w14:paraId="2BD7B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98" w:type="dxa"/>
            <w:noWrap w:val="0"/>
            <w:vAlign w:val="center"/>
          </w:tcPr>
          <w:p w14:paraId="09D0E4E9">
            <w:pPr>
              <w:jc w:val="center"/>
              <w:rPr>
                <w:rFonts w:hint="eastAsia" w:ascii="楷体" w:hAnsi="楷体" w:eastAsia="楷体" w:cs="楷体"/>
                <w:highlight w:val="none"/>
              </w:rPr>
            </w:pPr>
          </w:p>
        </w:tc>
        <w:tc>
          <w:tcPr>
            <w:tcW w:w="1624" w:type="dxa"/>
            <w:noWrap w:val="0"/>
            <w:vAlign w:val="center"/>
          </w:tcPr>
          <w:p w14:paraId="00AEFE0D">
            <w:pPr>
              <w:jc w:val="center"/>
              <w:rPr>
                <w:rFonts w:hint="eastAsia" w:ascii="楷体" w:hAnsi="楷体" w:eastAsia="楷体" w:cs="楷体"/>
                <w:highlight w:val="none"/>
              </w:rPr>
            </w:pPr>
          </w:p>
        </w:tc>
        <w:tc>
          <w:tcPr>
            <w:tcW w:w="1362" w:type="dxa"/>
            <w:noWrap w:val="0"/>
            <w:vAlign w:val="center"/>
          </w:tcPr>
          <w:p w14:paraId="1F4537B6">
            <w:pPr>
              <w:jc w:val="center"/>
              <w:rPr>
                <w:rFonts w:hint="eastAsia" w:ascii="楷体" w:hAnsi="楷体" w:eastAsia="楷体" w:cs="楷体"/>
                <w:highlight w:val="none"/>
              </w:rPr>
            </w:pPr>
          </w:p>
        </w:tc>
        <w:tc>
          <w:tcPr>
            <w:tcW w:w="1001" w:type="dxa"/>
            <w:noWrap w:val="0"/>
            <w:vAlign w:val="center"/>
          </w:tcPr>
          <w:p w14:paraId="0F72E830">
            <w:pPr>
              <w:jc w:val="center"/>
              <w:rPr>
                <w:rFonts w:hint="eastAsia" w:ascii="楷体" w:hAnsi="楷体" w:eastAsia="楷体" w:cs="楷体"/>
                <w:highlight w:val="none"/>
              </w:rPr>
            </w:pPr>
          </w:p>
        </w:tc>
        <w:tc>
          <w:tcPr>
            <w:tcW w:w="1180" w:type="dxa"/>
            <w:noWrap w:val="0"/>
            <w:vAlign w:val="center"/>
          </w:tcPr>
          <w:p w14:paraId="26002325">
            <w:pPr>
              <w:jc w:val="center"/>
              <w:rPr>
                <w:rFonts w:hint="eastAsia" w:ascii="楷体" w:hAnsi="楷体" w:eastAsia="楷体" w:cs="楷体"/>
                <w:highlight w:val="none"/>
              </w:rPr>
            </w:pPr>
          </w:p>
        </w:tc>
        <w:tc>
          <w:tcPr>
            <w:tcW w:w="1402" w:type="dxa"/>
            <w:noWrap w:val="0"/>
            <w:vAlign w:val="center"/>
          </w:tcPr>
          <w:p w14:paraId="4AFC0711">
            <w:pPr>
              <w:jc w:val="center"/>
              <w:rPr>
                <w:rFonts w:hint="eastAsia" w:ascii="楷体" w:hAnsi="楷体" w:eastAsia="楷体" w:cs="楷体"/>
                <w:highlight w:val="none"/>
              </w:rPr>
            </w:pPr>
          </w:p>
        </w:tc>
        <w:tc>
          <w:tcPr>
            <w:tcW w:w="1279" w:type="dxa"/>
            <w:noWrap w:val="0"/>
            <w:vAlign w:val="center"/>
          </w:tcPr>
          <w:p w14:paraId="6716BF1A">
            <w:pPr>
              <w:jc w:val="center"/>
              <w:rPr>
                <w:rFonts w:hint="eastAsia" w:ascii="楷体" w:hAnsi="楷体" w:eastAsia="楷体" w:cs="楷体"/>
                <w:highlight w:val="none"/>
              </w:rPr>
            </w:pPr>
          </w:p>
        </w:tc>
      </w:tr>
      <w:tr w14:paraId="55B30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98" w:type="dxa"/>
            <w:noWrap w:val="0"/>
            <w:vAlign w:val="center"/>
          </w:tcPr>
          <w:p w14:paraId="65912290">
            <w:pPr>
              <w:jc w:val="center"/>
              <w:rPr>
                <w:rFonts w:hint="eastAsia" w:ascii="楷体" w:hAnsi="楷体" w:eastAsia="楷体" w:cs="楷体"/>
                <w:highlight w:val="none"/>
              </w:rPr>
            </w:pPr>
          </w:p>
        </w:tc>
        <w:tc>
          <w:tcPr>
            <w:tcW w:w="1624" w:type="dxa"/>
            <w:noWrap w:val="0"/>
            <w:vAlign w:val="center"/>
          </w:tcPr>
          <w:p w14:paraId="7A64068C">
            <w:pPr>
              <w:jc w:val="center"/>
              <w:rPr>
                <w:rFonts w:hint="eastAsia" w:ascii="楷体" w:hAnsi="楷体" w:eastAsia="楷体" w:cs="楷体"/>
                <w:highlight w:val="none"/>
              </w:rPr>
            </w:pPr>
          </w:p>
        </w:tc>
        <w:tc>
          <w:tcPr>
            <w:tcW w:w="1362" w:type="dxa"/>
            <w:noWrap w:val="0"/>
            <w:vAlign w:val="center"/>
          </w:tcPr>
          <w:p w14:paraId="3642D09B">
            <w:pPr>
              <w:jc w:val="center"/>
              <w:rPr>
                <w:rFonts w:hint="eastAsia" w:ascii="楷体" w:hAnsi="楷体" w:eastAsia="楷体" w:cs="楷体"/>
                <w:highlight w:val="none"/>
              </w:rPr>
            </w:pPr>
          </w:p>
        </w:tc>
        <w:tc>
          <w:tcPr>
            <w:tcW w:w="1001" w:type="dxa"/>
            <w:noWrap w:val="0"/>
            <w:vAlign w:val="center"/>
          </w:tcPr>
          <w:p w14:paraId="596953C9">
            <w:pPr>
              <w:jc w:val="center"/>
              <w:rPr>
                <w:rFonts w:hint="eastAsia" w:ascii="楷体" w:hAnsi="楷体" w:eastAsia="楷体" w:cs="楷体"/>
                <w:highlight w:val="none"/>
              </w:rPr>
            </w:pPr>
          </w:p>
        </w:tc>
        <w:tc>
          <w:tcPr>
            <w:tcW w:w="1180" w:type="dxa"/>
            <w:noWrap w:val="0"/>
            <w:vAlign w:val="center"/>
          </w:tcPr>
          <w:p w14:paraId="7D03A2B0">
            <w:pPr>
              <w:jc w:val="center"/>
              <w:rPr>
                <w:rFonts w:hint="eastAsia" w:ascii="楷体" w:hAnsi="楷体" w:eastAsia="楷体" w:cs="楷体"/>
                <w:highlight w:val="none"/>
              </w:rPr>
            </w:pPr>
          </w:p>
        </w:tc>
        <w:tc>
          <w:tcPr>
            <w:tcW w:w="1402" w:type="dxa"/>
            <w:noWrap w:val="0"/>
            <w:vAlign w:val="center"/>
          </w:tcPr>
          <w:p w14:paraId="0BCF5DCD">
            <w:pPr>
              <w:jc w:val="center"/>
              <w:rPr>
                <w:rFonts w:hint="eastAsia" w:ascii="楷体" w:hAnsi="楷体" w:eastAsia="楷体" w:cs="楷体"/>
                <w:highlight w:val="none"/>
              </w:rPr>
            </w:pPr>
          </w:p>
        </w:tc>
        <w:tc>
          <w:tcPr>
            <w:tcW w:w="1279" w:type="dxa"/>
            <w:noWrap w:val="0"/>
            <w:vAlign w:val="center"/>
          </w:tcPr>
          <w:p w14:paraId="2EFF17BE">
            <w:pPr>
              <w:jc w:val="center"/>
              <w:rPr>
                <w:rFonts w:hint="eastAsia" w:ascii="楷体" w:hAnsi="楷体" w:eastAsia="楷体" w:cs="楷体"/>
                <w:highlight w:val="none"/>
              </w:rPr>
            </w:pPr>
          </w:p>
        </w:tc>
      </w:tr>
      <w:tr w14:paraId="11FB0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98" w:type="dxa"/>
            <w:noWrap w:val="0"/>
            <w:vAlign w:val="center"/>
          </w:tcPr>
          <w:p w14:paraId="1A8E3743">
            <w:pPr>
              <w:jc w:val="center"/>
              <w:rPr>
                <w:rFonts w:hint="eastAsia" w:ascii="楷体" w:hAnsi="楷体" w:eastAsia="楷体" w:cs="楷体"/>
                <w:highlight w:val="none"/>
              </w:rPr>
            </w:pPr>
          </w:p>
        </w:tc>
        <w:tc>
          <w:tcPr>
            <w:tcW w:w="1624" w:type="dxa"/>
            <w:noWrap w:val="0"/>
            <w:vAlign w:val="center"/>
          </w:tcPr>
          <w:p w14:paraId="5BD61B02">
            <w:pPr>
              <w:jc w:val="center"/>
              <w:rPr>
                <w:rFonts w:hint="eastAsia" w:ascii="楷体" w:hAnsi="楷体" w:eastAsia="楷体" w:cs="楷体"/>
                <w:highlight w:val="none"/>
              </w:rPr>
            </w:pPr>
          </w:p>
        </w:tc>
        <w:tc>
          <w:tcPr>
            <w:tcW w:w="1362" w:type="dxa"/>
            <w:noWrap w:val="0"/>
            <w:vAlign w:val="center"/>
          </w:tcPr>
          <w:p w14:paraId="7FCF6BBF">
            <w:pPr>
              <w:jc w:val="center"/>
              <w:rPr>
                <w:rFonts w:hint="eastAsia" w:ascii="楷体" w:hAnsi="楷体" w:eastAsia="楷体" w:cs="楷体"/>
                <w:highlight w:val="none"/>
              </w:rPr>
            </w:pPr>
          </w:p>
        </w:tc>
        <w:tc>
          <w:tcPr>
            <w:tcW w:w="1001" w:type="dxa"/>
            <w:noWrap w:val="0"/>
            <w:vAlign w:val="center"/>
          </w:tcPr>
          <w:p w14:paraId="2244D94D">
            <w:pPr>
              <w:jc w:val="center"/>
              <w:rPr>
                <w:rFonts w:hint="eastAsia" w:ascii="楷体" w:hAnsi="楷体" w:eastAsia="楷体" w:cs="楷体"/>
                <w:highlight w:val="none"/>
              </w:rPr>
            </w:pPr>
          </w:p>
        </w:tc>
        <w:tc>
          <w:tcPr>
            <w:tcW w:w="1180" w:type="dxa"/>
            <w:noWrap w:val="0"/>
            <w:vAlign w:val="center"/>
          </w:tcPr>
          <w:p w14:paraId="568D7029">
            <w:pPr>
              <w:jc w:val="center"/>
              <w:rPr>
                <w:rFonts w:hint="eastAsia" w:ascii="楷体" w:hAnsi="楷体" w:eastAsia="楷体" w:cs="楷体"/>
                <w:highlight w:val="none"/>
              </w:rPr>
            </w:pPr>
          </w:p>
        </w:tc>
        <w:tc>
          <w:tcPr>
            <w:tcW w:w="1402" w:type="dxa"/>
            <w:noWrap w:val="0"/>
            <w:vAlign w:val="center"/>
          </w:tcPr>
          <w:p w14:paraId="2E8B681E">
            <w:pPr>
              <w:jc w:val="center"/>
              <w:rPr>
                <w:rFonts w:hint="eastAsia" w:ascii="楷体" w:hAnsi="楷体" w:eastAsia="楷体" w:cs="楷体"/>
                <w:highlight w:val="none"/>
              </w:rPr>
            </w:pPr>
          </w:p>
        </w:tc>
        <w:tc>
          <w:tcPr>
            <w:tcW w:w="1279" w:type="dxa"/>
            <w:noWrap w:val="0"/>
            <w:vAlign w:val="center"/>
          </w:tcPr>
          <w:p w14:paraId="783C2120">
            <w:pPr>
              <w:jc w:val="center"/>
              <w:rPr>
                <w:rFonts w:hint="eastAsia" w:ascii="楷体" w:hAnsi="楷体" w:eastAsia="楷体" w:cs="楷体"/>
                <w:highlight w:val="none"/>
              </w:rPr>
            </w:pPr>
          </w:p>
        </w:tc>
      </w:tr>
      <w:tr w14:paraId="397A3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98" w:type="dxa"/>
            <w:noWrap w:val="0"/>
            <w:vAlign w:val="center"/>
          </w:tcPr>
          <w:p w14:paraId="643F95ED">
            <w:pPr>
              <w:jc w:val="center"/>
              <w:rPr>
                <w:rFonts w:hint="eastAsia" w:ascii="楷体" w:hAnsi="楷体" w:eastAsia="楷体" w:cs="楷体"/>
                <w:highlight w:val="none"/>
              </w:rPr>
            </w:pPr>
          </w:p>
        </w:tc>
        <w:tc>
          <w:tcPr>
            <w:tcW w:w="1624" w:type="dxa"/>
            <w:noWrap w:val="0"/>
            <w:vAlign w:val="center"/>
          </w:tcPr>
          <w:p w14:paraId="336EAAD0">
            <w:pPr>
              <w:jc w:val="center"/>
              <w:rPr>
                <w:rFonts w:hint="eastAsia" w:ascii="楷体" w:hAnsi="楷体" w:eastAsia="楷体" w:cs="楷体"/>
                <w:highlight w:val="none"/>
              </w:rPr>
            </w:pPr>
          </w:p>
        </w:tc>
        <w:tc>
          <w:tcPr>
            <w:tcW w:w="1362" w:type="dxa"/>
            <w:noWrap w:val="0"/>
            <w:vAlign w:val="center"/>
          </w:tcPr>
          <w:p w14:paraId="19539C7D">
            <w:pPr>
              <w:jc w:val="center"/>
              <w:rPr>
                <w:rFonts w:hint="eastAsia" w:ascii="楷体" w:hAnsi="楷体" w:eastAsia="楷体" w:cs="楷体"/>
                <w:highlight w:val="none"/>
              </w:rPr>
            </w:pPr>
          </w:p>
        </w:tc>
        <w:tc>
          <w:tcPr>
            <w:tcW w:w="1001" w:type="dxa"/>
            <w:noWrap w:val="0"/>
            <w:vAlign w:val="center"/>
          </w:tcPr>
          <w:p w14:paraId="0A99C0E3">
            <w:pPr>
              <w:jc w:val="center"/>
              <w:rPr>
                <w:rFonts w:hint="eastAsia" w:ascii="楷体" w:hAnsi="楷体" w:eastAsia="楷体" w:cs="楷体"/>
                <w:highlight w:val="none"/>
              </w:rPr>
            </w:pPr>
          </w:p>
        </w:tc>
        <w:tc>
          <w:tcPr>
            <w:tcW w:w="1180" w:type="dxa"/>
            <w:noWrap w:val="0"/>
            <w:vAlign w:val="center"/>
          </w:tcPr>
          <w:p w14:paraId="6668477B">
            <w:pPr>
              <w:jc w:val="center"/>
              <w:rPr>
                <w:rFonts w:hint="eastAsia" w:ascii="楷体" w:hAnsi="楷体" w:eastAsia="楷体" w:cs="楷体"/>
                <w:highlight w:val="none"/>
              </w:rPr>
            </w:pPr>
          </w:p>
        </w:tc>
        <w:tc>
          <w:tcPr>
            <w:tcW w:w="1402" w:type="dxa"/>
            <w:noWrap w:val="0"/>
            <w:vAlign w:val="center"/>
          </w:tcPr>
          <w:p w14:paraId="4110E233">
            <w:pPr>
              <w:jc w:val="center"/>
              <w:rPr>
                <w:rFonts w:hint="eastAsia" w:ascii="楷体" w:hAnsi="楷体" w:eastAsia="楷体" w:cs="楷体"/>
                <w:highlight w:val="none"/>
              </w:rPr>
            </w:pPr>
          </w:p>
        </w:tc>
        <w:tc>
          <w:tcPr>
            <w:tcW w:w="1279" w:type="dxa"/>
            <w:noWrap w:val="0"/>
            <w:vAlign w:val="center"/>
          </w:tcPr>
          <w:p w14:paraId="6C6CC735">
            <w:pPr>
              <w:jc w:val="center"/>
              <w:rPr>
                <w:rFonts w:hint="eastAsia" w:ascii="楷体" w:hAnsi="楷体" w:eastAsia="楷体" w:cs="楷体"/>
                <w:highlight w:val="none"/>
              </w:rPr>
            </w:pPr>
          </w:p>
        </w:tc>
      </w:tr>
      <w:tr w14:paraId="01038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98" w:type="dxa"/>
            <w:noWrap w:val="0"/>
            <w:vAlign w:val="center"/>
          </w:tcPr>
          <w:p w14:paraId="6BEC071D">
            <w:pPr>
              <w:jc w:val="center"/>
              <w:rPr>
                <w:rFonts w:hint="eastAsia" w:ascii="楷体" w:hAnsi="楷体" w:eastAsia="楷体" w:cs="楷体"/>
                <w:highlight w:val="none"/>
              </w:rPr>
            </w:pPr>
          </w:p>
        </w:tc>
        <w:tc>
          <w:tcPr>
            <w:tcW w:w="1624" w:type="dxa"/>
            <w:noWrap w:val="0"/>
            <w:vAlign w:val="center"/>
          </w:tcPr>
          <w:p w14:paraId="5EEEEA22">
            <w:pPr>
              <w:jc w:val="center"/>
              <w:rPr>
                <w:rFonts w:hint="eastAsia" w:ascii="楷体" w:hAnsi="楷体" w:eastAsia="楷体" w:cs="楷体"/>
                <w:highlight w:val="none"/>
              </w:rPr>
            </w:pPr>
          </w:p>
        </w:tc>
        <w:tc>
          <w:tcPr>
            <w:tcW w:w="1362" w:type="dxa"/>
            <w:noWrap w:val="0"/>
            <w:vAlign w:val="center"/>
          </w:tcPr>
          <w:p w14:paraId="20316D62">
            <w:pPr>
              <w:jc w:val="center"/>
              <w:rPr>
                <w:rFonts w:hint="eastAsia" w:ascii="楷体" w:hAnsi="楷体" w:eastAsia="楷体" w:cs="楷体"/>
                <w:highlight w:val="none"/>
              </w:rPr>
            </w:pPr>
          </w:p>
        </w:tc>
        <w:tc>
          <w:tcPr>
            <w:tcW w:w="1001" w:type="dxa"/>
            <w:noWrap w:val="0"/>
            <w:vAlign w:val="center"/>
          </w:tcPr>
          <w:p w14:paraId="2F84D1BF">
            <w:pPr>
              <w:jc w:val="center"/>
              <w:rPr>
                <w:rFonts w:hint="eastAsia" w:ascii="楷体" w:hAnsi="楷体" w:eastAsia="楷体" w:cs="楷体"/>
                <w:highlight w:val="none"/>
              </w:rPr>
            </w:pPr>
          </w:p>
        </w:tc>
        <w:tc>
          <w:tcPr>
            <w:tcW w:w="1180" w:type="dxa"/>
            <w:noWrap w:val="0"/>
            <w:vAlign w:val="center"/>
          </w:tcPr>
          <w:p w14:paraId="3855D208">
            <w:pPr>
              <w:jc w:val="center"/>
              <w:rPr>
                <w:rFonts w:hint="eastAsia" w:ascii="楷体" w:hAnsi="楷体" w:eastAsia="楷体" w:cs="楷体"/>
                <w:highlight w:val="none"/>
              </w:rPr>
            </w:pPr>
          </w:p>
        </w:tc>
        <w:tc>
          <w:tcPr>
            <w:tcW w:w="1402" w:type="dxa"/>
            <w:noWrap w:val="0"/>
            <w:vAlign w:val="center"/>
          </w:tcPr>
          <w:p w14:paraId="1BF22876">
            <w:pPr>
              <w:jc w:val="center"/>
              <w:rPr>
                <w:rFonts w:hint="eastAsia" w:ascii="楷体" w:hAnsi="楷体" w:eastAsia="楷体" w:cs="楷体"/>
                <w:highlight w:val="none"/>
              </w:rPr>
            </w:pPr>
          </w:p>
        </w:tc>
        <w:tc>
          <w:tcPr>
            <w:tcW w:w="1279" w:type="dxa"/>
            <w:noWrap w:val="0"/>
            <w:vAlign w:val="center"/>
          </w:tcPr>
          <w:p w14:paraId="6B6E781F">
            <w:pPr>
              <w:jc w:val="center"/>
              <w:rPr>
                <w:rFonts w:hint="eastAsia" w:ascii="楷体" w:hAnsi="楷体" w:eastAsia="楷体" w:cs="楷体"/>
                <w:highlight w:val="none"/>
              </w:rPr>
            </w:pPr>
          </w:p>
        </w:tc>
      </w:tr>
      <w:tr w14:paraId="1DDB3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98" w:type="dxa"/>
            <w:noWrap w:val="0"/>
            <w:vAlign w:val="center"/>
          </w:tcPr>
          <w:p w14:paraId="69AA4AE3">
            <w:pPr>
              <w:jc w:val="center"/>
              <w:rPr>
                <w:rFonts w:hint="eastAsia" w:ascii="楷体" w:hAnsi="楷体" w:eastAsia="楷体" w:cs="楷体"/>
                <w:highlight w:val="none"/>
              </w:rPr>
            </w:pPr>
          </w:p>
        </w:tc>
        <w:tc>
          <w:tcPr>
            <w:tcW w:w="1624" w:type="dxa"/>
            <w:noWrap w:val="0"/>
            <w:vAlign w:val="center"/>
          </w:tcPr>
          <w:p w14:paraId="08B11F09">
            <w:pPr>
              <w:jc w:val="center"/>
              <w:rPr>
                <w:rFonts w:hint="eastAsia" w:ascii="楷体" w:hAnsi="楷体" w:eastAsia="楷体" w:cs="楷体"/>
                <w:highlight w:val="none"/>
              </w:rPr>
            </w:pPr>
          </w:p>
        </w:tc>
        <w:tc>
          <w:tcPr>
            <w:tcW w:w="1362" w:type="dxa"/>
            <w:noWrap w:val="0"/>
            <w:vAlign w:val="center"/>
          </w:tcPr>
          <w:p w14:paraId="2DC21C69">
            <w:pPr>
              <w:jc w:val="center"/>
              <w:rPr>
                <w:rFonts w:hint="eastAsia" w:ascii="楷体" w:hAnsi="楷体" w:eastAsia="楷体" w:cs="楷体"/>
                <w:highlight w:val="none"/>
              </w:rPr>
            </w:pPr>
          </w:p>
        </w:tc>
        <w:tc>
          <w:tcPr>
            <w:tcW w:w="1001" w:type="dxa"/>
            <w:noWrap w:val="0"/>
            <w:vAlign w:val="center"/>
          </w:tcPr>
          <w:p w14:paraId="287A346C">
            <w:pPr>
              <w:jc w:val="center"/>
              <w:rPr>
                <w:rFonts w:hint="eastAsia" w:ascii="楷体" w:hAnsi="楷体" w:eastAsia="楷体" w:cs="楷体"/>
                <w:highlight w:val="none"/>
              </w:rPr>
            </w:pPr>
          </w:p>
        </w:tc>
        <w:tc>
          <w:tcPr>
            <w:tcW w:w="1180" w:type="dxa"/>
            <w:noWrap w:val="0"/>
            <w:vAlign w:val="center"/>
          </w:tcPr>
          <w:p w14:paraId="1969B267">
            <w:pPr>
              <w:jc w:val="center"/>
              <w:rPr>
                <w:rFonts w:hint="eastAsia" w:ascii="楷体" w:hAnsi="楷体" w:eastAsia="楷体" w:cs="楷体"/>
                <w:highlight w:val="none"/>
              </w:rPr>
            </w:pPr>
          </w:p>
        </w:tc>
        <w:tc>
          <w:tcPr>
            <w:tcW w:w="1402" w:type="dxa"/>
            <w:noWrap w:val="0"/>
            <w:vAlign w:val="center"/>
          </w:tcPr>
          <w:p w14:paraId="780E5A5E">
            <w:pPr>
              <w:jc w:val="center"/>
              <w:rPr>
                <w:rFonts w:hint="eastAsia" w:ascii="楷体" w:hAnsi="楷体" w:eastAsia="楷体" w:cs="楷体"/>
                <w:highlight w:val="none"/>
              </w:rPr>
            </w:pPr>
          </w:p>
        </w:tc>
        <w:tc>
          <w:tcPr>
            <w:tcW w:w="1279" w:type="dxa"/>
            <w:noWrap w:val="0"/>
            <w:vAlign w:val="center"/>
          </w:tcPr>
          <w:p w14:paraId="389C9068">
            <w:pPr>
              <w:jc w:val="center"/>
              <w:rPr>
                <w:rFonts w:hint="eastAsia" w:ascii="楷体" w:hAnsi="楷体" w:eastAsia="楷体" w:cs="楷体"/>
                <w:highlight w:val="none"/>
              </w:rPr>
            </w:pPr>
          </w:p>
        </w:tc>
      </w:tr>
      <w:tr w14:paraId="15C9A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98" w:type="dxa"/>
            <w:noWrap w:val="0"/>
            <w:vAlign w:val="center"/>
          </w:tcPr>
          <w:p w14:paraId="0E13DCF3">
            <w:pPr>
              <w:jc w:val="center"/>
              <w:rPr>
                <w:rFonts w:hint="eastAsia" w:ascii="楷体" w:hAnsi="楷体" w:eastAsia="楷体" w:cs="楷体"/>
                <w:highlight w:val="none"/>
              </w:rPr>
            </w:pPr>
          </w:p>
        </w:tc>
        <w:tc>
          <w:tcPr>
            <w:tcW w:w="1624" w:type="dxa"/>
            <w:noWrap w:val="0"/>
            <w:vAlign w:val="center"/>
          </w:tcPr>
          <w:p w14:paraId="33FC16A9">
            <w:pPr>
              <w:jc w:val="center"/>
              <w:rPr>
                <w:rFonts w:hint="eastAsia" w:ascii="楷体" w:hAnsi="楷体" w:eastAsia="楷体" w:cs="楷体"/>
                <w:highlight w:val="none"/>
              </w:rPr>
            </w:pPr>
          </w:p>
        </w:tc>
        <w:tc>
          <w:tcPr>
            <w:tcW w:w="1362" w:type="dxa"/>
            <w:noWrap w:val="0"/>
            <w:vAlign w:val="center"/>
          </w:tcPr>
          <w:p w14:paraId="538E932F">
            <w:pPr>
              <w:jc w:val="center"/>
              <w:rPr>
                <w:rFonts w:hint="eastAsia" w:ascii="楷体" w:hAnsi="楷体" w:eastAsia="楷体" w:cs="楷体"/>
                <w:highlight w:val="none"/>
              </w:rPr>
            </w:pPr>
          </w:p>
        </w:tc>
        <w:tc>
          <w:tcPr>
            <w:tcW w:w="1001" w:type="dxa"/>
            <w:noWrap w:val="0"/>
            <w:vAlign w:val="center"/>
          </w:tcPr>
          <w:p w14:paraId="48A2F3A7">
            <w:pPr>
              <w:jc w:val="center"/>
              <w:rPr>
                <w:rFonts w:hint="eastAsia" w:ascii="楷体" w:hAnsi="楷体" w:eastAsia="楷体" w:cs="楷体"/>
                <w:highlight w:val="none"/>
              </w:rPr>
            </w:pPr>
          </w:p>
        </w:tc>
        <w:tc>
          <w:tcPr>
            <w:tcW w:w="1180" w:type="dxa"/>
            <w:noWrap w:val="0"/>
            <w:vAlign w:val="center"/>
          </w:tcPr>
          <w:p w14:paraId="2CA4DACD">
            <w:pPr>
              <w:jc w:val="center"/>
              <w:rPr>
                <w:rFonts w:hint="eastAsia" w:ascii="楷体" w:hAnsi="楷体" w:eastAsia="楷体" w:cs="楷体"/>
                <w:highlight w:val="none"/>
              </w:rPr>
            </w:pPr>
          </w:p>
        </w:tc>
        <w:tc>
          <w:tcPr>
            <w:tcW w:w="1402" w:type="dxa"/>
            <w:noWrap w:val="0"/>
            <w:vAlign w:val="center"/>
          </w:tcPr>
          <w:p w14:paraId="22DA3A10">
            <w:pPr>
              <w:jc w:val="center"/>
              <w:rPr>
                <w:rFonts w:hint="eastAsia" w:ascii="楷体" w:hAnsi="楷体" w:eastAsia="楷体" w:cs="楷体"/>
                <w:highlight w:val="none"/>
              </w:rPr>
            </w:pPr>
          </w:p>
        </w:tc>
        <w:tc>
          <w:tcPr>
            <w:tcW w:w="1279" w:type="dxa"/>
            <w:noWrap w:val="0"/>
            <w:vAlign w:val="center"/>
          </w:tcPr>
          <w:p w14:paraId="51BBCCD8">
            <w:pPr>
              <w:jc w:val="center"/>
              <w:rPr>
                <w:rFonts w:hint="eastAsia" w:ascii="楷体" w:hAnsi="楷体" w:eastAsia="楷体" w:cs="楷体"/>
                <w:highlight w:val="none"/>
              </w:rPr>
            </w:pPr>
          </w:p>
        </w:tc>
      </w:tr>
      <w:tr w14:paraId="0F8CD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98" w:type="dxa"/>
            <w:noWrap w:val="0"/>
            <w:vAlign w:val="center"/>
          </w:tcPr>
          <w:p w14:paraId="197BBD58">
            <w:pPr>
              <w:jc w:val="center"/>
              <w:rPr>
                <w:rFonts w:hint="eastAsia" w:ascii="楷体" w:hAnsi="楷体" w:eastAsia="楷体" w:cs="楷体"/>
                <w:highlight w:val="none"/>
              </w:rPr>
            </w:pPr>
          </w:p>
        </w:tc>
        <w:tc>
          <w:tcPr>
            <w:tcW w:w="1624" w:type="dxa"/>
            <w:noWrap w:val="0"/>
            <w:vAlign w:val="center"/>
          </w:tcPr>
          <w:p w14:paraId="57EC9E45">
            <w:pPr>
              <w:jc w:val="center"/>
              <w:rPr>
                <w:rFonts w:hint="eastAsia" w:ascii="楷体" w:hAnsi="楷体" w:eastAsia="楷体" w:cs="楷体"/>
                <w:highlight w:val="none"/>
              </w:rPr>
            </w:pPr>
          </w:p>
        </w:tc>
        <w:tc>
          <w:tcPr>
            <w:tcW w:w="1362" w:type="dxa"/>
            <w:noWrap w:val="0"/>
            <w:vAlign w:val="center"/>
          </w:tcPr>
          <w:p w14:paraId="10F532E6">
            <w:pPr>
              <w:jc w:val="center"/>
              <w:rPr>
                <w:rFonts w:hint="eastAsia" w:ascii="楷体" w:hAnsi="楷体" w:eastAsia="楷体" w:cs="楷体"/>
                <w:highlight w:val="none"/>
              </w:rPr>
            </w:pPr>
          </w:p>
        </w:tc>
        <w:tc>
          <w:tcPr>
            <w:tcW w:w="1001" w:type="dxa"/>
            <w:noWrap w:val="0"/>
            <w:vAlign w:val="center"/>
          </w:tcPr>
          <w:p w14:paraId="74B349BB">
            <w:pPr>
              <w:jc w:val="center"/>
              <w:rPr>
                <w:rFonts w:hint="eastAsia" w:ascii="楷体" w:hAnsi="楷体" w:eastAsia="楷体" w:cs="楷体"/>
                <w:highlight w:val="none"/>
              </w:rPr>
            </w:pPr>
          </w:p>
        </w:tc>
        <w:tc>
          <w:tcPr>
            <w:tcW w:w="1180" w:type="dxa"/>
            <w:noWrap w:val="0"/>
            <w:vAlign w:val="center"/>
          </w:tcPr>
          <w:p w14:paraId="6B9A70F2">
            <w:pPr>
              <w:jc w:val="center"/>
              <w:rPr>
                <w:rFonts w:hint="eastAsia" w:ascii="楷体" w:hAnsi="楷体" w:eastAsia="楷体" w:cs="楷体"/>
                <w:highlight w:val="none"/>
              </w:rPr>
            </w:pPr>
          </w:p>
        </w:tc>
        <w:tc>
          <w:tcPr>
            <w:tcW w:w="1402" w:type="dxa"/>
            <w:noWrap w:val="0"/>
            <w:vAlign w:val="center"/>
          </w:tcPr>
          <w:p w14:paraId="66978A84">
            <w:pPr>
              <w:jc w:val="center"/>
              <w:rPr>
                <w:rFonts w:hint="eastAsia" w:ascii="楷体" w:hAnsi="楷体" w:eastAsia="楷体" w:cs="楷体"/>
                <w:highlight w:val="none"/>
              </w:rPr>
            </w:pPr>
          </w:p>
        </w:tc>
        <w:tc>
          <w:tcPr>
            <w:tcW w:w="1279" w:type="dxa"/>
            <w:noWrap w:val="0"/>
            <w:vAlign w:val="center"/>
          </w:tcPr>
          <w:p w14:paraId="051E7552">
            <w:pPr>
              <w:jc w:val="center"/>
              <w:rPr>
                <w:rFonts w:hint="eastAsia" w:ascii="楷体" w:hAnsi="楷体" w:eastAsia="楷体" w:cs="楷体"/>
                <w:highlight w:val="none"/>
              </w:rPr>
            </w:pPr>
          </w:p>
        </w:tc>
      </w:tr>
      <w:tr w14:paraId="17816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98" w:type="dxa"/>
            <w:noWrap w:val="0"/>
            <w:vAlign w:val="center"/>
          </w:tcPr>
          <w:p w14:paraId="5BA57FE8">
            <w:pPr>
              <w:jc w:val="center"/>
              <w:rPr>
                <w:rFonts w:hint="eastAsia" w:ascii="楷体" w:hAnsi="楷体" w:eastAsia="楷体" w:cs="楷体"/>
                <w:highlight w:val="none"/>
              </w:rPr>
            </w:pPr>
          </w:p>
        </w:tc>
        <w:tc>
          <w:tcPr>
            <w:tcW w:w="1624" w:type="dxa"/>
            <w:noWrap w:val="0"/>
            <w:vAlign w:val="center"/>
          </w:tcPr>
          <w:p w14:paraId="5CAE0BD7">
            <w:pPr>
              <w:jc w:val="center"/>
              <w:rPr>
                <w:rFonts w:hint="eastAsia" w:ascii="楷体" w:hAnsi="楷体" w:eastAsia="楷体" w:cs="楷体"/>
                <w:highlight w:val="none"/>
              </w:rPr>
            </w:pPr>
          </w:p>
        </w:tc>
        <w:tc>
          <w:tcPr>
            <w:tcW w:w="1362" w:type="dxa"/>
            <w:noWrap w:val="0"/>
            <w:vAlign w:val="center"/>
          </w:tcPr>
          <w:p w14:paraId="3E0C34A6">
            <w:pPr>
              <w:jc w:val="center"/>
              <w:rPr>
                <w:rFonts w:hint="eastAsia" w:ascii="楷体" w:hAnsi="楷体" w:eastAsia="楷体" w:cs="楷体"/>
                <w:highlight w:val="none"/>
              </w:rPr>
            </w:pPr>
          </w:p>
        </w:tc>
        <w:tc>
          <w:tcPr>
            <w:tcW w:w="1001" w:type="dxa"/>
            <w:noWrap w:val="0"/>
            <w:vAlign w:val="center"/>
          </w:tcPr>
          <w:p w14:paraId="081D38BB">
            <w:pPr>
              <w:jc w:val="center"/>
              <w:rPr>
                <w:rFonts w:hint="eastAsia" w:ascii="楷体" w:hAnsi="楷体" w:eastAsia="楷体" w:cs="楷体"/>
                <w:highlight w:val="none"/>
              </w:rPr>
            </w:pPr>
          </w:p>
        </w:tc>
        <w:tc>
          <w:tcPr>
            <w:tcW w:w="1180" w:type="dxa"/>
            <w:noWrap w:val="0"/>
            <w:vAlign w:val="center"/>
          </w:tcPr>
          <w:p w14:paraId="734298F2">
            <w:pPr>
              <w:jc w:val="center"/>
              <w:rPr>
                <w:rFonts w:hint="eastAsia" w:ascii="楷体" w:hAnsi="楷体" w:eastAsia="楷体" w:cs="楷体"/>
                <w:highlight w:val="none"/>
              </w:rPr>
            </w:pPr>
          </w:p>
        </w:tc>
        <w:tc>
          <w:tcPr>
            <w:tcW w:w="1402" w:type="dxa"/>
            <w:noWrap w:val="0"/>
            <w:vAlign w:val="center"/>
          </w:tcPr>
          <w:p w14:paraId="520E8AB1">
            <w:pPr>
              <w:jc w:val="center"/>
              <w:rPr>
                <w:rFonts w:hint="eastAsia" w:ascii="楷体" w:hAnsi="楷体" w:eastAsia="楷体" w:cs="楷体"/>
                <w:highlight w:val="none"/>
              </w:rPr>
            </w:pPr>
          </w:p>
        </w:tc>
        <w:tc>
          <w:tcPr>
            <w:tcW w:w="1279" w:type="dxa"/>
            <w:noWrap w:val="0"/>
            <w:vAlign w:val="center"/>
          </w:tcPr>
          <w:p w14:paraId="23A09828">
            <w:pPr>
              <w:jc w:val="center"/>
              <w:rPr>
                <w:rFonts w:hint="eastAsia" w:ascii="楷体" w:hAnsi="楷体" w:eastAsia="楷体" w:cs="楷体"/>
                <w:highlight w:val="none"/>
              </w:rPr>
            </w:pPr>
          </w:p>
        </w:tc>
      </w:tr>
      <w:tr w14:paraId="64CD9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98" w:type="dxa"/>
            <w:noWrap w:val="0"/>
            <w:vAlign w:val="center"/>
          </w:tcPr>
          <w:p w14:paraId="3C6FA0AA">
            <w:pPr>
              <w:jc w:val="center"/>
              <w:rPr>
                <w:rFonts w:hint="eastAsia" w:ascii="楷体" w:hAnsi="楷体" w:eastAsia="楷体" w:cs="楷体"/>
                <w:highlight w:val="none"/>
              </w:rPr>
            </w:pPr>
          </w:p>
        </w:tc>
        <w:tc>
          <w:tcPr>
            <w:tcW w:w="1624" w:type="dxa"/>
            <w:noWrap w:val="0"/>
            <w:vAlign w:val="center"/>
          </w:tcPr>
          <w:p w14:paraId="785B8C61">
            <w:pPr>
              <w:jc w:val="center"/>
              <w:rPr>
                <w:rFonts w:hint="eastAsia" w:ascii="楷体" w:hAnsi="楷体" w:eastAsia="楷体" w:cs="楷体"/>
                <w:highlight w:val="none"/>
              </w:rPr>
            </w:pPr>
          </w:p>
        </w:tc>
        <w:tc>
          <w:tcPr>
            <w:tcW w:w="1362" w:type="dxa"/>
            <w:noWrap w:val="0"/>
            <w:vAlign w:val="center"/>
          </w:tcPr>
          <w:p w14:paraId="269960A9">
            <w:pPr>
              <w:jc w:val="center"/>
              <w:rPr>
                <w:rFonts w:hint="eastAsia" w:ascii="楷体" w:hAnsi="楷体" w:eastAsia="楷体" w:cs="楷体"/>
                <w:highlight w:val="none"/>
              </w:rPr>
            </w:pPr>
          </w:p>
        </w:tc>
        <w:tc>
          <w:tcPr>
            <w:tcW w:w="1001" w:type="dxa"/>
            <w:noWrap w:val="0"/>
            <w:vAlign w:val="center"/>
          </w:tcPr>
          <w:p w14:paraId="5709058D">
            <w:pPr>
              <w:jc w:val="center"/>
              <w:rPr>
                <w:rFonts w:hint="eastAsia" w:ascii="楷体" w:hAnsi="楷体" w:eastAsia="楷体" w:cs="楷体"/>
                <w:highlight w:val="none"/>
              </w:rPr>
            </w:pPr>
          </w:p>
        </w:tc>
        <w:tc>
          <w:tcPr>
            <w:tcW w:w="1180" w:type="dxa"/>
            <w:noWrap w:val="0"/>
            <w:vAlign w:val="center"/>
          </w:tcPr>
          <w:p w14:paraId="01B74C23">
            <w:pPr>
              <w:jc w:val="center"/>
              <w:rPr>
                <w:rFonts w:hint="eastAsia" w:ascii="楷体" w:hAnsi="楷体" w:eastAsia="楷体" w:cs="楷体"/>
                <w:highlight w:val="none"/>
              </w:rPr>
            </w:pPr>
          </w:p>
        </w:tc>
        <w:tc>
          <w:tcPr>
            <w:tcW w:w="1402" w:type="dxa"/>
            <w:noWrap w:val="0"/>
            <w:vAlign w:val="center"/>
          </w:tcPr>
          <w:p w14:paraId="3430BF53">
            <w:pPr>
              <w:jc w:val="center"/>
              <w:rPr>
                <w:rFonts w:hint="eastAsia" w:ascii="楷体" w:hAnsi="楷体" w:eastAsia="楷体" w:cs="楷体"/>
                <w:highlight w:val="none"/>
              </w:rPr>
            </w:pPr>
          </w:p>
        </w:tc>
        <w:tc>
          <w:tcPr>
            <w:tcW w:w="1279" w:type="dxa"/>
            <w:noWrap w:val="0"/>
            <w:vAlign w:val="center"/>
          </w:tcPr>
          <w:p w14:paraId="6A2629FA">
            <w:pPr>
              <w:jc w:val="center"/>
              <w:rPr>
                <w:rFonts w:hint="eastAsia" w:ascii="楷体" w:hAnsi="楷体" w:eastAsia="楷体" w:cs="楷体"/>
                <w:highlight w:val="none"/>
              </w:rPr>
            </w:pPr>
          </w:p>
        </w:tc>
      </w:tr>
      <w:tr w14:paraId="526BF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98" w:type="dxa"/>
            <w:noWrap w:val="0"/>
            <w:vAlign w:val="center"/>
          </w:tcPr>
          <w:p w14:paraId="7574A9F9">
            <w:pPr>
              <w:jc w:val="center"/>
              <w:rPr>
                <w:rFonts w:hint="eastAsia" w:ascii="楷体" w:hAnsi="楷体" w:eastAsia="楷体" w:cs="楷体"/>
                <w:highlight w:val="none"/>
              </w:rPr>
            </w:pPr>
          </w:p>
        </w:tc>
        <w:tc>
          <w:tcPr>
            <w:tcW w:w="1624" w:type="dxa"/>
            <w:noWrap w:val="0"/>
            <w:vAlign w:val="center"/>
          </w:tcPr>
          <w:p w14:paraId="31030C26">
            <w:pPr>
              <w:jc w:val="center"/>
              <w:rPr>
                <w:rFonts w:hint="eastAsia" w:ascii="楷体" w:hAnsi="楷体" w:eastAsia="楷体" w:cs="楷体"/>
                <w:highlight w:val="none"/>
              </w:rPr>
            </w:pPr>
          </w:p>
        </w:tc>
        <w:tc>
          <w:tcPr>
            <w:tcW w:w="1362" w:type="dxa"/>
            <w:noWrap w:val="0"/>
            <w:vAlign w:val="center"/>
          </w:tcPr>
          <w:p w14:paraId="21C8BD60">
            <w:pPr>
              <w:jc w:val="center"/>
              <w:rPr>
                <w:rFonts w:hint="eastAsia" w:ascii="楷体" w:hAnsi="楷体" w:eastAsia="楷体" w:cs="楷体"/>
                <w:highlight w:val="none"/>
              </w:rPr>
            </w:pPr>
          </w:p>
        </w:tc>
        <w:tc>
          <w:tcPr>
            <w:tcW w:w="1001" w:type="dxa"/>
            <w:noWrap w:val="0"/>
            <w:vAlign w:val="center"/>
          </w:tcPr>
          <w:p w14:paraId="45261BBE">
            <w:pPr>
              <w:jc w:val="center"/>
              <w:rPr>
                <w:rFonts w:hint="eastAsia" w:ascii="楷体" w:hAnsi="楷体" w:eastAsia="楷体" w:cs="楷体"/>
                <w:highlight w:val="none"/>
              </w:rPr>
            </w:pPr>
          </w:p>
        </w:tc>
        <w:tc>
          <w:tcPr>
            <w:tcW w:w="1180" w:type="dxa"/>
            <w:noWrap w:val="0"/>
            <w:vAlign w:val="center"/>
          </w:tcPr>
          <w:p w14:paraId="723038FA">
            <w:pPr>
              <w:jc w:val="center"/>
              <w:rPr>
                <w:rFonts w:hint="eastAsia" w:ascii="楷体" w:hAnsi="楷体" w:eastAsia="楷体" w:cs="楷体"/>
                <w:highlight w:val="none"/>
              </w:rPr>
            </w:pPr>
          </w:p>
        </w:tc>
        <w:tc>
          <w:tcPr>
            <w:tcW w:w="1402" w:type="dxa"/>
            <w:noWrap w:val="0"/>
            <w:vAlign w:val="center"/>
          </w:tcPr>
          <w:p w14:paraId="0604EE2A">
            <w:pPr>
              <w:jc w:val="center"/>
              <w:rPr>
                <w:rFonts w:hint="eastAsia" w:ascii="楷体" w:hAnsi="楷体" w:eastAsia="楷体" w:cs="楷体"/>
                <w:highlight w:val="none"/>
              </w:rPr>
            </w:pPr>
          </w:p>
        </w:tc>
        <w:tc>
          <w:tcPr>
            <w:tcW w:w="1279" w:type="dxa"/>
            <w:noWrap w:val="0"/>
            <w:vAlign w:val="center"/>
          </w:tcPr>
          <w:p w14:paraId="1A2CAFB1">
            <w:pPr>
              <w:jc w:val="center"/>
              <w:rPr>
                <w:rFonts w:hint="eastAsia" w:ascii="楷体" w:hAnsi="楷体" w:eastAsia="楷体" w:cs="楷体"/>
                <w:highlight w:val="none"/>
              </w:rPr>
            </w:pPr>
          </w:p>
        </w:tc>
      </w:tr>
      <w:tr w14:paraId="2F5F1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98" w:type="dxa"/>
            <w:noWrap w:val="0"/>
            <w:vAlign w:val="center"/>
          </w:tcPr>
          <w:p w14:paraId="505EDE49">
            <w:pPr>
              <w:jc w:val="center"/>
              <w:rPr>
                <w:rFonts w:hint="eastAsia" w:ascii="楷体" w:hAnsi="楷体" w:eastAsia="楷体" w:cs="楷体"/>
                <w:highlight w:val="none"/>
              </w:rPr>
            </w:pPr>
          </w:p>
        </w:tc>
        <w:tc>
          <w:tcPr>
            <w:tcW w:w="1624" w:type="dxa"/>
            <w:noWrap w:val="0"/>
            <w:vAlign w:val="center"/>
          </w:tcPr>
          <w:p w14:paraId="59C2D6EC">
            <w:pPr>
              <w:jc w:val="center"/>
              <w:rPr>
                <w:rFonts w:hint="eastAsia" w:ascii="楷体" w:hAnsi="楷体" w:eastAsia="楷体" w:cs="楷体"/>
                <w:highlight w:val="none"/>
              </w:rPr>
            </w:pPr>
          </w:p>
        </w:tc>
        <w:tc>
          <w:tcPr>
            <w:tcW w:w="1362" w:type="dxa"/>
            <w:noWrap w:val="0"/>
            <w:vAlign w:val="center"/>
          </w:tcPr>
          <w:p w14:paraId="1C9CC517">
            <w:pPr>
              <w:jc w:val="center"/>
              <w:rPr>
                <w:rFonts w:hint="eastAsia" w:ascii="楷体" w:hAnsi="楷体" w:eastAsia="楷体" w:cs="楷体"/>
                <w:highlight w:val="none"/>
              </w:rPr>
            </w:pPr>
          </w:p>
        </w:tc>
        <w:tc>
          <w:tcPr>
            <w:tcW w:w="1001" w:type="dxa"/>
            <w:noWrap w:val="0"/>
            <w:vAlign w:val="center"/>
          </w:tcPr>
          <w:p w14:paraId="2976B2AD">
            <w:pPr>
              <w:jc w:val="center"/>
              <w:rPr>
                <w:rFonts w:hint="eastAsia" w:ascii="楷体" w:hAnsi="楷体" w:eastAsia="楷体" w:cs="楷体"/>
                <w:highlight w:val="none"/>
              </w:rPr>
            </w:pPr>
          </w:p>
        </w:tc>
        <w:tc>
          <w:tcPr>
            <w:tcW w:w="1180" w:type="dxa"/>
            <w:noWrap w:val="0"/>
            <w:vAlign w:val="center"/>
          </w:tcPr>
          <w:p w14:paraId="39C4A46B">
            <w:pPr>
              <w:jc w:val="center"/>
              <w:rPr>
                <w:rFonts w:hint="eastAsia" w:ascii="楷体" w:hAnsi="楷体" w:eastAsia="楷体" w:cs="楷体"/>
                <w:highlight w:val="none"/>
              </w:rPr>
            </w:pPr>
          </w:p>
        </w:tc>
        <w:tc>
          <w:tcPr>
            <w:tcW w:w="1402" w:type="dxa"/>
            <w:noWrap w:val="0"/>
            <w:vAlign w:val="center"/>
          </w:tcPr>
          <w:p w14:paraId="5A2237F1">
            <w:pPr>
              <w:jc w:val="center"/>
              <w:rPr>
                <w:rFonts w:hint="eastAsia" w:ascii="楷体" w:hAnsi="楷体" w:eastAsia="楷体" w:cs="楷体"/>
                <w:highlight w:val="none"/>
              </w:rPr>
            </w:pPr>
          </w:p>
        </w:tc>
        <w:tc>
          <w:tcPr>
            <w:tcW w:w="1279" w:type="dxa"/>
            <w:noWrap w:val="0"/>
            <w:vAlign w:val="center"/>
          </w:tcPr>
          <w:p w14:paraId="3362FEBD">
            <w:pPr>
              <w:jc w:val="center"/>
              <w:rPr>
                <w:rFonts w:hint="eastAsia" w:ascii="楷体" w:hAnsi="楷体" w:eastAsia="楷体" w:cs="楷体"/>
                <w:highlight w:val="none"/>
              </w:rPr>
            </w:pPr>
          </w:p>
        </w:tc>
      </w:tr>
      <w:tr w14:paraId="42A84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98" w:type="dxa"/>
            <w:noWrap w:val="0"/>
            <w:vAlign w:val="center"/>
          </w:tcPr>
          <w:p w14:paraId="572A56D4">
            <w:pPr>
              <w:jc w:val="center"/>
              <w:rPr>
                <w:rFonts w:hint="eastAsia" w:ascii="楷体" w:hAnsi="楷体" w:eastAsia="楷体" w:cs="楷体"/>
                <w:highlight w:val="none"/>
              </w:rPr>
            </w:pPr>
          </w:p>
        </w:tc>
        <w:tc>
          <w:tcPr>
            <w:tcW w:w="1624" w:type="dxa"/>
            <w:noWrap w:val="0"/>
            <w:vAlign w:val="center"/>
          </w:tcPr>
          <w:p w14:paraId="6B7F62E8">
            <w:pPr>
              <w:jc w:val="center"/>
              <w:rPr>
                <w:rFonts w:hint="eastAsia" w:ascii="楷体" w:hAnsi="楷体" w:eastAsia="楷体" w:cs="楷体"/>
                <w:highlight w:val="none"/>
              </w:rPr>
            </w:pPr>
          </w:p>
        </w:tc>
        <w:tc>
          <w:tcPr>
            <w:tcW w:w="1362" w:type="dxa"/>
            <w:noWrap w:val="0"/>
            <w:vAlign w:val="center"/>
          </w:tcPr>
          <w:p w14:paraId="07E33DC3">
            <w:pPr>
              <w:jc w:val="center"/>
              <w:rPr>
                <w:rFonts w:hint="eastAsia" w:ascii="楷体" w:hAnsi="楷体" w:eastAsia="楷体" w:cs="楷体"/>
                <w:highlight w:val="none"/>
              </w:rPr>
            </w:pPr>
          </w:p>
        </w:tc>
        <w:tc>
          <w:tcPr>
            <w:tcW w:w="1001" w:type="dxa"/>
            <w:noWrap w:val="0"/>
            <w:vAlign w:val="center"/>
          </w:tcPr>
          <w:p w14:paraId="7BC59D12">
            <w:pPr>
              <w:jc w:val="center"/>
              <w:rPr>
                <w:rFonts w:hint="eastAsia" w:ascii="楷体" w:hAnsi="楷体" w:eastAsia="楷体" w:cs="楷体"/>
                <w:highlight w:val="none"/>
              </w:rPr>
            </w:pPr>
          </w:p>
        </w:tc>
        <w:tc>
          <w:tcPr>
            <w:tcW w:w="1180" w:type="dxa"/>
            <w:noWrap w:val="0"/>
            <w:vAlign w:val="center"/>
          </w:tcPr>
          <w:p w14:paraId="162796AD">
            <w:pPr>
              <w:jc w:val="center"/>
              <w:rPr>
                <w:rFonts w:hint="eastAsia" w:ascii="楷体" w:hAnsi="楷体" w:eastAsia="楷体" w:cs="楷体"/>
                <w:highlight w:val="none"/>
              </w:rPr>
            </w:pPr>
          </w:p>
        </w:tc>
        <w:tc>
          <w:tcPr>
            <w:tcW w:w="1402" w:type="dxa"/>
            <w:noWrap w:val="0"/>
            <w:vAlign w:val="center"/>
          </w:tcPr>
          <w:p w14:paraId="660EBD7D">
            <w:pPr>
              <w:jc w:val="center"/>
              <w:rPr>
                <w:rFonts w:hint="eastAsia" w:ascii="楷体" w:hAnsi="楷体" w:eastAsia="楷体" w:cs="楷体"/>
                <w:highlight w:val="none"/>
              </w:rPr>
            </w:pPr>
          </w:p>
        </w:tc>
        <w:tc>
          <w:tcPr>
            <w:tcW w:w="1279" w:type="dxa"/>
            <w:noWrap w:val="0"/>
            <w:vAlign w:val="center"/>
          </w:tcPr>
          <w:p w14:paraId="5DC23E38">
            <w:pPr>
              <w:jc w:val="center"/>
              <w:rPr>
                <w:rFonts w:hint="eastAsia" w:ascii="楷体" w:hAnsi="楷体" w:eastAsia="楷体" w:cs="楷体"/>
                <w:highlight w:val="none"/>
              </w:rPr>
            </w:pPr>
          </w:p>
        </w:tc>
      </w:tr>
      <w:tr w14:paraId="12F2A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98" w:type="dxa"/>
            <w:noWrap w:val="0"/>
            <w:vAlign w:val="center"/>
          </w:tcPr>
          <w:p w14:paraId="43D76E66">
            <w:pPr>
              <w:jc w:val="center"/>
              <w:rPr>
                <w:rFonts w:hint="eastAsia" w:ascii="楷体" w:hAnsi="楷体" w:eastAsia="楷体" w:cs="楷体"/>
                <w:highlight w:val="none"/>
              </w:rPr>
            </w:pPr>
          </w:p>
        </w:tc>
        <w:tc>
          <w:tcPr>
            <w:tcW w:w="1624" w:type="dxa"/>
            <w:noWrap w:val="0"/>
            <w:vAlign w:val="center"/>
          </w:tcPr>
          <w:p w14:paraId="4E967BC4">
            <w:pPr>
              <w:jc w:val="center"/>
              <w:rPr>
                <w:rFonts w:hint="eastAsia" w:ascii="楷体" w:hAnsi="楷体" w:eastAsia="楷体" w:cs="楷体"/>
                <w:highlight w:val="none"/>
              </w:rPr>
            </w:pPr>
          </w:p>
        </w:tc>
        <w:tc>
          <w:tcPr>
            <w:tcW w:w="1362" w:type="dxa"/>
            <w:noWrap w:val="0"/>
            <w:vAlign w:val="center"/>
          </w:tcPr>
          <w:p w14:paraId="0FBA5359">
            <w:pPr>
              <w:jc w:val="center"/>
              <w:rPr>
                <w:rFonts w:hint="eastAsia" w:ascii="楷体" w:hAnsi="楷体" w:eastAsia="楷体" w:cs="楷体"/>
                <w:highlight w:val="none"/>
              </w:rPr>
            </w:pPr>
          </w:p>
        </w:tc>
        <w:tc>
          <w:tcPr>
            <w:tcW w:w="1001" w:type="dxa"/>
            <w:noWrap w:val="0"/>
            <w:vAlign w:val="center"/>
          </w:tcPr>
          <w:p w14:paraId="57FA3EE2">
            <w:pPr>
              <w:jc w:val="center"/>
              <w:rPr>
                <w:rFonts w:hint="eastAsia" w:ascii="楷体" w:hAnsi="楷体" w:eastAsia="楷体" w:cs="楷体"/>
                <w:highlight w:val="none"/>
              </w:rPr>
            </w:pPr>
          </w:p>
        </w:tc>
        <w:tc>
          <w:tcPr>
            <w:tcW w:w="1180" w:type="dxa"/>
            <w:noWrap w:val="0"/>
            <w:vAlign w:val="center"/>
          </w:tcPr>
          <w:p w14:paraId="0EE06B81">
            <w:pPr>
              <w:jc w:val="center"/>
              <w:rPr>
                <w:rFonts w:hint="eastAsia" w:ascii="楷体" w:hAnsi="楷体" w:eastAsia="楷体" w:cs="楷体"/>
                <w:highlight w:val="none"/>
              </w:rPr>
            </w:pPr>
          </w:p>
        </w:tc>
        <w:tc>
          <w:tcPr>
            <w:tcW w:w="1402" w:type="dxa"/>
            <w:noWrap w:val="0"/>
            <w:vAlign w:val="center"/>
          </w:tcPr>
          <w:p w14:paraId="1D358E2F">
            <w:pPr>
              <w:jc w:val="center"/>
              <w:rPr>
                <w:rFonts w:hint="eastAsia" w:ascii="楷体" w:hAnsi="楷体" w:eastAsia="楷体" w:cs="楷体"/>
                <w:highlight w:val="none"/>
              </w:rPr>
            </w:pPr>
          </w:p>
        </w:tc>
        <w:tc>
          <w:tcPr>
            <w:tcW w:w="1279" w:type="dxa"/>
            <w:noWrap w:val="0"/>
            <w:vAlign w:val="center"/>
          </w:tcPr>
          <w:p w14:paraId="7DD7AF36">
            <w:pPr>
              <w:jc w:val="center"/>
              <w:rPr>
                <w:rFonts w:hint="eastAsia" w:ascii="楷体" w:hAnsi="楷体" w:eastAsia="楷体" w:cs="楷体"/>
                <w:highlight w:val="none"/>
              </w:rPr>
            </w:pPr>
          </w:p>
        </w:tc>
      </w:tr>
    </w:tbl>
    <w:p w14:paraId="1CF2B653">
      <w:pPr>
        <w:spacing w:line="360" w:lineRule="auto"/>
        <w:rPr>
          <w:rFonts w:hint="eastAsia" w:ascii="楷体" w:hAnsi="楷体" w:eastAsia="楷体" w:cs="楷体"/>
          <w:szCs w:val="24"/>
          <w:highlight w:val="none"/>
        </w:rPr>
      </w:pPr>
      <w:r>
        <w:rPr>
          <w:rFonts w:hint="eastAsia" w:ascii="楷体" w:hAnsi="楷体" w:eastAsia="楷体" w:cs="楷体"/>
          <w:szCs w:val="24"/>
          <w:highlight w:val="none"/>
        </w:rPr>
        <w:t xml:space="preserve">供应商名称（公章）:             </w:t>
      </w:r>
    </w:p>
    <w:p w14:paraId="7CBCF270">
      <w:pPr>
        <w:spacing w:line="360" w:lineRule="auto"/>
        <w:rPr>
          <w:rFonts w:hint="eastAsia" w:ascii="楷体" w:hAnsi="楷体" w:eastAsia="楷体" w:cs="楷体"/>
          <w:szCs w:val="24"/>
          <w:highlight w:val="none"/>
        </w:rPr>
      </w:pPr>
      <w:r>
        <w:rPr>
          <w:rFonts w:hint="eastAsia" w:ascii="楷体" w:hAnsi="楷体" w:eastAsia="楷体" w:cs="楷体"/>
          <w:szCs w:val="24"/>
          <w:highlight w:val="none"/>
        </w:rPr>
        <w:t>法定代表人/被授权人（签字或盖章）：</w:t>
      </w:r>
    </w:p>
    <w:p w14:paraId="49310F39">
      <w:pPr>
        <w:spacing w:line="360" w:lineRule="auto"/>
        <w:rPr>
          <w:rFonts w:hint="eastAsia" w:ascii="楷体" w:hAnsi="楷体" w:eastAsia="楷体" w:cs="楷体"/>
          <w:szCs w:val="24"/>
          <w:highlight w:val="none"/>
        </w:rPr>
      </w:pPr>
      <w:r>
        <w:rPr>
          <w:rFonts w:hint="eastAsia" w:ascii="楷体" w:hAnsi="楷体" w:eastAsia="楷体" w:cs="楷体"/>
          <w:szCs w:val="24"/>
          <w:highlight w:val="none"/>
        </w:rPr>
        <w:t xml:space="preserve">日    期：   </w:t>
      </w:r>
    </w:p>
    <w:p w14:paraId="2AA54465">
      <w:pPr>
        <w:spacing w:line="360" w:lineRule="auto"/>
        <w:outlineLvl w:val="9"/>
        <w:rPr>
          <w:rFonts w:hint="eastAsia" w:ascii="楷体" w:hAnsi="楷体" w:eastAsia="楷体" w:cs="楷体"/>
          <w:color w:val="auto"/>
          <w:szCs w:val="24"/>
          <w:highlight w:val="none"/>
        </w:rPr>
        <w:sectPr>
          <w:pgSz w:w="11906" w:h="16838"/>
          <w:pgMar w:top="1440" w:right="1800" w:bottom="1440" w:left="1800" w:header="851" w:footer="992" w:gutter="0"/>
          <w:pgNumType w:fmt="decimal"/>
          <w:cols w:space="720" w:num="1"/>
          <w:docGrid w:type="lines" w:linePitch="312" w:charSpace="0"/>
        </w:sectPr>
      </w:pPr>
    </w:p>
    <w:bookmarkEnd w:id="233"/>
    <w:bookmarkEnd w:id="234"/>
    <w:p w14:paraId="0F596C93">
      <w:pPr>
        <w:spacing w:line="360" w:lineRule="auto"/>
        <w:outlineLvl w:val="9"/>
        <w:rPr>
          <w:rFonts w:hint="eastAsia" w:ascii="楷体" w:hAnsi="楷体" w:eastAsia="楷体" w:cs="楷体"/>
          <w:b/>
          <w:bCs/>
          <w:color w:val="auto"/>
          <w:sz w:val="32"/>
          <w:szCs w:val="32"/>
          <w:highlight w:val="none"/>
        </w:rPr>
      </w:pPr>
      <w:bookmarkStart w:id="252" w:name="_Toc16990"/>
      <w:bookmarkStart w:id="253" w:name="_Toc27079_WPSOffice_Level1"/>
      <w:bookmarkStart w:id="254" w:name="_Toc9738"/>
      <w:bookmarkStart w:id="255" w:name="_Toc106"/>
      <w:bookmarkStart w:id="256" w:name="_Toc26645"/>
      <w:bookmarkStart w:id="257" w:name="_Toc19969"/>
      <w:bookmarkStart w:id="258" w:name="_Toc4204_WPSOffice_Level1"/>
      <w:bookmarkStart w:id="259" w:name="_Toc19960"/>
      <w:r>
        <w:rPr>
          <w:rFonts w:hint="eastAsia" w:ascii="楷体" w:hAnsi="楷体" w:eastAsia="楷体" w:cs="楷体"/>
          <w:b/>
          <w:bCs/>
          <w:color w:val="auto"/>
          <w:sz w:val="32"/>
          <w:szCs w:val="32"/>
          <w:highlight w:val="none"/>
        </w:rPr>
        <w:t>六、陕西省政府采购供应商拒绝政府采购领域商业贿赂</w:t>
      </w:r>
    </w:p>
    <w:p w14:paraId="19DDFDD9">
      <w:pPr>
        <w:spacing w:line="360" w:lineRule="auto"/>
        <w:jc w:val="center"/>
        <w:outlineLvl w:val="9"/>
        <w:rPr>
          <w:rFonts w:hint="eastAsia" w:ascii="楷体" w:hAnsi="楷体" w:eastAsia="楷体" w:cs="楷体"/>
          <w:color w:val="auto"/>
          <w:highlight w:val="none"/>
        </w:rPr>
      </w:pPr>
      <w:r>
        <w:rPr>
          <w:rFonts w:hint="eastAsia" w:ascii="楷体" w:hAnsi="楷体" w:eastAsia="楷体" w:cs="楷体"/>
          <w:b/>
          <w:bCs/>
          <w:color w:val="auto"/>
          <w:sz w:val="32"/>
          <w:szCs w:val="32"/>
          <w:highlight w:val="none"/>
        </w:rPr>
        <w:t>承诺书</w:t>
      </w:r>
      <w:bookmarkEnd w:id="252"/>
      <w:bookmarkEnd w:id="253"/>
      <w:bookmarkEnd w:id="254"/>
      <w:bookmarkEnd w:id="255"/>
      <w:bookmarkEnd w:id="256"/>
      <w:bookmarkEnd w:id="257"/>
      <w:bookmarkEnd w:id="258"/>
      <w:bookmarkEnd w:id="259"/>
    </w:p>
    <w:p w14:paraId="660AF5B9">
      <w:pPr>
        <w:spacing w:line="600" w:lineRule="exact"/>
        <w:ind w:firstLine="480" w:firstLineChars="200"/>
        <w:jc w:val="left"/>
        <w:outlineLvl w:val="9"/>
        <w:rPr>
          <w:rFonts w:hint="eastAsia" w:ascii="楷体" w:hAnsi="楷体" w:eastAsia="楷体" w:cs="楷体"/>
          <w:color w:val="auto"/>
          <w:szCs w:val="24"/>
          <w:highlight w:val="none"/>
        </w:rPr>
      </w:pPr>
      <w:r>
        <w:rPr>
          <w:rFonts w:hint="eastAsia" w:ascii="楷体" w:hAnsi="楷体" w:eastAsia="楷体" w:cs="楷体"/>
          <w:color w:val="auto"/>
          <w:szCs w:val="24"/>
          <w:highlight w:val="none"/>
        </w:rPr>
        <w:t>为响应党中央、国务院关于治理政府采购领域商业贿赂行为的号召，我公司在此庄严承诺：</w:t>
      </w:r>
    </w:p>
    <w:p w14:paraId="03F69039">
      <w:pPr>
        <w:spacing w:line="600" w:lineRule="exact"/>
        <w:ind w:firstLine="480" w:firstLineChars="200"/>
        <w:jc w:val="left"/>
        <w:outlineLvl w:val="9"/>
        <w:rPr>
          <w:rFonts w:hint="eastAsia" w:ascii="楷体" w:hAnsi="楷体" w:eastAsia="楷体" w:cs="楷体"/>
          <w:color w:val="auto"/>
          <w:szCs w:val="24"/>
          <w:highlight w:val="none"/>
        </w:rPr>
      </w:pPr>
      <w:r>
        <w:rPr>
          <w:rFonts w:hint="eastAsia" w:ascii="楷体" w:hAnsi="楷体" w:eastAsia="楷体" w:cs="楷体"/>
          <w:color w:val="auto"/>
          <w:szCs w:val="24"/>
          <w:highlight w:val="none"/>
        </w:rPr>
        <w:t>1.在参与政府采购活动中遵纪守法、诚信经营、公平竞标。</w:t>
      </w:r>
    </w:p>
    <w:p w14:paraId="61B7B6E0">
      <w:pPr>
        <w:spacing w:line="600" w:lineRule="exact"/>
        <w:ind w:firstLine="480" w:firstLineChars="200"/>
        <w:jc w:val="left"/>
        <w:outlineLvl w:val="9"/>
        <w:rPr>
          <w:rFonts w:hint="eastAsia" w:ascii="楷体" w:hAnsi="楷体" w:eastAsia="楷体" w:cs="楷体"/>
          <w:color w:val="auto"/>
          <w:szCs w:val="24"/>
          <w:highlight w:val="none"/>
        </w:rPr>
      </w:pPr>
      <w:r>
        <w:rPr>
          <w:rFonts w:hint="eastAsia" w:ascii="楷体" w:hAnsi="楷体" w:eastAsia="楷体" w:cs="楷体"/>
          <w:color w:val="auto"/>
          <w:szCs w:val="24"/>
          <w:highlight w:val="none"/>
        </w:rPr>
        <w:t>2.不向政府采购人、</w:t>
      </w:r>
      <w:r>
        <w:rPr>
          <w:rFonts w:hint="eastAsia" w:ascii="楷体" w:hAnsi="楷体" w:eastAsia="楷体" w:cs="楷体"/>
          <w:color w:val="auto"/>
          <w:szCs w:val="24"/>
          <w:highlight w:val="none"/>
          <w:lang w:eastAsia="zh-CN"/>
        </w:rPr>
        <w:t>采购代理机构</w:t>
      </w:r>
      <w:r>
        <w:rPr>
          <w:rFonts w:hint="eastAsia" w:ascii="楷体" w:hAnsi="楷体" w:eastAsia="楷体" w:cs="楷体"/>
          <w:color w:val="auto"/>
          <w:szCs w:val="24"/>
          <w:highlight w:val="none"/>
        </w:rPr>
        <w:t>和政府采购评审专家进行任何形式的商业贿赂以谋取交易机会。</w:t>
      </w:r>
    </w:p>
    <w:p w14:paraId="3C8E42A0">
      <w:pPr>
        <w:spacing w:line="600" w:lineRule="exact"/>
        <w:ind w:firstLine="480" w:firstLineChars="200"/>
        <w:jc w:val="left"/>
        <w:outlineLvl w:val="9"/>
        <w:rPr>
          <w:rFonts w:hint="eastAsia" w:ascii="楷体" w:hAnsi="楷体" w:eastAsia="楷体" w:cs="楷体"/>
          <w:color w:val="auto"/>
          <w:szCs w:val="24"/>
          <w:highlight w:val="none"/>
        </w:rPr>
      </w:pPr>
      <w:r>
        <w:rPr>
          <w:rFonts w:hint="eastAsia" w:ascii="楷体" w:hAnsi="楷体" w:eastAsia="楷体" w:cs="楷体"/>
          <w:color w:val="auto"/>
          <w:szCs w:val="24"/>
          <w:highlight w:val="none"/>
        </w:rPr>
        <w:t>3.不向政府</w:t>
      </w:r>
      <w:r>
        <w:rPr>
          <w:rFonts w:hint="eastAsia" w:ascii="楷体" w:hAnsi="楷体" w:eastAsia="楷体" w:cs="楷体"/>
          <w:color w:val="auto"/>
          <w:szCs w:val="24"/>
          <w:highlight w:val="none"/>
          <w:lang w:eastAsia="zh-CN"/>
        </w:rPr>
        <w:t>采购代理机构</w:t>
      </w:r>
      <w:r>
        <w:rPr>
          <w:rFonts w:hint="eastAsia" w:ascii="楷体" w:hAnsi="楷体" w:eastAsia="楷体" w:cs="楷体"/>
          <w:color w:val="auto"/>
          <w:szCs w:val="24"/>
          <w:highlight w:val="none"/>
        </w:rPr>
        <w:t>和采购人提供虚假资质文件或采用虚假应标方式参与政府采购市场竞争并谋取中标、成交。</w:t>
      </w:r>
    </w:p>
    <w:p w14:paraId="4CD1E086">
      <w:pPr>
        <w:spacing w:line="600" w:lineRule="exact"/>
        <w:ind w:firstLine="480" w:firstLineChars="200"/>
        <w:jc w:val="left"/>
        <w:outlineLvl w:val="9"/>
        <w:rPr>
          <w:rFonts w:hint="eastAsia" w:ascii="楷体" w:hAnsi="楷体" w:eastAsia="楷体" w:cs="楷体"/>
          <w:color w:val="auto"/>
          <w:szCs w:val="24"/>
          <w:highlight w:val="none"/>
        </w:rPr>
      </w:pPr>
      <w:r>
        <w:rPr>
          <w:rFonts w:hint="eastAsia" w:ascii="楷体" w:hAnsi="楷体" w:eastAsia="楷体" w:cs="楷体"/>
          <w:color w:val="auto"/>
          <w:szCs w:val="24"/>
          <w:highlight w:val="none"/>
        </w:rPr>
        <w:t>4.不采取“围标、陪标”等商业欺诈手段获得政府采购</w:t>
      </w:r>
      <w:r>
        <w:rPr>
          <w:rFonts w:hint="eastAsia" w:ascii="楷体" w:hAnsi="楷体" w:eastAsia="楷体" w:cs="楷体"/>
          <w:color w:val="auto"/>
          <w:szCs w:val="24"/>
          <w:highlight w:val="none"/>
          <w:lang w:val="en-US" w:eastAsia="zh-CN"/>
        </w:rPr>
        <w:t>订单</w:t>
      </w:r>
      <w:r>
        <w:rPr>
          <w:rFonts w:hint="eastAsia" w:ascii="楷体" w:hAnsi="楷体" w:eastAsia="楷体" w:cs="楷体"/>
          <w:color w:val="auto"/>
          <w:szCs w:val="24"/>
          <w:highlight w:val="none"/>
        </w:rPr>
        <w:t>。</w:t>
      </w:r>
    </w:p>
    <w:p w14:paraId="3D1FFC49">
      <w:pPr>
        <w:spacing w:line="600" w:lineRule="exact"/>
        <w:ind w:firstLine="480" w:firstLineChars="200"/>
        <w:jc w:val="left"/>
        <w:outlineLvl w:val="9"/>
        <w:rPr>
          <w:rFonts w:hint="eastAsia" w:ascii="楷体" w:hAnsi="楷体" w:eastAsia="楷体" w:cs="楷体"/>
          <w:color w:val="auto"/>
          <w:szCs w:val="24"/>
          <w:highlight w:val="none"/>
        </w:rPr>
      </w:pPr>
      <w:r>
        <w:rPr>
          <w:rFonts w:hint="eastAsia" w:ascii="楷体" w:hAnsi="楷体" w:eastAsia="楷体" w:cs="楷体"/>
          <w:color w:val="auto"/>
          <w:szCs w:val="24"/>
          <w:highlight w:val="none"/>
        </w:rPr>
        <w:t>5.不采取不正当手段诋毁、排挤其他供应商。</w:t>
      </w:r>
    </w:p>
    <w:p w14:paraId="57B02CED">
      <w:pPr>
        <w:spacing w:line="600" w:lineRule="exact"/>
        <w:ind w:firstLine="480" w:firstLineChars="200"/>
        <w:jc w:val="left"/>
        <w:outlineLvl w:val="9"/>
        <w:rPr>
          <w:rFonts w:hint="eastAsia" w:ascii="楷体" w:hAnsi="楷体" w:eastAsia="楷体" w:cs="楷体"/>
          <w:color w:val="auto"/>
          <w:szCs w:val="24"/>
          <w:highlight w:val="none"/>
        </w:rPr>
      </w:pPr>
      <w:r>
        <w:rPr>
          <w:rFonts w:hint="eastAsia" w:ascii="楷体" w:hAnsi="楷体" w:eastAsia="楷体" w:cs="楷体"/>
          <w:color w:val="auto"/>
          <w:szCs w:val="24"/>
          <w:highlight w:val="none"/>
        </w:rPr>
        <w:t>6.不在提供商品和服务时“偷梁换柱、以次充好”损害采购人的合法权益。</w:t>
      </w:r>
    </w:p>
    <w:p w14:paraId="5E4EBD8C">
      <w:pPr>
        <w:spacing w:line="600" w:lineRule="exact"/>
        <w:ind w:firstLine="480" w:firstLineChars="200"/>
        <w:jc w:val="left"/>
        <w:outlineLvl w:val="9"/>
        <w:rPr>
          <w:rFonts w:hint="eastAsia" w:ascii="楷体" w:hAnsi="楷体" w:eastAsia="楷体" w:cs="楷体"/>
          <w:color w:val="auto"/>
          <w:szCs w:val="24"/>
          <w:highlight w:val="none"/>
        </w:rPr>
      </w:pPr>
      <w:r>
        <w:rPr>
          <w:rFonts w:hint="eastAsia" w:ascii="楷体" w:hAnsi="楷体" w:eastAsia="楷体" w:cs="楷体"/>
          <w:color w:val="auto"/>
          <w:szCs w:val="24"/>
          <w:highlight w:val="none"/>
        </w:rPr>
        <w:t>7.不与采购人、</w:t>
      </w:r>
      <w:r>
        <w:rPr>
          <w:rFonts w:hint="eastAsia" w:ascii="楷体" w:hAnsi="楷体" w:eastAsia="楷体" w:cs="楷体"/>
          <w:color w:val="auto"/>
          <w:szCs w:val="24"/>
          <w:highlight w:val="none"/>
          <w:lang w:eastAsia="zh-CN"/>
        </w:rPr>
        <w:t>采购代理机构</w:t>
      </w:r>
      <w:r>
        <w:rPr>
          <w:rFonts w:hint="eastAsia" w:ascii="楷体" w:hAnsi="楷体" w:eastAsia="楷体" w:cs="楷体"/>
          <w:color w:val="auto"/>
          <w:szCs w:val="24"/>
          <w:highlight w:val="none"/>
        </w:rPr>
        <w:t>政府采购评审专家或其它供应商恶意串通，进行质疑和投诉，维护政府采购市场秩序。</w:t>
      </w:r>
    </w:p>
    <w:p w14:paraId="2D8F8025">
      <w:pPr>
        <w:spacing w:line="600" w:lineRule="exact"/>
        <w:ind w:firstLine="480" w:firstLineChars="200"/>
        <w:jc w:val="left"/>
        <w:outlineLvl w:val="9"/>
        <w:rPr>
          <w:rFonts w:hint="eastAsia" w:ascii="楷体" w:hAnsi="楷体" w:eastAsia="楷体" w:cs="楷体"/>
          <w:color w:val="auto"/>
          <w:szCs w:val="24"/>
          <w:highlight w:val="none"/>
        </w:rPr>
      </w:pPr>
      <w:r>
        <w:rPr>
          <w:rFonts w:hint="eastAsia" w:ascii="楷体" w:hAnsi="楷体" w:eastAsia="楷体" w:cs="楷体"/>
          <w:color w:val="auto"/>
          <w:szCs w:val="24"/>
          <w:highlight w:val="none"/>
        </w:rPr>
        <w:t>8.尊重和接受政府采购监督管理部门的监督和政府</w:t>
      </w:r>
      <w:r>
        <w:rPr>
          <w:rFonts w:hint="eastAsia" w:ascii="楷体" w:hAnsi="楷体" w:eastAsia="楷体" w:cs="楷体"/>
          <w:color w:val="auto"/>
          <w:szCs w:val="24"/>
          <w:highlight w:val="none"/>
          <w:lang w:eastAsia="zh-CN"/>
        </w:rPr>
        <w:t>采购代理机构</w:t>
      </w:r>
      <w:r>
        <w:rPr>
          <w:rFonts w:hint="eastAsia" w:ascii="楷体" w:hAnsi="楷体" w:eastAsia="楷体" w:cs="楷体"/>
          <w:color w:val="auto"/>
          <w:szCs w:val="24"/>
          <w:highlight w:val="none"/>
        </w:rPr>
        <w:t>招标采购要求，承担因违约行为给采购人造成的损失。</w:t>
      </w:r>
    </w:p>
    <w:p w14:paraId="504C16D2">
      <w:pPr>
        <w:spacing w:line="600" w:lineRule="exact"/>
        <w:ind w:firstLine="480" w:firstLineChars="200"/>
        <w:jc w:val="left"/>
        <w:outlineLvl w:val="9"/>
        <w:rPr>
          <w:rFonts w:hint="eastAsia" w:ascii="楷体" w:hAnsi="楷体" w:eastAsia="楷体" w:cs="楷体"/>
          <w:color w:val="auto"/>
          <w:szCs w:val="24"/>
          <w:highlight w:val="none"/>
          <w:lang w:eastAsia="zh-CN"/>
        </w:rPr>
      </w:pPr>
      <w:r>
        <w:rPr>
          <w:rFonts w:hint="eastAsia" w:ascii="楷体" w:hAnsi="楷体" w:eastAsia="楷体" w:cs="楷体"/>
          <w:color w:val="auto"/>
          <w:szCs w:val="24"/>
          <w:highlight w:val="none"/>
        </w:rPr>
        <w:t>9.不发生其他有悖于政府采购公开、公平、公正和诚信原则的行为。</w:t>
      </w:r>
    </w:p>
    <w:p w14:paraId="5F71A765">
      <w:pPr>
        <w:spacing w:line="600" w:lineRule="exact"/>
        <w:ind w:firstLine="480" w:firstLineChars="200"/>
        <w:jc w:val="left"/>
        <w:outlineLvl w:val="9"/>
        <w:rPr>
          <w:rFonts w:hint="eastAsia" w:ascii="楷体" w:hAnsi="楷体" w:eastAsia="楷体" w:cs="楷体"/>
          <w:color w:val="auto"/>
          <w:szCs w:val="24"/>
          <w:highlight w:val="none"/>
        </w:rPr>
      </w:pPr>
      <w:r>
        <w:rPr>
          <w:rFonts w:hint="eastAsia" w:ascii="楷体" w:hAnsi="楷体" w:eastAsia="楷体" w:cs="楷体"/>
          <w:color w:val="auto"/>
          <w:szCs w:val="24"/>
          <w:highlight w:val="none"/>
        </w:rPr>
        <w:t>承诺单位（盖章）：</w:t>
      </w:r>
    </w:p>
    <w:p w14:paraId="56F1236E">
      <w:pPr>
        <w:spacing w:line="600" w:lineRule="exact"/>
        <w:ind w:firstLine="480" w:firstLineChars="200"/>
        <w:jc w:val="left"/>
        <w:outlineLvl w:val="9"/>
        <w:rPr>
          <w:rFonts w:hint="eastAsia" w:ascii="楷体" w:hAnsi="楷体" w:eastAsia="楷体" w:cs="楷体"/>
          <w:color w:val="auto"/>
          <w:szCs w:val="24"/>
          <w:highlight w:val="none"/>
        </w:rPr>
      </w:pPr>
      <w:r>
        <w:rPr>
          <w:rFonts w:hint="eastAsia" w:ascii="楷体" w:hAnsi="楷体" w:eastAsia="楷体" w:cs="楷体"/>
          <w:color w:val="auto"/>
          <w:szCs w:val="24"/>
          <w:highlight w:val="none"/>
        </w:rPr>
        <w:t>全权代表人（签字）：</w:t>
      </w:r>
    </w:p>
    <w:p w14:paraId="77CA0FD5">
      <w:pPr>
        <w:spacing w:line="600" w:lineRule="exact"/>
        <w:ind w:firstLine="480" w:firstLineChars="200"/>
        <w:jc w:val="left"/>
        <w:outlineLvl w:val="9"/>
        <w:rPr>
          <w:rFonts w:hint="eastAsia" w:ascii="楷体" w:hAnsi="楷体" w:eastAsia="楷体" w:cs="楷体"/>
          <w:color w:val="auto"/>
          <w:szCs w:val="24"/>
          <w:highlight w:val="none"/>
        </w:rPr>
      </w:pPr>
      <w:r>
        <w:rPr>
          <w:rFonts w:hint="eastAsia" w:ascii="楷体" w:hAnsi="楷体" w:eastAsia="楷体" w:cs="楷体"/>
          <w:color w:val="auto"/>
          <w:szCs w:val="24"/>
          <w:highlight w:val="none"/>
        </w:rPr>
        <w:t>地址：</w:t>
      </w:r>
    </w:p>
    <w:p w14:paraId="78DEA216">
      <w:pPr>
        <w:spacing w:line="600" w:lineRule="exact"/>
        <w:ind w:firstLine="480" w:firstLineChars="200"/>
        <w:jc w:val="left"/>
        <w:outlineLvl w:val="9"/>
        <w:rPr>
          <w:rFonts w:hint="eastAsia" w:ascii="楷体" w:hAnsi="楷体" w:eastAsia="楷体" w:cs="楷体"/>
          <w:color w:val="auto"/>
          <w:szCs w:val="24"/>
          <w:highlight w:val="none"/>
        </w:rPr>
      </w:pPr>
      <w:r>
        <w:rPr>
          <w:rFonts w:hint="eastAsia" w:ascii="楷体" w:hAnsi="楷体" w:eastAsia="楷体" w:cs="楷体"/>
          <w:color w:val="auto"/>
          <w:szCs w:val="24"/>
          <w:highlight w:val="none"/>
        </w:rPr>
        <w:t>邮编：</w:t>
      </w:r>
    </w:p>
    <w:p w14:paraId="5B0B9C75">
      <w:pPr>
        <w:spacing w:line="600" w:lineRule="exact"/>
        <w:ind w:firstLine="480" w:firstLineChars="200"/>
        <w:jc w:val="left"/>
        <w:outlineLvl w:val="9"/>
        <w:rPr>
          <w:rFonts w:hint="eastAsia" w:ascii="楷体" w:hAnsi="楷体" w:eastAsia="楷体" w:cs="楷体"/>
          <w:color w:val="auto"/>
          <w:szCs w:val="24"/>
          <w:highlight w:val="none"/>
        </w:rPr>
      </w:pPr>
      <w:r>
        <w:rPr>
          <w:rFonts w:hint="eastAsia" w:ascii="楷体" w:hAnsi="楷体" w:eastAsia="楷体" w:cs="楷体"/>
          <w:color w:val="auto"/>
          <w:szCs w:val="24"/>
          <w:highlight w:val="none"/>
        </w:rPr>
        <w:t>电话：</w:t>
      </w:r>
    </w:p>
    <w:p w14:paraId="024E46BF">
      <w:pPr>
        <w:spacing w:line="600" w:lineRule="exact"/>
        <w:ind w:firstLine="480" w:firstLineChars="200"/>
        <w:jc w:val="left"/>
        <w:outlineLvl w:val="9"/>
        <w:rPr>
          <w:rFonts w:hint="eastAsia" w:ascii="楷体" w:hAnsi="楷体" w:eastAsia="楷体" w:cs="楷体"/>
          <w:color w:val="auto"/>
          <w:szCs w:val="24"/>
          <w:highlight w:val="none"/>
        </w:rPr>
      </w:pPr>
      <w:r>
        <w:rPr>
          <w:rFonts w:hint="eastAsia" w:ascii="楷体" w:hAnsi="楷体" w:eastAsia="楷体" w:cs="楷体"/>
          <w:color w:val="auto"/>
          <w:szCs w:val="24"/>
          <w:highlight w:val="none"/>
        </w:rPr>
        <w:t>时间：</w:t>
      </w:r>
    </w:p>
    <w:p w14:paraId="184397BF">
      <w:pPr>
        <w:spacing w:line="360" w:lineRule="auto"/>
        <w:jc w:val="center"/>
        <w:outlineLvl w:val="9"/>
        <w:rPr>
          <w:rFonts w:hint="eastAsia" w:ascii="楷体" w:hAnsi="楷体" w:eastAsia="楷体" w:cs="楷体"/>
          <w:b/>
          <w:bCs/>
          <w:color w:val="auto"/>
          <w:sz w:val="30"/>
          <w:szCs w:val="30"/>
          <w:highlight w:val="none"/>
        </w:rPr>
      </w:pPr>
      <w:r>
        <w:rPr>
          <w:rFonts w:hint="eastAsia" w:ascii="楷体" w:hAnsi="楷体" w:eastAsia="楷体" w:cs="楷体"/>
          <w:color w:val="auto"/>
          <w:szCs w:val="24"/>
          <w:highlight w:val="none"/>
        </w:rPr>
        <w:br w:type="page"/>
      </w:r>
      <w:bookmarkStart w:id="260" w:name="_Toc19798_WPSOffice_Level1"/>
      <w:bookmarkStart w:id="261" w:name="_Toc31052_WPSOffice_Level1"/>
      <w:r>
        <w:rPr>
          <w:rFonts w:hint="eastAsia" w:ascii="楷体" w:hAnsi="楷体" w:eastAsia="楷体" w:cs="楷体"/>
          <w:b/>
          <w:bCs/>
          <w:color w:val="auto"/>
          <w:sz w:val="30"/>
          <w:szCs w:val="30"/>
          <w:highlight w:val="none"/>
        </w:rPr>
        <w:t>七、落实政府采购政策须提供的资料及供应商认为有必要提供的其它资料</w:t>
      </w:r>
      <w:bookmarkEnd w:id="260"/>
      <w:bookmarkEnd w:id="261"/>
    </w:p>
    <w:p w14:paraId="003A1581">
      <w:pPr>
        <w:spacing w:line="360" w:lineRule="auto"/>
        <w:jc w:val="left"/>
        <w:outlineLvl w:val="9"/>
        <w:rPr>
          <w:rFonts w:hint="eastAsia" w:ascii="楷体" w:hAnsi="楷体" w:eastAsia="楷体" w:cs="楷体"/>
          <w:b/>
          <w:bCs/>
          <w:color w:val="auto"/>
          <w:sz w:val="30"/>
          <w:szCs w:val="30"/>
          <w:highlight w:val="none"/>
        </w:rPr>
      </w:pPr>
      <w:r>
        <w:rPr>
          <w:rFonts w:hint="eastAsia" w:ascii="楷体" w:hAnsi="楷体" w:eastAsia="楷体" w:cs="楷体"/>
          <w:b/>
          <w:bCs/>
          <w:color w:val="auto"/>
          <w:sz w:val="30"/>
          <w:szCs w:val="30"/>
          <w:highlight w:val="none"/>
        </w:rPr>
        <w:br w:type="page"/>
      </w:r>
      <w:r>
        <w:rPr>
          <w:rFonts w:hint="eastAsia" w:ascii="楷体" w:hAnsi="楷体" w:eastAsia="楷体" w:cs="楷体"/>
          <w:b/>
          <w:bCs/>
          <w:color w:val="auto"/>
          <w:sz w:val="30"/>
          <w:szCs w:val="30"/>
          <w:highlight w:val="none"/>
        </w:rPr>
        <w:t>附件</w:t>
      </w:r>
      <w:r>
        <w:rPr>
          <w:rFonts w:hint="eastAsia" w:ascii="楷体" w:hAnsi="楷体" w:eastAsia="楷体" w:cs="楷体"/>
          <w:b/>
          <w:bCs/>
          <w:color w:val="auto"/>
          <w:sz w:val="30"/>
          <w:szCs w:val="30"/>
          <w:highlight w:val="none"/>
          <w:lang w:val="en-US" w:eastAsia="zh-CN"/>
        </w:rPr>
        <w:t>8</w:t>
      </w:r>
      <w:r>
        <w:rPr>
          <w:rFonts w:hint="eastAsia" w:ascii="楷体" w:hAnsi="楷体" w:eastAsia="楷体" w:cs="楷体"/>
          <w:b/>
          <w:bCs/>
          <w:color w:val="auto"/>
          <w:sz w:val="30"/>
          <w:szCs w:val="30"/>
          <w:highlight w:val="none"/>
        </w:rPr>
        <w:t>：（如有）</w:t>
      </w:r>
    </w:p>
    <w:p w14:paraId="658E44A9">
      <w:pPr>
        <w:jc w:val="center"/>
        <w:outlineLvl w:val="9"/>
        <w:rPr>
          <w:rFonts w:hint="eastAsia" w:ascii="楷体" w:hAnsi="楷体" w:eastAsia="楷体" w:cs="楷体"/>
          <w:b/>
          <w:bCs/>
          <w:color w:val="auto"/>
          <w:sz w:val="28"/>
          <w:szCs w:val="28"/>
          <w:highlight w:val="none"/>
        </w:rPr>
      </w:pPr>
      <w:r>
        <w:rPr>
          <w:rFonts w:hint="eastAsia" w:ascii="楷体" w:hAnsi="楷体" w:eastAsia="楷体" w:cs="楷体"/>
          <w:b/>
          <w:bCs/>
          <w:color w:val="auto"/>
          <w:sz w:val="28"/>
          <w:szCs w:val="28"/>
          <w:highlight w:val="none"/>
        </w:rPr>
        <w:t>中小企业声明函（工程、服务）</w:t>
      </w:r>
    </w:p>
    <w:p w14:paraId="7CCCE6C6">
      <w:pPr>
        <w:spacing w:line="360" w:lineRule="auto"/>
        <w:ind w:firstLine="480" w:firstLineChars="200"/>
        <w:outlineLvl w:val="9"/>
        <w:rPr>
          <w:rFonts w:hint="eastAsia" w:ascii="楷体" w:hAnsi="楷体" w:eastAsia="楷体" w:cs="楷体"/>
          <w:color w:val="auto"/>
          <w:szCs w:val="24"/>
          <w:highlight w:val="none"/>
        </w:rPr>
      </w:pPr>
      <w:r>
        <w:rPr>
          <w:rFonts w:hint="eastAsia" w:ascii="楷体" w:hAnsi="楷体" w:eastAsia="楷体" w:cs="楷体"/>
          <w:color w:val="auto"/>
          <w:szCs w:val="24"/>
          <w:highlight w:val="none"/>
        </w:rPr>
        <w:t>本公司（联合体）郑重声明，根据《政府采购促进中小企业发展管理办法》（财库﹝2020﹞46 号）的规定，本公司（联合体）参加</w:t>
      </w:r>
      <w:r>
        <w:rPr>
          <w:rFonts w:hint="eastAsia" w:ascii="楷体" w:hAnsi="楷体" w:eastAsia="楷体" w:cs="楷体"/>
          <w:color w:val="auto"/>
          <w:szCs w:val="24"/>
          <w:highlight w:val="none"/>
          <w:u w:val="single"/>
        </w:rPr>
        <w:t>（单位名称）</w:t>
      </w:r>
      <w:r>
        <w:rPr>
          <w:rFonts w:hint="eastAsia" w:ascii="楷体" w:hAnsi="楷体" w:eastAsia="楷体" w:cs="楷体"/>
          <w:color w:val="auto"/>
          <w:szCs w:val="24"/>
          <w:highlight w:val="none"/>
        </w:rPr>
        <w:t>的</w:t>
      </w:r>
      <w:r>
        <w:rPr>
          <w:rFonts w:hint="eastAsia" w:ascii="楷体" w:hAnsi="楷体" w:eastAsia="楷体" w:cs="楷体"/>
          <w:color w:val="auto"/>
          <w:szCs w:val="24"/>
          <w:highlight w:val="none"/>
          <w:u w:val="single"/>
        </w:rPr>
        <w:t>（项目名称）</w:t>
      </w:r>
      <w:r>
        <w:rPr>
          <w:rFonts w:hint="eastAsia" w:ascii="楷体" w:hAnsi="楷体" w:eastAsia="楷体" w:cs="楷体"/>
          <w:color w:val="auto"/>
          <w:szCs w:val="24"/>
          <w:highlight w:val="none"/>
        </w:rPr>
        <w:t>采购活动，工程的施工单位全部为符合政策要求的中小企业（或者：服务全部由符合政策要求的中小企业承接）。相关企业（含联合体中的中小企业、签订分包意向协议的中小企业）的具体情况如下：</w:t>
      </w:r>
    </w:p>
    <w:p w14:paraId="0D3CE098">
      <w:pPr>
        <w:spacing w:line="360" w:lineRule="auto"/>
        <w:ind w:firstLine="480" w:firstLineChars="200"/>
        <w:outlineLvl w:val="9"/>
        <w:rPr>
          <w:rFonts w:hint="eastAsia" w:ascii="楷体" w:hAnsi="楷体" w:eastAsia="楷体" w:cs="楷体"/>
          <w:color w:val="auto"/>
          <w:szCs w:val="24"/>
          <w:highlight w:val="none"/>
        </w:rPr>
      </w:pPr>
      <w:r>
        <w:rPr>
          <w:rFonts w:hint="eastAsia" w:ascii="楷体" w:hAnsi="楷体" w:eastAsia="楷体" w:cs="楷体"/>
          <w:color w:val="auto"/>
          <w:szCs w:val="24"/>
          <w:highlight w:val="none"/>
        </w:rPr>
        <w:t>1.</w:t>
      </w:r>
      <w:r>
        <w:rPr>
          <w:rFonts w:hint="eastAsia" w:ascii="楷体" w:hAnsi="楷体" w:eastAsia="楷体" w:cs="楷体"/>
          <w:color w:val="auto"/>
          <w:szCs w:val="24"/>
          <w:highlight w:val="none"/>
          <w:u w:val="single"/>
        </w:rPr>
        <w:t xml:space="preserve"> （标的名称） </w:t>
      </w:r>
      <w:r>
        <w:rPr>
          <w:rFonts w:hint="eastAsia" w:ascii="楷体" w:hAnsi="楷体" w:eastAsia="楷体" w:cs="楷体"/>
          <w:color w:val="auto"/>
          <w:szCs w:val="24"/>
          <w:highlight w:val="none"/>
        </w:rPr>
        <w:t>，属于</w:t>
      </w:r>
      <w:r>
        <w:rPr>
          <w:rFonts w:hint="eastAsia" w:ascii="楷体" w:hAnsi="楷体" w:eastAsia="楷体" w:cs="楷体"/>
          <w:color w:val="auto"/>
          <w:szCs w:val="24"/>
          <w:highlight w:val="none"/>
          <w:u w:val="single"/>
        </w:rPr>
        <w:t xml:space="preserve"> </w:t>
      </w:r>
      <w:r>
        <w:rPr>
          <w:rFonts w:hint="eastAsia" w:ascii="楷体" w:hAnsi="楷体" w:eastAsia="楷体" w:cs="楷体"/>
          <w:color w:val="auto"/>
          <w:szCs w:val="24"/>
          <w:highlight w:val="none"/>
          <w:u w:val="single"/>
          <w:lang w:val="en-US" w:eastAsia="zh-CN"/>
        </w:rPr>
        <w:t>其他未列明</w:t>
      </w:r>
      <w:r>
        <w:rPr>
          <w:rFonts w:hint="eastAsia" w:ascii="楷体" w:hAnsi="楷体" w:eastAsia="楷体" w:cs="楷体"/>
          <w:color w:val="auto"/>
          <w:szCs w:val="24"/>
          <w:highlight w:val="none"/>
          <w:u w:val="single"/>
        </w:rPr>
        <w:t xml:space="preserve"> </w:t>
      </w:r>
      <w:r>
        <w:rPr>
          <w:rFonts w:hint="eastAsia" w:ascii="楷体" w:hAnsi="楷体" w:eastAsia="楷体" w:cs="楷体"/>
          <w:color w:val="auto"/>
          <w:szCs w:val="24"/>
          <w:highlight w:val="none"/>
        </w:rPr>
        <w:t>行业；承建（承接）企业为</w:t>
      </w:r>
      <w:r>
        <w:rPr>
          <w:rFonts w:hint="eastAsia" w:ascii="楷体" w:hAnsi="楷体" w:eastAsia="楷体" w:cs="楷体"/>
          <w:color w:val="auto"/>
          <w:szCs w:val="24"/>
          <w:highlight w:val="none"/>
          <w:u w:val="single"/>
        </w:rPr>
        <w:t>（企业名称）</w:t>
      </w:r>
      <w:r>
        <w:rPr>
          <w:rFonts w:hint="eastAsia" w:ascii="楷体" w:hAnsi="楷体" w:eastAsia="楷体" w:cs="楷体"/>
          <w:color w:val="auto"/>
          <w:szCs w:val="24"/>
          <w:highlight w:val="none"/>
        </w:rPr>
        <w:t>，从业人员</w:t>
      </w:r>
      <w:r>
        <w:rPr>
          <w:rFonts w:hint="eastAsia" w:ascii="楷体" w:hAnsi="楷体" w:eastAsia="楷体" w:cs="楷体"/>
          <w:color w:val="auto"/>
          <w:szCs w:val="24"/>
          <w:highlight w:val="none"/>
          <w:u w:val="single"/>
        </w:rPr>
        <w:t xml:space="preserve"> </w:t>
      </w:r>
      <w:r>
        <w:rPr>
          <w:rFonts w:hint="eastAsia" w:ascii="楷体" w:hAnsi="楷体" w:eastAsia="楷体" w:cs="楷体"/>
          <w:color w:val="auto"/>
          <w:szCs w:val="24"/>
          <w:highlight w:val="none"/>
          <w:u w:val="single"/>
        </w:rPr>
        <w:tab/>
      </w:r>
      <w:r>
        <w:rPr>
          <w:rFonts w:hint="eastAsia" w:ascii="楷体" w:hAnsi="楷体" w:eastAsia="楷体" w:cs="楷体"/>
          <w:color w:val="auto"/>
          <w:szCs w:val="24"/>
          <w:highlight w:val="none"/>
          <w:u w:val="single"/>
        </w:rPr>
        <w:t xml:space="preserve"> </w:t>
      </w:r>
      <w:r>
        <w:rPr>
          <w:rFonts w:hint="eastAsia" w:ascii="楷体" w:hAnsi="楷体" w:eastAsia="楷体" w:cs="楷体"/>
          <w:color w:val="auto"/>
          <w:szCs w:val="24"/>
          <w:highlight w:val="none"/>
          <w:u w:val="single"/>
        </w:rPr>
        <w:tab/>
      </w:r>
      <w:r>
        <w:rPr>
          <w:rFonts w:hint="eastAsia" w:ascii="楷体" w:hAnsi="楷体" w:eastAsia="楷体" w:cs="楷体"/>
          <w:color w:val="auto"/>
          <w:szCs w:val="24"/>
          <w:highlight w:val="none"/>
        </w:rPr>
        <w:t>人，营业收入为</w:t>
      </w:r>
      <w:r>
        <w:rPr>
          <w:rFonts w:hint="eastAsia" w:ascii="楷体" w:hAnsi="楷体" w:eastAsia="楷体" w:cs="楷体"/>
          <w:color w:val="auto"/>
          <w:szCs w:val="24"/>
          <w:highlight w:val="none"/>
          <w:u w:val="single"/>
        </w:rPr>
        <w:t xml:space="preserve"> </w:t>
      </w:r>
      <w:r>
        <w:rPr>
          <w:rFonts w:hint="eastAsia" w:ascii="楷体" w:hAnsi="楷体" w:eastAsia="楷体" w:cs="楷体"/>
          <w:color w:val="auto"/>
          <w:szCs w:val="24"/>
          <w:highlight w:val="none"/>
          <w:u w:val="single"/>
        </w:rPr>
        <w:tab/>
      </w:r>
      <w:r>
        <w:rPr>
          <w:rFonts w:hint="eastAsia" w:ascii="楷体" w:hAnsi="楷体" w:eastAsia="楷体" w:cs="楷体"/>
          <w:color w:val="auto"/>
          <w:szCs w:val="24"/>
          <w:highlight w:val="none"/>
          <w:u w:val="single"/>
        </w:rPr>
        <w:t xml:space="preserve"> </w:t>
      </w:r>
      <w:r>
        <w:rPr>
          <w:rFonts w:hint="eastAsia" w:ascii="楷体" w:hAnsi="楷体" w:eastAsia="楷体" w:cs="楷体"/>
          <w:color w:val="auto"/>
          <w:szCs w:val="24"/>
          <w:highlight w:val="none"/>
          <w:u w:val="single"/>
        </w:rPr>
        <w:tab/>
      </w:r>
      <w:r>
        <w:rPr>
          <w:rFonts w:hint="eastAsia" w:ascii="楷体" w:hAnsi="楷体" w:eastAsia="楷体" w:cs="楷体"/>
          <w:color w:val="auto"/>
          <w:szCs w:val="24"/>
          <w:highlight w:val="none"/>
        </w:rPr>
        <w:t>万元，资产总额为</w:t>
      </w:r>
      <w:r>
        <w:rPr>
          <w:rFonts w:hint="eastAsia" w:ascii="楷体" w:hAnsi="楷体" w:eastAsia="楷体" w:cs="楷体"/>
          <w:color w:val="auto"/>
          <w:szCs w:val="24"/>
          <w:highlight w:val="none"/>
          <w:u w:val="single"/>
        </w:rPr>
        <w:t xml:space="preserve"> </w:t>
      </w:r>
      <w:r>
        <w:rPr>
          <w:rFonts w:hint="eastAsia" w:ascii="楷体" w:hAnsi="楷体" w:eastAsia="楷体" w:cs="楷体"/>
          <w:color w:val="auto"/>
          <w:szCs w:val="24"/>
          <w:highlight w:val="none"/>
          <w:u w:val="single"/>
        </w:rPr>
        <w:tab/>
      </w:r>
      <w:r>
        <w:rPr>
          <w:rFonts w:hint="eastAsia" w:ascii="楷体" w:hAnsi="楷体" w:eastAsia="楷体" w:cs="楷体"/>
          <w:color w:val="auto"/>
          <w:szCs w:val="24"/>
          <w:highlight w:val="none"/>
          <w:u w:val="single"/>
        </w:rPr>
        <w:t xml:space="preserve"> </w:t>
      </w:r>
      <w:r>
        <w:rPr>
          <w:rFonts w:hint="eastAsia" w:ascii="楷体" w:hAnsi="楷体" w:eastAsia="楷体" w:cs="楷体"/>
          <w:color w:val="auto"/>
          <w:szCs w:val="24"/>
          <w:highlight w:val="none"/>
          <w:u w:val="single"/>
        </w:rPr>
        <w:tab/>
      </w:r>
      <w:r>
        <w:rPr>
          <w:rFonts w:hint="eastAsia" w:ascii="楷体" w:hAnsi="楷体" w:eastAsia="楷体" w:cs="楷体"/>
          <w:color w:val="auto"/>
          <w:szCs w:val="24"/>
          <w:highlight w:val="none"/>
        </w:rPr>
        <w:t>万元</w:t>
      </w:r>
      <w:r>
        <w:rPr>
          <w:rFonts w:hint="eastAsia" w:ascii="楷体" w:hAnsi="楷体" w:eastAsia="楷体" w:cs="楷体"/>
          <w:color w:val="auto"/>
          <w:szCs w:val="24"/>
          <w:highlight w:val="none"/>
          <w:vertAlign w:val="superscript"/>
        </w:rPr>
        <w:t>1</w:t>
      </w:r>
      <w:r>
        <w:rPr>
          <w:rFonts w:hint="eastAsia" w:ascii="楷体" w:hAnsi="楷体" w:eastAsia="楷体" w:cs="楷体"/>
          <w:color w:val="auto"/>
          <w:szCs w:val="24"/>
          <w:highlight w:val="none"/>
        </w:rPr>
        <w:t>，属于</w:t>
      </w:r>
      <w:r>
        <w:rPr>
          <w:rFonts w:hint="eastAsia" w:ascii="楷体" w:hAnsi="楷体" w:eastAsia="楷体" w:cs="楷体"/>
          <w:color w:val="auto"/>
          <w:szCs w:val="24"/>
          <w:highlight w:val="none"/>
          <w:u w:val="single"/>
        </w:rPr>
        <w:t>（中型企业、小型企业、微型企业）</w:t>
      </w:r>
      <w:r>
        <w:rPr>
          <w:rFonts w:hint="eastAsia" w:ascii="楷体" w:hAnsi="楷体" w:eastAsia="楷体" w:cs="楷体"/>
          <w:color w:val="auto"/>
          <w:szCs w:val="24"/>
          <w:highlight w:val="none"/>
        </w:rPr>
        <w:t>；</w:t>
      </w:r>
    </w:p>
    <w:p w14:paraId="29086180">
      <w:pPr>
        <w:spacing w:line="360" w:lineRule="auto"/>
        <w:ind w:firstLine="480" w:firstLineChars="200"/>
        <w:outlineLvl w:val="9"/>
        <w:rPr>
          <w:rFonts w:hint="eastAsia" w:ascii="楷体" w:hAnsi="楷体" w:eastAsia="楷体" w:cs="楷体"/>
          <w:color w:val="auto"/>
          <w:szCs w:val="24"/>
          <w:highlight w:val="none"/>
        </w:rPr>
      </w:pPr>
      <w:r>
        <w:rPr>
          <w:rFonts w:hint="eastAsia" w:ascii="楷体" w:hAnsi="楷体" w:eastAsia="楷体" w:cs="楷体"/>
          <w:color w:val="auto"/>
          <w:szCs w:val="24"/>
          <w:highlight w:val="none"/>
        </w:rPr>
        <w:t>2.</w:t>
      </w:r>
      <w:r>
        <w:rPr>
          <w:rFonts w:hint="eastAsia" w:ascii="楷体" w:hAnsi="楷体" w:eastAsia="楷体" w:cs="楷体"/>
          <w:color w:val="auto"/>
          <w:szCs w:val="24"/>
          <w:highlight w:val="none"/>
          <w:u w:val="single"/>
        </w:rPr>
        <w:t xml:space="preserve"> （标的名称） </w:t>
      </w:r>
      <w:r>
        <w:rPr>
          <w:rFonts w:hint="eastAsia" w:ascii="楷体" w:hAnsi="楷体" w:eastAsia="楷体" w:cs="楷体"/>
          <w:color w:val="auto"/>
          <w:szCs w:val="24"/>
          <w:highlight w:val="none"/>
        </w:rPr>
        <w:t>，属于</w:t>
      </w:r>
      <w:r>
        <w:rPr>
          <w:rFonts w:hint="eastAsia" w:ascii="楷体" w:hAnsi="楷体" w:eastAsia="楷体" w:cs="楷体"/>
          <w:color w:val="auto"/>
          <w:szCs w:val="24"/>
          <w:highlight w:val="none"/>
          <w:u w:val="single"/>
        </w:rPr>
        <w:t xml:space="preserve"> </w:t>
      </w:r>
      <w:r>
        <w:rPr>
          <w:rFonts w:hint="eastAsia" w:ascii="楷体" w:hAnsi="楷体" w:eastAsia="楷体" w:cs="楷体"/>
          <w:color w:val="auto"/>
          <w:szCs w:val="24"/>
          <w:highlight w:val="none"/>
          <w:u w:val="single"/>
          <w:lang w:val="en-US" w:eastAsia="zh-CN"/>
        </w:rPr>
        <w:t>其他未列明</w:t>
      </w:r>
      <w:r>
        <w:rPr>
          <w:rFonts w:hint="eastAsia" w:ascii="楷体" w:hAnsi="楷体" w:eastAsia="楷体" w:cs="楷体"/>
          <w:color w:val="auto"/>
          <w:szCs w:val="24"/>
          <w:highlight w:val="none"/>
          <w:u w:val="single"/>
        </w:rPr>
        <w:t xml:space="preserve"> </w:t>
      </w:r>
      <w:r>
        <w:rPr>
          <w:rFonts w:hint="eastAsia" w:ascii="楷体" w:hAnsi="楷体" w:eastAsia="楷体" w:cs="楷体"/>
          <w:color w:val="auto"/>
          <w:szCs w:val="24"/>
          <w:highlight w:val="none"/>
        </w:rPr>
        <w:t>行业；承建（承接）企业为</w:t>
      </w:r>
      <w:r>
        <w:rPr>
          <w:rFonts w:hint="eastAsia" w:ascii="楷体" w:hAnsi="楷体" w:eastAsia="楷体" w:cs="楷体"/>
          <w:color w:val="auto"/>
          <w:szCs w:val="24"/>
          <w:highlight w:val="none"/>
          <w:u w:val="single"/>
        </w:rPr>
        <w:t>（企业名称）</w:t>
      </w:r>
      <w:r>
        <w:rPr>
          <w:rFonts w:hint="eastAsia" w:ascii="楷体" w:hAnsi="楷体" w:eastAsia="楷体" w:cs="楷体"/>
          <w:color w:val="auto"/>
          <w:szCs w:val="24"/>
          <w:highlight w:val="none"/>
        </w:rPr>
        <w:t>，从业人员</w:t>
      </w:r>
      <w:r>
        <w:rPr>
          <w:rFonts w:hint="eastAsia" w:ascii="楷体" w:hAnsi="楷体" w:eastAsia="楷体" w:cs="楷体"/>
          <w:color w:val="auto"/>
          <w:szCs w:val="24"/>
          <w:highlight w:val="none"/>
          <w:u w:val="single"/>
        </w:rPr>
        <w:t xml:space="preserve"> </w:t>
      </w:r>
      <w:r>
        <w:rPr>
          <w:rFonts w:hint="eastAsia" w:ascii="楷体" w:hAnsi="楷体" w:eastAsia="楷体" w:cs="楷体"/>
          <w:color w:val="auto"/>
          <w:szCs w:val="24"/>
          <w:highlight w:val="none"/>
          <w:u w:val="single"/>
        </w:rPr>
        <w:tab/>
      </w:r>
      <w:r>
        <w:rPr>
          <w:rFonts w:hint="eastAsia" w:ascii="楷体" w:hAnsi="楷体" w:eastAsia="楷体" w:cs="楷体"/>
          <w:color w:val="auto"/>
          <w:szCs w:val="24"/>
          <w:highlight w:val="none"/>
          <w:u w:val="single"/>
        </w:rPr>
        <w:t xml:space="preserve"> </w:t>
      </w:r>
      <w:r>
        <w:rPr>
          <w:rFonts w:hint="eastAsia" w:ascii="楷体" w:hAnsi="楷体" w:eastAsia="楷体" w:cs="楷体"/>
          <w:color w:val="auto"/>
          <w:szCs w:val="24"/>
          <w:highlight w:val="none"/>
          <w:u w:val="single"/>
        </w:rPr>
        <w:tab/>
      </w:r>
      <w:r>
        <w:rPr>
          <w:rFonts w:hint="eastAsia" w:ascii="楷体" w:hAnsi="楷体" w:eastAsia="楷体" w:cs="楷体"/>
          <w:color w:val="auto"/>
          <w:szCs w:val="24"/>
          <w:highlight w:val="none"/>
        </w:rPr>
        <w:t>人，营业收入为</w:t>
      </w:r>
      <w:r>
        <w:rPr>
          <w:rFonts w:hint="eastAsia" w:ascii="楷体" w:hAnsi="楷体" w:eastAsia="楷体" w:cs="楷体"/>
          <w:color w:val="auto"/>
          <w:szCs w:val="24"/>
          <w:highlight w:val="none"/>
          <w:u w:val="single"/>
        </w:rPr>
        <w:t xml:space="preserve"> </w:t>
      </w:r>
      <w:r>
        <w:rPr>
          <w:rFonts w:hint="eastAsia" w:ascii="楷体" w:hAnsi="楷体" w:eastAsia="楷体" w:cs="楷体"/>
          <w:color w:val="auto"/>
          <w:szCs w:val="24"/>
          <w:highlight w:val="none"/>
          <w:u w:val="single"/>
        </w:rPr>
        <w:tab/>
      </w:r>
      <w:r>
        <w:rPr>
          <w:rFonts w:hint="eastAsia" w:ascii="楷体" w:hAnsi="楷体" w:eastAsia="楷体" w:cs="楷体"/>
          <w:color w:val="auto"/>
          <w:szCs w:val="24"/>
          <w:highlight w:val="none"/>
          <w:u w:val="single"/>
        </w:rPr>
        <w:t xml:space="preserve"> </w:t>
      </w:r>
      <w:r>
        <w:rPr>
          <w:rFonts w:hint="eastAsia" w:ascii="楷体" w:hAnsi="楷体" w:eastAsia="楷体" w:cs="楷体"/>
          <w:color w:val="auto"/>
          <w:szCs w:val="24"/>
          <w:highlight w:val="none"/>
          <w:u w:val="single"/>
        </w:rPr>
        <w:tab/>
      </w:r>
      <w:r>
        <w:rPr>
          <w:rFonts w:hint="eastAsia" w:ascii="楷体" w:hAnsi="楷体" w:eastAsia="楷体" w:cs="楷体"/>
          <w:color w:val="auto"/>
          <w:szCs w:val="24"/>
          <w:highlight w:val="none"/>
        </w:rPr>
        <w:t>万元，资产总额为</w:t>
      </w:r>
      <w:r>
        <w:rPr>
          <w:rFonts w:hint="eastAsia" w:ascii="楷体" w:hAnsi="楷体" w:eastAsia="楷体" w:cs="楷体"/>
          <w:color w:val="auto"/>
          <w:szCs w:val="24"/>
          <w:highlight w:val="none"/>
          <w:u w:val="single"/>
        </w:rPr>
        <w:t xml:space="preserve"> </w:t>
      </w:r>
      <w:r>
        <w:rPr>
          <w:rFonts w:hint="eastAsia" w:ascii="楷体" w:hAnsi="楷体" w:eastAsia="楷体" w:cs="楷体"/>
          <w:color w:val="auto"/>
          <w:szCs w:val="24"/>
          <w:highlight w:val="none"/>
          <w:u w:val="single"/>
        </w:rPr>
        <w:tab/>
      </w:r>
      <w:r>
        <w:rPr>
          <w:rFonts w:hint="eastAsia" w:ascii="楷体" w:hAnsi="楷体" w:eastAsia="楷体" w:cs="楷体"/>
          <w:color w:val="auto"/>
          <w:szCs w:val="24"/>
          <w:highlight w:val="none"/>
          <w:u w:val="single"/>
        </w:rPr>
        <w:t xml:space="preserve"> </w:t>
      </w:r>
      <w:r>
        <w:rPr>
          <w:rFonts w:hint="eastAsia" w:ascii="楷体" w:hAnsi="楷体" w:eastAsia="楷体" w:cs="楷体"/>
          <w:color w:val="auto"/>
          <w:szCs w:val="24"/>
          <w:highlight w:val="none"/>
          <w:u w:val="single"/>
        </w:rPr>
        <w:tab/>
      </w:r>
      <w:r>
        <w:rPr>
          <w:rFonts w:hint="eastAsia" w:ascii="楷体" w:hAnsi="楷体" w:eastAsia="楷体" w:cs="楷体"/>
          <w:color w:val="auto"/>
          <w:szCs w:val="24"/>
          <w:highlight w:val="none"/>
        </w:rPr>
        <w:t>万元，属于</w:t>
      </w:r>
      <w:r>
        <w:rPr>
          <w:rFonts w:hint="eastAsia" w:ascii="楷体" w:hAnsi="楷体" w:eastAsia="楷体" w:cs="楷体"/>
          <w:color w:val="auto"/>
          <w:szCs w:val="24"/>
          <w:highlight w:val="none"/>
          <w:u w:val="single"/>
        </w:rPr>
        <w:t>（中型企业、小型企业、微型企业）</w:t>
      </w:r>
      <w:r>
        <w:rPr>
          <w:rFonts w:hint="eastAsia" w:ascii="楷体" w:hAnsi="楷体" w:eastAsia="楷体" w:cs="楷体"/>
          <w:color w:val="auto"/>
          <w:szCs w:val="24"/>
          <w:highlight w:val="none"/>
        </w:rPr>
        <w:t>；</w:t>
      </w:r>
    </w:p>
    <w:p w14:paraId="62A9970C">
      <w:pPr>
        <w:spacing w:line="360" w:lineRule="auto"/>
        <w:ind w:firstLine="720" w:firstLineChars="300"/>
        <w:outlineLvl w:val="9"/>
        <w:rPr>
          <w:rFonts w:hint="eastAsia" w:ascii="楷体" w:hAnsi="楷体" w:eastAsia="楷体" w:cs="楷体"/>
          <w:color w:val="auto"/>
          <w:szCs w:val="24"/>
          <w:highlight w:val="none"/>
        </w:rPr>
      </w:pPr>
      <w:r>
        <w:rPr>
          <w:rFonts w:hint="eastAsia" w:ascii="楷体" w:hAnsi="楷体" w:eastAsia="楷体" w:cs="楷体"/>
          <w:color w:val="auto"/>
          <w:szCs w:val="24"/>
          <w:highlight w:val="none"/>
        </w:rPr>
        <w:t>……</w:t>
      </w:r>
    </w:p>
    <w:p w14:paraId="00B71217">
      <w:pPr>
        <w:spacing w:line="360" w:lineRule="auto"/>
        <w:ind w:firstLine="480" w:firstLineChars="200"/>
        <w:outlineLvl w:val="9"/>
        <w:rPr>
          <w:rFonts w:hint="eastAsia" w:ascii="楷体" w:hAnsi="楷体" w:eastAsia="楷体" w:cs="楷体"/>
          <w:color w:val="auto"/>
          <w:szCs w:val="24"/>
          <w:highlight w:val="none"/>
        </w:rPr>
      </w:pPr>
      <w:r>
        <w:rPr>
          <w:rFonts w:hint="eastAsia" w:ascii="楷体" w:hAnsi="楷体" w:eastAsia="楷体" w:cs="楷体"/>
          <w:color w:val="auto"/>
          <w:szCs w:val="24"/>
          <w:highlight w:val="none"/>
        </w:rPr>
        <w:t>以上企业，不属于大企业的分支机构，不存在控股股东为大企业的情形，也不存在与大企业的负责人为同一人的情形。</w:t>
      </w:r>
    </w:p>
    <w:p w14:paraId="444AD824">
      <w:pPr>
        <w:spacing w:line="360" w:lineRule="auto"/>
        <w:ind w:firstLine="480" w:firstLineChars="200"/>
        <w:outlineLvl w:val="9"/>
        <w:rPr>
          <w:rFonts w:hint="eastAsia" w:ascii="楷体" w:hAnsi="楷体" w:eastAsia="楷体" w:cs="楷体"/>
          <w:color w:val="auto"/>
          <w:szCs w:val="24"/>
          <w:highlight w:val="none"/>
        </w:rPr>
      </w:pPr>
      <w:r>
        <w:rPr>
          <w:rFonts w:hint="eastAsia" w:ascii="楷体" w:hAnsi="楷体" w:eastAsia="楷体" w:cs="楷体"/>
          <w:color w:val="auto"/>
          <w:szCs w:val="24"/>
          <w:highlight w:val="none"/>
        </w:rPr>
        <w:t>本企业对上述声明内容的真实性负责。如有虚假，将依法承担相应责任。</w:t>
      </w:r>
    </w:p>
    <w:p w14:paraId="512B8349">
      <w:pPr>
        <w:spacing w:line="360" w:lineRule="auto"/>
        <w:ind w:firstLine="3960" w:firstLineChars="1650"/>
        <w:jc w:val="left"/>
        <w:outlineLvl w:val="9"/>
        <w:rPr>
          <w:rFonts w:hint="eastAsia" w:ascii="楷体" w:hAnsi="楷体" w:eastAsia="楷体" w:cs="楷体"/>
          <w:color w:val="auto"/>
          <w:szCs w:val="24"/>
          <w:highlight w:val="none"/>
        </w:rPr>
      </w:pPr>
      <w:r>
        <w:rPr>
          <w:rFonts w:hint="eastAsia" w:ascii="楷体" w:hAnsi="楷体" w:eastAsia="楷体" w:cs="楷体"/>
          <w:color w:val="auto"/>
          <w:szCs w:val="24"/>
          <w:highlight w:val="none"/>
        </w:rPr>
        <w:t>企业名称（盖章）：</w:t>
      </w:r>
    </w:p>
    <w:p w14:paraId="6F17F8E3">
      <w:pPr>
        <w:spacing w:line="360" w:lineRule="auto"/>
        <w:ind w:firstLine="3960" w:firstLineChars="1650"/>
        <w:jc w:val="left"/>
        <w:outlineLvl w:val="9"/>
        <w:rPr>
          <w:rFonts w:hint="eastAsia" w:ascii="楷体" w:hAnsi="楷体" w:eastAsia="楷体" w:cs="楷体"/>
          <w:color w:val="auto"/>
          <w:szCs w:val="24"/>
          <w:highlight w:val="none"/>
        </w:rPr>
      </w:pPr>
      <w:r>
        <w:rPr>
          <w:rFonts w:hint="eastAsia" w:ascii="楷体" w:hAnsi="楷体" w:eastAsia="楷体" w:cs="楷体"/>
          <w:color w:val="auto"/>
          <w:szCs w:val="24"/>
          <w:highlight w:val="none"/>
        </w:rPr>
        <w:t>日期：</w:t>
      </w:r>
    </w:p>
    <w:p w14:paraId="118DAFE8">
      <w:pPr>
        <w:adjustRightInd w:val="0"/>
        <w:snapToGrid w:val="0"/>
        <w:spacing w:line="360" w:lineRule="auto"/>
        <w:outlineLvl w:val="9"/>
        <w:rPr>
          <w:rFonts w:hint="eastAsia" w:ascii="楷体" w:hAnsi="楷体" w:eastAsia="楷体" w:cs="楷体"/>
          <w:color w:val="auto"/>
          <w:szCs w:val="21"/>
          <w:highlight w:val="none"/>
        </w:rPr>
      </w:pPr>
    </w:p>
    <w:p w14:paraId="6C9E3DC1">
      <w:pPr>
        <w:adjustRightInd w:val="0"/>
        <w:snapToGrid w:val="0"/>
        <w:spacing w:line="360" w:lineRule="auto"/>
        <w:outlineLvl w:val="9"/>
        <w:rPr>
          <w:rFonts w:hint="eastAsia" w:ascii="楷体" w:hAnsi="楷体" w:eastAsia="楷体" w:cs="楷体"/>
          <w:color w:val="auto"/>
          <w:szCs w:val="21"/>
          <w:highlight w:val="none"/>
        </w:rPr>
      </w:pPr>
    </w:p>
    <w:p w14:paraId="3A9619B6">
      <w:pPr>
        <w:adjustRightInd w:val="0"/>
        <w:snapToGrid w:val="0"/>
        <w:spacing w:line="360" w:lineRule="auto"/>
        <w:ind w:firstLine="600" w:firstLineChars="250"/>
        <w:outlineLvl w:val="9"/>
        <w:rPr>
          <w:rFonts w:hint="eastAsia" w:ascii="楷体" w:hAnsi="楷体" w:eastAsia="楷体" w:cs="楷体"/>
          <w:color w:val="auto"/>
          <w:szCs w:val="21"/>
          <w:highlight w:val="none"/>
        </w:rPr>
      </w:pPr>
      <w:r>
        <w:rPr>
          <w:rFonts w:hint="eastAsia" w:ascii="楷体" w:hAnsi="楷体" w:eastAsia="楷体" w:cs="楷体"/>
          <w:color w:val="auto"/>
          <w:szCs w:val="21"/>
          <w:highlight w:val="none"/>
        </w:rPr>
        <w:t xml:space="preserve">说明：                                  </w:t>
      </w:r>
    </w:p>
    <w:p w14:paraId="7E3D638A">
      <w:pPr>
        <w:adjustRightInd w:val="0"/>
        <w:snapToGrid w:val="0"/>
        <w:spacing w:line="360" w:lineRule="auto"/>
        <w:ind w:firstLine="600" w:firstLineChars="250"/>
        <w:outlineLvl w:val="9"/>
        <w:rPr>
          <w:rFonts w:hint="eastAsia" w:ascii="楷体" w:hAnsi="楷体" w:eastAsia="楷体" w:cs="楷体"/>
          <w:color w:val="auto"/>
          <w:szCs w:val="21"/>
          <w:highlight w:val="none"/>
        </w:rPr>
      </w:pPr>
      <w:r>
        <w:rPr>
          <w:rFonts w:hint="eastAsia" w:ascii="楷体" w:hAnsi="楷体" w:eastAsia="楷体" w:cs="楷体"/>
          <w:color w:val="auto"/>
          <w:szCs w:val="21"/>
          <w:highlight w:val="none"/>
        </w:rPr>
        <w:t>从业人员、营业收入、资产总额填报上一年度数据，无上一年度数据的新成立企业可不填报。</w:t>
      </w:r>
    </w:p>
    <w:p w14:paraId="780C5E6B">
      <w:pPr>
        <w:adjustRightInd w:val="0"/>
        <w:snapToGrid w:val="0"/>
        <w:spacing w:line="360" w:lineRule="auto"/>
        <w:ind w:firstLine="600" w:firstLineChars="250"/>
        <w:outlineLvl w:val="9"/>
        <w:rPr>
          <w:rFonts w:hint="eastAsia" w:ascii="楷体" w:hAnsi="楷体" w:eastAsia="楷体" w:cs="楷体"/>
          <w:color w:val="auto"/>
          <w:szCs w:val="21"/>
          <w:highlight w:val="none"/>
        </w:rPr>
      </w:pPr>
      <w:r>
        <w:rPr>
          <w:rFonts w:hint="eastAsia" w:ascii="楷体" w:hAnsi="楷体" w:eastAsia="楷体" w:cs="楷体"/>
          <w:color w:val="auto"/>
          <w:szCs w:val="21"/>
          <w:highlight w:val="none"/>
        </w:rPr>
        <w:t>如不是该类企业则不需提供相关声明，若提供虚假材料谋取中标、成交的，将按照《</w:t>
      </w:r>
      <w:r>
        <w:rPr>
          <w:rFonts w:hint="eastAsia" w:ascii="楷体" w:hAnsi="楷体" w:eastAsia="楷体" w:cs="楷体"/>
          <w:color w:val="auto"/>
          <w:spacing w:val="4"/>
          <w:szCs w:val="24"/>
          <w:highlight w:val="none"/>
        </w:rPr>
        <w:t>中华人民共和国政府采购法</w:t>
      </w:r>
      <w:r>
        <w:rPr>
          <w:rFonts w:hint="eastAsia" w:ascii="楷体" w:hAnsi="楷体" w:eastAsia="楷体" w:cs="楷体"/>
          <w:color w:val="auto"/>
          <w:szCs w:val="21"/>
          <w:highlight w:val="none"/>
        </w:rPr>
        <w:t>》第七十七条规定对供应商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w:t>
      </w:r>
    </w:p>
    <w:p w14:paraId="408E4C64">
      <w:pPr>
        <w:spacing w:line="360" w:lineRule="auto"/>
        <w:jc w:val="left"/>
        <w:outlineLvl w:val="9"/>
        <w:rPr>
          <w:rFonts w:hint="eastAsia" w:ascii="楷体" w:hAnsi="楷体" w:eastAsia="楷体" w:cs="楷体"/>
          <w:b/>
          <w:bCs/>
          <w:color w:val="auto"/>
          <w:szCs w:val="24"/>
          <w:highlight w:val="none"/>
        </w:rPr>
      </w:pPr>
      <w:r>
        <w:rPr>
          <w:rFonts w:hint="eastAsia" w:ascii="楷体" w:hAnsi="楷体" w:eastAsia="楷体" w:cs="楷体"/>
          <w:b/>
          <w:bCs/>
          <w:color w:val="auto"/>
          <w:kern w:val="2"/>
          <w:sz w:val="30"/>
          <w:szCs w:val="30"/>
          <w:highlight w:val="none"/>
        </w:rPr>
        <w:t>附件</w:t>
      </w:r>
      <w:r>
        <w:rPr>
          <w:rFonts w:hint="eastAsia" w:ascii="楷体" w:hAnsi="楷体" w:eastAsia="楷体" w:cs="楷体"/>
          <w:b/>
          <w:bCs/>
          <w:color w:val="auto"/>
          <w:kern w:val="2"/>
          <w:sz w:val="30"/>
          <w:szCs w:val="30"/>
          <w:highlight w:val="none"/>
          <w:lang w:val="en-US" w:eastAsia="zh-CN"/>
        </w:rPr>
        <w:t>9</w:t>
      </w:r>
      <w:r>
        <w:rPr>
          <w:rFonts w:hint="eastAsia" w:ascii="楷体" w:hAnsi="楷体" w:eastAsia="楷体" w:cs="楷体"/>
          <w:b/>
          <w:bCs/>
          <w:color w:val="auto"/>
          <w:kern w:val="2"/>
          <w:sz w:val="30"/>
          <w:szCs w:val="30"/>
          <w:highlight w:val="none"/>
        </w:rPr>
        <w:t>：（如有）</w:t>
      </w:r>
    </w:p>
    <w:p w14:paraId="76046976">
      <w:pPr>
        <w:autoSpaceDE w:val="0"/>
        <w:autoSpaceDN w:val="0"/>
        <w:adjustRightInd w:val="0"/>
        <w:spacing w:line="360" w:lineRule="auto"/>
        <w:jc w:val="center"/>
        <w:outlineLvl w:val="9"/>
        <w:rPr>
          <w:rFonts w:hint="eastAsia" w:ascii="楷体" w:hAnsi="楷体" w:eastAsia="楷体" w:cs="楷体"/>
          <w:b/>
          <w:color w:val="auto"/>
          <w:sz w:val="30"/>
          <w:szCs w:val="30"/>
          <w:highlight w:val="none"/>
          <w:lang w:val="zh-CN"/>
        </w:rPr>
      </w:pPr>
      <w:bookmarkStart w:id="262" w:name="_Toc7170_WPSOffice_Level1"/>
      <w:bookmarkStart w:id="263" w:name="_Toc20308_WPSOffice_Level1"/>
      <w:r>
        <w:rPr>
          <w:rFonts w:hint="eastAsia" w:ascii="楷体" w:hAnsi="楷体" w:eastAsia="楷体" w:cs="楷体"/>
          <w:b/>
          <w:color w:val="auto"/>
          <w:sz w:val="30"/>
          <w:szCs w:val="30"/>
          <w:highlight w:val="none"/>
          <w:lang w:val="zh-CN"/>
        </w:rPr>
        <w:t>残疾人福利性单位声明函</w:t>
      </w:r>
      <w:bookmarkEnd w:id="262"/>
      <w:bookmarkEnd w:id="263"/>
    </w:p>
    <w:p w14:paraId="6A22F9AE">
      <w:pPr>
        <w:autoSpaceDE w:val="0"/>
        <w:autoSpaceDN w:val="0"/>
        <w:adjustRightInd w:val="0"/>
        <w:spacing w:line="360" w:lineRule="auto"/>
        <w:ind w:firstLine="480" w:firstLineChars="200"/>
        <w:jc w:val="left"/>
        <w:outlineLvl w:val="9"/>
        <w:rPr>
          <w:rFonts w:hint="eastAsia" w:ascii="楷体" w:hAnsi="楷体" w:eastAsia="楷体" w:cs="楷体"/>
          <w:bCs/>
          <w:color w:val="auto"/>
          <w:szCs w:val="24"/>
          <w:highlight w:val="none"/>
          <w:lang w:val="zh-CN"/>
        </w:rPr>
      </w:pPr>
    </w:p>
    <w:p w14:paraId="2C56F44F">
      <w:pPr>
        <w:autoSpaceDE w:val="0"/>
        <w:autoSpaceDN w:val="0"/>
        <w:adjustRightInd w:val="0"/>
        <w:spacing w:line="360" w:lineRule="auto"/>
        <w:ind w:firstLine="480" w:firstLineChars="200"/>
        <w:jc w:val="left"/>
        <w:outlineLvl w:val="9"/>
        <w:rPr>
          <w:rFonts w:hint="eastAsia" w:ascii="楷体" w:hAnsi="楷体" w:eastAsia="楷体" w:cs="楷体"/>
          <w:bCs/>
          <w:color w:val="auto"/>
          <w:szCs w:val="24"/>
          <w:highlight w:val="none"/>
          <w:lang w:val="zh-CN"/>
        </w:rPr>
      </w:pPr>
      <w:r>
        <w:rPr>
          <w:rFonts w:hint="eastAsia" w:ascii="楷体" w:hAnsi="楷体" w:eastAsia="楷体" w:cs="楷体"/>
          <w:bCs/>
          <w:color w:val="auto"/>
          <w:szCs w:val="24"/>
          <w:highlight w:val="none"/>
          <w:lang w:val="zh-CN"/>
        </w:rPr>
        <w:t>本单位郑重声明，根据《财政部 民政部 中国残疾人联合会关于促进残疾人就业政府采购政策的通知》（财库〔2017〕141号）的规定，本单位为符合条件的残疾人福利性单位，且本单位参加</w:t>
      </w:r>
      <w:r>
        <w:rPr>
          <w:rFonts w:hint="eastAsia" w:ascii="楷体" w:hAnsi="楷体" w:eastAsia="楷体" w:cs="楷体"/>
          <w:bCs/>
          <w:color w:val="auto"/>
          <w:szCs w:val="24"/>
          <w:highlight w:val="none"/>
          <w:u w:val="single"/>
        </w:rPr>
        <w:t xml:space="preserve">           </w:t>
      </w:r>
      <w:r>
        <w:rPr>
          <w:rFonts w:hint="eastAsia" w:ascii="楷体" w:hAnsi="楷体" w:eastAsia="楷体" w:cs="楷体"/>
          <w:bCs/>
          <w:color w:val="auto"/>
          <w:szCs w:val="24"/>
          <w:highlight w:val="none"/>
          <w:lang w:val="zh-CN"/>
        </w:rPr>
        <w:t>单位的</w:t>
      </w:r>
      <w:r>
        <w:rPr>
          <w:rFonts w:hint="eastAsia" w:ascii="楷体" w:hAnsi="楷体" w:eastAsia="楷体" w:cs="楷体"/>
          <w:bCs/>
          <w:color w:val="auto"/>
          <w:szCs w:val="24"/>
          <w:highlight w:val="none"/>
          <w:u w:val="single"/>
        </w:rPr>
        <w:t xml:space="preserve">           </w:t>
      </w:r>
      <w:r>
        <w:rPr>
          <w:rFonts w:hint="eastAsia" w:ascii="楷体" w:hAnsi="楷体" w:eastAsia="楷体" w:cs="楷体"/>
          <w:bCs/>
          <w:color w:val="auto"/>
          <w:szCs w:val="24"/>
          <w:highlight w:val="none"/>
          <w:lang w:val="zh-CN"/>
        </w:rPr>
        <w:t>项目采购活动提供本单位制造的货物（由本单位承担工程/提供服务），或者提供其他残疾人福利性单位制造的货物（不包括使用非残疾人福利性单位注册商标的货物）。</w:t>
      </w:r>
    </w:p>
    <w:p w14:paraId="6B102A91">
      <w:pPr>
        <w:autoSpaceDE w:val="0"/>
        <w:autoSpaceDN w:val="0"/>
        <w:adjustRightInd w:val="0"/>
        <w:spacing w:line="360" w:lineRule="auto"/>
        <w:ind w:firstLine="480" w:firstLineChars="200"/>
        <w:jc w:val="left"/>
        <w:outlineLvl w:val="9"/>
        <w:rPr>
          <w:rFonts w:hint="eastAsia" w:ascii="楷体" w:hAnsi="楷体" w:eastAsia="楷体" w:cs="楷体"/>
          <w:bCs/>
          <w:color w:val="auto"/>
          <w:szCs w:val="24"/>
          <w:highlight w:val="none"/>
          <w:lang w:val="zh-CN"/>
        </w:rPr>
      </w:pPr>
      <w:r>
        <w:rPr>
          <w:rFonts w:hint="eastAsia" w:ascii="楷体" w:hAnsi="楷体" w:eastAsia="楷体" w:cs="楷体"/>
          <w:bCs/>
          <w:color w:val="auto"/>
          <w:szCs w:val="24"/>
          <w:highlight w:val="none"/>
          <w:lang w:val="zh-CN"/>
        </w:rPr>
        <w:t>本单位对上述声明的真实性负责。如有虚假，将依法承担相应责任。</w:t>
      </w:r>
    </w:p>
    <w:p w14:paraId="28953DF0">
      <w:pPr>
        <w:autoSpaceDE w:val="0"/>
        <w:autoSpaceDN w:val="0"/>
        <w:adjustRightInd w:val="0"/>
        <w:spacing w:line="360" w:lineRule="auto"/>
        <w:ind w:firstLine="480" w:firstLineChars="200"/>
        <w:jc w:val="left"/>
        <w:outlineLvl w:val="9"/>
        <w:rPr>
          <w:rFonts w:hint="eastAsia" w:ascii="楷体" w:hAnsi="楷体" w:eastAsia="楷体" w:cs="楷体"/>
          <w:bCs/>
          <w:color w:val="auto"/>
          <w:szCs w:val="24"/>
          <w:highlight w:val="none"/>
          <w:lang w:val="zh-CN"/>
        </w:rPr>
      </w:pPr>
    </w:p>
    <w:p w14:paraId="669473FA">
      <w:pPr>
        <w:autoSpaceDE w:val="0"/>
        <w:autoSpaceDN w:val="0"/>
        <w:adjustRightInd w:val="0"/>
        <w:spacing w:line="360" w:lineRule="auto"/>
        <w:ind w:firstLine="480" w:firstLineChars="200"/>
        <w:jc w:val="left"/>
        <w:outlineLvl w:val="9"/>
        <w:rPr>
          <w:rFonts w:hint="eastAsia" w:ascii="楷体" w:hAnsi="楷体" w:eastAsia="楷体" w:cs="楷体"/>
          <w:bCs/>
          <w:color w:val="auto"/>
          <w:szCs w:val="24"/>
          <w:highlight w:val="none"/>
          <w:lang w:val="zh-CN"/>
        </w:rPr>
      </w:pPr>
    </w:p>
    <w:p w14:paraId="2415566D">
      <w:pPr>
        <w:autoSpaceDE w:val="0"/>
        <w:autoSpaceDN w:val="0"/>
        <w:adjustRightInd w:val="0"/>
        <w:spacing w:line="360" w:lineRule="auto"/>
        <w:ind w:firstLine="3840" w:firstLineChars="1600"/>
        <w:jc w:val="left"/>
        <w:outlineLvl w:val="9"/>
        <w:rPr>
          <w:rFonts w:hint="eastAsia" w:ascii="楷体" w:hAnsi="楷体" w:eastAsia="楷体" w:cs="楷体"/>
          <w:bCs/>
          <w:color w:val="auto"/>
          <w:szCs w:val="24"/>
          <w:highlight w:val="none"/>
          <w:lang w:val="zh-CN"/>
        </w:rPr>
      </w:pPr>
      <w:r>
        <w:rPr>
          <w:rFonts w:hint="eastAsia" w:ascii="楷体" w:hAnsi="楷体" w:eastAsia="楷体" w:cs="楷体"/>
          <w:bCs/>
          <w:color w:val="auto"/>
          <w:szCs w:val="24"/>
          <w:highlight w:val="none"/>
          <w:lang w:val="zh-CN"/>
        </w:rPr>
        <w:t>单位名称（盖章）：</w:t>
      </w:r>
    </w:p>
    <w:p w14:paraId="4E78D53D">
      <w:pPr>
        <w:autoSpaceDE w:val="0"/>
        <w:autoSpaceDN w:val="0"/>
        <w:adjustRightInd w:val="0"/>
        <w:spacing w:line="360" w:lineRule="auto"/>
        <w:ind w:firstLine="3840" w:firstLineChars="1600"/>
        <w:jc w:val="left"/>
        <w:outlineLvl w:val="9"/>
        <w:rPr>
          <w:rFonts w:hint="eastAsia" w:ascii="楷体" w:hAnsi="楷体" w:eastAsia="楷体" w:cs="楷体"/>
          <w:bCs/>
          <w:color w:val="auto"/>
          <w:szCs w:val="24"/>
          <w:highlight w:val="none"/>
          <w:lang w:val="zh-CN"/>
        </w:rPr>
      </w:pPr>
      <w:r>
        <w:rPr>
          <w:rFonts w:hint="eastAsia" w:ascii="楷体" w:hAnsi="楷体" w:eastAsia="楷体" w:cs="楷体"/>
          <w:bCs/>
          <w:color w:val="auto"/>
          <w:szCs w:val="24"/>
          <w:highlight w:val="none"/>
          <w:lang w:val="zh-CN"/>
        </w:rPr>
        <w:t>日  期：</w:t>
      </w:r>
    </w:p>
    <w:p w14:paraId="319BF5A5">
      <w:pPr>
        <w:adjustRightInd w:val="0"/>
        <w:snapToGrid w:val="0"/>
        <w:spacing w:line="360" w:lineRule="auto"/>
        <w:jc w:val="left"/>
        <w:outlineLvl w:val="9"/>
        <w:rPr>
          <w:rFonts w:hint="eastAsia" w:ascii="楷体" w:hAnsi="楷体" w:eastAsia="楷体" w:cs="楷体"/>
          <w:color w:val="auto"/>
          <w:highlight w:val="none"/>
        </w:rPr>
      </w:pPr>
    </w:p>
    <w:p w14:paraId="41821EF2">
      <w:pPr>
        <w:tabs>
          <w:tab w:val="left" w:pos="1620"/>
          <w:tab w:val="left" w:pos="1800"/>
        </w:tabs>
        <w:spacing w:line="360" w:lineRule="auto"/>
        <w:ind w:right="617" w:rightChars="257"/>
        <w:jc w:val="left"/>
        <w:outlineLvl w:val="9"/>
        <w:rPr>
          <w:rFonts w:hint="eastAsia" w:ascii="楷体" w:hAnsi="楷体" w:eastAsia="楷体" w:cs="楷体"/>
          <w:color w:val="auto"/>
          <w:highlight w:val="none"/>
        </w:rPr>
      </w:pPr>
    </w:p>
    <w:p w14:paraId="013CB6AE">
      <w:pPr>
        <w:autoSpaceDE w:val="0"/>
        <w:autoSpaceDN w:val="0"/>
        <w:adjustRightInd w:val="0"/>
        <w:spacing w:line="360" w:lineRule="auto"/>
        <w:jc w:val="left"/>
        <w:outlineLvl w:val="9"/>
        <w:rPr>
          <w:rFonts w:hint="eastAsia" w:ascii="楷体" w:hAnsi="楷体" w:eastAsia="楷体" w:cs="楷体"/>
          <w:bCs/>
          <w:color w:val="auto"/>
          <w:szCs w:val="24"/>
          <w:highlight w:val="none"/>
          <w:lang w:val="zh-CN"/>
        </w:rPr>
      </w:pPr>
    </w:p>
    <w:p w14:paraId="5CB8C023">
      <w:pPr>
        <w:autoSpaceDE w:val="0"/>
        <w:autoSpaceDN w:val="0"/>
        <w:adjustRightInd w:val="0"/>
        <w:spacing w:line="360" w:lineRule="auto"/>
        <w:jc w:val="left"/>
        <w:outlineLvl w:val="9"/>
        <w:rPr>
          <w:rFonts w:hint="eastAsia" w:ascii="楷体" w:hAnsi="楷体" w:eastAsia="楷体" w:cs="楷体"/>
          <w:bCs/>
          <w:color w:val="auto"/>
          <w:szCs w:val="24"/>
          <w:highlight w:val="none"/>
          <w:lang w:val="zh-CN"/>
        </w:rPr>
      </w:pPr>
    </w:p>
    <w:p w14:paraId="2EFCAFAF">
      <w:pPr>
        <w:autoSpaceDE w:val="0"/>
        <w:autoSpaceDN w:val="0"/>
        <w:adjustRightInd w:val="0"/>
        <w:spacing w:line="360" w:lineRule="auto"/>
        <w:jc w:val="left"/>
        <w:outlineLvl w:val="9"/>
        <w:rPr>
          <w:rFonts w:hint="eastAsia" w:ascii="楷体" w:hAnsi="楷体" w:eastAsia="楷体" w:cs="楷体"/>
          <w:bCs/>
          <w:color w:val="auto"/>
          <w:szCs w:val="24"/>
          <w:highlight w:val="none"/>
          <w:lang w:val="zh-CN"/>
        </w:rPr>
      </w:pPr>
      <w:r>
        <w:rPr>
          <w:rFonts w:hint="eastAsia" w:ascii="楷体" w:hAnsi="楷体" w:eastAsia="楷体" w:cs="楷体"/>
          <w:bCs/>
          <w:color w:val="auto"/>
          <w:szCs w:val="24"/>
          <w:highlight w:val="none"/>
          <w:lang w:val="zh-CN"/>
        </w:rPr>
        <w:t>注：</w:t>
      </w:r>
      <w:r>
        <w:rPr>
          <w:rFonts w:hint="eastAsia" w:ascii="楷体" w:hAnsi="楷体" w:eastAsia="楷体" w:cs="楷体"/>
          <w:bCs/>
          <w:color w:val="auto"/>
          <w:szCs w:val="24"/>
          <w:highlight w:val="none"/>
        </w:rPr>
        <w:t>1.供应商</w:t>
      </w:r>
      <w:r>
        <w:rPr>
          <w:rFonts w:hint="eastAsia" w:ascii="楷体" w:hAnsi="楷体" w:eastAsia="楷体" w:cs="楷体"/>
          <w:bCs/>
          <w:color w:val="auto"/>
          <w:szCs w:val="24"/>
          <w:highlight w:val="none"/>
          <w:lang w:val="zh-CN"/>
        </w:rPr>
        <w:t>应仔细阅读《财政部 民政部 中国残疾人联合会关于促进残疾人就业政府采购政策的通知》，并如实填写本表，符合条件的供应商未按上述要求提供、填写的，评审时不予以考虑。</w:t>
      </w:r>
    </w:p>
    <w:p w14:paraId="57D1BDDF">
      <w:pPr>
        <w:autoSpaceDE w:val="0"/>
        <w:autoSpaceDN w:val="0"/>
        <w:adjustRightInd w:val="0"/>
        <w:spacing w:line="360" w:lineRule="auto"/>
        <w:ind w:firstLine="240" w:firstLineChars="100"/>
        <w:jc w:val="left"/>
        <w:outlineLvl w:val="9"/>
        <w:rPr>
          <w:rFonts w:hint="eastAsia" w:ascii="楷体" w:hAnsi="楷体" w:eastAsia="楷体" w:cs="楷体"/>
          <w:b/>
          <w:color w:val="auto"/>
          <w:szCs w:val="24"/>
          <w:highlight w:val="none"/>
          <w:lang w:val="zh-CN"/>
        </w:rPr>
      </w:pPr>
      <w:r>
        <w:rPr>
          <w:rFonts w:hint="eastAsia" w:ascii="楷体" w:hAnsi="楷体" w:eastAsia="楷体" w:cs="楷体"/>
          <w:color w:val="auto"/>
          <w:szCs w:val="21"/>
          <w:highlight w:val="none"/>
        </w:rPr>
        <w:t>2.如不是该类企业则不需提供相关声明，若提供虚假材料谋取中标、成交的，将按照《</w:t>
      </w:r>
      <w:r>
        <w:rPr>
          <w:rFonts w:hint="eastAsia" w:ascii="楷体" w:hAnsi="楷体" w:eastAsia="楷体" w:cs="楷体"/>
          <w:color w:val="auto"/>
          <w:spacing w:val="4"/>
          <w:szCs w:val="24"/>
          <w:highlight w:val="none"/>
        </w:rPr>
        <w:t>中华人民共和国政府采购法</w:t>
      </w:r>
      <w:r>
        <w:rPr>
          <w:rFonts w:hint="eastAsia" w:ascii="楷体" w:hAnsi="楷体" w:eastAsia="楷体" w:cs="楷体"/>
          <w:color w:val="auto"/>
          <w:szCs w:val="21"/>
          <w:highlight w:val="none"/>
        </w:rPr>
        <w:t>》第七十七条规定对供应商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w:t>
      </w:r>
    </w:p>
    <w:p w14:paraId="35072602">
      <w:pPr>
        <w:pStyle w:val="8"/>
        <w:spacing w:line="360" w:lineRule="auto"/>
        <w:jc w:val="left"/>
        <w:outlineLvl w:val="9"/>
        <w:rPr>
          <w:rFonts w:hint="eastAsia" w:ascii="楷体" w:hAnsi="楷体" w:eastAsia="楷体" w:cs="楷体"/>
          <w:color w:val="auto"/>
          <w:highlight w:val="none"/>
        </w:rPr>
      </w:pPr>
    </w:p>
    <w:p w14:paraId="06146C16">
      <w:pPr>
        <w:pStyle w:val="8"/>
        <w:spacing w:line="360" w:lineRule="auto"/>
        <w:jc w:val="left"/>
        <w:outlineLvl w:val="9"/>
        <w:rPr>
          <w:rFonts w:hint="eastAsia" w:ascii="楷体" w:hAnsi="楷体" w:eastAsia="楷体" w:cs="楷体"/>
          <w:b/>
          <w:bCs/>
          <w:color w:val="auto"/>
          <w:sz w:val="30"/>
          <w:szCs w:val="30"/>
          <w:highlight w:val="none"/>
        </w:rPr>
      </w:pPr>
      <w:r>
        <w:rPr>
          <w:rFonts w:hint="eastAsia" w:ascii="楷体" w:hAnsi="楷体" w:eastAsia="楷体" w:cs="楷体"/>
          <w:b/>
          <w:bCs/>
          <w:color w:val="auto"/>
          <w:sz w:val="30"/>
          <w:szCs w:val="30"/>
          <w:highlight w:val="none"/>
        </w:rPr>
        <w:br w:type="page"/>
      </w:r>
      <w:r>
        <w:rPr>
          <w:rFonts w:hint="eastAsia" w:ascii="楷体" w:hAnsi="楷体" w:eastAsia="楷体" w:cs="楷体"/>
          <w:b/>
          <w:bCs/>
          <w:color w:val="auto"/>
          <w:sz w:val="30"/>
          <w:szCs w:val="30"/>
          <w:highlight w:val="none"/>
        </w:rPr>
        <w:t>附件</w:t>
      </w:r>
      <w:r>
        <w:rPr>
          <w:rFonts w:hint="eastAsia" w:ascii="楷体" w:hAnsi="楷体" w:eastAsia="楷体" w:cs="楷体"/>
          <w:b/>
          <w:bCs/>
          <w:color w:val="auto"/>
          <w:sz w:val="30"/>
          <w:szCs w:val="30"/>
          <w:highlight w:val="none"/>
          <w:lang w:val="en-US" w:eastAsia="zh-CN"/>
        </w:rPr>
        <w:t>10</w:t>
      </w:r>
      <w:r>
        <w:rPr>
          <w:rFonts w:hint="eastAsia" w:ascii="楷体" w:hAnsi="楷体" w:eastAsia="楷体" w:cs="楷体"/>
          <w:b/>
          <w:bCs/>
          <w:color w:val="auto"/>
          <w:sz w:val="30"/>
          <w:szCs w:val="30"/>
          <w:highlight w:val="none"/>
        </w:rPr>
        <w:t>：（如有）</w:t>
      </w:r>
    </w:p>
    <w:p w14:paraId="7DFCC4C9">
      <w:pPr>
        <w:pStyle w:val="8"/>
        <w:spacing w:line="360" w:lineRule="auto"/>
        <w:jc w:val="center"/>
        <w:outlineLvl w:val="9"/>
        <w:rPr>
          <w:rFonts w:hint="eastAsia" w:ascii="楷体" w:hAnsi="楷体" w:eastAsia="楷体" w:cs="楷体"/>
          <w:b/>
          <w:bCs/>
          <w:color w:val="auto"/>
          <w:sz w:val="30"/>
          <w:szCs w:val="30"/>
          <w:highlight w:val="none"/>
        </w:rPr>
      </w:pPr>
      <w:bookmarkStart w:id="264" w:name="_Toc14555_WPSOffice_Level1"/>
      <w:bookmarkStart w:id="265" w:name="_Toc30531_WPSOffice_Level1"/>
      <w:r>
        <w:rPr>
          <w:rFonts w:hint="eastAsia" w:ascii="楷体" w:hAnsi="楷体" w:eastAsia="楷体" w:cs="楷体"/>
          <w:b/>
          <w:bCs/>
          <w:color w:val="auto"/>
          <w:sz w:val="30"/>
          <w:szCs w:val="30"/>
          <w:highlight w:val="none"/>
        </w:rPr>
        <w:t>监狱企业证明文件</w:t>
      </w:r>
      <w:bookmarkEnd w:id="264"/>
      <w:bookmarkEnd w:id="265"/>
    </w:p>
    <w:p w14:paraId="016B951E">
      <w:pPr>
        <w:spacing w:line="360" w:lineRule="auto"/>
        <w:ind w:firstLine="480" w:firstLineChars="200"/>
        <w:jc w:val="left"/>
        <w:outlineLvl w:val="9"/>
        <w:rPr>
          <w:rFonts w:hint="eastAsia" w:ascii="楷体" w:hAnsi="楷体" w:eastAsia="楷体" w:cs="楷体"/>
          <w:color w:val="auto"/>
          <w:highlight w:val="none"/>
        </w:rPr>
      </w:pPr>
      <w:r>
        <w:rPr>
          <w:rFonts w:hint="eastAsia" w:ascii="楷体" w:hAnsi="楷体" w:eastAsia="楷体" w:cs="楷体"/>
          <w:color w:val="auto"/>
          <w:highlight w:val="none"/>
        </w:rPr>
        <w:t>根据财政部、司法部《关于政府采购支持监狱企业发展有关问题的通知》（财库〔2014〕68号）的规定，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1801ACE7">
      <w:pPr>
        <w:spacing w:line="360" w:lineRule="auto"/>
        <w:ind w:firstLine="480" w:firstLineChars="200"/>
        <w:jc w:val="left"/>
        <w:outlineLvl w:val="9"/>
        <w:rPr>
          <w:rFonts w:hint="eastAsia" w:ascii="楷体" w:hAnsi="楷体" w:eastAsia="楷体" w:cs="楷体"/>
          <w:b/>
          <w:bCs/>
          <w:color w:val="auto"/>
          <w:sz w:val="28"/>
          <w:szCs w:val="28"/>
          <w:highlight w:val="none"/>
        </w:rPr>
      </w:pPr>
      <w:r>
        <w:rPr>
          <w:rFonts w:hint="eastAsia" w:ascii="楷体" w:hAnsi="楷体" w:eastAsia="楷体" w:cs="楷体"/>
          <w:color w:val="auto"/>
          <w:highlight w:val="none"/>
        </w:rPr>
        <w:t>监狱企业参加政府采购活动时，应当提供由省级以上监狱管理局、戒毒管理局（含新疆生产建设兵团）出具的属于监狱企业的证明文件。</w:t>
      </w:r>
    </w:p>
    <w:p w14:paraId="0EAA6AE7">
      <w:pPr>
        <w:spacing w:before="156" w:beforeLines="50" w:after="312" w:afterLines="100"/>
        <w:jc w:val="left"/>
        <w:outlineLvl w:val="9"/>
        <w:rPr>
          <w:rFonts w:hint="eastAsia" w:ascii="楷体" w:hAnsi="楷体" w:eastAsia="楷体" w:cs="楷体"/>
          <w:b/>
          <w:bCs/>
          <w:color w:val="auto"/>
          <w:sz w:val="28"/>
          <w:szCs w:val="28"/>
          <w:highlight w:val="none"/>
        </w:rPr>
      </w:pPr>
    </w:p>
    <w:p w14:paraId="19605DF3">
      <w:pPr>
        <w:spacing w:before="156" w:beforeLines="50" w:after="312" w:afterLines="100"/>
        <w:jc w:val="left"/>
        <w:outlineLvl w:val="9"/>
        <w:rPr>
          <w:rFonts w:hint="eastAsia" w:ascii="楷体" w:hAnsi="楷体" w:eastAsia="楷体" w:cs="楷体"/>
          <w:b/>
          <w:bCs/>
          <w:color w:val="auto"/>
          <w:sz w:val="28"/>
          <w:szCs w:val="28"/>
          <w:highlight w:val="none"/>
        </w:rPr>
      </w:pPr>
    </w:p>
    <w:p w14:paraId="2BEFC0B4">
      <w:pPr>
        <w:spacing w:before="156" w:beforeLines="50" w:after="312" w:afterLines="100"/>
        <w:jc w:val="left"/>
        <w:outlineLvl w:val="9"/>
        <w:rPr>
          <w:rFonts w:hint="eastAsia" w:ascii="楷体" w:hAnsi="楷体" w:eastAsia="楷体" w:cs="楷体"/>
          <w:b/>
          <w:bCs/>
          <w:color w:val="auto"/>
          <w:sz w:val="28"/>
          <w:szCs w:val="28"/>
          <w:highlight w:val="none"/>
        </w:rPr>
      </w:pPr>
    </w:p>
    <w:p w14:paraId="26EE1D03">
      <w:pPr>
        <w:spacing w:before="156" w:beforeLines="50" w:after="312" w:afterLines="100"/>
        <w:jc w:val="left"/>
        <w:outlineLvl w:val="9"/>
        <w:rPr>
          <w:rFonts w:hint="eastAsia" w:ascii="楷体" w:hAnsi="楷体" w:eastAsia="楷体" w:cs="楷体"/>
          <w:b/>
          <w:bCs/>
          <w:color w:val="auto"/>
          <w:sz w:val="28"/>
          <w:szCs w:val="28"/>
          <w:highlight w:val="none"/>
        </w:rPr>
      </w:pPr>
    </w:p>
    <w:p w14:paraId="31A4B2AC">
      <w:pPr>
        <w:spacing w:before="156" w:beforeLines="50" w:after="312" w:afterLines="100"/>
        <w:jc w:val="left"/>
        <w:outlineLvl w:val="9"/>
        <w:rPr>
          <w:rFonts w:hint="eastAsia" w:ascii="楷体" w:hAnsi="楷体" w:eastAsia="楷体" w:cs="楷体"/>
          <w:b/>
          <w:bCs/>
          <w:color w:val="auto"/>
          <w:sz w:val="28"/>
          <w:szCs w:val="28"/>
          <w:highlight w:val="none"/>
        </w:rPr>
      </w:pPr>
    </w:p>
    <w:p w14:paraId="41969068">
      <w:pPr>
        <w:adjustRightInd w:val="0"/>
        <w:snapToGrid w:val="0"/>
        <w:spacing w:line="360" w:lineRule="auto"/>
        <w:outlineLvl w:val="9"/>
        <w:rPr>
          <w:rFonts w:hint="eastAsia" w:ascii="楷体" w:hAnsi="楷体" w:eastAsia="楷体" w:cs="楷体"/>
          <w:color w:val="auto"/>
          <w:szCs w:val="21"/>
          <w:highlight w:val="none"/>
        </w:rPr>
      </w:pPr>
      <w:r>
        <w:rPr>
          <w:rFonts w:hint="eastAsia" w:ascii="楷体" w:hAnsi="楷体" w:eastAsia="楷体" w:cs="楷体"/>
          <w:color w:val="auto"/>
          <w:szCs w:val="21"/>
          <w:highlight w:val="none"/>
        </w:rPr>
        <w:t>说明：</w:t>
      </w:r>
    </w:p>
    <w:p w14:paraId="0B85E57C">
      <w:pPr>
        <w:adjustRightInd w:val="0"/>
        <w:snapToGrid w:val="0"/>
        <w:spacing w:line="360" w:lineRule="auto"/>
        <w:ind w:firstLine="525"/>
        <w:outlineLvl w:val="9"/>
        <w:rPr>
          <w:rFonts w:hint="eastAsia" w:ascii="楷体" w:hAnsi="楷体" w:eastAsia="楷体" w:cs="楷体"/>
          <w:bCs/>
          <w:color w:val="auto"/>
          <w:szCs w:val="21"/>
          <w:highlight w:val="none"/>
        </w:rPr>
      </w:pPr>
      <w:r>
        <w:rPr>
          <w:rFonts w:hint="eastAsia" w:ascii="楷体" w:hAnsi="楷体" w:eastAsia="楷体" w:cs="楷体"/>
          <w:bCs/>
          <w:color w:val="auto"/>
          <w:szCs w:val="21"/>
          <w:highlight w:val="none"/>
        </w:rPr>
        <w:t>1.无格式要求，由出具监狱企业证明的单位自行拟定；</w:t>
      </w:r>
    </w:p>
    <w:p w14:paraId="5C112D25">
      <w:pPr>
        <w:adjustRightInd w:val="0"/>
        <w:snapToGrid w:val="0"/>
        <w:spacing w:line="360" w:lineRule="auto"/>
        <w:ind w:firstLine="525"/>
        <w:outlineLvl w:val="9"/>
        <w:rPr>
          <w:rFonts w:hint="eastAsia" w:ascii="楷体" w:hAnsi="楷体" w:eastAsia="楷体" w:cs="楷体"/>
          <w:color w:val="auto"/>
          <w:sz w:val="28"/>
          <w:szCs w:val="28"/>
          <w:highlight w:val="none"/>
        </w:rPr>
      </w:pPr>
      <w:r>
        <w:rPr>
          <w:rFonts w:hint="eastAsia" w:ascii="楷体" w:hAnsi="楷体" w:eastAsia="楷体" w:cs="楷体"/>
          <w:color w:val="auto"/>
          <w:szCs w:val="21"/>
          <w:highlight w:val="none"/>
        </w:rPr>
        <w:t>2.如不是该类企业则不需提供相关声明，若提供虚假材料谋取中标、成交的，将按照《</w:t>
      </w:r>
      <w:r>
        <w:rPr>
          <w:rFonts w:hint="eastAsia" w:ascii="楷体" w:hAnsi="楷体" w:eastAsia="楷体" w:cs="楷体"/>
          <w:color w:val="auto"/>
          <w:spacing w:val="4"/>
          <w:szCs w:val="24"/>
          <w:highlight w:val="none"/>
        </w:rPr>
        <w:t>中华人民共和国政府采购法</w:t>
      </w:r>
      <w:r>
        <w:rPr>
          <w:rFonts w:hint="eastAsia" w:ascii="楷体" w:hAnsi="楷体" w:eastAsia="楷体" w:cs="楷体"/>
          <w:color w:val="auto"/>
          <w:szCs w:val="21"/>
          <w:highlight w:val="none"/>
        </w:rPr>
        <w:t>》第七十七条规定对供应商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w:t>
      </w:r>
    </w:p>
    <w:p w14:paraId="25EC18E4">
      <w:pPr>
        <w:pStyle w:val="7"/>
        <w:outlineLvl w:val="9"/>
        <w:rPr>
          <w:rFonts w:hint="eastAsia" w:ascii="楷体" w:hAnsi="楷体" w:eastAsia="楷体" w:cs="楷体"/>
          <w:color w:val="auto"/>
          <w:highlight w:val="none"/>
        </w:rPr>
      </w:pPr>
    </w:p>
    <w:p w14:paraId="3A333AA2">
      <w:pPr>
        <w:outlineLvl w:val="9"/>
        <w:rPr>
          <w:rFonts w:hint="eastAsia" w:ascii="楷体" w:hAnsi="楷体" w:eastAsia="楷体" w:cs="楷体"/>
          <w:color w:val="auto"/>
          <w:sz w:val="32"/>
          <w:szCs w:val="32"/>
          <w:highlight w:val="none"/>
        </w:rPr>
      </w:pPr>
      <w:r>
        <w:rPr>
          <w:rFonts w:hint="eastAsia" w:ascii="楷体" w:hAnsi="楷体" w:eastAsia="楷体" w:cs="楷体"/>
          <w:b/>
          <w:bCs/>
          <w:color w:val="auto"/>
          <w:sz w:val="28"/>
          <w:szCs w:val="32"/>
          <w:highlight w:val="none"/>
        </w:rPr>
        <w:t>附件</w:t>
      </w:r>
      <w:r>
        <w:rPr>
          <w:rFonts w:hint="eastAsia" w:ascii="楷体" w:hAnsi="楷体" w:eastAsia="楷体" w:cs="楷体"/>
          <w:b/>
          <w:bCs/>
          <w:color w:val="auto"/>
          <w:sz w:val="28"/>
          <w:szCs w:val="32"/>
          <w:highlight w:val="none"/>
          <w:lang w:val="en-US" w:eastAsia="zh-CN"/>
        </w:rPr>
        <w:t>11</w:t>
      </w:r>
      <w:r>
        <w:rPr>
          <w:rFonts w:hint="eastAsia" w:ascii="楷体" w:hAnsi="楷体" w:eastAsia="楷体" w:cs="楷体"/>
          <w:b/>
          <w:bCs/>
          <w:color w:val="auto"/>
          <w:sz w:val="28"/>
          <w:szCs w:val="32"/>
          <w:highlight w:val="none"/>
        </w:rPr>
        <w:t>：</w:t>
      </w:r>
      <w:r>
        <w:rPr>
          <w:rFonts w:hint="eastAsia" w:ascii="楷体" w:hAnsi="楷体" w:eastAsia="楷体" w:cs="楷体"/>
          <w:b/>
          <w:bCs/>
          <w:color w:val="auto"/>
          <w:sz w:val="32"/>
          <w:szCs w:val="32"/>
          <w:highlight w:val="none"/>
        </w:rPr>
        <w:t xml:space="preserve"> </w:t>
      </w:r>
      <w:r>
        <w:rPr>
          <w:rFonts w:hint="eastAsia" w:ascii="楷体" w:hAnsi="楷体" w:eastAsia="楷体" w:cs="楷体"/>
          <w:color w:val="auto"/>
          <w:sz w:val="32"/>
          <w:szCs w:val="32"/>
          <w:highlight w:val="none"/>
        </w:rPr>
        <w:t xml:space="preserve">           </w:t>
      </w:r>
    </w:p>
    <w:p w14:paraId="788192C9">
      <w:pPr>
        <w:pStyle w:val="3"/>
        <w:spacing w:before="0" w:beforeLines="0" w:line="360" w:lineRule="auto"/>
        <w:rPr>
          <w:rFonts w:hint="eastAsia" w:ascii="楷体" w:hAnsi="楷体" w:eastAsia="楷体" w:cs="楷体"/>
          <w:color w:val="auto"/>
          <w:sz w:val="32"/>
          <w:szCs w:val="32"/>
          <w:highlight w:val="none"/>
        </w:rPr>
      </w:pPr>
      <w:bookmarkStart w:id="266" w:name="_Toc1161"/>
      <w:bookmarkStart w:id="267" w:name="_Toc15349"/>
      <w:bookmarkStart w:id="268" w:name="_Toc19656"/>
      <w:bookmarkStart w:id="269" w:name="_Toc29658"/>
      <w:bookmarkStart w:id="270" w:name="_Toc24929"/>
      <w:bookmarkStart w:id="271" w:name="_Toc25705"/>
      <w:bookmarkStart w:id="272" w:name="_Toc10590"/>
      <w:bookmarkStart w:id="273" w:name="_Toc32094"/>
      <w:bookmarkStart w:id="274" w:name="_Toc14543"/>
      <w:r>
        <w:rPr>
          <w:rFonts w:hint="eastAsia" w:ascii="楷体" w:hAnsi="楷体" w:eastAsia="楷体" w:cs="楷体"/>
          <w:color w:val="auto"/>
          <w:sz w:val="32"/>
          <w:szCs w:val="32"/>
          <w:highlight w:val="none"/>
        </w:rPr>
        <w:t>封袋正面标识式样</w:t>
      </w:r>
      <w:bookmarkEnd w:id="266"/>
      <w:bookmarkEnd w:id="267"/>
      <w:bookmarkEnd w:id="268"/>
      <w:bookmarkEnd w:id="269"/>
      <w:bookmarkEnd w:id="270"/>
      <w:bookmarkEnd w:id="271"/>
      <w:bookmarkEnd w:id="272"/>
      <w:bookmarkEnd w:id="273"/>
      <w:bookmarkEnd w:id="274"/>
    </w:p>
    <w:p w14:paraId="41D79323">
      <w:pPr>
        <w:spacing w:line="460" w:lineRule="exact"/>
        <w:rPr>
          <w:rFonts w:hint="eastAsia" w:ascii="楷体" w:hAnsi="楷体" w:eastAsia="楷体" w:cs="楷体"/>
          <w:b/>
          <w:color w:val="auto"/>
          <w:szCs w:val="24"/>
          <w:highlight w:val="none"/>
        </w:rPr>
      </w:pPr>
      <w:r>
        <w:rPr>
          <w:rFonts w:hint="eastAsia" w:ascii="楷体" w:hAnsi="楷体" w:eastAsia="楷体" w:cs="楷体"/>
          <w:b/>
          <w:color w:val="auto"/>
          <w:szCs w:val="24"/>
          <w:highlight w:val="none"/>
        </w:rPr>
        <w:t>格式A：磋商响应文件封袋正面标识式样</w:t>
      </w:r>
    </w:p>
    <w:p w14:paraId="09829957">
      <w:pPr>
        <w:spacing w:line="460" w:lineRule="exact"/>
        <w:ind w:firstLine="482" w:firstLineChars="200"/>
        <w:rPr>
          <w:rFonts w:hint="eastAsia" w:ascii="楷体" w:hAnsi="楷体" w:eastAsia="楷体" w:cs="楷体"/>
          <w:b/>
          <w:color w:val="auto"/>
          <w:highlight w:val="none"/>
        </w:rPr>
      </w:pPr>
      <w:r>
        <w:rPr>
          <w:rFonts w:hint="eastAsia" w:ascii="楷体" w:hAnsi="楷体" w:eastAsia="楷体" w:cs="楷体"/>
          <w:b/>
          <w:color w:val="auto"/>
          <w:highlight w:val="none"/>
          <w:lang w:val="zh-CN"/>
        </w:rPr>
        <mc:AlternateContent>
          <mc:Choice Requires="wps">
            <w:drawing>
              <wp:anchor distT="0" distB="0" distL="114300" distR="114300" simplePos="0" relativeHeight="251659264" behindDoc="0" locked="0" layoutInCell="1" allowOverlap="1">
                <wp:simplePos x="0" y="0"/>
                <wp:positionH relativeFrom="column">
                  <wp:posOffset>114300</wp:posOffset>
                </wp:positionH>
                <wp:positionV relativeFrom="paragraph">
                  <wp:posOffset>153670</wp:posOffset>
                </wp:positionV>
                <wp:extent cx="5479415" cy="3471545"/>
                <wp:effectExtent l="4445" t="4445" r="21590" b="10160"/>
                <wp:wrapNone/>
                <wp:docPr id="12" name="文本框 12"/>
                <wp:cNvGraphicFramePr/>
                <a:graphic xmlns:a="http://schemas.openxmlformats.org/drawingml/2006/main">
                  <a:graphicData uri="http://schemas.microsoft.com/office/word/2010/wordprocessingShape">
                    <wps:wsp>
                      <wps:cNvSpPr txBox="1"/>
                      <wps:spPr>
                        <a:xfrm>
                          <a:off x="0" y="0"/>
                          <a:ext cx="5479415" cy="347154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392E29A">
                            <w:pPr>
                              <w:rPr>
                                <w:rFonts w:hint="eastAsia" w:ascii="楷体" w:hAnsi="楷体" w:eastAsia="楷体" w:cs="仿宋"/>
                                <w:sz w:val="28"/>
                                <w:szCs w:val="28"/>
                                <w:lang w:eastAsia="zh-CN"/>
                              </w:rPr>
                            </w:pPr>
                            <w:r>
                              <w:rPr>
                                <w:rFonts w:hint="eastAsia" w:ascii="楷体" w:hAnsi="楷体" w:eastAsia="楷体" w:cs="仿宋"/>
                                <w:sz w:val="28"/>
                                <w:szCs w:val="28"/>
                              </w:rPr>
                              <w:t>致：</w:t>
                            </w:r>
                            <w:r>
                              <w:rPr>
                                <w:rFonts w:hint="eastAsia" w:ascii="楷体" w:hAnsi="楷体" w:eastAsia="楷体" w:cs="仿宋"/>
                                <w:sz w:val="28"/>
                                <w:szCs w:val="28"/>
                                <w:lang w:eastAsia="zh-CN"/>
                              </w:rPr>
                              <w:t>陕西正翼项目管理咨询有限公司</w:t>
                            </w:r>
                          </w:p>
                          <w:p w14:paraId="67F558FA">
                            <w:pPr>
                              <w:rPr>
                                <w:rFonts w:hint="eastAsia" w:ascii="楷体" w:hAnsi="楷体" w:eastAsia="楷体" w:cs="仿宋"/>
                                <w:color w:val="FF0000"/>
                                <w:sz w:val="28"/>
                                <w:szCs w:val="28"/>
                              </w:rPr>
                            </w:pPr>
                            <w:r>
                              <w:rPr>
                                <w:rFonts w:hint="eastAsia" w:ascii="楷体" w:hAnsi="楷体" w:eastAsia="楷体" w:cs="仿宋"/>
                                <w:sz w:val="28"/>
                                <w:szCs w:val="28"/>
                              </w:rPr>
                              <w:t xml:space="preserve">项目编号：                                  </w:t>
                            </w:r>
                            <w:r>
                              <w:rPr>
                                <w:rFonts w:hint="eastAsia" w:ascii="楷体" w:hAnsi="楷体" w:eastAsia="楷体" w:cs="仿宋"/>
                                <w:color w:val="000000"/>
                                <w:sz w:val="28"/>
                                <w:szCs w:val="28"/>
                              </w:rPr>
                              <w:t xml:space="preserve">      </w:t>
                            </w:r>
                          </w:p>
                          <w:p w14:paraId="76CC9D93">
                            <w:pPr>
                              <w:rPr>
                                <w:rFonts w:hint="eastAsia" w:ascii="楷体" w:hAnsi="楷体" w:eastAsia="楷体" w:cs="仿宋"/>
                                <w:sz w:val="28"/>
                                <w:szCs w:val="28"/>
                              </w:rPr>
                            </w:pPr>
                            <w:r>
                              <w:rPr>
                                <w:rFonts w:hint="eastAsia" w:ascii="楷体" w:hAnsi="楷体" w:eastAsia="楷体" w:cs="仿宋"/>
                                <w:sz w:val="28"/>
                                <w:szCs w:val="28"/>
                              </w:rPr>
                              <w:t>项目名称：</w:t>
                            </w:r>
                          </w:p>
                          <w:p w14:paraId="5D7BC975">
                            <w:pPr>
                              <w:rPr>
                                <w:rFonts w:hint="eastAsia" w:ascii="楷体" w:hAnsi="楷体" w:eastAsia="楷体" w:cs="仿宋"/>
                                <w:color w:val="FF0000"/>
                                <w:sz w:val="28"/>
                                <w:szCs w:val="28"/>
                              </w:rPr>
                            </w:pPr>
                            <w:r>
                              <w:rPr>
                                <w:rFonts w:hint="eastAsia" w:ascii="楷体" w:hAnsi="楷体" w:eastAsia="楷体" w:cs="仿宋"/>
                                <w:sz w:val="28"/>
                                <w:szCs w:val="28"/>
                                <w:lang w:val="en-US" w:eastAsia="zh-CN"/>
                              </w:rPr>
                              <w:t>采购包</w:t>
                            </w:r>
                            <w:r>
                              <w:rPr>
                                <w:rFonts w:hint="eastAsia" w:ascii="楷体" w:hAnsi="楷体" w:eastAsia="楷体" w:cs="仿宋"/>
                                <w:sz w:val="28"/>
                                <w:szCs w:val="28"/>
                                <w:u w:val="single"/>
                                <w:lang w:val="en-US" w:eastAsia="zh-CN"/>
                              </w:rPr>
                              <w:t xml:space="preserve">  </w:t>
                            </w:r>
                            <w:r>
                              <w:rPr>
                                <w:rFonts w:hint="eastAsia" w:ascii="楷体" w:hAnsi="楷体" w:eastAsia="楷体" w:cs="仿宋"/>
                                <w:sz w:val="28"/>
                                <w:szCs w:val="28"/>
                                <w:lang w:val="en-US" w:eastAsia="zh-CN"/>
                              </w:rPr>
                              <w:t xml:space="preserve"> </w:t>
                            </w:r>
                            <w:r>
                              <w:rPr>
                                <w:rFonts w:hint="eastAsia" w:ascii="楷体" w:hAnsi="楷体" w:eastAsia="楷体" w:cs="仿宋"/>
                                <w:sz w:val="28"/>
                                <w:szCs w:val="28"/>
                              </w:rPr>
                              <w:t xml:space="preserve">                             </w:t>
                            </w:r>
                          </w:p>
                          <w:p w14:paraId="1F90BBC9">
                            <w:pPr>
                              <w:jc w:val="center"/>
                              <w:rPr>
                                <w:rFonts w:hint="eastAsia" w:ascii="楷体" w:hAnsi="楷体" w:eastAsia="楷体" w:cs="仿宋"/>
                                <w:b/>
                                <w:sz w:val="44"/>
                                <w:szCs w:val="44"/>
                              </w:rPr>
                            </w:pPr>
                            <w:r>
                              <w:rPr>
                                <w:rFonts w:hint="eastAsia" w:ascii="楷体" w:hAnsi="楷体" w:eastAsia="楷体" w:cs="仿宋"/>
                                <w:b/>
                                <w:sz w:val="44"/>
                                <w:szCs w:val="44"/>
                              </w:rPr>
                              <w:t>磋商响应文件（正本或副本）</w:t>
                            </w:r>
                          </w:p>
                          <w:p w14:paraId="0D34FBA9">
                            <w:pPr>
                              <w:jc w:val="center"/>
                              <w:rPr>
                                <w:rFonts w:hint="eastAsia" w:ascii="楷体" w:hAnsi="楷体" w:eastAsia="楷体" w:cs="仿宋"/>
                                <w:sz w:val="28"/>
                                <w:szCs w:val="28"/>
                              </w:rPr>
                            </w:pPr>
                            <w:r>
                              <w:rPr>
                                <w:rFonts w:hint="eastAsia" w:ascii="楷体" w:hAnsi="楷体" w:eastAsia="楷体" w:cs="仿宋"/>
                                <w:sz w:val="28"/>
                                <w:szCs w:val="28"/>
                              </w:rPr>
                              <w:t>（非磋商会议不得启封）</w:t>
                            </w:r>
                          </w:p>
                          <w:p w14:paraId="06381504">
                            <w:pPr>
                              <w:rPr>
                                <w:rFonts w:hint="eastAsia" w:ascii="楷体" w:hAnsi="楷体" w:eastAsia="楷体" w:cs="仿宋"/>
                                <w:sz w:val="28"/>
                                <w:szCs w:val="28"/>
                              </w:rPr>
                            </w:pPr>
                            <w:r>
                              <w:rPr>
                                <w:rFonts w:hint="eastAsia" w:ascii="楷体" w:hAnsi="楷体" w:eastAsia="楷体" w:cs="仿宋"/>
                                <w:sz w:val="28"/>
                                <w:szCs w:val="28"/>
                              </w:rPr>
                              <w:t xml:space="preserve">供应商名称（公章）： </w:t>
                            </w:r>
                          </w:p>
                          <w:p w14:paraId="75FE3381">
                            <w:pPr>
                              <w:rPr>
                                <w:rFonts w:hint="eastAsia" w:ascii="楷体" w:hAnsi="楷体" w:eastAsia="楷体" w:cs="仿宋"/>
                                <w:sz w:val="28"/>
                                <w:szCs w:val="28"/>
                              </w:rPr>
                            </w:pPr>
                            <w:r>
                              <w:rPr>
                                <w:rFonts w:hint="eastAsia" w:ascii="楷体" w:hAnsi="楷体" w:eastAsia="楷体" w:cs="仿宋"/>
                                <w:sz w:val="28"/>
                                <w:szCs w:val="28"/>
                              </w:rPr>
                              <w:t>磋商时间：</w:t>
                            </w:r>
                          </w:p>
                          <w:p w14:paraId="54261464">
                            <w:pPr>
                              <w:rPr>
                                <w:sz w:val="28"/>
                                <w:szCs w:val="28"/>
                              </w:rPr>
                            </w:pPr>
                            <w:r>
                              <w:rPr>
                                <w:rFonts w:hint="eastAsia"/>
                                <w:sz w:val="28"/>
                                <w:szCs w:val="28"/>
                              </w:rPr>
                              <w:t xml:space="preserve">                                </w:t>
                            </w:r>
                          </w:p>
                        </w:txbxContent>
                      </wps:txbx>
                      <wps:bodyPr upright="1"/>
                    </wps:wsp>
                  </a:graphicData>
                </a:graphic>
              </wp:anchor>
            </w:drawing>
          </mc:Choice>
          <mc:Fallback>
            <w:pict>
              <v:shape id="_x0000_s1026" o:spid="_x0000_s1026" o:spt="202" type="#_x0000_t202" style="position:absolute;left:0pt;margin-left:9pt;margin-top:12.1pt;height:273.35pt;width:431.45pt;z-index:251659264;mso-width-relative:page;mso-height-relative:page;" fillcolor="#FFFFFF" filled="t" stroked="t" coordsize="21600,21600" o:gfxdata="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Dwuh12AAAAAkBAAAPAAAAAAAAAAEAIAAA&#10;ACIAAABkcnMvZG93bnJldi54bWxQSwECFAAUAAAACACHTuJAHufktAwCAAA5BAAADgAAAAAAAAAB&#10;ACAAAAAnAQAAZHJzL2Uyb0RvYy54bWxQSwUGAAAAAAYABgBZAQAApQUAAAAA&#10;">
                <v:fill on="t" focussize="0,0"/>
                <v:stroke color="#000000" joinstyle="miter"/>
                <v:imagedata o:title=""/>
                <o:lock v:ext="edit" aspectratio="f"/>
                <v:textbox>
                  <w:txbxContent>
                    <w:p w14:paraId="0392E29A">
                      <w:pPr>
                        <w:rPr>
                          <w:rFonts w:hint="eastAsia" w:ascii="楷体" w:hAnsi="楷体" w:eastAsia="楷体" w:cs="仿宋"/>
                          <w:sz w:val="28"/>
                          <w:szCs w:val="28"/>
                          <w:lang w:eastAsia="zh-CN"/>
                        </w:rPr>
                      </w:pPr>
                      <w:r>
                        <w:rPr>
                          <w:rFonts w:hint="eastAsia" w:ascii="楷体" w:hAnsi="楷体" w:eastAsia="楷体" w:cs="仿宋"/>
                          <w:sz w:val="28"/>
                          <w:szCs w:val="28"/>
                        </w:rPr>
                        <w:t>致：</w:t>
                      </w:r>
                      <w:r>
                        <w:rPr>
                          <w:rFonts w:hint="eastAsia" w:ascii="楷体" w:hAnsi="楷体" w:eastAsia="楷体" w:cs="仿宋"/>
                          <w:sz w:val="28"/>
                          <w:szCs w:val="28"/>
                          <w:lang w:eastAsia="zh-CN"/>
                        </w:rPr>
                        <w:t>陕西正翼项目管理咨询有限公司</w:t>
                      </w:r>
                    </w:p>
                    <w:p w14:paraId="67F558FA">
                      <w:pPr>
                        <w:rPr>
                          <w:rFonts w:hint="eastAsia" w:ascii="楷体" w:hAnsi="楷体" w:eastAsia="楷体" w:cs="仿宋"/>
                          <w:color w:val="FF0000"/>
                          <w:sz w:val="28"/>
                          <w:szCs w:val="28"/>
                        </w:rPr>
                      </w:pPr>
                      <w:r>
                        <w:rPr>
                          <w:rFonts w:hint="eastAsia" w:ascii="楷体" w:hAnsi="楷体" w:eastAsia="楷体" w:cs="仿宋"/>
                          <w:sz w:val="28"/>
                          <w:szCs w:val="28"/>
                        </w:rPr>
                        <w:t xml:space="preserve">项目编号：                                  </w:t>
                      </w:r>
                      <w:r>
                        <w:rPr>
                          <w:rFonts w:hint="eastAsia" w:ascii="楷体" w:hAnsi="楷体" w:eastAsia="楷体" w:cs="仿宋"/>
                          <w:color w:val="000000"/>
                          <w:sz w:val="28"/>
                          <w:szCs w:val="28"/>
                        </w:rPr>
                        <w:t xml:space="preserve">      </w:t>
                      </w:r>
                    </w:p>
                    <w:p w14:paraId="76CC9D93">
                      <w:pPr>
                        <w:rPr>
                          <w:rFonts w:hint="eastAsia" w:ascii="楷体" w:hAnsi="楷体" w:eastAsia="楷体" w:cs="仿宋"/>
                          <w:sz w:val="28"/>
                          <w:szCs w:val="28"/>
                        </w:rPr>
                      </w:pPr>
                      <w:r>
                        <w:rPr>
                          <w:rFonts w:hint="eastAsia" w:ascii="楷体" w:hAnsi="楷体" w:eastAsia="楷体" w:cs="仿宋"/>
                          <w:sz w:val="28"/>
                          <w:szCs w:val="28"/>
                        </w:rPr>
                        <w:t>项目名称：</w:t>
                      </w:r>
                    </w:p>
                    <w:p w14:paraId="5D7BC975">
                      <w:pPr>
                        <w:rPr>
                          <w:rFonts w:hint="eastAsia" w:ascii="楷体" w:hAnsi="楷体" w:eastAsia="楷体" w:cs="仿宋"/>
                          <w:color w:val="FF0000"/>
                          <w:sz w:val="28"/>
                          <w:szCs w:val="28"/>
                        </w:rPr>
                      </w:pPr>
                      <w:r>
                        <w:rPr>
                          <w:rFonts w:hint="eastAsia" w:ascii="楷体" w:hAnsi="楷体" w:eastAsia="楷体" w:cs="仿宋"/>
                          <w:sz w:val="28"/>
                          <w:szCs w:val="28"/>
                          <w:lang w:val="en-US" w:eastAsia="zh-CN"/>
                        </w:rPr>
                        <w:t>采购包</w:t>
                      </w:r>
                      <w:r>
                        <w:rPr>
                          <w:rFonts w:hint="eastAsia" w:ascii="楷体" w:hAnsi="楷体" w:eastAsia="楷体" w:cs="仿宋"/>
                          <w:sz w:val="28"/>
                          <w:szCs w:val="28"/>
                          <w:u w:val="single"/>
                          <w:lang w:val="en-US" w:eastAsia="zh-CN"/>
                        </w:rPr>
                        <w:t xml:space="preserve">  </w:t>
                      </w:r>
                      <w:r>
                        <w:rPr>
                          <w:rFonts w:hint="eastAsia" w:ascii="楷体" w:hAnsi="楷体" w:eastAsia="楷体" w:cs="仿宋"/>
                          <w:sz w:val="28"/>
                          <w:szCs w:val="28"/>
                          <w:lang w:val="en-US" w:eastAsia="zh-CN"/>
                        </w:rPr>
                        <w:t xml:space="preserve"> </w:t>
                      </w:r>
                      <w:r>
                        <w:rPr>
                          <w:rFonts w:hint="eastAsia" w:ascii="楷体" w:hAnsi="楷体" w:eastAsia="楷体" w:cs="仿宋"/>
                          <w:sz w:val="28"/>
                          <w:szCs w:val="28"/>
                        </w:rPr>
                        <w:t xml:space="preserve">                             </w:t>
                      </w:r>
                    </w:p>
                    <w:p w14:paraId="1F90BBC9">
                      <w:pPr>
                        <w:jc w:val="center"/>
                        <w:rPr>
                          <w:rFonts w:hint="eastAsia" w:ascii="楷体" w:hAnsi="楷体" w:eastAsia="楷体" w:cs="仿宋"/>
                          <w:b/>
                          <w:sz w:val="44"/>
                          <w:szCs w:val="44"/>
                        </w:rPr>
                      </w:pPr>
                      <w:r>
                        <w:rPr>
                          <w:rFonts w:hint="eastAsia" w:ascii="楷体" w:hAnsi="楷体" w:eastAsia="楷体" w:cs="仿宋"/>
                          <w:b/>
                          <w:sz w:val="44"/>
                          <w:szCs w:val="44"/>
                        </w:rPr>
                        <w:t>磋商响应文件（正本或副本）</w:t>
                      </w:r>
                    </w:p>
                    <w:p w14:paraId="0D34FBA9">
                      <w:pPr>
                        <w:jc w:val="center"/>
                        <w:rPr>
                          <w:rFonts w:hint="eastAsia" w:ascii="楷体" w:hAnsi="楷体" w:eastAsia="楷体" w:cs="仿宋"/>
                          <w:sz w:val="28"/>
                          <w:szCs w:val="28"/>
                        </w:rPr>
                      </w:pPr>
                      <w:r>
                        <w:rPr>
                          <w:rFonts w:hint="eastAsia" w:ascii="楷体" w:hAnsi="楷体" w:eastAsia="楷体" w:cs="仿宋"/>
                          <w:sz w:val="28"/>
                          <w:szCs w:val="28"/>
                        </w:rPr>
                        <w:t>（非磋商会议不得启封）</w:t>
                      </w:r>
                    </w:p>
                    <w:p w14:paraId="06381504">
                      <w:pPr>
                        <w:rPr>
                          <w:rFonts w:hint="eastAsia" w:ascii="楷体" w:hAnsi="楷体" w:eastAsia="楷体" w:cs="仿宋"/>
                          <w:sz w:val="28"/>
                          <w:szCs w:val="28"/>
                        </w:rPr>
                      </w:pPr>
                      <w:r>
                        <w:rPr>
                          <w:rFonts w:hint="eastAsia" w:ascii="楷体" w:hAnsi="楷体" w:eastAsia="楷体" w:cs="仿宋"/>
                          <w:sz w:val="28"/>
                          <w:szCs w:val="28"/>
                        </w:rPr>
                        <w:t xml:space="preserve">供应商名称（公章）： </w:t>
                      </w:r>
                    </w:p>
                    <w:p w14:paraId="75FE3381">
                      <w:pPr>
                        <w:rPr>
                          <w:rFonts w:hint="eastAsia" w:ascii="楷体" w:hAnsi="楷体" w:eastAsia="楷体" w:cs="仿宋"/>
                          <w:sz w:val="28"/>
                          <w:szCs w:val="28"/>
                        </w:rPr>
                      </w:pPr>
                      <w:r>
                        <w:rPr>
                          <w:rFonts w:hint="eastAsia" w:ascii="楷体" w:hAnsi="楷体" w:eastAsia="楷体" w:cs="仿宋"/>
                          <w:sz w:val="28"/>
                          <w:szCs w:val="28"/>
                        </w:rPr>
                        <w:t>磋商时间：</w:t>
                      </w:r>
                    </w:p>
                    <w:p w14:paraId="54261464">
                      <w:pPr>
                        <w:rPr>
                          <w:sz w:val="28"/>
                          <w:szCs w:val="28"/>
                        </w:rPr>
                      </w:pPr>
                      <w:r>
                        <w:rPr>
                          <w:rFonts w:hint="eastAsia"/>
                          <w:sz w:val="28"/>
                          <w:szCs w:val="28"/>
                        </w:rPr>
                        <w:t xml:space="preserve">                                </w:t>
                      </w:r>
                    </w:p>
                  </w:txbxContent>
                </v:textbox>
              </v:shape>
            </w:pict>
          </mc:Fallback>
        </mc:AlternateContent>
      </w:r>
    </w:p>
    <w:p w14:paraId="5FB4CEB5">
      <w:pPr>
        <w:spacing w:line="420" w:lineRule="exact"/>
        <w:rPr>
          <w:rFonts w:hint="eastAsia" w:ascii="楷体" w:hAnsi="楷体" w:eastAsia="楷体" w:cs="楷体"/>
          <w:b/>
          <w:color w:val="auto"/>
          <w:sz w:val="32"/>
          <w:szCs w:val="32"/>
          <w:highlight w:val="none"/>
        </w:rPr>
      </w:pPr>
    </w:p>
    <w:p w14:paraId="741805D5">
      <w:pPr>
        <w:rPr>
          <w:rFonts w:hint="eastAsia" w:ascii="楷体" w:hAnsi="楷体" w:eastAsia="楷体" w:cs="楷体"/>
          <w:color w:val="auto"/>
          <w:highlight w:val="none"/>
        </w:rPr>
      </w:pPr>
    </w:p>
    <w:p w14:paraId="32719AC8">
      <w:pPr>
        <w:rPr>
          <w:rFonts w:hint="eastAsia" w:ascii="楷体" w:hAnsi="楷体" w:eastAsia="楷体" w:cs="楷体"/>
          <w:color w:val="auto"/>
          <w:highlight w:val="none"/>
        </w:rPr>
      </w:pPr>
    </w:p>
    <w:p w14:paraId="296BC606">
      <w:pPr>
        <w:rPr>
          <w:rFonts w:hint="eastAsia" w:ascii="楷体" w:hAnsi="楷体" w:eastAsia="楷体" w:cs="楷体"/>
          <w:color w:val="auto"/>
          <w:highlight w:val="none"/>
        </w:rPr>
      </w:pPr>
    </w:p>
    <w:p w14:paraId="60C56C27">
      <w:pPr>
        <w:rPr>
          <w:rFonts w:hint="eastAsia" w:ascii="楷体" w:hAnsi="楷体" w:eastAsia="楷体" w:cs="楷体"/>
          <w:color w:val="auto"/>
          <w:highlight w:val="none"/>
        </w:rPr>
      </w:pPr>
    </w:p>
    <w:p w14:paraId="6291E7E1">
      <w:pPr>
        <w:rPr>
          <w:rFonts w:hint="eastAsia" w:ascii="楷体" w:hAnsi="楷体" w:eastAsia="楷体" w:cs="楷体"/>
          <w:color w:val="auto"/>
          <w:highlight w:val="none"/>
        </w:rPr>
      </w:pPr>
    </w:p>
    <w:p w14:paraId="4F715032">
      <w:pPr>
        <w:rPr>
          <w:rFonts w:hint="eastAsia" w:ascii="楷体" w:hAnsi="楷体" w:eastAsia="楷体" w:cs="楷体"/>
          <w:color w:val="auto"/>
          <w:highlight w:val="none"/>
        </w:rPr>
      </w:pPr>
    </w:p>
    <w:p w14:paraId="664CD33E">
      <w:pPr>
        <w:rPr>
          <w:rFonts w:hint="eastAsia" w:ascii="楷体" w:hAnsi="楷体" w:eastAsia="楷体" w:cs="楷体"/>
          <w:color w:val="auto"/>
          <w:highlight w:val="none"/>
        </w:rPr>
      </w:pPr>
    </w:p>
    <w:p w14:paraId="2C93EF34">
      <w:pPr>
        <w:rPr>
          <w:rFonts w:hint="eastAsia" w:ascii="楷体" w:hAnsi="楷体" w:eastAsia="楷体" w:cs="楷体"/>
          <w:color w:val="auto"/>
          <w:highlight w:val="none"/>
        </w:rPr>
      </w:pPr>
    </w:p>
    <w:p w14:paraId="192241E8">
      <w:pPr>
        <w:rPr>
          <w:rFonts w:hint="eastAsia" w:ascii="楷体" w:hAnsi="楷体" w:eastAsia="楷体" w:cs="楷体"/>
          <w:color w:val="auto"/>
          <w:highlight w:val="none"/>
        </w:rPr>
      </w:pPr>
    </w:p>
    <w:p w14:paraId="7FFD718B">
      <w:pPr>
        <w:rPr>
          <w:rFonts w:hint="eastAsia" w:ascii="楷体" w:hAnsi="楷体" w:eastAsia="楷体" w:cs="楷体"/>
          <w:color w:val="auto"/>
          <w:highlight w:val="none"/>
        </w:rPr>
      </w:pPr>
    </w:p>
    <w:p w14:paraId="06ABB09D">
      <w:pPr>
        <w:rPr>
          <w:rFonts w:hint="eastAsia" w:ascii="楷体" w:hAnsi="楷体" w:eastAsia="楷体" w:cs="楷体"/>
          <w:b/>
          <w:color w:val="auto"/>
          <w:highlight w:val="none"/>
        </w:rPr>
      </w:pPr>
      <w:r>
        <w:rPr>
          <w:rFonts w:hint="eastAsia" w:ascii="楷体" w:hAnsi="楷体" w:eastAsia="楷体" w:cs="楷体"/>
          <w:b/>
          <w:color w:val="auto"/>
          <w:highlight w:val="none"/>
        </w:rPr>
        <w:t xml:space="preserve">    </w:t>
      </w:r>
    </w:p>
    <w:p w14:paraId="50B95AB5">
      <w:pPr>
        <w:rPr>
          <w:rFonts w:hint="eastAsia" w:ascii="楷体" w:hAnsi="楷体" w:eastAsia="楷体" w:cs="楷体"/>
          <w:b/>
          <w:color w:val="auto"/>
          <w:highlight w:val="none"/>
        </w:rPr>
      </w:pPr>
    </w:p>
    <w:p w14:paraId="6FA4D232">
      <w:pPr>
        <w:rPr>
          <w:rFonts w:hint="eastAsia" w:ascii="楷体" w:hAnsi="楷体" w:eastAsia="楷体" w:cs="楷体"/>
          <w:b/>
          <w:color w:val="auto"/>
          <w:highlight w:val="none"/>
        </w:rPr>
      </w:pPr>
    </w:p>
    <w:p w14:paraId="6411F98F">
      <w:pPr>
        <w:rPr>
          <w:rFonts w:hint="eastAsia" w:ascii="楷体" w:hAnsi="楷体" w:eastAsia="楷体" w:cs="楷体"/>
          <w:b/>
          <w:color w:val="auto"/>
          <w:highlight w:val="none"/>
        </w:rPr>
      </w:pPr>
    </w:p>
    <w:p w14:paraId="1D3E156C">
      <w:pPr>
        <w:rPr>
          <w:rFonts w:hint="eastAsia" w:ascii="楷体" w:hAnsi="楷体" w:eastAsia="楷体" w:cs="楷体"/>
          <w:b/>
          <w:color w:val="auto"/>
          <w:highlight w:val="none"/>
        </w:rPr>
      </w:pPr>
    </w:p>
    <w:p w14:paraId="52BCEDEA">
      <w:pPr>
        <w:rPr>
          <w:rFonts w:hint="eastAsia" w:ascii="楷体" w:hAnsi="楷体" w:eastAsia="楷体" w:cs="楷体"/>
          <w:b/>
          <w:color w:val="auto"/>
          <w:highlight w:val="none"/>
        </w:rPr>
      </w:pPr>
    </w:p>
    <w:p w14:paraId="4BF67D17">
      <w:pPr>
        <w:rPr>
          <w:rFonts w:hint="eastAsia" w:ascii="楷体" w:hAnsi="楷体" w:eastAsia="楷体" w:cs="楷体"/>
          <w:b/>
          <w:color w:val="auto"/>
          <w:szCs w:val="24"/>
          <w:highlight w:val="none"/>
        </w:rPr>
      </w:pPr>
      <w:r>
        <w:rPr>
          <w:rFonts w:hint="eastAsia" w:ascii="楷体" w:hAnsi="楷体" w:eastAsia="楷体" w:cs="楷体"/>
          <w:b/>
          <w:color w:val="auto"/>
          <w:szCs w:val="24"/>
          <w:highlight w:val="none"/>
        </w:rPr>
        <w:t xml:space="preserve"> 格式B：电子版封袋正面标识式样</w:t>
      </w:r>
    </w:p>
    <w:p w14:paraId="48AEB786">
      <w:pPr>
        <w:spacing w:line="460" w:lineRule="exact"/>
        <w:ind w:firstLine="482" w:firstLineChars="200"/>
        <w:rPr>
          <w:rFonts w:hint="eastAsia" w:ascii="楷体" w:hAnsi="楷体" w:eastAsia="楷体" w:cs="楷体"/>
          <w:b/>
          <w:color w:val="auto"/>
          <w:highlight w:val="none"/>
        </w:rPr>
      </w:pPr>
      <w:r>
        <w:rPr>
          <w:rFonts w:hint="eastAsia" w:ascii="楷体" w:hAnsi="楷体" w:eastAsia="楷体" w:cs="楷体"/>
          <w:b/>
          <w:color w:val="auto"/>
          <w:highlight w:val="none"/>
          <w:lang w:val="zh-CN"/>
        </w:rPr>
        <mc:AlternateContent>
          <mc:Choice Requires="wps">
            <w:drawing>
              <wp:anchor distT="0" distB="0" distL="114300" distR="114300" simplePos="0" relativeHeight="251660288" behindDoc="0" locked="0" layoutInCell="1" allowOverlap="1">
                <wp:simplePos x="0" y="0"/>
                <wp:positionH relativeFrom="column">
                  <wp:posOffset>114300</wp:posOffset>
                </wp:positionH>
                <wp:positionV relativeFrom="paragraph">
                  <wp:posOffset>123190</wp:posOffset>
                </wp:positionV>
                <wp:extent cx="5479415" cy="3500755"/>
                <wp:effectExtent l="4445" t="4445" r="21590" b="19050"/>
                <wp:wrapNone/>
                <wp:docPr id="11" name="文本框 11"/>
                <wp:cNvGraphicFramePr/>
                <a:graphic xmlns:a="http://schemas.openxmlformats.org/drawingml/2006/main">
                  <a:graphicData uri="http://schemas.microsoft.com/office/word/2010/wordprocessingShape">
                    <wps:wsp>
                      <wps:cNvSpPr txBox="1"/>
                      <wps:spPr>
                        <a:xfrm>
                          <a:off x="0" y="0"/>
                          <a:ext cx="5479415" cy="35007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A61651C">
                            <w:pPr>
                              <w:rPr>
                                <w:rFonts w:hint="eastAsia" w:ascii="楷体" w:hAnsi="楷体" w:eastAsia="楷体" w:cs="仿宋"/>
                                <w:sz w:val="28"/>
                                <w:szCs w:val="28"/>
                                <w:lang w:eastAsia="zh-CN"/>
                              </w:rPr>
                            </w:pPr>
                            <w:r>
                              <w:rPr>
                                <w:rFonts w:hint="eastAsia" w:ascii="楷体" w:hAnsi="楷体" w:eastAsia="楷体" w:cs="仿宋"/>
                                <w:sz w:val="28"/>
                                <w:szCs w:val="28"/>
                              </w:rPr>
                              <w:t>致：</w:t>
                            </w:r>
                            <w:r>
                              <w:rPr>
                                <w:rFonts w:hint="eastAsia" w:ascii="楷体" w:hAnsi="楷体" w:eastAsia="楷体" w:cs="仿宋"/>
                                <w:sz w:val="28"/>
                                <w:szCs w:val="28"/>
                                <w:lang w:eastAsia="zh-CN"/>
                              </w:rPr>
                              <w:t>陕西正翼项目管理咨询有限公司</w:t>
                            </w:r>
                          </w:p>
                          <w:p w14:paraId="53D59403">
                            <w:pPr>
                              <w:rPr>
                                <w:rFonts w:hint="eastAsia" w:ascii="楷体" w:hAnsi="楷体" w:eastAsia="楷体" w:cs="仿宋"/>
                                <w:sz w:val="28"/>
                                <w:szCs w:val="28"/>
                              </w:rPr>
                            </w:pPr>
                            <w:r>
                              <w:rPr>
                                <w:rFonts w:hint="eastAsia" w:ascii="楷体" w:hAnsi="楷体" w:eastAsia="楷体" w:cs="仿宋"/>
                                <w:sz w:val="28"/>
                                <w:szCs w:val="28"/>
                              </w:rPr>
                              <w:t xml:space="preserve">项目编号：                                 </w:t>
                            </w:r>
                            <w:r>
                              <w:rPr>
                                <w:rFonts w:hint="eastAsia" w:ascii="楷体" w:hAnsi="楷体" w:eastAsia="楷体" w:cs="仿宋"/>
                                <w:color w:val="000000"/>
                                <w:sz w:val="28"/>
                                <w:szCs w:val="28"/>
                              </w:rPr>
                              <w:t xml:space="preserve">     </w:t>
                            </w:r>
                          </w:p>
                          <w:p w14:paraId="1DEADA82">
                            <w:pPr>
                              <w:rPr>
                                <w:rFonts w:hint="eastAsia" w:ascii="楷体" w:hAnsi="楷体" w:eastAsia="楷体" w:cs="仿宋"/>
                                <w:sz w:val="28"/>
                                <w:szCs w:val="28"/>
                              </w:rPr>
                            </w:pPr>
                            <w:r>
                              <w:rPr>
                                <w:rFonts w:hint="eastAsia" w:ascii="楷体" w:hAnsi="楷体" w:eastAsia="楷体" w:cs="仿宋"/>
                                <w:sz w:val="28"/>
                                <w:szCs w:val="28"/>
                              </w:rPr>
                              <w:t>项目名称：</w:t>
                            </w:r>
                          </w:p>
                          <w:p w14:paraId="4C3214B5">
                            <w:pPr>
                              <w:rPr>
                                <w:rFonts w:hint="eastAsia" w:ascii="楷体" w:hAnsi="楷体" w:eastAsia="楷体" w:cs="仿宋"/>
                                <w:color w:val="FF0000"/>
                                <w:sz w:val="28"/>
                                <w:szCs w:val="28"/>
                              </w:rPr>
                            </w:pPr>
                            <w:r>
                              <w:rPr>
                                <w:rFonts w:hint="eastAsia" w:ascii="楷体" w:hAnsi="楷体" w:eastAsia="楷体" w:cs="仿宋"/>
                                <w:sz w:val="28"/>
                                <w:szCs w:val="28"/>
                                <w:lang w:val="en-US" w:eastAsia="zh-CN"/>
                              </w:rPr>
                              <w:t>采购包</w:t>
                            </w:r>
                            <w:r>
                              <w:rPr>
                                <w:rFonts w:hint="eastAsia" w:ascii="楷体" w:hAnsi="楷体" w:eastAsia="楷体" w:cs="仿宋"/>
                                <w:sz w:val="28"/>
                                <w:szCs w:val="28"/>
                                <w:u w:val="single"/>
                                <w:lang w:val="en-US" w:eastAsia="zh-CN"/>
                              </w:rPr>
                              <w:t xml:space="preserve">  </w:t>
                            </w:r>
                            <w:r>
                              <w:rPr>
                                <w:rFonts w:hint="eastAsia" w:ascii="楷体" w:hAnsi="楷体" w:eastAsia="楷体" w:cs="仿宋"/>
                                <w:sz w:val="28"/>
                                <w:szCs w:val="28"/>
                                <w:lang w:val="en-US" w:eastAsia="zh-CN"/>
                              </w:rPr>
                              <w:t xml:space="preserve"> </w:t>
                            </w:r>
                            <w:r>
                              <w:rPr>
                                <w:rFonts w:hint="eastAsia" w:ascii="楷体" w:hAnsi="楷体" w:eastAsia="楷体" w:cs="仿宋"/>
                                <w:sz w:val="28"/>
                                <w:szCs w:val="28"/>
                              </w:rPr>
                              <w:t xml:space="preserve">                                 </w:t>
                            </w:r>
                            <w:r>
                              <w:rPr>
                                <w:rFonts w:hint="eastAsia" w:ascii="楷体" w:hAnsi="楷体" w:eastAsia="楷体" w:cs="仿宋"/>
                                <w:color w:val="FF0000"/>
                                <w:sz w:val="28"/>
                                <w:szCs w:val="28"/>
                              </w:rPr>
                              <w:t xml:space="preserve"> </w:t>
                            </w:r>
                          </w:p>
                          <w:p w14:paraId="07EBDF9D">
                            <w:pPr>
                              <w:jc w:val="center"/>
                              <w:rPr>
                                <w:rFonts w:hint="eastAsia" w:ascii="楷体" w:hAnsi="楷体" w:eastAsia="楷体" w:cs="仿宋"/>
                                <w:b/>
                                <w:sz w:val="44"/>
                                <w:szCs w:val="44"/>
                              </w:rPr>
                            </w:pPr>
                            <w:r>
                              <w:rPr>
                                <w:rFonts w:hint="eastAsia" w:ascii="楷体" w:hAnsi="楷体" w:eastAsia="楷体" w:cs="仿宋"/>
                                <w:b/>
                                <w:sz w:val="44"/>
                                <w:szCs w:val="44"/>
                              </w:rPr>
                              <w:t>电子版本</w:t>
                            </w:r>
                          </w:p>
                          <w:p w14:paraId="0E98D90B">
                            <w:pPr>
                              <w:jc w:val="center"/>
                              <w:rPr>
                                <w:rFonts w:hint="eastAsia" w:ascii="楷体" w:hAnsi="楷体" w:eastAsia="楷体" w:cs="仿宋"/>
                                <w:sz w:val="28"/>
                                <w:szCs w:val="28"/>
                              </w:rPr>
                            </w:pPr>
                            <w:r>
                              <w:rPr>
                                <w:rFonts w:hint="eastAsia" w:ascii="楷体" w:hAnsi="楷体" w:eastAsia="楷体" w:cs="仿宋"/>
                                <w:sz w:val="28"/>
                                <w:szCs w:val="28"/>
                              </w:rPr>
                              <w:t>（非磋商会议不得启封）</w:t>
                            </w:r>
                          </w:p>
                          <w:p w14:paraId="30A451E2">
                            <w:pPr>
                              <w:rPr>
                                <w:rFonts w:hint="eastAsia" w:ascii="楷体" w:hAnsi="楷体" w:eastAsia="楷体" w:cs="仿宋"/>
                                <w:sz w:val="28"/>
                                <w:szCs w:val="28"/>
                              </w:rPr>
                            </w:pPr>
                            <w:r>
                              <w:rPr>
                                <w:rFonts w:hint="eastAsia" w:ascii="楷体" w:hAnsi="楷体" w:eastAsia="楷体" w:cs="仿宋"/>
                                <w:sz w:val="28"/>
                                <w:szCs w:val="28"/>
                              </w:rPr>
                              <w:t xml:space="preserve">供应商名称（公章）： </w:t>
                            </w:r>
                          </w:p>
                          <w:p w14:paraId="4B9F3FBC">
                            <w:pPr>
                              <w:rPr>
                                <w:rFonts w:hint="eastAsia" w:ascii="楷体" w:hAnsi="楷体" w:eastAsia="楷体" w:cs="仿宋"/>
                                <w:sz w:val="28"/>
                                <w:szCs w:val="28"/>
                              </w:rPr>
                            </w:pPr>
                            <w:r>
                              <w:rPr>
                                <w:rFonts w:hint="eastAsia" w:ascii="楷体" w:hAnsi="楷体" w:eastAsia="楷体" w:cs="仿宋"/>
                                <w:sz w:val="28"/>
                                <w:szCs w:val="28"/>
                              </w:rPr>
                              <w:t>磋商时间：</w:t>
                            </w:r>
                          </w:p>
                        </w:txbxContent>
                      </wps:txbx>
                      <wps:bodyPr upright="1"/>
                    </wps:wsp>
                  </a:graphicData>
                </a:graphic>
              </wp:anchor>
            </w:drawing>
          </mc:Choice>
          <mc:Fallback>
            <w:pict>
              <v:shape id="_x0000_s1026" o:spid="_x0000_s1026" o:spt="202" type="#_x0000_t202" style="position:absolute;left:0pt;margin-left:9pt;margin-top:9.7pt;height:275.65pt;width:431.45pt;z-index:251660288;mso-width-relative:page;mso-height-relative:page;" fillcolor="#FFFFFF" filled="t" stroked="t" coordsize="21600,21600" o:gfxdata="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RTJXn2AAAAAkBAAAPAAAAAAAAAAEAIAAA&#10;ACIAAABkcnMvZG93bnJldi54bWxQSwECFAAUAAAACACHTuJATlURDQwCAAA5BAAADgAAAAAAAAAB&#10;ACAAAAAnAQAAZHJzL2Uyb0RvYy54bWxQSwUGAAAAAAYABgBZAQAApQUAAAAA&#10;">
                <v:fill on="t" focussize="0,0"/>
                <v:stroke color="#000000" joinstyle="miter"/>
                <v:imagedata o:title=""/>
                <o:lock v:ext="edit" aspectratio="f"/>
                <v:textbox>
                  <w:txbxContent>
                    <w:p w14:paraId="0A61651C">
                      <w:pPr>
                        <w:rPr>
                          <w:rFonts w:hint="eastAsia" w:ascii="楷体" w:hAnsi="楷体" w:eastAsia="楷体" w:cs="仿宋"/>
                          <w:sz w:val="28"/>
                          <w:szCs w:val="28"/>
                          <w:lang w:eastAsia="zh-CN"/>
                        </w:rPr>
                      </w:pPr>
                      <w:r>
                        <w:rPr>
                          <w:rFonts w:hint="eastAsia" w:ascii="楷体" w:hAnsi="楷体" w:eastAsia="楷体" w:cs="仿宋"/>
                          <w:sz w:val="28"/>
                          <w:szCs w:val="28"/>
                        </w:rPr>
                        <w:t>致：</w:t>
                      </w:r>
                      <w:r>
                        <w:rPr>
                          <w:rFonts w:hint="eastAsia" w:ascii="楷体" w:hAnsi="楷体" w:eastAsia="楷体" w:cs="仿宋"/>
                          <w:sz w:val="28"/>
                          <w:szCs w:val="28"/>
                          <w:lang w:eastAsia="zh-CN"/>
                        </w:rPr>
                        <w:t>陕西正翼项目管理咨询有限公司</w:t>
                      </w:r>
                    </w:p>
                    <w:p w14:paraId="53D59403">
                      <w:pPr>
                        <w:rPr>
                          <w:rFonts w:hint="eastAsia" w:ascii="楷体" w:hAnsi="楷体" w:eastAsia="楷体" w:cs="仿宋"/>
                          <w:sz w:val="28"/>
                          <w:szCs w:val="28"/>
                        </w:rPr>
                      </w:pPr>
                      <w:r>
                        <w:rPr>
                          <w:rFonts w:hint="eastAsia" w:ascii="楷体" w:hAnsi="楷体" w:eastAsia="楷体" w:cs="仿宋"/>
                          <w:sz w:val="28"/>
                          <w:szCs w:val="28"/>
                        </w:rPr>
                        <w:t xml:space="preserve">项目编号：                                 </w:t>
                      </w:r>
                      <w:r>
                        <w:rPr>
                          <w:rFonts w:hint="eastAsia" w:ascii="楷体" w:hAnsi="楷体" w:eastAsia="楷体" w:cs="仿宋"/>
                          <w:color w:val="000000"/>
                          <w:sz w:val="28"/>
                          <w:szCs w:val="28"/>
                        </w:rPr>
                        <w:t xml:space="preserve">     </w:t>
                      </w:r>
                    </w:p>
                    <w:p w14:paraId="1DEADA82">
                      <w:pPr>
                        <w:rPr>
                          <w:rFonts w:hint="eastAsia" w:ascii="楷体" w:hAnsi="楷体" w:eastAsia="楷体" w:cs="仿宋"/>
                          <w:sz w:val="28"/>
                          <w:szCs w:val="28"/>
                        </w:rPr>
                      </w:pPr>
                      <w:r>
                        <w:rPr>
                          <w:rFonts w:hint="eastAsia" w:ascii="楷体" w:hAnsi="楷体" w:eastAsia="楷体" w:cs="仿宋"/>
                          <w:sz w:val="28"/>
                          <w:szCs w:val="28"/>
                        </w:rPr>
                        <w:t>项目名称：</w:t>
                      </w:r>
                    </w:p>
                    <w:p w14:paraId="4C3214B5">
                      <w:pPr>
                        <w:rPr>
                          <w:rFonts w:hint="eastAsia" w:ascii="楷体" w:hAnsi="楷体" w:eastAsia="楷体" w:cs="仿宋"/>
                          <w:color w:val="FF0000"/>
                          <w:sz w:val="28"/>
                          <w:szCs w:val="28"/>
                        </w:rPr>
                      </w:pPr>
                      <w:r>
                        <w:rPr>
                          <w:rFonts w:hint="eastAsia" w:ascii="楷体" w:hAnsi="楷体" w:eastAsia="楷体" w:cs="仿宋"/>
                          <w:sz w:val="28"/>
                          <w:szCs w:val="28"/>
                          <w:lang w:val="en-US" w:eastAsia="zh-CN"/>
                        </w:rPr>
                        <w:t>采购包</w:t>
                      </w:r>
                      <w:r>
                        <w:rPr>
                          <w:rFonts w:hint="eastAsia" w:ascii="楷体" w:hAnsi="楷体" w:eastAsia="楷体" w:cs="仿宋"/>
                          <w:sz w:val="28"/>
                          <w:szCs w:val="28"/>
                          <w:u w:val="single"/>
                          <w:lang w:val="en-US" w:eastAsia="zh-CN"/>
                        </w:rPr>
                        <w:t xml:space="preserve">  </w:t>
                      </w:r>
                      <w:r>
                        <w:rPr>
                          <w:rFonts w:hint="eastAsia" w:ascii="楷体" w:hAnsi="楷体" w:eastAsia="楷体" w:cs="仿宋"/>
                          <w:sz w:val="28"/>
                          <w:szCs w:val="28"/>
                          <w:lang w:val="en-US" w:eastAsia="zh-CN"/>
                        </w:rPr>
                        <w:t xml:space="preserve"> </w:t>
                      </w:r>
                      <w:r>
                        <w:rPr>
                          <w:rFonts w:hint="eastAsia" w:ascii="楷体" w:hAnsi="楷体" w:eastAsia="楷体" w:cs="仿宋"/>
                          <w:sz w:val="28"/>
                          <w:szCs w:val="28"/>
                        </w:rPr>
                        <w:t xml:space="preserve">                                 </w:t>
                      </w:r>
                      <w:r>
                        <w:rPr>
                          <w:rFonts w:hint="eastAsia" w:ascii="楷体" w:hAnsi="楷体" w:eastAsia="楷体" w:cs="仿宋"/>
                          <w:color w:val="FF0000"/>
                          <w:sz w:val="28"/>
                          <w:szCs w:val="28"/>
                        </w:rPr>
                        <w:t xml:space="preserve"> </w:t>
                      </w:r>
                    </w:p>
                    <w:p w14:paraId="07EBDF9D">
                      <w:pPr>
                        <w:jc w:val="center"/>
                        <w:rPr>
                          <w:rFonts w:hint="eastAsia" w:ascii="楷体" w:hAnsi="楷体" w:eastAsia="楷体" w:cs="仿宋"/>
                          <w:b/>
                          <w:sz w:val="44"/>
                          <w:szCs w:val="44"/>
                        </w:rPr>
                      </w:pPr>
                      <w:r>
                        <w:rPr>
                          <w:rFonts w:hint="eastAsia" w:ascii="楷体" w:hAnsi="楷体" w:eastAsia="楷体" w:cs="仿宋"/>
                          <w:b/>
                          <w:sz w:val="44"/>
                          <w:szCs w:val="44"/>
                        </w:rPr>
                        <w:t>电子版本</w:t>
                      </w:r>
                    </w:p>
                    <w:p w14:paraId="0E98D90B">
                      <w:pPr>
                        <w:jc w:val="center"/>
                        <w:rPr>
                          <w:rFonts w:hint="eastAsia" w:ascii="楷体" w:hAnsi="楷体" w:eastAsia="楷体" w:cs="仿宋"/>
                          <w:sz w:val="28"/>
                          <w:szCs w:val="28"/>
                        </w:rPr>
                      </w:pPr>
                      <w:r>
                        <w:rPr>
                          <w:rFonts w:hint="eastAsia" w:ascii="楷体" w:hAnsi="楷体" w:eastAsia="楷体" w:cs="仿宋"/>
                          <w:sz w:val="28"/>
                          <w:szCs w:val="28"/>
                        </w:rPr>
                        <w:t>（非磋商会议不得启封）</w:t>
                      </w:r>
                    </w:p>
                    <w:p w14:paraId="30A451E2">
                      <w:pPr>
                        <w:rPr>
                          <w:rFonts w:hint="eastAsia" w:ascii="楷体" w:hAnsi="楷体" w:eastAsia="楷体" w:cs="仿宋"/>
                          <w:sz w:val="28"/>
                          <w:szCs w:val="28"/>
                        </w:rPr>
                      </w:pPr>
                      <w:r>
                        <w:rPr>
                          <w:rFonts w:hint="eastAsia" w:ascii="楷体" w:hAnsi="楷体" w:eastAsia="楷体" w:cs="仿宋"/>
                          <w:sz w:val="28"/>
                          <w:szCs w:val="28"/>
                        </w:rPr>
                        <w:t xml:space="preserve">供应商名称（公章）： </w:t>
                      </w:r>
                    </w:p>
                    <w:p w14:paraId="4B9F3FBC">
                      <w:pPr>
                        <w:rPr>
                          <w:rFonts w:hint="eastAsia" w:ascii="楷体" w:hAnsi="楷体" w:eastAsia="楷体" w:cs="仿宋"/>
                          <w:sz w:val="28"/>
                          <w:szCs w:val="28"/>
                        </w:rPr>
                      </w:pPr>
                      <w:r>
                        <w:rPr>
                          <w:rFonts w:hint="eastAsia" w:ascii="楷体" w:hAnsi="楷体" w:eastAsia="楷体" w:cs="仿宋"/>
                          <w:sz w:val="28"/>
                          <w:szCs w:val="28"/>
                        </w:rPr>
                        <w:t>磋商时间：</w:t>
                      </w:r>
                    </w:p>
                  </w:txbxContent>
                </v:textbox>
              </v:shape>
            </w:pict>
          </mc:Fallback>
        </mc:AlternateContent>
      </w:r>
    </w:p>
    <w:p w14:paraId="47A41A07">
      <w:pPr>
        <w:tabs>
          <w:tab w:val="left" w:pos="684"/>
        </w:tabs>
        <w:jc w:val="left"/>
        <w:rPr>
          <w:rFonts w:hint="eastAsia" w:ascii="楷体" w:hAnsi="楷体" w:eastAsia="楷体" w:cs="楷体"/>
          <w:color w:val="auto"/>
          <w:highlight w:val="none"/>
        </w:rPr>
      </w:pPr>
    </w:p>
    <w:p w14:paraId="0C2B2242">
      <w:pPr>
        <w:rPr>
          <w:rFonts w:hint="eastAsia" w:ascii="楷体" w:hAnsi="楷体" w:eastAsia="楷体" w:cs="楷体"/>
          <w:b/>
          <w:color w:val="auto"/>
          <w:szCs w:val="24"/>
          <w:highlight w:val="none"/>
        </w:rPr>
      </w:pPr>
    </w:p>
    <w:p w14:paraId="07374887">
      <w:pPr>
        <w:rPr>
          <w:rFonts w:hint="eastAsia" w:ascii="楷体" w:hAnsi="楷体" w:eastAsia="楷体" w:cs="楷体"/>
          <w:b/>
          <w:color w:val="auto"/>
          <w:szCs w:val="24"/>
          <w:highlight w:val="none"/>
        </w:rPr>
      </w:pPr>
    </w:p>
    <w:p w14:paraId="094D571D">
      <w:pPr>
        <w:rPr>
          <w:rFonts w:hint="eastAsia" w:ascii="楷体" w:hAnsi="楷体" w:eastAsia="楷体" w:cs="楷体"/>
          <w:b/>
          <w:color w:val="auto"/>
          <w:szCs w:val="24"/>
          <w:highlight w:val="none"/>
        </w:rPr>
      </w:pPr>
    </w:p>
    <w:p w14:paraId="0F39C7C4">
      <w:pPr>
        <w:rPr>
          <w:rFonts w:hint="eastAsia" w:ascii="楷体" w:hAnsi="楷体" w:eastAsia="楷体" w:cs="楷体"/>
          <w:b/>
          <w:color w:val="auto"/>
          <w:szCs w:val="24"/>
          <w:highlight w:val="none"/>
        </w:rPr>
      </w:pPr>
    </w:p>
    <w:p w14:paraId="657EA1A9">
      <w:pPr>
        <w:rPr>
          <w:rFonts w:hint="eastAsia" w:ascii="楷体" w:hAnsi="楷体" w:eastAsia="楷体" w:cs="楷体"/>
          <w:b/>
          <w:color w:val="auto"/>
          <w:szCs w:val="24"/>
          <w:highlight w:val="none"/>
        </w:rPr>
      </w:pPr>
    </w:p>
    <w:p w14:paraId="3745C9CE">
      <w:pPr>
        <w:rPr>
          <w:rFonts w:hint="eastAsia" w:ascii="楷体" w:hAnsi="楷体" w:eastAsia="楷体" w:cs="楷体"/>
          <w:color w:val="auto"/>
          <w:highlight w:val="none"/>
        </w:rPr>
      </w:pPr>
    </w:p>
    <w:p w14:paraId="6F809033">
      <w:pPr>
        <w:rPr>
          <w:rFonts w:hint="eastAsia" w:ascii="楷体" w:hAnsi="楷体" w:eastAsia="楷体" w:cs="楷体"/>
          <w:color w:val="auto"/>
          <w:highlight w:val="none"/>
        </w:rPr>
      </w:pPr>
    </w:p>
    <w:p w14:paraId="30843C60">
      <w:pPr>
        <w:rPr>
          <w:rFonts w:hint="eastAsia" w:ascii="楷体" w:hAnsi="楷体" w:eastAsia="楷体" w:cs="楷体"/>
          <w:color w:val="auto"/>
          <w:highlight w:val="none"/>
        </w:rPr>
      </w:pPr>
    </w:p>
    <w:p w14:paraId="4324DDDD">
      <w:pPr>
        <w:rPr>
          <w:rFonts w:hint="eastAsia" w:ascii="楷体" w:hAnsi="楷体" w:eastAsia="楷体" w:cs="楷体"/>
          <w:color w:val="auto"/>
          <w:highlight w:val="none"/>
        </w:rPr>
      </w:pPr>
    </w:p>
    <w:p w14:paraId="6946E212">
      <w:pPr>
        <w:spacing w:line="460" w:lineRule="exact"/>
        <w:rPr>
          <w:rFonts w:hint="eastAsia" w:ascii="楷体" w:hAnsi="楷体" w:eastAsia="楷体" w:cs="楷体"/>
          <w:b/>
          <w:color w:val="auto"/>
          <w:highlight w:val="none"/>
        </w:rPr>
      </w:pPr>
    </w:p>
    <w:p w14:paraId="197991D8">
      <w:pPr>
        <w:spacing w:line="460" w:lineRule="exact"/>
        <w:rPr>
          <w:rFonts w:hint="eastAsia" w:ascii="楷体" w:hAnsi="楷体" w:eastAsia="楷体" w:cs="楷体"/>
          <w:b/>
          <w:color w:val="auto"/>
          <w:highlight w:val="none"/>
        </w:rPr>
      </w:pPr>
    </w:p>
    <w:p w14:paraId="179C2389">
      <w:pPr>
        <w:spacing w:line="460" w:lineRule="exact"/>
        <w:rPr>
          <w:rFonts w:hint="eastAsia" w:ascii="楷体" w:hAnsi="楷体" w:eastAsia="楷体" w:cs="楷体"/>
          <w:b/>
          <w:color w:val="auto"/>
          <w:highlight w:val="none"/>
        </w:rPr>
      </w:pPr>
    </w:p>
    <w:p w14:paraId="1054E67E">
      <w:pPr>
        <w:spacing w:line="460" w:lineRule="exact"/>
        <w:rPr>
          <w:rFonts w:hint="eastAsia" w:ascii="楷体" w:hAnsi="楷体" w:eastAsia="楷体" w:cs="楷体"/>
          <w:b/>
          <w:color w:val="auto"/>
          <w:highlight w:val="none"/>
        </w:rPr>
      </w:pPr>
    </w:p>
    <w:p w14:paraId="6CE4B40B">
      <w:pPr>
        <w:rPr>
          <w:rFonts w:hint="eastAsia" w:ascii="楷体" w:hAnsi="楷体" w:eastAsia="楷体" w:cs="楷体"/>
          <w:color w:val="auto"/>
          <w:szCs w:val="24"/>
          <w:highlight w:val="none"/>
        </w:rPr>
      </w:pPr>
    </w:p>
    <w:p w14:paraId="47EE37FA">
      <w:pPr>
        <w:rPr>
          <w:highlight w:val="none"/>
        </w:rPr>
      </w:pPr>
    </w:p>
    <w:sectPr>
      <w:pgSz w:w="11906" w:h="16838"/>
      <w:pgMar w:top="1440" w:right="1800" w:bottom="1440" w:left="1800"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89986D10-AE14-481F-AA77-6382BDF33E45}"/>
  </w:font>
  <w:font w:name="Arial">
    <w:panose1 w:val="020B0604020202020204"/>
    <w:charset w:val="01"/>
    <w:family w:val="swiss"/>
    <w:pitch w:val="default"/>
    <w:sig w:usb0="E0002EFF" w:usb1="C000785B" w:usb2="00000009" w:usb3="00000000" w:csb0="400001FF" w:csb1="FFFF0000"/>
    <w:embedRegular r:id="rId2" w:fontKey="{2E7C5ADB-D1E7-42F5-A7EE-8D4A7765B2F7}"/>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C9582349-A0CA-436C-B3DB-E0ABF7E9F62B}"/>
  </w:font>
  <w:font w:name="仿宋_GB2312">
    <w:panose1 w:val="02010609030101010101"/>
    <w:charset w:val="86"/>
    <w:family w:val="modern"/>
    <w:pitch w:val="default"/>
    <w:sig w:usb0="00000001" w:usb1="080E0000" w:usb2="00000000" w:usb3="00000000" w:csb0="00040000" w:csb1="00000000"/>
  </w:font>
  <w:font w:name="Arial Unicode MS">
    <w:altName w:val="宋体"/>
    <w:panose1 w:val="020B0604020202020204"/>
    <w:charset w:val="86"/>
    <w:family w:val="roman"/>
    <w:pitch w:val="default"/>
    <w:sig w:usb0="00000000" w:usb1="00000000" w:usb2="0000003F" w:usb3="00000000" w:csb0="603F01FF" w:csb1="FFFF0000"/>
  </w:font>
  <w:font w:name="仿宋">
    <w:panose1 w:val="02010609060101010101"/>
    <w:charset w:val="86"/>
    <w:family w:val="auto"/>
    <w:pitch w:val="default"/>
    <w:sig w:usb0="800002BF" w:usb1="38CF7CFA" w:usb2="00000016" w:usb3="00000000" w:csb0="00040001" w:csb1="00000000"/>
    <w:embedRegular r:id="rId4" w:fontKey="{0A96319B-BF8D-4D10-BA18-231DA31BC066}"/>
  </w:font>
  <w:font w:name="AGYXIQ+Frutiger-Cn">
    <w:altName w:val="宋体"/>
    <w:panose1 w:val="00000000000000000000"/>
    <w:charset w:val="86"/>
    <w:family w:val="swiss"/>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embedRegular r:id="rId5" w:fontKey="{70D0542E-5326-4102-8DF3-A3DA8FCA7F5A}"/>
  </w:font>
  <w:font w:name="方正仿宋_GB2312">
    <w:panose1 w:val="02000000000000000000"/>
    <w:charset w:val="86"/>
    <w:family w:val="auto"/>
    <w:pitch w:val="default"/>
    <w:sig w:usb0="A00002BF" w:usb1="184F6CFA" w:usb2="00000012" w:usb3="00000000" w:csb0="00040001" w:csb1="00000000"/>
    <w:embedRegular r:id="rId6" w:fontKey="{716F3C76-3665-4963-8A66-B75BD809448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AE5511">
    <w:pPr>
      <w:pStyle w:val="10"/>
      <w:jc w:val="both"/>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BABC65">
    <w:pPr>
      <w:pStyle w:val="1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230161D4">
                          <w:pPr>
                            <w:pStyle w:val="10"/>
                            <w:rPr>
                              <w:rFonts w:hint="eastAsia"/>
                            </w:rPr>
                          </w:pPr>
                          <w:r>
                            <w:rPr>
                              <w:rFonts w:hint="eastAsia"/>
                            </w:rPr>
                            <w:fldChar w:fldCharType="begin"/>
                          </w:r>
                          <w:r>
                            <w:rPr>
                              <w:rFonts w:hint="eastAsia"/>
                            </w:rPr>
                            <w:instrText xml:space="preserve"> PAGE  \* MERGEFORMAT </w:instrText>
                          </w:r>
                          <w:r>
                            <w:rPr>
                              <w:rFonts w:hint="eastAsia"/>
                            </w:rPr>
                            <w:fldChar w:fldCharType="separate"/>
                          </w:r>
                          <w:r>
                            <w:t>2</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oaYJL0wAAAAUBAAAPAAAAAAAAAAEAIAAAACIAAABk&#10;cnMvZG93bnJldi54bWxQSwECFAAUAAAACACHTuJA3VQoz9IBAAClAwAADgAAAAAAAAABACAAAAAi&#10;AQAAZHJzL2Uyb0RvYy54bWxQSwUGAAAAAAYABgBZAQAAZgUAAAAA&#10;">
              <v:fill on="f" focussize="0,0"/>
              <v:stroke on="f" weight="1.25pt"/>
              <v:imagedata o:title=""/>
              <o:lock v:ext="edit" aspectratio="f"/>
              <v:textbox inset="0mm,0mm,0mm,0mm" style="mso-fit-shape-to-text:t;">
                <w:txbxContent>
                  <w:p w14:paraId="230161D4">
                    <w:pPr>
                      <w:pStyle w:val="10"/>
                      <w:rPr>
                        <w:rFonts w:hint="eastAsia"/>
                      </w:rPr>
                    </w:pPr>
                    <w:r>
                      <w:rPr>
                        <w:rFonts w:hint="eastAsia"/>
                      </w:rPr>
                      <w:fldChar w:fldCharType="begin"/>
                    </w:r>
                    <w:r>
                      <w:rPr>
                        <w:rFonts w:hint="eastAsia"/>
                      </w:rPr>
                      <w:instrText xml:space="preserve"> PAGE  \* MERGEFORMAT </w:instrText>
                    </w:r>
                    <w:r>
                      <w:rPr>
                        <w:rFonts w:hint="eastAsia"/>
                      </w:rPr>
                      <w:fldChar w:fldCharType="separate"/>
                    </w:r>
                    <w:r>
                      <w:t>2</w:t>
                    </w:r>
                    <w:r>
                      <w:rPr>
                        <w:rFonts w:hint="eastAsia"/>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B9860A">
    <w:pPr>
      <w:pStyle w:val="10"/>
      <w:jc w:val="both"/>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EE4A88">
    <w:pPr>
      <w:pStyle w:val="1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071C79">
    <w:pPr>
      <w:pStyle w:val="10"/>
      <w:jc w:val="left"/>
      <w:rPr>
        <w:rFonts w:ascii="楷体" w:hAnsi="楷体" w:eastAsia="楷体"/>
        <w:sz w:val="21"/>
        <w:szCs w:val="21"/>
      </w:rPr>
    </w:pPr>
  </w:p>
  <w:p w14:paraId="0FBAFB29">
    <w:pPr>
      <w:pStyle w:val="10"/>
      <w:jc w:val="left"/>
      <w:rPr>
        <w:rFonts w:ascii="楷体" w:hAnsi="楷体" w:eastAsia="楷体"/>
        <w:sz w:val="21"/>
        <w:szCs w:val="21"/>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C5D194">
    <w:pPr>
      <w:pStyle w:val="10"/>
      <w:jc w:val="left"/>
      <w:rPr>
        <w:rFonts w:ascii="楷体" w:hAnsi="楷体" w:eastAsia="楷体"/>
        <w:sz w:val="21"/>
        <w:szCs w:val="21"/>
      </w:rPr>
    </w:pPr>
    <w:r>
      <w:rPr>
        <w:sz w:val="21"/>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0D70B841">
                          <w:pPr>
                            <w:pStyle w:val="10"/>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oaYJL0wAAAAUBAAAPAAAAAAAAAAEAIAAAACIAAABk&#10;cnMvZG93bnJldi54bWxQSwECFAAUAAAACACHTuJAIoso5NIBAACjAwAADgAAAAAAAAABACAAAAAi&#10;AQAAZHJzL2Uyb0RvYy54bWxQSwUGAAAAAAYABgBZAQAAZgUAAAAA&#10;">
              <v:fill on="f" focussize="0,0"/>
              <v:stroke on="f" weight="1.25pt"/>
              <v:imagedata o:title=""/>
              <o:lock v:ext="edit" aspectratio="f"/>
              <v:textbox inset="0mm,0mm,0mm,0mm" style="mso-fit-shape-to-text:t;">
                <w:txbxContent>
                  <w:p w14:paraId="0D70B841">
                    <w:pPr>
                      <w:pStyle w:val="10"/>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ascii="楷体" w:hAnsi="楷体" w:eastAsia="楷体" w:cs="仿宋"/>
        <w:sz w:val="21"/>
        <w:szCs w:val="21"/>
        <w:lang w:eastAsia="zh-CN"/>
      </w:rPr>
      <w:t>陕西正翼项目管理咨询有限公司</w:t>
    </w:r>
    <w:r>
      <w:rPr>
        <w:rFonts w:hint="eastAsia" w:ascii="楷体" w:hAnsi="楷体" w:eastAsia="楷体" w:cs="仿宋"/>
        <w:sz w:val="21"/>
        <w:szCs w:val="21"/>
      </w:rPr>
      <w:t xml:space="preserve">                                    </w:t>
    </w:r>
    <w:r>
      <w:rPr>
        <w:rFonts w:hint="eastAsia" w:ascii="楷体" w:hAnsi="楷体" w:eastAsia="楷体"/>
        <w:sz w:val="21"/>
        <w:szCs w:val="21"/>
      </w:rPr>
      <w:t>029-86210100</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5B40F2">
    <w:pPr>
      <w:pStyle w:val="10"/>
      <w:jc w:val="left"/>
      <w:rPr>
        <w:rFonts w:ascii="楷体" w:hAnsi="楷体" w:eastAsia="楷体"/>
        <w:sz w:val="21"/>
        <w:szCs w:val="21"/>
      </w:rPr>
    </w:pPr>
    <w:r>
      <w:rPr>
        <w:sz w:val="21"/>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5201439F">
                          <w:pPr>
                            <w:pStyle w:val="10"/>
                          </w:pPr>
                          <w:r>
                            <w:fldChar w:fldCharType="begin"/>
                          </w:r>
                          <w:r>
                            <w:instrText xml:space="preserve"> PAGE  \* MERGEFORMAT </w:instrText>
                          </w:r>
                          <w:r>
                            <w:fldChar w:fldCharType="separate"/>
                          </w:r>
                          <w:r>
                            <w:t>29</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&#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aGmCS9MAAAAFAQAADwAAAAAAAAABACAAAAAiAAAAZHJz&#10;L2Rvd25yZXYueG1sUEsBAhQAFAAAAAgAh07iQGBycTzQAQAAowMAAA4AAAAAAAAAAQAgAAAAIgEA&#10;AGRycy9lMm9Eb2MueG1sUEsFBgAAAAAGAAYAWQEAAGQFAAAAAA==&#10;">
              <v:fill on="f" focussize="0,0"/>
              <v:stroke on="f" weight="1.25pt"/>
              <v:imagedata o:title=""/>
              <o:lock v:ext="edit" aspectratio="f"/>
              <v:textbox inset="0mm,0mm,0mm,0mm" style="mso-fit-shape-to-text:t;">
                <w:txbxContent>
                  <w:p w14:paraId="5201439F">
                    <w:pPr>
                      <w:pStyle w:val="10"/>
                    </w:pPr>
                    <w:r>
                      <w:fldChar w:fldCharType="begin"/>
                    </w:r>
                    <w:r>
                      <w:instrText xml:space="preserve"> PAGE  \* MERGEFORMAT </w:instrText>
                    </w:r>
                    <w:r>
                      <w:fldChar w:fldCharType="separate"/>
                    </w:r>
                    <w:r>
                      <w:t>29</w:t>
                    </w:r>
                    <w:r>
                      <w:fldChar w:fldCharType="end"/>
                    </w:r>
                  </w:p>
                </w:txbxContent>
              </v:textbox>
            </v:shape>
          </w:pict>
        </mc:Fallback>
      </mc:AlternateContent>
    </w:r>
    <w:r>
      <w:rPr>
        <w:rFonts w:hint="eastAsia" w:ascii="楷体" w:hAnsi="楷体" w:eastAsia="楷体" w:cs="仿宋"/>
        <w:sz w:val="21"/>
        <w:szCs w:val="21"/>
        <w:lang w:eastAsia="zh-CN"/>
      </w:rPr>
      <w:t>陕西正翼项目管理咨询有限公司</w:t>
    </w:r>
    <w:r>
      <w:rPr>
        <w:rFonts w:hint="eastAsia" w:ascii="楷体" w:hAnsi="楷体" w:eastAsia="楷体" w:cs="仿宋"/>
        <w:sz w:val="21"/>
        <w:szCs w:val="21"/>
      </w:rPr>
      <w:t xml:space="preserve"> </w:t>
    </w:r>
    <w:r>
      <w:rPr>
        <w:rFonts w:hint="eastAsia" w:ascii="楷体" w:hAnsi="楷体" w:eastAsia="楷体"/>
        <w:sz w:val="21"/>
        <w:szCs w:val="21"/>
      </w:rPr>
      <w:t xml:space="preserve">                                 029-86210100</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B3C002">
    <w:pPr>
      <w:pStyle w:val="22"/>
      <w:pBdr>
        <w:bottom w:val="single" w:color="auto" w:sz="4" w:space="0"/>
      </w:pBdr>
      <w:jc w:val="both"/>
      <w:outlineLvl w:val="0"/>
      <w:rPr>
        <w:color w:val="FF0000"/>
      </w:rPr>
    </w:pPr>
    <w:r>
      <w:rPr>
        <w:rFonts w:hint="eastAsia" w:ascii="楷体" w:hAnsi="楷体" w:eastAsia="楷体" w:cs="Times New Roman"/>
        <w:color w:val="000000"/>
        <w:kern w:val="2"/>
        <w:sz w:val="18"/>
        <w:szCs w:val="18"/>
        <w:lang w:val="en-US" w:eastAsia="zh-CN" w:bidi="ar-SA"/>
      </w:rPr>
      <w:t xml:space="preserve">生态环境和安全相关产品质量监督抽查（四次）                                         </w:t>
    </w:r>
    <w:r>
      <w:rPr>
        <w:rFonts w:hint="eastAsia" w:ascii="楷体" w:hAnsi="楷体" w:eastAsia="楷体"/>
        <w:color w:val="000000"/>
      </w:rPr>
      <w:t>磋商文件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E0E2AB"/>
    <w:multiLevelType w:val="singleLevel"/>
    <w:tmpl w:val="93E0E2AB"/>
    <w:lvl w:ilvl="0" w:tentative="0">
      <w:start w:val="1"/>
      <w:numFmt w:val="decimal"/>
      <w:suff w:val="nothing"/>
      <w:lvlText w:val="（%1）"/>
      <w:lvlJc w:val="left"/>
    </w:lvl>
  </w:abstractNum>
  <w:abstractNum w:abstractNumId="1">
    <w:nsid w:val="B27F9F64"/>
    <w:multiLevelType w:val="singleLevel"/>
    <w:tmpl w:val="B27F9F64"/>
    <w:lvl w:ilvl="0" w:tentative="0">
      <w:start w:val="4"/>
      <w:numFmt w:val="chineseCounting"/>
      <w:suff w:val="space"/>
      <w:lvlText w:val="第%1章"/>
      <w:lvlJc w:val="left"/>
      <w:rPr>
        <w:rFonts w:hint="eastAsia"/>
      </w:rPr>
    </w:lvl>
  </w:abstractNum>
  <w:abstractNum w:abstractNumId="2">
    <w:nsid w:val="CF08A5BE"/>
    <w:multiLevelType w:val="singleLevel"/>
    <w:tmpl w:val="CF08A5BE"/>
    <w:lvl w:ilvl="0" w:tentative="0">
      <w:start w:val="1"/>
      <w:numFmt w:val="chineseCounting"/>
      <w:suff w:val="nothing"/>
      <w:lvlText w:val="%1、"/>
      <w:lvlJc w:val="left"/>
      <w:rPr>
        <w:rFonts w:hint="eastAsia"/>
      </w:rPr>
    </w:lvl>
  </w:abstractNum>
  <w:abstractNum w:abstractNumId="3">
    <w:nsid w:val="0A415962"/>
    <w:multiLevelType w:val="singleLevel"/>
    <w:tmpl w:val="0A415962"/>
    <w:lvl w:ilvl="0" w:tentative="0">
      <w:start w:val="1"/>
      <w:numFmt w:val="decimal"/>
      <w:suff w:val="nothing"/>
      <w:lvlText w:val="（%1）"/>
      <w:lvlJc w:val="left"/>
    </w:lvl>
  </w:abstractNum>
  <w:abstractNum w:abstractNumId="4">
    <w:nsid w:val="1CA45D58"/>
    <w:multiLevelType w:val="singleLevel"/>
    <w:tmpl w:val="1CA45D58"/>
    <w:lvl w:ilvl="0" w:tentative="0">
      <w:start w:val="1"/>
      <w:numFmt w:val="chineseCounting"/>
      <w:suff w:val="nothing"/>
      <w:lvlText w:val="%1、"/>
      <w:lvlJc w:val="left"/>
      <w:rPr>
        <w:rFonts w:hint="eastAsia"/>
      </w:rPr>
    </w:lvl>
  </w:abstractNum>
  <w:abstractNum w:abstractNumId="5">
    <w:nsid w:val="2ED8404F"/>
    <w:multiLevelType w:val="singleLevel"/>
    <w:tmpl w:val="2ED8404F"/>
    <w:lvl w:ilvl="0" w:tentative="0">
      <w:start w:val="1"/>
      <w:numFmt w:val="decimal"/>
      <w:suff w:val="nothing"/>
      <w:lvlText w:val="（%1）"/>
      <w:lvlJc w:val="left"/>
    </w:lvl>
  </w:abstractNum>
  <w:abstractNum w:abstractNumId="6">
    <w:nsid w:val="44C0B547"/>
    <w:multiLevelType w:val="singleLevel"/>
    <w:tmpl w:val="44C0B547"/>
    <w:lvl w:ilvl="0" w:tentative="0">
      <w:start w:val="28"/>
      <w:numFmt w:val="decimal"/>
      <w:suff w:val="nothing"/>
      <w:lvlText w:val="%1．"/>
      <w:lvlJc w:val="left"/>
    </w:lvl>
  </w:abstractNum>
  <w:abstractNum w:abstractNumId="7">
    <w:nsid w:val="4DE22612"/>
    <w:multiLevelType w:val="singleLevel"/>
    <w:tmpl w:val="4DE22612"/>
    <w:lvl w:ilvl="0" w:tentative="0">
      <w:start w:val="2"/>
      <w:numFmt w:val="decimal"/>
      <w:suff w:val="nothing"/>
      <w:lvlText w:val="%1、"/>
      <w:lvlJc w:val="left"/>
    </w:lvl>
  </w:abstractNum>
  <w:abstractNum w:abstractNumId="8">
    <w:nsid w:val="5B32CE90"/>
    <w:multiLevelType w:val="singleLevel"/>
    <w:tmpl w:val="5B32CE90"/>
    <w:lvl w:ilvl="0" w:tentative="0">
      <w:start w:val="2"/>
      <w:numFmt w:val="decimal"/>
      <w:suff w:val="nothing"/>
      <w:lvlText w:val="%1、"/>
      <w:lvlJc w:val="left"/>
      <w:pPr>
        <w:ind w:left="-2"/>
      </w:pPr>
    </w:lvl>
  </w:abstractNum>
  <w:abstractNum w:abstractNumId="9">
    <w:nsid w:val="61A9AE0B"/>
    <w:multiLevelType w:val="singleLevel"/>
    <w:tmpl w:val="61A9AE0B"/>
    <w:lvl w:ilvl="0" w:tentative="0">
      <w:start w:val="1"/>
      <w:numFmt w:val="chineseCounting"/>
      <w:suff w:val="nothing"/>
      <w:lvlText w:val="%1、"/>
      <w:lvlJc w:val="left"/>
      <w:rPr>
        <w:rFonts w:hint="eastAsia"/>
      </w:rPr>
    </w:lvl>
  </w:abstractNum>
  <w:abstractNum w:abstractNumId="10">
    <w:nsid w:val="6A7BA46F"/>
    <w:multiLevelType w:val="singleLevel"/>
    <w:tmpl w:val="6A7BA46F"/>
    <w:lvl w:ilvl="0" w:tentative="0">
      <w:start w:val="1"/>
      <w:numFmt w:val="decimal"/>
      <w:suff w:val="nothing"/>
      <w:lvlText w:val="（%1）"/>
      <w:lvlJc w:val="left"/>
    </w:lvl>
  </w:abstractNum>
  <w:abstractNum w:abstractNumId="11">
    <w:nsid w:val="6D03299F"/>
    <w:multiLevelType w:val="singleLevel"/>
    <w:tmpl w:val="6D03299F"/>
    <w:lvl w:ilvl="0" w:tentative="0">
      <w:start w:val="1"/>
      <w:numFmt w:val="chineseCounting"/>
      <w:suff w:val="nothing"/>
      <w:lvlText w:val="%1、"/>
      <w:lvlJc w:val="left"/>
      <w:rPr>
        <w:rFonts w:hint="eastAsia"/>
      </w:rPr>
    </w:lvl>
  </w:abstractNum>
  <w:num w:numId="1">
    <w:abstractNumId w:val="5"/>
  </w:num>
  <w:num w:numId="2">
    <w:abstractNumId w:val="10"/>
  </w:num>
  <w:num w:numId="3">
    <w:abstractNumId w:val="3"/>
  </w:num>
  <w:num w:numId="4">
    <w:abstractNumId w:val="0"/>
  </w:num>
  <w:num w:numId="5">
    <w:abstractNumId w:val="6"/>
  </w:num>
  <w:num w:numId="6">
    <w:abstractNumId w:val="1"/>
  </w:num>
  <w:num w:numId="7">
    <w:abstractNumId w:val="4"/>
  </w:num>
  <w:num w:numId="8">
    <w:abstractNumId w:val="2"/>
  </w:num>
  <w:num w:numId="9">
    <w:abstractNumId w:val="9"/>
  </w:num>
  <w:num w:numId="10">
    <w:abstractNumId w:val="11"/>
  </w:num>
  <w:num w:numId="11">
    <w:abstractNumId w:val="8"/>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5"/>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46C12B8"/>
    <w:rsid w:val="074C6055"/>
    <w:rsid w:val="0A65393A"/>
    <w:rsid w:val="0A766D22"/>
    <w:rsid w:val="15773BED"/>
    <w:rsid w:val="26153106"/>
    <w:rsid w:val="28A85608"/>
    <w:rsid w:val="30D27FFF"/>
    <w:rsid w:val="34194FFB"/>
    <w:rsid w:val="34B413B3"/>
    <w:rsid w:val="3CD70CBD"/>
    <w:rsid w:val="40164949"/>
    <w:rsid w:val="449A3E1B"/>
    <w:rsid w:val="4AC7570F"/>
    <w:rsid w:val="50342257"/>
    <w:rsid w:val="53060E4B"/>
    <w:rsid w:val="55D21323"/>
    <w:rsid w:val="5BC85F49"/>
    <w:rsid w:val="5CFD6159"/>
    <w:rsid w:val="5F957146"/>
    <w:rsid w:val="621E1EA4"/>
    <w:rsid w:val="62EA3C22"/>
    <w:rsid w:val="688508D6"/>
    <w:rsid w:val="6EC17ACA"/>
    <w:rsid w:val="70111B59"/>
    <w:rsid w:val="734D7008"/>
    <w:rsid w:val="7AE53F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nhideWhenUsed="0" w:uiPriority="0" w:semiHidden="0" w:name="heading 4"/>
    <w:lsdException w:qFormat="1" w:uiPriority="0" w:name="heading 5"/>
    <w:lsdException w:qFormat="1" w:unhideWhenUsed="0"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0" w:semiHidden="0" w:name="Body Text First Indent"/>
    <w:lsdException w:unhideWhenUsed="0" w:uiPriority="0" w:semiHidden="0" w:name="Body Text First Indent 2"/>
    <w:lsdException w:qFormat="1"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qFormat="1"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iPriority="9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宋体" w:hAnsi="Times New Roman" w:eastAsia="宋体" w:cs="Times New Roman"/>
      <w:sz w:val="24"/>
      <w:lang w:val="en-US" w:eastAsia="zh-CN" w:bidi="ar-SA"/>
    </w:rPr>
  </w:style>
  <w:style w:type="paragraph" w:styleId="2">
    <w:name w:val="heading 1"/>
    <w:basedOn w:val="1"/>
    <w:next w:val="1"/>
    <w:qFormat/>
    <w:uiPriority w:val="0"/>
    <w:pPr>
      <w:keepNext/>
      <w:outlineLvl w:val="0"/>
    </w:pPr>
    <w:rPr>
      <w:rFonts w:ascii="仿宋_GB2312" w:hAnsi="宋体" w:eastAsia="仿宋_GB2312"/>
      <w:b/>
      <w:kern w:val="2"/>
      <w:sz w:val="32"/>
    </w:rPr>
  </w:style>
  <w:style w:type="paragraph" w:styleId="3">
    <w:name w:val="heading 3"/>
    <w:basedOn w:val="1"/>
    <w:next w:val="1"/>
    <w:qFormat/>
    <w:uiPriority w:val="0"/>
    <w:pPr>
      <w:keepNext/>
      <w:spacing w:before="624" w:beforeLines="200" w:line="400" w:lineRule="exact"/>
      <w:jc w:val="center"/>
      <w:outlineLvl w:val="2"/>
    </w:pPr>
    <w:rPr>
      <w:rFonts w:ascii="Times New Roman"/>
      <w:b/>
      <w:bCs/>
      <w:kern w:val="2"/>
      <w:szCs w:val="24"/>
    </w:rPr>
  </w:style>
  <w:style w:type="paragraph" w:styleId="4">
    <w:name w:val="heading 4"/>
    <w:basedOn w:val="1"/>
    <w:next w:val="1"/>
    <w:qFormat/>
    <w:uiPriority w:val="0"/>
    <w:pPr>
      <w:keepNext/>
      <w:keepLines/>
      <w:tabs>
        <w:tab w:val="left" w:pos="864"/>
      </w:tabs>
      <w:spacing w:before="120" w:beforeLines="0" w:line="360" w:lineRule="auto"/>
      <w:ind w:left="864" w:hanging="864"/>
      <w:outlineLvl w:val="3"/>
    </w:pPr>
    <w:rPr>
      <w:rFonts w:ascii="Arial" w:hAnsi="Arial"/>
      <w:bCs/>
      <w:kern w:val="2"/>
      <w:szCs w:val="28"/>
    </w:rPr>
  </w:style>
  <w:style w:type="paragraph" w:styleId="5">
    <w:name w:val="heading 6"/>
    <w:basedOn w:val="1"/>
    <w:next w:val="1"/>
    <w:qFormat/>
    <w:uiPriority w:val="0"/>
    <w:pPr>
      <w:keepNext/>
      <w:keepLines/>
      <w:tabs>
        <w:tab w:val="left" w:pos="1152"/>
      </w:tabs>
      <w:spacing w:before="60" w:beforeLines="0" w:line="360" w:lineRule="auto"/>
      <w:ind w:left="1152" w:hanging="1152"/>
      <w:outlineLvl w:val="5"/>
    </w:pPr>
    <w:rPr>
      <w:rFonts w:ascii="Arial Unicode MS" w:hAnsi="Arial Unicode MS"/>
      <w:bCs/>
      <w:kern w:val="2"/>
      <w:szCs w:val="24"/>
    </w:rPr>
  </w:style>
  <w:style w:type="character" w:default="1" w:styleId="19">
    <w:name w:val="Default Paragraph Font"/>
    <w:semiHidden/>
    <w:qFormat/>
    <w:uiPriority w:val="0"/>
  </w:style>
  <w:style w:type="table" w:default="1" w:styleId="17">
    <w:name w:val="Normal Table"/>
    <w:semiHidden/>
    <w:qFormat/>
    <w:uiPriority w:val="0"/>
    <w:tblPr>
      <w:tblCellMar>
        <w:top w:w="0" w:type="dxa"/>
        <w:left w:w="108" w:type="dxa"/>
        <w:bottom w:w="0" w:type="dxa"/>
        <w:right w:w="108" w:type="dxa"/>
      </w:tblCellMar>
    </w:tblPr>
  </w:style>
  <w:style w:type="paragraph" w:styleId="6">
    <w:name w:val="Note Heading"/>
    <w:basedOn w:val="1"/>
    <w:next w:val="1"/>
    <w:qFormat/>
    <w:uiPriority w:val="0"/>
    <w:pPr>
      <w:jc w:val="center"/>
    </w:pPr>
  </w:style>
  <w:style w:type="paragraph" w:styleId="7">
    <w:name w:val="Normal Indent"/>
    <w:basedOn w:val="1"/>
    <w:qFormat/>
    <w:uiPriority w:val="0"/>
    <w:pPr>
      <w:spacing w:line="300" w:lineRule="auto"/>
      <w:ind w:firstLine="420" w:firstLineChars="200"/>
    </w:pPr>
    <w:rPr>
      <w:rFonts w:ascii="Times New Roman"/>
      <w:kern w:val="2"/>
      <w:sz w:val="21"/>
      <w:szCs w:val="24"/>
    </w:rPr>
  </w:style>
  <w:style w:type="paragraph" w:styleId="8">
    <w:name w:val="Body Text"/>
    <w:basedOn w:val="1"/>
    <w:next w:val="1"/>
    <w:qFormat/>
    <w:uiPriority w:val="0"/>
    <w:pPr>
      <w:spacing w:after="120" w:afterLines="0"/>
    </w:pPr>
    <w:rPr>
      <w:rFonts w:ascii="Times New Roman"/>
      <w:kern w:val="2"/>
      <w:sz w:val="21"/>
    </w:rPr>
  </w:style>
  <w:style w:type="paragraph" w:styleId="9">
    <w:name w:val="Plain Text"/>
    <w:basedOn w:val="1"/>
    <w:next w:val="1"/>
    <w:qFormat/>
    <w:uiPriority w:val="0"/>
    <w:rPr>
      <w:rFonts w:hAnsi="Courier New"/>
      <w:kern w:val="2"/>
      <w:sz w:val="21"/>
    </w:rPr>
  </w:style>
  <w:style w:type="paragraph" w:styleId="10">
    <w:name w:val="footer"/>
    <w:basedOn w:val="1"/>
    <w:qFormat/>
    <w:uiPriority w:val="99"/>
    <w:pPr>
      <w:tabs>
        <w:tab w:val="center" w:pos="4153"/>
        <w:tab w:val="right" w:pos="8306"/>
      </w:tabs>
      <w:snapToGrid w:val="0"/>
      <w:jc w:val="left"/>
    </w:pPr>
    <w:rPr>
      <w:rFonts w:ascii="Times New Roman"/>
      <w:kern w:val="2"/>
      <w:sz w:val="18"/>
      <w:szCs w:val="18"/>
    </w:rPr>
  </w:style>
  <w:style w:type="paragraph" w:styleId="11">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2">
    <w:name w:val="toc 1"/>
    <w:basedOn w:val="1"/>
    <w:next w:val="1"/>
    <w:unhideWhenUsed/>
    <w:qFormat/>
    <w:uiPriority w:val="39"/>
  </w:style>
  <w:style w:type="paragraph" w:styleId="13">
    <w:name w:val="Body Text Indent 3"/>
    <w:basedOn w:val="1"/>
    <w:qFormat/>
    <w:uiPriority w:val="0"/>
    <w:pPr>
      <w:spacing w:line="410" w:lineRule="exact"/>
      <w:ind w:left="619" w:leftChars="295" w:firstLine="390" w:firstLineChars="179"/>
    </w:pPr>
    <w:rPr>
      <w:rFonts w:hAnsi="宋体"/>
      <w:spacing w:val="4"/>
      <w:kern w:val="2"/>
      <w:sz w:val="21"/>
    </w:rPr>
  </w:style>
  <w:style w:type="paragraph" w:styleId="14">
    <w:name w:val="Normal (Web)"/>
    <w:basedOn w:val="1"/>
    <w:qFormat/>
    <w:uiPriority w:val="0"/>
    <w:pPr>
      <w:widowControl/>
      <w:spacing w:before="100" w:beforeLines="0" w:beforeAutospacing="1" w:after="100" w:afterLines="0" w:afterAutospacing="1"/>
      <w:jc w:val="left"/>
    </w:pPr>
    <w:rPr>
      <w:rFonts w:ascii="宋体" w:hAnsi="宋体"/>
      <w:kern w:val="0"/>
      <w:sz w:val="24"/>
      <w:szCs w:val="24"/>
    </w:rPr>
  </w:style>
  <w:style w:type="paragraph" w:styleId="15">
    <w:name w:val="Title"/>
    <w:basedOn w:val="1"/>
    <w:next w:val="1"/>
    <w:qFormat/>
    <w:uiPriority w:val="0"/>
    <w:pPr>
      <w:jc w:val="center"/>
      <w:outlineLvl w:val="0"/>
    </w:pPr>
    <w:rPr>
      <w:b/>
      <w:sz w:val="32"/>
    </w:rPr>
  </w:style>
  <w:style w:type="paragraph" w:styleId="16">
    <w:name w:val="Body Text First Indent"/>
    <w:basedOn w:val="8"/>
    <w:unhideWhenUsed/>
    <w:qFormat/>
    <w:uiPriority w:val="0"/>
    <w:pPr>
      <w:spacing w:after="120" w:afterLines="0" w:line="240" w:lineRule="auto"/>
      <w:ind w:firstLine="420" w:firstLineChars="100"/>
    </w:pPr>
    <w:rPr>
      <w:rFonts w:ascii="Times New Roman" w:hAnsi="Times New Roman"/>
      <w:color w:val="auto"/>
      <w:sz w:val="18"/>
      <w:szCs w:val="18"/>
    </w:rPr>
  </w:style>
  <w:style w:type="table" w:styleId="18">
    <w:name w:val="Table Grid"/>
    <w:basedOn w:val="17"/>
    <w:unhideWhenUsed/>
    <w:qFormat/>
    <w:uiPriority w:val="9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20">
    <w:name w:val="Strong"/>
    <w:basedOn w:val="19"/>
    <w:qFormat/>
    <w:uiPriority w:val="22"/>
    <w:rPr>
      <w:b/>
      <w:bCs/>
    </w:rPr>
  </w:style>
  <w:style w:type="paragraph" w:customStyle="1" w:styleId="21">
    <w:name w:val="正文缩进1"/>
    <w:basedOn w:val="1"/>
    <w:qFormat/>
    <w:uiPriority w:val="0"/>
    <w:pPr>
      <w:ind w:firstLine="420" w:firstLineChars="200"/>
    </w:pPr>
  </w:style>
  <w:style w:type="paragraph" w:customStyle="1" w:styleId="22">
    <w:name w:val="null3"/>
    <w:qFormat/>
    <w:uiPriority w:val="0"/>
    <w:rPr>
      <w:rFonts w:hint="eastAsia" w:ascii="Calibri" w:hAnsi="Calibri" w:eastAsia="宋体" w:cs="Times New Roman"/>
      <w:lang w:val="en-US" w:eastAsia="zh-Hans"/>
    </w:rPr>
  </w:style>
  <w:style w:type="paragraph" w:customStyle="1" w:styleId="23">
    <w:name w:val="正文文本1"/>
    <w:basedOn w:val="1"/>
    <w:qFormat/>
    <w:uiPriority w:val="0"/>
    <w:pPr>
      <w:spacing w:after="130" w:line="324" w:lineRule="auto"/>
      <w:ind w:firstLine="400"/>
      <w:jc w:val="left"/>
    </w:pPr>
    <w:rPr>
      <w:rFonts w:ascii="宋体" w:hAnsi="宋体" w:eastAsia="宋体" w:cs="宋体"/>
      <w:color w:val="E47A6E"/>
      <w:sz w:val="20"/>
      <w:szCs w:val="20"/>
      <w:lang w:val="zh-CN" w:bidi="zh-CN"/>
    </w:rPr>
  </w:style>
  <w:style w:type="paragraph" w:customStyle="1" w:styleId="24">
    <w:name w:val="标题 #3"/>
    <w:basedOn w:val="1"/>
    <w:qFormat/>
    <w:uiPriority w:val="0"/>
    <w:pPr>
      <w:spacing w:after="150" w:line="288" w:lineRule="auto"/>
      <w:ind w:firstLine="480"/>
      <w:jc w:val="left"/>
      <w:outlineLvl w:val="2"/>
    </w:pPr>
    <w:rPr>
      <w:rFonts w:ascii="宋体" w:hAnsi="宋体" w:eastAsia="宋体" w:cs="宋体"/>
      <w:b/>
      <w:bCs/>
      <w:lang w:val="zh-CN" w:bidi="zh-CN"/>
    </w:rPr>
  </w:style>
  <w:style w:type="paragraph" w:customStyle="1" w:styleId="25">
    <w:name w:val="样式 WG标题3 + 行距: 固定值 18 磅"/>
    <w:basedOn w:val="1"/>
    <w:qFormat/>
    <w:uiPriority w:val="0"/>
    <w:pPr>
      <w:autoSpaceDE w:val="0"/>
      <w:autoSpaceDN w:val="0"/>
      <w:adjustRightInd w:val="0"/>
      <w:spacing w:line="360" w:lineRule="exact"/>
      <w:ind w:firstLine="200" w:firstLineChars="200"/>
      <w:textAlignment w:val="baseline"/>
      <w:outlineLvl w:val="2"/>
    </w:pPr>
    <w:rPr>
      <w:rFonts w:cs="宋体"/>
      <w:b/>
      <w:bCs/>
      <w:color w:val="000000"/>
      <w:kern w:val="20"/>
      <w:sz w:val="24"/>
    </w:rPr>
  </w:style>
  <w:style w:type="paragraph" w:customStyle="1" w:styleId="26">
    <w:name w:val="表格文字中"/>
    <w:basedOn w:val="1"/>
    <w:qFormat/>
    <w:uiPriority w:val="0"/>
    <w:pPr>
      <w:adjustRightInd w:val="0"/>
      <w:snapToGrid w:val="0"/>
      <w:ind w:left="22" w:leftChars="8"/>
      <w:jc w:val="center"/>
    </w:pPr>
    <w:rPr>
      <w:kern w:val="0"/>
      <w:szCs w:val="24"/>
    </w:rPr>
  </w:style>
  <w:style w:type="paragraph" w:customStyle="1" w:styleId="27">
    <w:name w:val="表注1"/>
    <w:basedOn w:val="1"/>
    <w:qFormat/>
    <w:uiPriority w:val="0"/>
    <w:pPr>
      <w:adjustRightInd w:val="0"/>
      <w:snapToGrid w:val="0"/>
      <w:spacing w:before="156" w:beforeLines="50" w:line="300" w:lineRule="auto"/>
      <w:ind w:left="350" w:hanging="350" w:hangingChars="350"/>
    </w:pPr>
    <w:rPr>
      <w:rFonts w:eastAsia="仿宋_GB2312"/>
      <w:bCs/>
      <w:color w:val="000000"/>
      <w:szCs w:val="24"/>
    </w:rPr>
  </w:style>
  <w:style w:type="paragraph" w:customStyle="1" w:styleId="28">
    <w:name w:val="Table Text"/>
    <w:basedOn w:val="1"/>
    <w:semiHidden/>
    <w:qFormat/>
    <w:uiPriority w:val="0"/>
    <w:rPr>
      <w:rFonts w:ascii="仿宋" w:hAnsi="仿宋" w:eastAsia="仿宋" w:cs="仿宋"/>
      <w:sz w:val="24"/>
      <w:szCs w:val="24"/>
      <w:lang w:val="en-US" w:eastAsia="en-US" w:bidi="ar-SA"/>
    </w:rPr>
  </w:style>
  <w:style w:type="paragraph" w:customStyle="1" w:styleId="29">
    <w:name w:val="Default"/>
    <w:qFormat/>
    <w:uiPriority w:val="0"/>
    <w:pPr>
      <w:widowControl w:val="0"/>
      <w:autoSpaceDE w:val="0"/>
      <w:autoSpaceDN w:val="0"/>
      <w:adjustRightInd w:val="0"/>
    </w:pPr>
    <w:rPr>
      <w:rFonts w:ascii="AGYXIQ+Frutiger-Cn" w:hAnsi="Times New Roman" w:eastAsia="AGYXIQ+Frutiger-Cn" w:cs="AGYXIQ+Frutiger-Cn"/>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header" Target="header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7.jpe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jpeg"/><Relationship Id="rId14" Type="http://schemas.openxmlformats.org/officeDocument/2006/relationships/image" Target="media/image3.jpe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7.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127</Pages>
  <Words>640</Words>
  <Characters>789</Characters>
  <Lines>0</Lines>
  <Paragraphs>0</Paragraphs>
  <TotalTime>16</TotalTime>
  <ScaleCrop>false</ScaleCrop>
  <LinksUpToDate>false</LinksUpToDate>
  <CharactersWithSpaces>814</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2025-07-31T09:20:00Z</dcterms:created>
  <dc:creator>K</dc:creator>
  <cp:lastModifiedBy>丹</cp:lastModifiedBy>
  <cp:lastPrinted>2025-08-19T05:36:49Z</cp:lastPrinted>
  <dcterms:modified xsi:type="dcterms:W3CDTF">2025-08-19T05:40:31Z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KSOTemplateDocerSaveRecord">
    <vt:lpwstr>eyJoZGlkIjoiYjdhOGE0MTQ3ZGZiYWQxYTY3NTFhZjhlNjVlZTljZWUiLCJ1c2VySWQiOiI0NTEzNTU3OTIifQ==</vt:lpwstr>
  </property>
  <property fmtid="{D5CDD505-2E9C-101B-9397-08002B2CF9AE}" pid="4" name="ICV">
    <vt:lpwstr>CE898228768445B79A3D5367305FBD60_12</vt:lpwstr>
  </property>
</Properties>
</file>