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152DDD">
      <w:pPr>
        <w:keepNext w:val="0"/>
        <w:keepLines w:val="0"/>
        <w:pageBreakBefore w:val="0"/>
        <w:widowControl/>
        <w:kinsoku/>
        <w:wordWrap/>
        <w:overflowPunct/>
        <w:topLinePunct w:val="0"/>
        <w:autoSpaceDE/>
        <w:autoSpaceDN/>
        <w:bidi w:val="0"/>
        <w:adjustRightInd/>
        <w:spacing w:line="800" w:lineRule="exact"/>
        <w:jc w:val="left"/>
        <w:textAlignment w:val="auto"/>
        <w:outlineLvl w:val="9"/>
        <w:rPr>
          <w:rFonts w:hint="default" w:ascii="宋体" w:hAnsi="宋体" w:eastAsia="宋体" w:cs="宋体"/>
          <w:b/>
          <w:sz w:val="32"/>
          <w:szCs w:val="32"/>
          <w:highlight w:val="none"/>
          <w:lang w:val="en-US" w:eastAsia="zh-CN"/>
        </w:rPr>
      </w:pPr>
      <w:bookmarkStart w:id="0" w:name="_Toc13625"/>
      <w:bookmarkStart w:id="1" w:name="_Toc15068"/>
      <w:r>
        <w:rPr>
          <w:rFonts w:hint="eastAsia" w:ascii="宋体" w:hAnsi="宋体" w:eastAsia="宋体" w:cs="宋体"/>
          <w:b/>
          <w:sz w:val="32"/>
          <w:szCs w:val="32"/>
          <w:highlight w:val="none"/>
        </w:rPr>
        <w:t>项目编号</w:t>
      </w:r>
      <w:bookmarkEnd w:id="0"/>
      <w:bookmarkEnd w:id="1"/>
      <w:r>
        <w:rPr>
          <w:rFonts w:hint="eastAsia" w:ascii="宋体" w:hAnsi="宋体" w:eastAsia="宋体" w:cs="宋体"/>
          <w:b/>
          <w:sz w:val="32"/>
          <w:szCs w:val="32"/>
          <w:highlight w:val="none"/>
          <w:lang w:eastAsia="zh-CN"/>
        </w:rPr>
        <w:t>：</w:t>
      </w:r>
      <w:r>
        <w:rPr>
          <w:rFonts w:hint="eastAsia" w:ascii="宋体" w:hAnsi="宋体" w:eastAsia="宋体" w:cs="宋体"/>
          <w:b/>
          <w:sz w:val="32"/>
          <w:szCs w:val="32"/>
          <w:highlight w:val="none"/>
          <w:lang w:val="en-US" w:eastAsia="zh-CN"/>
        </w:rPr>
        <w:t>CGZC-2025-114（HSGJ2025-171）</w:t>
      </w:r>
    </w:p>
    <w:p w14:paraId="19A8E84B">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color w:val="auto"/>
          <w:sz w:val="28"/>
          <w:szCs w:val="28"/>
          <w:highlight w:val="none"/>
        </w:rPr>
      </w:pPr>
    </w:p>
    <w:p w14:paraId="7A9B9A15">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color w:val="auto"/>
          <w:sz w:val="28"/>
          <w:szCs w:val="28"/>
          <w:highlight w:val="none"/>
          <w:lang w:val="en-US" w:eastAsia="zh-CN"/>
        </w:rPr>
      </w:pPr>
    </w:p>
    <w:p w14:paraId="21A4C657">
      <w:pPr>
        <w:rPr>
          <w:rFonts w:hint="eastAsia"/>
          <w:highlight w:val="none"/>
          <w:lang w:val="en-US" w:eastAsia="zh-CN"/>
        </w:rPr>
      </w:pPr>
    </w:p>
    <w:p w14:paraId="43917640">
      <w:pPr>
        <w:bidi w:val="0"/>
        <w:jc w:val="center"/>
        <w:rPr>
          <w:rFonts w:hint="eastAsia"/>
          <w:sz w:val="52"/>
          <w:szCs w:val="52"/>
          <w:highlight w:val="none"/>
        </w:rPr>
      </w:pPr>
      <w:r>
        <w:rPr>
          <w:rFonts w:hint="eastAsia" w:ascii="宋体" w:hAnsi="宋体" w:eastAsia="宋体" w:cs="宋体"/>
          <w:b/>
          <w:color w:val="auto"/>
          <w:kern w:val="2"/>
          <w:sz w:val="52"/>
          <w:szCs w:val="52"/>
          <w:highlight w:val="none"/>
          <w:lang w:val="en-US" w:eastAsia="zh-CN" w:bidi="ar-SA"/>
        </w:rPr>
        <w:t>2025-2027管委会机关餐饮服务第三批（金融商务产业园等部门餐厅服务）（总部创意产业园）（四包）</w:t>
      </w:r>
    </w:p>
    <w:p w14:paraId="38B27213">
      <w:pPr>
        <w:keepNext w:val="0"/>
        <w:keepLines w:val="0"/>
        <w:pageBreakBefore w:val="0"/>
        <w:widowControl/>
        <w:tabs>
          <w:tab w:val="left" w:pos="5145"/>
        </w:tabs>
        <w:kinsoku/>
        <w:wordWrap/>
        <w:overflowPunct/>
        <w:topLinePunct w:val="0"/>
        <w:autoSpaceDE/>
        <w:autoSpaceDN/>
        <w:bidi w:val="0"/>
        <w:adjustRightInd/>
        <w:spacing w:line="1400" w:lineRule="atLeast"/>
        <w:jc w:val="center"/>
        <w:textAlignment w:val="auto"/>
        <w:outlineLvl w:val="9"/>
        <w:rPr>
          <w:rFonts w:hint="eastAsia" w:ascii="宋体" w:hAnsi="宋体" w:eastAsia="宋体" w:cs="宋体"/>
          <w:b/>
          <w:sz w:val="64"/>
          <w:szCs w:val="56"/>
          <w:highlight w:val="none"/>
          <w:lang w:eastAsia="zh-CN"/>
        </w:rPr>
      </w:pPr>
      <w:bookmarkStart w:id="2" w:name="_Toc14588"/>
      <w:bookmarkStart w:id="3" w:name="_Toc15337"/>
    </w:p>
    <w:p w14:paraId="1E06A318">
      <w:pPr>
        <w:keepNext w:val="0"/>
        <w:keepLines w:val="0"/>
        <w:pageBreakBefore w:val="0"/>
        <w:widowControl/>
        <w:tabs>
          <w:tab w:val="left" w:pos="5145"/>
        </w:tabs>
        <w:kinsoku/>
        <w:wordWrap/>
        <w:overflowPunct/>
        <w:topLinePunct w:val="0"/>
        <w:autoSpaceDE/>
        <w:autoSpaceDN/>
        <w:bidi w:val="0"/>
        <w:adjustRightInd/>
        <w:spacing w:line="1400" w:lineRule="atLeast"/>
        <w:jc w:val="center"/>
        <w:textAlignment w:val="auto"/>
        <w:outlineLvl w:val="9"/>
        <w:rPr>
          <w:rFonts w:hint="eastAsia" w:ascii="宋体" w:hAnsi="宋体" w:eastAsia="宋体" w:cs="宋体"/>
          <w:b/>
          <w:sz w:val="64"/>
          <w:szCs w:val="56"/>
          <w:highlight w:val="none"/>
        </w:rPr>
      </w:pPr>
      <w:r>
        <w:rPr>
          <w:rFonts w:hint="eastAsia" w:ascii="宋体" w:hAnsi="宋体" w:eastAsia="宋体" w:cs="宋体"/>
          <w:b/>
          <w:sz w:val="64"/>
          <w:szCs w:val="56"/>
          <w:highlight w:val="none"/>
          <w:lang w:eastAsia="zh-CN"/>
        </w:rPr>
        <w:t>公开招标</w:t>
      </w:r>
      <w:r>
        <w:rPr>
          <w:rFonts w:hint="eastAsia" w:ascii="宋体" w:hAnsi="宋体" w:eastAsia="宋体" w:cs="宋体"/>
          <w:b/>
          <w:sz w:val="64"/>
          <w:szCs w:val="56"/>
          <w:highlight w:val="none"/>
        </w:rPr>
        <w:t>文件</w:t>
      </w:r>
      <w:bookmarkEnd w:id="2"/>
      <w:bookmarkEnd w:id="3"/>
    </w:p>
    <w:p w14:paraId="3FE123A5">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69028AAA">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386C640F">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501B48FC">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49810490">
      <w:pPr>
        <w:keepNext w:val="0"/>
        <w:keepLines w:val="0"/>
        <w:pageBreakBefore w:val="0"/>
        <w:widowControl/>
        <w:kinsoku/>
        <w:wordWrap/>
        <w:overflowPunct/>
        <w:topLinePunct w:val="0"/>
        <w:autoSpaceDE/>
        <w:autoSpaceDN/>
        <w:bidi w:val="0"/>
        <w:adjustRightInd/>
        <w:snapToGrid/>
        <w:spacing w:line="480" w:lineRule="auto"/>
        <w:ind w:firstLine="1120" w:firstLineChars="350"/>
        <w:textAlignment w:val="auto"/>
        <w:outlineLvl w:val="9"/>
        <w:rPr>
          <w:rFonts w:hint="eastAsia" w:ascii="宋体" w:hAnsi="宋体" w:eastAsia="宋体" w:cs="宋体"/>
          <w:b/>
          <w:sz w:val="32"/>
          <w:szCs w:val="32"/>
          <w:highlight w:val="none"/>
          <w:lang w:eastAsia="zh-CN"/>
        </w:rPr>
      </w:pPr>
      <w:bookmarkStart w:id="4" w:name="_Toc2655"/>
      <w:bookmarkStart w:id="5" w:name="_Toc12262"/>
      <w:r>
        <w:rPr>
          <w:rFonts w:hint="eastAsia" w:ascii="宋体" w:hAnsi="宋体" w:eastAsia="宋体" w:cs="宋体"/>
          <w:b/>
          <w:sz w:val="32"/>
          <w:szCs w:val="32"/>
          <w:highlight w:val="none"/>
        </w:rPr>
        <w:t>采购人：</w:t>
      </w:r>
      <w:bookmarkEnd w:id="4"/>
      <w:bookmarkEnd w:id="5"/>
      <w:r>
        <w:rPr>
          <w:rFonts w:hint="eastAsia" w:ascii="宋体" w:hAnsi="宋体" w:eastAsia="宋体" w:cs="宋体"/>
          <w:b/>
          <w:sz w:val="32"/>
          <w:szCs w:val="32"/>
          <w:highlight w:val="none"/>
          <w:lang w:val="en-US" w:eastAsia="zh-CN"/>
        </w:rPr>
        <w:t>西安浐灞国际港党政办公室</w:t>
      </w:r>
    </w:p>
    <w:p w14:paraId="7179F29C">
      <w:pPr>
        <w:keepNext w:val="0"/>
        <w:keepLines w:val="0"/>
        <w:pageBreakBefore w:val="0"/>
        <w:widowControl/>
        <w:kinsoku/>
        <w:wordWrap/>
        <w:overflowPunct/>
        <w:topLinePunct w:val="0"/>
        <w:autoSpaceDE/>
        <w:autoSpaceDN/>
        <w:bidi w:val="0"/>
        <w:adjustRightInd/>
        <w:snapToGrid/>
        <w:spacing w:line="480" w:lineRule="auto"/>
        <w:ind w:firstLine="1120" w:firstLineChars="350"/>
        <w:textAlignment w:val="auto"/>
        <w:outlineLvl w:val="9"/>
        <w:rPr>
          <w:rFonts w:hint="eastAsia" w:ascii="宋体" w:hAnsi="宋体" w:eastAsia="宋体" w:cs="宋体"/>
          <w:b/>
          <w:sz w:val="32"/>
          <w:szCs w:val="32"/>
          <w:highlight w:val="none"/>
        </w:rPr>
      </w:pPr>
      <w:bookmarkStart w:id="6" w:name="_Toc9269"/>
      <w:bookmarkStart w:id="7" w:name="_Toc2128"/>
      <w:bookmarkStart w:id="8" w:name="_Toc16289"/>
      <w:r>
        <w:rPr>
          <w:rFonts w:hint="eastAsia" w:ascii="宋体" w:hAnsi="宋体" w:eastAsia="宋体" w:cs="宋体"/>
          <w:b/>
          <w:sz w:val="32"/>
          <w:szCs w:val="32"/>
          <w:highlight w:val="none"/>
        </w:rPr>
        <w:t>采购代理机构：</w:t>
      </w:r>
      <w:bookmarkEnd w:id="6"/>
      <w:r>
        <w:rPr>
          <w:rFonts w:hint="eastAsia" w:ascii="宋体" w:hAnsi="宋体" w:eastAsia="宋体" w:cs="宋体"/>
          <w:b/>
          <w:sz w:val="32"/>
          <w:szCs w:val="32"/>
          <w:highlight w:val="none"/>
        </w:rPr>
        <w:t>华晟国际项目管理有限公司</w:t>
      </w:r>
      <w:bookmarkEnd w:id="7"/>
      <w:bookmarkEnd w:id="8"/>
    </w:p>
    <w:p w14:paraId="63C2A8CE">
      <w:pPr>
        <w:keepNext w:val="0"/>
        <w:keepLines w:val="0"/>
        <w:pageBreakBefore w:val="0"/>
        <w:widowControl/>
        <w:kinsoku/>
        <w:wordWrap/>
        <w:overflowPunct/>
        <w:topLinePunct w:val="0"/>
        <w:autoSpaceDE/>
        <w:autoSpaceDN/>
        <w:bidi w:val="0"/>
        <w:adjustRightInd/>
        <w:snapToGrid/>
        <w:spacing w:line="480" w:lineRule="auto"/>
        <w:ind w:firstLine="1120" w:firstLineChars="350"/>
        <w:textAlignment w:val="auto"/>
        <w:outlineLvl w:val="9"/>
        <w:rPr>
          <w:rFonts w:hint="eastAsia" w:ascii="宋体" w:hAnsi="宋体" w:eastAsia="宋体" w:cs="宋体"/>
          <w:b/>
          <w:sz w:val="21"/>
          <w:szCs w:val="21"/>
          <w:highlight w:val="none"/>
        </w:rPr>
      </w:pPr>
      <w:bookmarkStart w:id="9" w:name="_Toc221"/>
      <w:bookmarkStart w:id="10" w:name="_Toc2766"/>
      <w:r>
        <w:rPr>
          <w:rFonts w:hint="eastAsia" w:ascii="宋体" w:hAnsi="宋体" w:eastAsia="宋体" w:cs="宋体"/>
          <w:b/>
          <w:sz w:val="32"/>
          <w:szCs w:val="32"/>
          <w:highlight w:val="none"/>
        </w:rPr>
        <w:t>日        期：二〇二</w:t>
      </w:r>
      <w:r>
        <w:rPr>
          <w:rFonts w:hint="eastAsia" w:ascii="宋体" w:hAnsi="宋体" w:eastAsia="宋体" w:cs="宋体"/>
          <w:b/>
          <w:sz w:val="32"/>
          <w:szCs w:val="32"/>
          <w:highlight w:val="none"/>
          <w:lang w:val="en-US" w:eastAsia="zh-CN"/>
        </w:rPr>
        <w:t>五</w:t>
      </w:r>
      <w:r>
        <w:rPr>
          <w:rFonts w:hint="eastAsia" w:ascii="宋体" w:hAnsi="宋体" w:eastAsia="宋体" w:cs="宋体"/>
          <w:b/>
          <w:sz w:val="32"/>
          <w:szCs w:val="32"/>
          <w:highlight w:val="none"/>
        </w:rPr>
        <w:t>年</w:t>
      </w:r>
      <w:r>
        <w:rPr>
          <w:rFonts w:hint="eastAsia" w:ascii="宋体" w:hAnsi="宋体" w:eastAsia="宋体" w:cs="宋体"/>
          <w:b/>
          <w:sz w:val="32"/>
          <w:szCs w:val="32"/>
          <w:highlight w:val="none"/>
          <w:lang w:val="en-US" w:eastAsia="zh-CN"/>
        </w:rPr>
        <w:t>七</w:t>
      </w:r>
      <w:r>
        <w:rPr>
          <w:rFonts w:hint="eastAsia" w:ascii="宋体" w:hAnsi="宋体" w:eastAsia="宋体" w:cs="宋体"/>
          <w:b/>
          <w:sz w:val="32"/>
          <w:szCs w:val="32"/>
          <w:highlight w:val="none"/>
        </w:rPr>
        <w:t>月</w:t>
      </w:r>
      <w:bookmarkEnd w:id="9"/>
      <w:bookmarkEnd w:id="10"/>
    </w:p>
    <w:p w14:paraId="11952D27">
      <w:pPr>
        <w:spacing w:line="560" w:lineRule="exact"/>
        <w:jc w:val="center"/>
        <w:rPr>
          <w:rFonts w:hint="eastAsia" w:ascii="宋体" w:hAnsi="宋体" w:eastAsia="宋体" w:cs="宋体"/>
          <w:sz w:val="32"/>
          <w:szCs w:val="32"/>
          <w:highlight w:val="none"/>
        </w:rPr>
        <w:sectPr>
          <w:headerReference r:id="rId3" w:type="default"/>
          <w:headerReference r:id="rId4" w:type="even"/>
          <w:pgSz w:w="11906" w:h="16838"/>
          <w:pgMar w:top="1440" w:right="1083" w:bottom="1440" w:left="1519" w:header="851" w:footer="992" w:gutter="0"/>
          <w:pgNumType w:fmt="decimal"/>
          <w:cols w:space="720" w:num="1"/>
          <w:docGrid w:type="linesAndChars" w:linePitch="420" w:charSpace="0"/>
        </w:sectPr>
      </w:pPr>
    </w:p>
    <w:p w14:paraId="6B39DDAE">
      <w:pPr>
        <w:spacing w:before="0" w:beforeLines="0" w:after="0" w:afterLines="0" w:line="240" w:lineRule="auto"/>
        <w:ind w:left="0" w:leftChars="0" w:right="0" w:rightChars="0" w:firstLine="0" w:firstLineChars="0"/>
        <w:jc w:val="center"/>
        <w:rPr>
          <w:rFonts w:hint="eastAsia" w:ascii="宋体" w:hAnsi="宋体" w:eastAsia="宋体" w:cs="宋体"/>
          <w:b/>
          <w:bCs/>
          <w:sz w:val="52"/>
          <w:szCs w:val="52"/>
          <w:highlight w:val="none"/>
        </w:rPr>
      </w:pPr>
      <w:r>
        <w:rPr>
          <w:rFonts w:hint="eastAsia" w:ascii="宋体" w:hAnsi="宋体" w:eastAsia="宋体" w:cs="宋体"/>
          <w:b/>
          <w:bCs/>
          <w:sz w:val="44"/>
          <w:szCs w:val="52"/>
          <w:highlight w:val="none"/>
        </w:rPr>
        <w:t>目</w:t>
      </w:r>
      <w:r>
        <w:rPr>
          <w:rFonts w:hint="eastAsia" w:ascii="宋体" w:hAnsi="宋体" w:eastAsia="宋体" w:cs="宋体"/>
          <w:b/>
          <w:bCs/>
          <w:sz w:val="44"/>
          <w:szCs w:val="52"/>
          <w:highlight w:val="none"/>
          <w:lang w:val="en-US" w:eastAsia="zh-CN"/>
        </w:rPr>
        <w:t xml:space="preserve">  </w:t>
      </w:r>
      <w:r>
        <w:rPr>
          <w:rFonts w:hint="eastAsia" w:ascii="宋体" w:hAnsi="宋体" w:eastAsia="宋体" w:cs="宋体"/>
          <w:b/>
          <w:bCs/>
          <w:sz w:val="44"/>
          <w:szCs w:val="52"/>
          <w:highlight w:val="none"/>
        </w:rPr>
        <w:t>录</w:t>
      </w:r>
    </w:p>
    <w:p w14:paraId="60ED9AAC">
      <w:pPr>
        <w:pStyle w:val="21"/>
        <w:tabs>
          <w:tab w:val="right" w:leader="dot" w:pos="9304"/>
        </w:tabs>
        <w:rPr>
          <w:b/>
          <w:bCs w:val="0"/>
          <w:highlight w:val="none"/>
        </w:rPr>
      </w:pPr>
      <w:r>
        <w:rPr>
          <w:rFonts w:hint="eastAsia" w:ascii="宋体" w:hAnsi="宋体" w:eastAsia="宋体" w:cs="宋体"/>
          <w:b/>
          <w:bCs w:val="0"/>
          <w:sz w:val="32"/>
          <w:szCs w:val="32"/>
          <w:highlight w:val="none"/>
        </w:rPr>
        <w:fldChar w:fldCharType="begin"/>
      </w:r>
      <w:r>
        <w:rPr>
          <w:rFonts w:hint="eastAsia" w:ascii="宋体" w:hAnsi="宋体" w:eastAsia="宋体" w:cs="宋体"/>
          <w:b/>
          <w:bCs w:val="0"/>
          <w:sz w:val="32"/>
          <w:szCs w:val="32"/>
          <w:highlight w:val="none"/>
        </w:rPr>
        <w:instrText xml:space="preserve">TOC \o "1-1" \h \u </w:instrText>
      </w:r>
      <w:r>
        <w:rPr>
          <w:rFonts w:hint="eastAsia" w:ascii="宋体" w:hAnsi="宋体" w:eastAsia="宋体" w:cs="宋体"/>
          <w:b/>
          <w:bCs w:val="0"/>
          <w:sz w:val="32"/>
          <w:szCs w:val="32"/>
          <w:highlight w:val="none"/>
        </w:rPr>
        <w:fldChar w:fldCharType="separate"/>
      </w:r>
      <w:r>
        <w:rPr>
          <w:rFonts w:hint="eastAsia" w:ascii="宋体" w:hAnsi="宋体" w:eastAsia="宋体" w:cs="宋体"/>
          <w:b/>
          <w:bCs w:val="0"/>
          <w:szCs w:val="32"/>
          <w:highlight w:val="none"/>
        </w:rPr>
        <w:fldChar w:fldCharType="begin"/>
      </w:r>
      <w:r>
        <w:rPr>
          <w:rFonts w:hint="eastAsia" w:ascii="宋体" w:hAnsi="宋体" w:eastAsia="宋体" w:cs="宋体"/>
          <w:b/>
          <w:bCs w:val="0"/>
          <w:szCs w:val="32"/>
          <w:highlight w:val="none"/>
        </w:rPr>
        <w:instrText xml:space="preserve"> HYPERLINK \l _Toc5647 </w:instrText>
      </w:r>
      <w:r>
        <w:rPr>
          <w:rFonts w:hint="eastAsia" w:ascii="宋体" w:hAnsi="宋体" w:eastAsia="宋体" w:cs="宋体"/>
          <w:b/>
          <w:bCs w:val="0"/>
          <w:szCs w:val="32"/>
          <w:highlight w:val="none"/>
        </w:rPr>
        <w:fldChar w:fldCharType="separate"/>
      </w:r>
      <w:r>
        <w:rPr>
          <w:rFonts w:hint="eastAsia" w:ascii="宋体" w:hAnsi="宋体" w:eastAsia="宋体" w:cs="宋体"/>
          <w:b/>
          <w:bCs w:val="0"/>
          <w:szCs w:val="32"/>
          <w:highlight w:val="none"/>
          <w:lang w:eastAsia="zh-CN"/>
        </w:rPr>
        <w:t>第一章</w:t>
      </w:r>
      <w:r>
        <w:rPr>
          <w:rFonts w:hint="eastAsia" w:ascii="宋体" w:hAnsi="宋体" w:eastAsia="宋体" w:cs="宋体"/>
          <w:b/>
          <w:bCs w:val="0"/>
          <w:szCs w:val="32"/>
          <w:highlight w:val="none"/>
          <w:lang w:val="en-US" w:eastAsia="zh-CN"/>
        </w:rPr>
        <w:t xml:space="preserve"> </w:t>
      </w:r>
      <w:r>
        <w:rPr>
          <w:rFonts w:hint="eastAsia" w:ascii="宋体" w:hAnsi="宋体" w:eastAsia="宋体" w:cs="宋体"/>
          <w:b/>
          <w:bCs w:val="0"/>
          <w:szCs w:val="32"/>
          <w:highlight w:val="none"/>
          <w:lang w:eastAsia="zh-CN"/>
        </w:rPr>
        <w:t xml:space="preserve"> 招标公告</w:t>
      </w:r>
      <w:r>
        <w:rPr>
          <w:b/>
          <w:bCs w:val="0"/>
          <w:highlight w:val="none"/>
        </w:rPr>
        <w:tab/>
      </w:r>
      <w:r>
        <w:rPr>
          <w:b/>
          <w:bCs w:val="0"/>
          <w:highlight w:val="none"/>
        </w:rPr>
        <w:fldChar w:fldCharType="begin"/>
      </w:r>
      <w:r>
        <w:rPr>
          <w:b/>
          <w:bCs w:val="0"/>
          <w:highlight w:val="none"/>
        </w:rPr>
        <w:instrText xml:space="preserve"> PAGEREF _Toc5647 \h </w:instrText>
      </w:r>
      <w:r>
        <w:rPr>
          <w:b/>
          <w:bCs w:val="0"/>
          <w:highlight w:val="none"/>
        </w:rPr>
        <w:fldChar w:fldCharType="separate"/>
      </w:r>
      <w:r>
        <w:rPr>
          <w:b/>
          <w:bCs w:val="0"/>
          <w:highlight w:val="none"/>
        </w:rPr>
        <w:t>1</w:t>
      </w:r>
      <w:r>
        <w:rPr>
          <w:b/>
          <w:bCs w:val="0"/>
          <w:highlight w:val="none"/>
        </w:rPr>
        <w:fldChar w:fldCharType="end"/>
      </w:r>
      <w:r>
        <w:rPr>
          <w:rFonts w:hint="eastAsia" w:ascii="宋体" w:hAnsi="宋体" w:eastAsia="宋体" w:cs="宋体"/>
          <w:b/>
          <w:bCs w:val="0"/>
          <w:szCs w:val="32"/>
          <w:highlight w:val="none"/>
        </w:rPr>
        <w:fldChar w:fldCharType="end"/>
      </w:r>
    </w:p>
    <w:p w14:paraId="5EC66E8F">
      <w:pPr>
        <w:pStyle w:val="21"/>
        <w:tabs>
          <w:tab w:val="right" w:leader="dot" w:pos="9304"/>
        </w:tabs>
        <w:rPr>
          <w:b/>
          <w:bCs w:val="0"/>
          <w:highlight w:val="none"/>
        </w:rPr>
      </w:pPr>
      <w:r>
        <w:rPr>
          <w:rFonts w:hint="eastAsia" w:ascii="宋体" w:hAnsi="宋体" w:eastAsia="宋体" w:cs="宋体"/>
          <w:b/>
          <w:bCs w:val="0"/>
          <w:szCs w:val="32"/>
          <w:highlight w:val="none"/>
        </w:rPr>
        <w:fldChar w:fldCharType="begin"/>
      </w:r>
      <w:r>
        <w:rPr>
          <w:rFonts w:hint="eastAsia" w:ascii="宋体" w:hAnsi="宋体" w:eastAsia="宋体" w:cs="宋体"/>
          <w:b/>
          <w:bCs w:val="0"/>
          <w:szCs w:val="32"/>
          <w:highlight w:val="none"/>
        </w:rPr>
        <w:instrText xml:space="preserve"> HYPERLINK \l _Toc9842 </w:instrText>
      </w:r>
      <w:r>
        <w:rPr>
          <w:rFonts w:hint="eastAsia" w:ascii="宋体" w:hAnsi="宋体" w:eastAsia="宋体" w:cs="宋体"/>
          <w:b/>
          <w:bCs w:val="0"/>
          <w:szCs w:val="32"/>
          <w:highlight w:val="none"/>
        </w:rPr>
        <w:fldChar w:fldCharType="separate"/>
      </w:r>
      <w:r>
        <w:rPr>
          <w:rFonts w:hint="eastAsia" w:ascii="宋体" w:hAnsi="宋体" w:eastAsia="宋体" w:cs="宋体"/>
          <w:b/>
          <w:bCs w:val="0"/>
          <w:szCs w:val="32"/>
          <w:highlight w:val="none"/>
        </w:rPr>
        <w:t>第二章  供应商须知</w:t>
      </w:r>
      <w:r>
        <w:rPr>
          <w:b/>
          <w:bCs w:val="0"/>
          <w:highlight w:val="none"/>
        </w:rPr>
        <w:tab/>
      </w:r>
      <w:r>
        <w:rPr>
          <w:b/>
          <w:bCs w:val="0"/>
          <w:highlight w:val="none"/>
        </w:rPr>
        <w:fldChar w:fldCharType="begin"/>
      </w:r>
      <w:r>
        <w:rPr>
          <w:b/>
          <w:bCs w:val="0"/>
          <w:highlight w:val="none"/>
        </w:rPr>
        <w:instrText xml:space="preserve"> PAGEREF _Toc9842 \h </w:instrText>
      </w:r>
      <w:r>
        <w:rPr>
          <w:b/>
          <w:bCs w:val="0"/>
          <w:highlight w:val="none"/>
        </w:rPr>
        <w:fldChar w:fldCharType="separate"/>
      </w:r>
      <w:r>
        <w:rPr>
          <w:b/>
          <w:bCs w:val="0"/>
          <w:highlight w:val="none"/>
        </w:rPr>
        <w:t>12</w:t>
      </w:r>
      <w:r>
        <w:rPr>
          <w:b/>
          <w:bCs w:val="0"/>
          <w:highlight w:val="none"/>
        </w:rPr>
        <w:fldChar w:fldCharType="end"/>
      </w:r>
      <w:r>
        <w:rPr>
          <w:rFonts w:hint="eastAsia" w:ascii="宋体" w:hAnsi="宋体" w:eastAsia="宋体" w:cs="宋体"/>
          <w:b/>
          <w:bCs w:val="0"/>
          <w:szCs w:val="32"/>
          <w:highlight w:val="none"/>
        </w:rPr>
        <w:fldChar w:fldCharType="end"/>
      </w:r>
    </w:p>
    <w:p w14:paraId="0DF62C56">
      <w:pPr>
        <w:pStyle w:val="21"/>
        <w:tabs>
          <w:tab w:val="right" w:leader="dot" w:pos="9304"/>
        </w:tabs>
        <w:rPr>
          <w:b/>
          <w:bCs w:val="0"/>
          <w:highlight w:val="none"/>
        </w:rPr>
      </w:pPr>
      <w:r>
        <w:rPr>
          <w:rFonts w:hint="eastAsia" w:ascii="宋体" w:hAnsi="宋体" w:eastAsia="宋体" w:cs="宋体"/>
          <w:b/>
          <w:bCs w:val="0"/>
          <w:szCs w:val="32"/>
          <w:highlight w:val="none"/>
        </w:rPr>
        <w:fldChar w:fldCharType="begin"/>
      </w:r>
      <w:r>
        <w:rPr>
          <w:rFonts w:hint="eastAsia" w:ascii="宋体" w:hAnsi="宋体" w:eastAsia="宋体" w:cs="宋体"/>
          <w:b/>
          <w:bCs w:val="0"/>
          <w:szCs w:val="32"/>
          <w:highlight w:val="none"/>
        </w:rPr>
        <w:instrText xml:space="preserve"> HYPERLINK \l _Toc31713 </w:instrText>
      </w:r>
      <w:r>
        <w:rPr>
          <w:rFonts w:hint="eastAsia" w:ascii="宋体" w:hAnsi="宋体" w:eastAsia="宋体" w:cs="宋体"/>
          <w:b/>
          <w:bCs w:val="0"/>
          <w:szCs w:val="32"/>
          <w:highlight w:val="none"/>
        </w:rPr>
        <w:fldChar w:fldCharType="separate"/>
      </w:r>
      <w:r>
        <w:rPr>
          <w:rFonts w:hint="eastAsia" w:ascii="宋体" w:hAnsi="宋体" w:eastAsia="宋体" w:cs="宋体"/>
          <w:b/>
          <w:bCs w:val="0"/>
          <w:szCs w:val="32"/>
          <w:highlight w:val="none"/>
        </w:rPr>
        <w:t>第三章  招标内容及要求</w:t>
      </w:r>
      <w:r>
        <w:rPr>
          <w:b/>
          <w:bCs w:val="0"/>
          <w:highlight w:val="none"/>
        </w:rPr>
        <w:tab/>
      </w:r>
      <w:r>
        <w:rPr>
          <w:b/>
          <w:bCs w:val="0"/>
          <w:highlight w:val="none"/>
        </w:rPr>
        <w:fldChar w:fldCharType="begin"/>
      </w:r>
      <w:r>
        <w:rPr>
          <w:b/>
          <w:bCs w:val="0"/>
          <w:highlight w:val="none"/>
        </w:rPr>
        <w:instrText xml:space="preserve"> PAGEREF _Toc31713 \h </w:instrText>
      </w:r>
      <w:r>
        <w:rPr>
          <w:b/>
          <w:bCs w:val="0"/>
          <w:highlight w:val="none"/>
        </w:rPr>
        <w:fldChar w:fldCharType="separate"/>
      </w:r>
      <w:r>
        <w:rPr>
          <w:b/>
          <w:bCs w:val="0"/>
          <w:highlight w:val="none"/>
        </w:rPr>
        <w:t>48</w:t>
      </w:r>
      <w:r>
        <w:rPr>
          <w:b/>
          <w:bCs w:val="0"/>
          <w:highlight w:val="none"/>
        </w:rPr>
        <w:fldChar w:fldCharType="end"/>
      </w:r>
      <w:r>
        <w:rPr>
          <w:rFonts w:hint="eastAsia" w:ascii="宋体" w:hAnsi="宋体" w:eastAsia="宋体" w:cs="宋体"/>
          <w:b/>
          <w:bCs w:val="0"/>
          <w:szCs w:val="32"/>
          <w:highlight w:val="none"/>
        </w:rPr>
        <w:fldChar w:fldCharType="end"/>
      </w:r>
    </w:p>
    <w:p w14:paraId="2C3EB832">
      <w:pPr>
        <w:pStyle w:val="21"/>
        <w:tabs>
          <w:tab w:val="right" w:leader="dot" w:pos="9304"/>
        </w:tabs>
        <w:rPr>
          <w:b/>
          <w:bCs w:val="0"/>
          <w:highlight w:val="none"/>
        </w:rPr>
      </w:pPr>
      <w:r>
        <w:rPr>
          <w:rFonts w:hint="eastAsia" w:ascii="宋体" w:hAnsi="宋体" w:eastAsia="宋体" w:cs="宋体"/>
          <w:b/>
          <w:bCs w:val="0"/>
          <w:szCs w:val="32"/>
          <w:highlight w:val="none"/>
        </w:rPr>
        <w:fldChar w:fldCharType="begin"/>
      </w:r>
      <w:r>
        <w:rPr>
          <w:rFonts w:hint="eastAsia" w:ascii="宋体" w:hAnsi="宋体" w:eastAsia="宋体" w:cs="宋体"/>
          <w:b/>
          <w:bCs w:val="0"/>
          <w:szCs w:val="32"/>
          <w:highlight w:val="none"/>
        </w:rPr>
        <w:instrText xml:space="preserve"> HYPERLINK \l _Toc27069 </w:instrText>
      </w:r>
      <w:r>
        <w:rPr>
          <w:rFonts w:hint="eastAsia" w:ascii="宋体" w:hAnsi="宋体" w:eastAsia="宋体" w:cs="宋体"/>
          <w:b/>
          <w:bCs w:val="0"/>
          <w:szCs w:val="32"/>
          <w:highlight w:val="none"/>
        </w:rPr>
        <w:fldChar w:fldCharType="separate"/>
      </w:r>
      <w:r>
        <w:rPr>
          <w:rFonts w:hint="eastAsia" w:ascii="宋体" w:hAnsi="宋体" w:eastAsia="宋体" w:cs="宋体"/>
          <w:b/>
          <w:bCs w:val="0"/>
          <w:szCs w:val="32"/>
          <w:highlight w:val="none"/>
        </w:rPr>
        <w:t>第四章  商务及合同文本</w:t>
      </w:r>
      <w:r>
        <w:rPr>
          <w:b/>
          <w:bCs w:val="0"/>
          <w:highlight w:val="none"/>
        </w:rPr>
        <w:tab/>
      </w:r>
      <w:r>
        <w:rPr>
          <w:b/>
          <w:bCs w:val="0"/>
          <w:highlight w:val="none"/>
        </w:rPr>
        <w:fldChar w:fldCharType="begin"/>
      </w:r>
      <w:r>
        <w:rPr>
          <w:b/>
          <w:bCs w:val="0"/>
          <w:highlight w:val="none"/>
        </w:rPr>
        <w:instrText xml:space="preserve"> PAGEREF _Toc27069 \h </w:instrText>
      </w:r>
      <w:r>
        <w:rPr>
          <w:b/>
          <w:bCs w:val="0"/>
          <w:highlight w:val="none"/>
        </w:rPr>
        <w:fldChar w:fldCharType="separate"/>
      </w:r>
      <w:r>
        <w:rPr>
          <w:b/>
          <w:bCs w:val="0"/>
          <w:highlight w:val="none"/>
        </w:rPr>
        <w:t>53</w:t>
      </w:r>
      <w:r>
        <w:rPr>
          <w:b/>
          <w:bCs w:val="0"/>
          <w:highlight w:val="none"/>
        </w:rPr>
        <w:fldChar w:fldCharType="end"/>
      </w:r>
      <w:r>
        <w:rPr>
          <w:rFonts w:hint="eastAsia" w:ascii="宋体" w:hAnsi="宋体" w:eastAsia="宋体" w:cs="宋体"/>
          <w:b/>
          <w:bCs w:val="0"/>
          <w:szCs w:val="32"/>
          <w:highlight w:val="none"/>
        </w:rPr>
        <w:fldChar w:fldCharType="end"/>
      </w:r>
    </w:p>
    <w:p w14:paraId="1766495A">
      <w:pPr>
        <w:pStyle w:val="21"/>
        <w:tabs>
          <w:tab w:val="right" w:leader="dot" w:pos="9304"/>
        </w:tabs>
        <w:rPr>
          <w:b/>
          <w:bCs w:val="0"/>
          <w:highlight w:val="none"/>
        </w:rPr>
      </w:pPr>
      <w:r>
        <w:rPr>
          <w:rFonts w:hint="eastAsia" w:ascii="宋体" w:hAnsi="宋体" w:eastAsia="宋体" w:cs="宋体"/>
          <w:b/>
          <w:bCs w:val="0"/>
          <w:szCs w:val="32"/>
          <w:highlight w:val="none"/>
        </w:rPr>
        <w:fldChar w:fldCharType="begin"/>
      </w:r>
      <w:r>
        <w:rPr>
          <w:rFonts w:hint="eastAsia" w:ascii="宋体" w:hAnsi="宋体" w:eastAsia="宋体" w:cs="宋体"/>
          <w:b/>
          <w:bCs w:val="0"/>
          <w:szCs w:val="32"/>
          <w:highlight w:val="none"/>
        </w:rPr>
        <w:instrText xml:space="preserve"> HYPERLINK \l _Toc4063 </w:instrText>
      </w:r>
      <w:r>
        <w:rPr>
          <w:rFonts w:hint="eastAsia" w:ascii="宋体" w:hAnsi="宋体" w:eastAsia="宋体" w:cs="宋体"/>
          <w:b/>
          <w:bCs w:val="0"/>
          <w:szCs w:val="32"/>
          <w:highlight w:val="none"/>
        </w:rPr>
        <w:fldChar w:fldCharType="separate"/>
      </w:r>
      <w:r>
        <w:rPr>
          <w:rFonts w:hint="eastAsia" w:ascii="宋体" w:hAnsi="宋体" w:eastAsia="宋体" w:cs="宋体"/>
          <w:b/>
          <w:bCs w:val="0"/>
          <w:szCs w:val="32"/>
          <w:highlight w:val="none"/>
        </w:rPr>
        <w:t>第五章  投标文件构成及格式</w:t>
      </w:r>
      <w:r>
        <w:rPr>
          <w:b/>
          <w:bCs w:val="0"/>
          <w:highlight w:val="none"/>
        </w:rPr>
        <w:tab/>
      </w:r>
      <w:r>
        <w:rPr>
          <w:b/>
          <w:bCs w:val="0"/>
          <w:highlight w:val="none"/>
        </w:rPr>
        <w:fldChar w:fldCharType="begin"/>
      </w:r>
      <w:r>
        <w:rPr>
          <w:b/>
          <w:bCs w:val="0"/>
          <w:highlight w:val="none"/>
        </w:rPr>
        <w:instrText xml:space="preserve"> PAGEREF _Toc4063 \h </w:instrText>
      </w:r>
      <w:r>
        <w:rPr>
          <w:b/>
          <w:bCs w:val="0"/>
          <w:highlight w:val="none"/>
        </w:rPr>
        <w:fldChar w:fldCharType="separate"/>
      </w:r>
      <w:r>
        <w:rPr>
          <w:b/>
          <w:bCs w:val="0"/>
          <w:highlight w:val="none"/>
        </w:rPr>
        <w:t>62</w:t>
      </w:r>
      <w:r>
        <w:rPr>
          <w:b/>
          <w:bCs w:val="0"/>
          <w:highlight w:val="none"/>
        </w:rPr>
        <w:fldChar w:fldCharType="end"/>
      </w:r>
      <w:r>
        <w:rPr>
          <w:rFonts w:hint="eastAsia" w:ascii="宋体" w:hAnsi="宋体" w:eastAsia="宋体" w:cs="宋体"/>
          <w:b/>
          <w:bCs w:val="0"/>
          <w:szCs w:val="32"/>
          <w:highlight w:val="none"/>
        </w:rPr>
        <w:fldChar w:fldCharType="end"/>
      </w:r>
    </w:p>
    <w:p w14:paraId="508292B8">
      <w:pPr>
        <w:spacing w:line="360" w:lineRule="auto"/>
        <w:rPr>
          <w:rFonts w:hint="eastAsia" w:ascii="宋体" w:hAnsi="宋体" w:eastAsia="宋体" w:cs="宋体"/>
          <w:highlight w:val="none"/>
        </w:rPr>
      </w:pPr>
      <w:r>
        <w:rPr>
          <w:rFonts w:hint="eastAsia" w:ascii="宋体" w:hAnsi="宋体" w:eastAsia="宋体" w:cs="宋体"/>
          <w:b/>
          <w:bCs w:val="0"/>
          <w:szCs w:val="32"/>
          <w:highlight w:val="none"/>
        </w:rPr>
        <w:fldChar w:fldCharType="end"/>
      </w:r>
    </w:p>
    <w:p w14:paraId="35E651AC">
      <w:pPr>
        <w:rPr>
          <w:rFonts w:hint="eastAsia" w:ascii="宋体" w:hAnsi="宋体" w:eastAsia="宋体" w:cs="宋体"/>
          <w:b/>
          <w:bCs/>
          <w:sz w:val="32"/>
          <w:szCs w:val="32"/>
          <w:highlight w:val="none"/>
          <w:lang w:eastAsia="zh-CN"/>
        </w:rPr>
        <w:sectPr>
          <w:footerReference r:id="rId5" w:type="default"/>
          <w:footerReference r:id="rId6" w:type="even"/>
          <w:pgSz w:w="11906" w:h="16838"/>
          <w:pgMar w:top="1440" w:right="1083" w:bottom="1440" w:left="1519" w:header="851" w:footer="992" w:gutter="0"/>
          <w:pgNumType w:fmt="decimal" w:start="1"/>
          <w:cols w:space="720" w:num="1"/>
          <w:docGrid w:type="linesAndChars" w:linePitch="420" w:charSpace="0"/>
        </w:sectPr>
      </w:pPr>
    </w:p>
    <w:p w14:paraId="12C08769">
      <w:pPr>
        <w:pStyle w:val="2"/>
        <w:tabs>
          <w:tab w:val="left" w:pos="4631"/>
        </w:tabs>
        <w:ind w:right="113"/>
        <w:jc w:val="center"/>
        <w:rPr>
          <w:rFonts w:hint="eastAsia" w:ascii="宋体" w:hAnsi="宋体" w:eastAsia="宋体" w:cs="宋体"/>
          <w:sz w:val="30"/>
          <w:szCs w:val="30"/>
          <w:highlight w:val="none"/>
          <w:lang w:eastAsia="zh-CN"/>
        </w:rPr>
      </w:pPr>
      <w:bookmarkStart w:id="11" w:name="_Toc5647"/>
      <w:r>
        <w:rPr>
          <w:rFonts w:hint="eastAsia" w:ascii="宋体" w:hAnsi="宋体" w:eastAsia="宋体" w:cs="宋体"/>
          <w:b/>
          <w:bCs/>
          <w:sz w:val="32"/>
          <w:szCs w:val="32"/>
          <w:highlight w:val="none"/>
          <w:lang w:eastAsia="zh-CN"/>
        </w:rPr>
        <w:t>第一章</w:t>
      </w: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lang w:eastAsia="zh-CN"/>
        </w:rPr>
        <w:t xml:space="preserve"> 招标公告</w:t>
      </w:r>
      <w:bookmarkEnd w:id="11"/>
    </w:p>
    <w:p w14:paraId="1F6263A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项目概况</w:t>
      </w:r>
    </w:p>
    <w:p w14:paraId="3F369B1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2025-2027管委会机关餐饮服务第三批（金融商务产业园等部门餐厅服务）招标项目的潜在投标人应在全国公共资源交易平台（陕西省·西安市）网站〖首页〉电子交易平台〉陕西政府采购交易系统〉企业端〗获取招标文件，并于2025年8 月21日09时00分（北京时间）前递交投标文件。</w:t>
      </w:r>
    </w:p>
    <w:p w14:paraId="25A3335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一、项目基本情况</w:t>
      </w:r>
    </w:p>
    <w:p w14:paraId="3ECD035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项目编号：CGZC-2025-114（HSGJ2025-171）</w:t>
      </w:r>
    </w:p>
    <w:p w14:paraId="23A9322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项目名称：2025-2027管委会机关餐饮服务第三批（金融商务产业园等部门餐厅服务）</w:t>
      </w:r>
    </w:p>
    <w:p w14:paraId="34CD8E5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采购方式：公开招标</w:t>
      </w:r>
    </w:p>
    <w:p w14:paraId="6B1B71C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预算金额：4608000.00元</w:t>
      </w:r>
    </w:p>
    <w:p w14:paraId="68639A6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采购需求：</w:t>
      </w:r>
    </w:p>
    <w:p w14:paraId="74FEEEF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合同包1(2025-2027管委会机关餐饮服务第三批（金融商务产业园等部门餐厅服务）（金融商务产业园）（一包）):</w:t>
      </w:r>
    </w:p>
    <w:p w14:paraId="179626E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合同包预算金额：681000.00元</w:t>
      </w:r>
    </w:p>
    <w:p w14:paraId="6BAB4BA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合同包最高限价：681000.00元</w:t>
      </w:r>
    </w:p>
    <w:tbl>
      <w:tblPr>
        <w:tblStyle w:val="28"/>
        <w:tblW w:w="4991"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727"/>
        <w:gridCol w:w="1150"/>
        <w:gridCol w:w="2436"/>
        <w:gridCol w:w="1184"/>
        <w:gridCol w:w="1467"/>
        <w:gridCol w:w="1499"/>
        <w:gridCol w:w="1499"/>
      </w:tblGrid>
      <w:tr w14:paraId="60C7E3C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D82257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29BDBD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2B3CB1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C17C30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6B4902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585A9E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C7CBA8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6A3EF23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6C83EB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1-1</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59BA67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spacing w:val="0"/>
                <w:position w:val="0"/>
                <w:sz w:val="21"/>
                <w:szCs w:val="21"/>
                <w:highlight w:val="none"/>
                <w:lang w:val="en-US" w:eastAsia="zh-CN"/>
              </w:rPr>
              <w:t>餐饮业</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46249E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餐饮服务外包</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814332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BC852C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E87943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681000.00</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6B2812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681000.00</w:t>
            </w:r>
          </w:p>
        </w:tc>
      </w:tr>
    </w:tbl>
    <w:p w14:paraId="5E0E16D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4422FAD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57F8A97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合同包2(2025-2027管委会机关餐饮服务第三批（金融商务产业园等部门餐厅服务）（数字商贸产业园）（二包）):</w:t>
      </w:r>
    </w:p>
    <w:p w14:paraId="2C0E1AB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合同包预算金额：819000.00元</w:t>
      </w:r>
    </w:p>
    <w:p w14:paraId="388D700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合同包最高限价：819000.00元</w:t>
      </w:r>
    </w:p>
    <w:tbl>
      <w:tblPr>
        <w:tblStyle w:val="28"/>
        <w:tblW w:w="4985"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699"/>
        <w:gridCol w:w="1123"/>
        <w:gridCol w:w="2008"/>
        <w:gridCol w:w="1384"/>
        <w:gridCol w:w="1450"/>
        <w:gridCol w:w="1670"/>
        <w:gridCol w:w="1618"/>
      </w:tblGrid>
      <w:tr w14:paraId="77BD678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5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1C16DE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6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2918A0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00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E8751B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69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61F181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2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703E34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83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EC919C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8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2A2648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6F10B9F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5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BCCF47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2</w:t>
            </w:r>
            <w:r>
              <w:rPr>
                <w:rFonts w:ascii="宋体" w:hAnsi="宋体" w:eastAsia="宋体" w:cs="宋体"/>
                <w:kern w:val="0"/>
                <w:sz w:val="22"/>
                <w:szCs w:val="22"/>
                <w:highlight w:val="none"/>
                <w:lang w:val="en-US" w:eastAsia="zh-CN" w:bidi="ar"/>
              </w:rPr>
              <w:t>-1</w:t>
            </w:r>
          </w:p>
        </w:tc>
        <w:tc>
          <w:tcPr>
            <w:tcW w:w="56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DCE773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spacing w:val="0"/>
                <w:position w:val="0"/>
                <w:sz w:val="21"/>
                <w:szCs w:val="21"/>
                <w:highlight w:val="none"/>
                <w:lang w:val="en-US" w:eastAsia="zh-CN"/>
              </w:rPr>
              <w:t>餐饮业</w:t>
            </w:r>
          </w:p>
        </w:tc>
        <w:tc>
          <w:tcPr>
            <w:tcW w:w="100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B63C88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eastAsia="宋体"/>
                <w:sz w:val="22"/>
                <w:szCs w:val="22"/>
                <w:highlight w:val="none"/>
                <w:lang w:val="en-US" w:eastAsia="zh-CN"/>
              </w:rPr>
            </w:pPr>
            <w:r>
              <w:rPr>
                <w:rFonts w:hint="eastAsia" w:ascii="宋体" w:hAnsi="宋体" w:eastAsia="宋体" w:cs="宋体"/>
                <w:kern w:val="0"/>
                <w:sz w:val="22"/>
                <w:szCs w:val="22"/>
                <w:highlight w:val="none"/>
                <w:lang w:val="en-US" w:eastAsia="zh-CN" w:bidi="ar"/>
              </w:rPr>
              <w:t>餐饮服务外包</w:t>
            </w:r>
          </w:p>
        </w:tc>
        <w:tc>
          <w:tcPr>
            <w:tcW w:w="69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AC4F04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2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770462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83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66BCEA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819000.00</w:t>
            </w:r>
          </w:p>
        </w:tc>
        <w:tc>
          <w:tcPr>
            <w:tcW w:w="8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64823B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819000.00</w:t>
            </w:r>
          </w:p>
        </w:tc>
      </w:tr>
    </w:tbl>
    <w:p w14:paraId="25F4E0F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3497FED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7832BD8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合同包3(2025-2027管委会机关餐饮服务第三批（金融商务产业园等部门餐厅服务）（湿地文旅产业园）（三包）):</w:t>
      </w:r>
    </w:p>
    <w:p w14:paraId="7B98829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合同包预算金额：738000.00元</w:t>
      </w:r>
    </w:p>
    <w:p w14:paraId="1999ADD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合同包最高限价：738000.00元</w:t>
      </w:r>
    </w:p>
    <w:tbl>
      <w:tblPr>
        <w:tblStyle w:val="28"/>
        <w:tblW w:w="4984"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645"/>
        <w:gridCol w:w="1075"/>
        <w:gridCol w:w="2014"/>
        <w:gridCol w:w="1139"/>
        <w:gridCol w:w="1536"/>
        <w:gridCol w:w="1653"/>
        <w:gridCol w:w="1888"/>
      </w:tblGrid>
      <w:tr w14:paraId="5C68C7E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2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044EEF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4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C98DA6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0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4404EE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7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398E48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7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93FFCD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83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E97DBF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94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637A2B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218AA8B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2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616485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3</w:t>
            </w:r>
            <w:r>
              <w:rPr>
                <w:rFonts w:ascii="宋体" w:hAnsi="宋体" w:eastAsia="宋体" w:cs="宋体"/>
                <w:kern w:val="0"/>
                <w:sz w:val="22"/>
                <w:szCs w:val="22"/>
                <w:highlight w:val="none"/>
                <w:lang w:val="en-US" w:eastAsia="zh-CN" w:bidi="ar"/>
              </w:rPr>
              <w:t>-1</w:t>
            </w:r>
          </w:p>
        </w:tc>
        <w:tc>
          <w:tcPr>
            <w:tcW w:w="54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1F36BD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spacing w:val="0"/>
                <w:position w:val="0"/>
                <w:sz w:val="21"/>
                <w:szCs w:val="21"/>
                <w:highlight w:val="none"/>
                <w:lang w:val="en-US" w:eastAsia="zh-CN"/>
              </w:rPr>
              <w:t>餐饮业</w:t>
            </w:r>
          </w:p>
        </w:tc>
        <w:tc>
          <w:tcPr>
            <w:tcW w:w="10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26BD4F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餐饮服务外包</w:t>
            </w:r>
          </w:p>
        </w:tc>
        <w:tc>
          <w:tcPr>
            <w:tcW w:w="57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DF7992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7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CAD540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83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966059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738000.00</w:t>
            </w:r>
          </w:p>
        </w:tc>
        <w:tc>
          <w:tcPr>
            <w:tcW w:w="94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8DF6F1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center"/>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738000.00</w:t>
            </w:r>
          </w:p>
        </w:tc>
      </w:tr>
    </w:tbl>
    <w:p w14:paraId="3B5F849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312102A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2403E4E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合同包4(2025-2027管委会机关餐饮服务第三批（金融商务产业园等部门餐厅服务）（总部创意产业园）（四包）):</w:t>
      </w:r>
    </w:p>
    <w:p w14:paraId="3212BD8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合同包预算金额：909000.00元</w:t>
      </w:r>
    </w:p>
    <w:p w14:paraId="3479095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合同包最高限价：909000.00元</w:t>
      </w:r>
    </w:p>
    <w:tbl>
      <w:tblPr>
        <w:tblStyle w:val="28"/>
        <w:tblW w:w="4991"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727"/>
        <w:gridCol w:w="1150"/>
        <w:gridCol w:w="2436"/>
        <w:gridCol w:w="1184"/>
        <w:gridCol w:w="1467"/>
        <w:gridCol w:w="1499"/>
        <w:gridCol w:w="1499"/>
      </w:tblGrid>
      <w:tr w14:paraId="04DFC89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F2C679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039933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094354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C3A2CE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A21B5B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904AFF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BA37BF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401E129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C73FC7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4</w:t>
            </w:r>
            <w:r>
              <w:rPr>
                <w:rFonts w:ascii="宋体" w:hAnsi="宋体" w:eastAsia="宋体" w:cs="宋体"/>
                <w:kern w:val="0"/>
                <w:sz w:val="22"/>
                <w:szCs w:val="22"/>
                <w:highlight w:val="none"/>
                <w:lang w:val="en-US" w:eastAsia="zh-CN" w:bidi="ar"/>
              </w:rPr>
              <w:t>-1</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026F78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spacing w:val="0"/>
                <w:position w:val="0"/>
                <w:sz w:val="21"/>
                <w:szCs w:val="21"/>
                <w:highlight w:val="none"/>
                <w:lang w:val="en-US" w:eastAsia="zh-CN"/>
              </w:rPr>
              <w:t>餐饮业</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8017D2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餐饮服务外包</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572653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61EC54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759654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909000.00</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AF78EA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909000.00</w:t>
            </w:r>
          </w:p>
        </w:tc>
      </w:tr>
    </w:tbl>
    <w:p w14:paraId="48695C8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42F2800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03EC7DE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合同包5(2025-2027管委会机关餐饮服务第三批（金融商务产业园等部门餐厅服务）（雁鸣生态产业园）（五包）):</w:t>
      </w:r>
    </w:p>
    <w:p w14:paraId="7800D2D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合同包预算金额：624000.00元</w:t>
      </w:r>
    </w:p>
    <w:p w14:paraId="7457BC1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合同包最高限价：624000.00元</w:t>
      </w:r>
    </w:p>
    <w:tbl>
      <w:tblPr>
        <w:tblStyle w:val="28"/>
        <w:tblW w:w="4991"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727"/>
        <w:gridCol w:w="1150"/>
        <w:gridCol w:w="2436"/>
        <w:gridCol w:w="1184"/>
        <w:gridCol w:w="1467"/>
        <w:gridCol w:w="1499"/>
        <w:gridCol w:w="1499"/>
      </w:tblGrid>
      <w:tr w14:paraId="62B3AC4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017A8B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F00353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F79DD1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0AE64B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38DA2C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CE1A8B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E48484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6402E7F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6BC5AB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5</w:t>
            </w:r>
            <w:r>
              <w:rPr>
                <w:rFonts w:ascii="宋体" w:hAnsi="宋体" w:eastAsia="宋体" w:cs="宋体"/>
                <w:kern w:val="0"/>
                <w:sz w:val="22"/>
                <w:szCs w:val="22"/>
                <w:highlight w:val="none"/>
                <w:lang w:val="en-US" w:eastAsia="zh-CN" w:bidi="ar"/>
              </w:rPr>
              <w:t>-1</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86662A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spacing w:val="0"/>
                <w:position w:val="0"/>
                <w:sz w:val="21"/>
                <w:szCs w:val="21"/>
                <w:highlight w:val="none"/>
                <w:lang w:val="en-US" w:eastAsia="zh-CN"/>
              </w:rPr>
              <w:t>餐饮业</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A349C7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餐饮服务外包</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72CEC0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BEF6E7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117573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624000.00</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07C18F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624000.00</w:t>
            </w:r>
          </w:p>
        </w:tc>
      </w:tr>
    </w:tbl>
    <w:p w14:paraId="203176E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11590AF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676DDD8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合同包6(2025-2027管委会机关餐饮服务第三批（金融商务产业园等部门餐厅服务）（世园会展产业园）（六包）):</w:t>
      </w:r>
    </w:p>
    <w:p w14:paraId="7FAC034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合同包预算金额：837000.00元</w:t>
      </w:r>
    </w:p>
    <w:p w14:paraId="4BE40F7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合同包最高限价：837000.00元</w:t>
      </w:r>
    </w:p>
    <w:tbl>
      <w:tblPr>
        <w:tblStyle w:val="28"/>
        <w:tblW w:w="4991"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727"/>
        <w:gridCol w:w="1150"/>
        <w:gridCol w:w="2436"/>
        <w:gridCol w:w="1184"/>
        <w:gridCol w:w="1467"/>
        <w:gridCol w:w="1499"/>
        <w:gridCol w:w="1499"/>
      </w:tblGrid>
      <w:tr w14:paraId="175524D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8DFE08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F215DE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FDA3CC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B8ED2A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1672EC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E83152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9A108F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405FB06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EDEF16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6</w:t>
            </w:r>
            <w:r>
              <w:rPr>
                <w:rFonts w:ascii="宋体" w:hAnsi="宋体" w:eastAsia="宋体" w:cs="宋体"/>
                <w:kern w:val="0"/>
                <w:sz w:val="22"/>
                <w:szCs w:val="22"/>
                <w:highlight w:val="none"/>
                <w:lang w:val="en-US" w:eastAsia="zh-CN" w:bidi="ar"/>
              </w:rPr>
              <w:t>-1</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90B5CD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spacing w:val="0"/>
                <w:position w:val="0"/>
                <w:sz w:val="21"/>
                <w:szCs w:val="21"/>
                <w:highlight w:val="none"/>
                <w:lang w:val="en-US" w:eastAsia="zh-CN"/>
              </w:rPr>
              <w:t>餐饮业</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25241B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餐饮服务外包</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11AB98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EAF33B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99DC81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837000.00</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CE350B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837000.00</w:t>
            </w:r>
          </w:p>
        </w:tc>
      </w:tr>
    </w:tbl>
    <w:p w14:paraId="15494B8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427535A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5648834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二、申请人的资格要求：</w:t>
      </w:r>
    </w:p>
    <w:p w14:paraId="21D7483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1.满足《中华人民共和国政府采购法》第二十二条规定；</w:t>
      </w:r>
    </w:p>
    <w:p w14:paraId="65D33FD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2.落实政府采购政策需满足的资格要求：</w:t>
      </w:r>
    </w:p>
    <w:p w14:paraId="33CE9E6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合同包1(2025-2027管委会机关餐饮服务第三批（金融商务产业园等部门餐厅服务）（金融商务产业园）（一包）)落实政府采购政策需满足的资格要求如下:</w:t>
      </w:r>
    </w:p>
    <w:p w14:paraId="43CA844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54F71D9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0BF2F8E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7217A71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162D722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09BE58E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16BCAD5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18E351F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2D911AA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6FB61EF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3B0C240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合同包2(2025-2027管委会机关餐饮服务第三批（金融商务产业园等部门餐厅服务）（数字商贸产业园）（二包）)落实政府采购政策需满足的资格要求如下:</w:t>
      </w:r>
    </w:p>
    <w:p w14:paraId="5143BB4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7F933F0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1D8562F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6C30105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7A92367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678588D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457697F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4D62ECF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292B8BA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6E02ED1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31ECBB9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合同包3(2025-2027管委会机关餐饮服务第三批（金融商务产业园等部门餐厅服务）（湿地文旅产业园）（三包）)落实政府采购政策需满足的资格要求如下:</w:t>
      </w:r>
    </w:p>
    <w:p w14:paraId="5FA8A3A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72B7ECC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3E4E949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5904D01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76164E2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2FFD6AC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500AF99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3FA2CA7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14129D0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0E6D8C7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5755CB0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合同包4(2025-2027管委会机关餐饮服务第三批（金融商务产业园等部门餐厅服务）（总部创意产业园）（四包）)落实政府采购政策需满足的资格要求如下:</w:t>
      </w:r>
    </w:p>
    <w:p w14:paraId="3DE871E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55EB384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6E1E23A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0756204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3437106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043E78F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06C4022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794C993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3330D34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6E21D4D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4DEA042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合同包5(2025-2027管委会机关餐饮服务第三批（金融商务产业园等部门餐厅服务）（雁鸣生态产业园）（五包）)落实政府采购政策需满足的资格要求如下:</w:t>
      </w:r>
    </w:p>
    <w:p w14:paraId="188A2DF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606CE71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548EAE7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024E13D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3CED840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0114485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0CAEA8E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62D8D6D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23D71D8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4B30FE8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452447F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合同包6(2025-2027管委会机关餐饮服务第三批（金融商务产业园等部门餐厅服务）（世园会展产业园）（六包）)落实政府采购政策需满足的资格要求如下:</w:t>
      </w:r>
    </w:p>
    <w:p w14:paraId="35470FE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05AB9AD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5E7B24F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3AF5F27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5F59EBE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240897B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0C1EE2C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44B47CC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24CAD8C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1CADBD7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2BEC4A0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3.本项目的特定资格要求：</w:t>
      </w:r>
    </w:p>
    <w:p w14:paraId="40EF71E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合同包1(2025-2027管委会机关餐饮服务第三批（金融商务产业园等部门餐厅服务）（金融商务产业园）（一包）)特定资格要求如下:</w:t>
      </w:r>
    </w:p>
    <w:p w14:paraId="417B45C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5299B19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4F888ED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07ED993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2697AB6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2C0423E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6）本项目专门面向中小微企业采购，须符合《政府采购促进中小企业发展管理办法》（财库〔2020〕46号）规定的中小微企业参加，符合要求的监狱企业或残疾人福利单位视同小微企业，并按要求提供声明函。</w:t>
      </w:r>
    </w:p>
    <w:p w14:paraId="33C10ED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合同包2(2025-2027管委会机关餐饮服务第三批（金融商务产业园等部门餐厅服务）（数字商贸产业园）（二包）)特定资格要求如下:</w:t>
      </w:r>
    </w:p>
    <w:p w14:paraId="655AF92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2A2087E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4E0E760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3）供应商应授权合法的人员参加磋商全过程，其中法定代表人直接参加磋商的，须出具法 定代表人身份证，并与营业执照上信息一致。法定代表人授权代表参加磋商的，须出具法定代表人授权书及授权代表身份证；</w:t>
      </w:r>
    </w:p>
    <w:p w14:paraId="5AF3C24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5141AE4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3BE5F7D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6）本项目专门面向中小微企业采购，须符合《政府采购促进中小企业发展管理办法》（财库〔2020〕46号）规定的中小微企业参加，符合要求的监狱企业或残疾人福利单位视同小微企业，并按要求提供声明函。</w:t>
      </w:r>
    </w:p>
    <w:p w14:paraId="3AFB433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合同包3(2025-2027管委会机关餐饮服务第三批（金融商务产业园等部门餐厅服务）（湿地文旅产业园）（三包）)特定资格要求如下:</w:t>
      </w:r>
    </w:p>
    <w:p w14:paraId="528270E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7D8BF34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420CE39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62D706D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75F8D33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4131FCB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6）本项目专门面向中小微企业采购，须符合《政府采购促进中小企业发展管理办法》（财库〔2020〕46号）规定的中小微企业参加，符合要求的监狱企业或残疾人福利单位视同小微企业，并按要求提供声明函。</w:t>
      </w:r>
    </w:p>
    <w:p w14:paraId="463C10A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合同包4(2025-2027管委会机关餐饮服务第三批（金融商务产业园等部门餐厅服务）（总部创意产业园）（四包）)特定资格要求如下:</w:t>
      </w:r>
    </w:p>
    <w:p w14:paraId="7EDD62F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0EEEEF4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643A5EB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6B84F6E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02DE066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0C547BC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6）本项目专门面向中小微企业采购，须符合《政府采购促进中小企业发展管理办法》（财库〔2020〕46号）规定的中小微企业参加，符合要求的监狱企业或残疾人福利单位视同小微企业，并按要求提供声明函。</w:t>
      </w:r>
    </w:p>
    <w:p w14:paraId="585488D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合同包5(2025-2027管委会机关餐饮服务第三批（金融商务产业园等部门餐厅服务）（雁鸣生态产业园）（五包）)特定资格要求如下:</w:t>
      </w:r>
    </w:p>
    <w:p w14:paraId="6823BBD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6CAD065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1851B29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36D2367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31383D1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65EF569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6）本项目专门面向中小微企业采购，须符合《政府采购促进中小企业发展管理办法》（财库〔2020〕46号）规定的中小微企业参加，符合要求的监狱企业或残疾人福利单位视同小微企业，并按要求提供声明函。</w:t>
      </w:r>
    </w:p>
    <w:p w14:paraId="0121F99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合同包6（2025-2027管委会机关餐饮服务第三批（金融商务产业园等部门餐厅服务）（世园会展产业园）（六包）)特定资格要求如下:</w:t>
      </w:r>
    </w:p>
    <w:p w14:paraId="65E7F80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4A300CD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253DC07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0FA1342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03B68E7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4A529AF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6）本项目专门面向中小微企业采购，须符合《政府采购促进中小企业发展管理办法》（财库〔2020〕46号）规定的中小微企业参加，符合要求的监狱企业或残疾人福利单位视同小微企业，并按要求提供声明函。</w:t>
      </w:r>
    </w:p>
    <w:p w14:paraId="05252F7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三、获取招标文件</w:t>
      </w:r>
    </w:p>
    <w:p w14:paraId="12457E0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时间：2025年7月31日至2025年8月6日，每天上午00:00:00至12:00:00，下午12:00:00至23:59:59（北京时间）</w:t>
      </w:r>
    </w:p>
    <w:p w14:paraId="42EBC7B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途径：全国公共资源交易平台（陕西省·西安市）网站〖首页〉电子交易平台〉陕西政府采购交易系统〉企业端〗</w:t>
      </w:r>
    </w:p>
    <w:p w14:paraId="78CECD0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方式：在线获取</w:t>
      </w:r>
    </w:p>
    <w:p w14:paraId="39A20DD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售价：0元</w:t>
      </w:r>
    </w:p>
    <w:p w14:paraId="366D8B5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四、提交投标文件截止时间、开标时间和地点</w:t>
      </w:r>
    </w:p>
    <w:p w14:paraId="732EA66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时间：2025年8月21日09时00分00秒（北京时间）</w:t>
      </w:r>
    </w:p>
    <w:p w14:paraId="0413D8D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提交投标文件地点：全国公共资源交易平台（陕西省·西安市）网站〖首页〉电子交易平台&lt;陕西政府采购交易系统&gt;企业端〗，在线提交。</w:t>
      </w:r>
    </w:p>
    <w:p w14:paraId="2E2A9BD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开标地点：全国公共资源交易平台（陕西省·西安市）不见面开标大厅</w:t>
      </w:r>
    </w:p>
    <w:p w14:paraId="48ACD45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五、公告期限</w:t>
      </w:r>
    </w:p>
    <w:p w14:paraId="50161DF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自本公告发布之日起5个工作日。</w:t>
      </w:r>
    </w:p>
    <w:p w14:paraId="1193DB2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六、其他补充事宜</w:t>
      </w:r>
    </w:p>
    <w:p w14:paraId="3166DCB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投标人初次使用电子交易平台时,请先阅读【全国公共资源交易平台(陕西省·西安市)】(http://sxggzyjy.xa.gov.cn/)网站〖首页〉服务指南〉下载专区〗中的《西安市市级单位电子化政府采购项目投标指南》,并按要求完成诚信入库登记、CA认证及企业信息绑定。</w:t>
      </w:r>
    </w:p>
    <w:p w14:paraId="5FA9873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办理CA认证：电子交易平台现已接入陕西CA、深圳CA、西部CA、北京CA四家数字证书公司,各供应商在交易过程中登录系统、加密/解密投标文件、文件签章等均可使用上述四家CA公司签发的数字证书。办理须知及所需资料详见：http://www.sxggzyjy.cn/fwzn/004003/20220701/6972fe02-f996-4928-951e-545dab02e53c.html</w:t>
      </w:r>
    </w:p>
    <w:p w14:paraId="4889394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采用“不见面开标”形式,供应商可登录全国公共资源交易平台(陕西省·西安市)网站〖首页〉不见面开标〗系统,在线参加开标过程。操作手册详见〖首页〉服务指南〉下载专区〗中的《西安公共资源交易不见面开标大厅供应商操作手册》。</w:t>
      </w:r>
    </w:p>
    <w:p w14:paraId="44C055C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4.按照陕西省财政厅《关于政府采购供应商注册登记有关事项的通知》中的要求，投标人应通过陕西省政府采购网(http://www.ccgp-shaanxi.gov.cn/)注册登记，加入陕西省政府采购供应商库。</w:t>
      </w:r>
    </w:p>
    <w:p w14:paraId="0723F79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获取招标文件方式：投标人须打开【全国公共资源交易平台（陕西省·西安市）】网站（简称西安市公共资源交易平台，官网地址：http://sxggzyjy.xa.gov.cn/），从〖首页·〉电子交易平台·〉陕西政府采购交易系统·〉企业端〗登录后，首先在〖招标公告/出让公告〗模块中预览全部可供参与的项目，然后选择有意向的项目点击〖我要投标〗，成功后切换到〖我的项目〗模块，依次点选〖项目流程·〉项目管理·〉交易文件下载〗免费获取本项目电子招标文件（*.SXSZF）；</w:t>
      </w:r>
    </w:p>
    <w:p w14:paraId="1AC84B9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提示：投标人须在获取招标文件时限内登录陕西省西安市公共资源交易中心平台系统，及时下载（SXSZF版本）招标文件并做好备份。逾期下载通道将关闭，未及时下载招标文件将会影响后续投标文件编制及后续投标活动。</w:t>
      </w:r>
    </w:p>
    <w:p w14:paraId="69B92A7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提交投标文件截止时间前，投标人应随时留意【陕西省政府采购网】、【全国公共资源交易平台（陕西省·西安市）】上可能发布的变更公告。若变更公告中明确注明本项提供有变更文件的，投标人应登录企业端后，从〖项目流程〉项目管理〉答疑文件下载〗获取更新后的电子招标文件（*.SXSCF），使用旧版电子招标文件制作的电子投标文件（*.SXSTF），系统将拒绝接收。</w:t>
      </w:r>
    </w:p>
    <w:p w14:paraId="32911A1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7.本项目专门面向中小企业采购。</w:t>
      </w:r>
    </w:p>
    <w:p w14:paraId="7FF5329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8.其他事项见本项目招标文件。</w:t>
      </w:r>
    </w:p>
    <w:p w14:paraId="5EC7204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七、对本次招标提出询问，请按以下方式联系。</w:t>
      </w:r>
    </w:p>
    <w:p w14:paraId="66A609E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1.采购人信息</w:t>
      </w:r>
    </w:p>
    <w:p w14:paraId="314886D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名称：西安浐灞国际港党政办公室</w:t>
      </w:r>
    </w:p>
    <w:p w14:paraId="11E3CC1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地址：西安浐灞国际港港务大道6号</w:t>
      </w:r>
    </w:p>
    <w:p w14:paraId="2FC8A72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联系方式：李老师 029-88072319</w:t>
      </w:r>
    </w:p>
    <w:p w14:paraId="6E552E9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2.采购代理机构信息</w:t>
      </w:r>
    </w:p>
    <w:p w14:paraId="26F56ED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名称：华晟国际项目管理有限公司</w:t>
      </w:r>
    </w:p>
    <w:p w14:paraId="248808D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地址：西安市高新区高新路88号尚品国际B幢25层</w:t>
      </w:r>
    </w:p>
    <w:p w14:paraId="6B77FDA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联系方式：029-81779899转8013</w:t>
      </w:r>
    </w:p>
    <w:p w14:paraId="33B6DBF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3.项目联系方式</w:t>
      </w:r>
    </w:p>
    <w:p w14:paraId="4091D84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both"/>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项目联系人：曹美奇、李琛</w:t>
      </w:r>
    </w:p>
    <w:p w14:paraId="37D18A3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both"/>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电话：029-81779899转8013</w:t>
      </w:r>
    </w:p>
    <w:p w14:paraId="745F77B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1680" w:firstLineChars="700"/>
        <w:jc w:val="both"/>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p>
    <w:p w14:paraId="4CFE078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6480" w:firstLineChars="2700"/>
        <w:jc w:val="both"/>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华晟国际项目管理有限公司</w:t>
      </w:r>
    </w:p>
    <w:p w14:paraId="41DF0DD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 xml:space="preserve">                                                         2025年7月30日</w:t>
      </w:r>
    </w:p>
    <w:p w14:paraId="21E8916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center"/>
        <w:textAlignment w:val="baseline"/>
        <w:outlineLvl w:val="0"/>
        <w:rPr>
          <w:rFonts w:hint="eastAsia" w:ascii="宋体" w:hAnsi="宋体" w:eastAsia="宋体" w:cs="宋体"/>
          <w:b/>
          <w:bCs/>
          <w:sz w:val="32"/>
          <w:szCs w:val="32"/>
          <w:highlight w:val="none"/>
        </w:rPr>
      </w:pPr>
      <w:r>
        <w:rPr>
          <w:rFonts w:hint="eastAsia" w:ascii="宋体" w:hAnsi="宋体" w:eastAsia="宋体" w:cs="宋体"/>
          <w:sz w:val="32"/>
          <w:szCs w:val="32"/>
          <w:highlight w:val="none"/>
        </w:rPr>
        <w:br w:type="page"/>
      </w:r>
      <w:bookmarkStart w:id="12" w:name="_Toc6230"/>
      <w:bookmarkStart w:id="13" w:name="_Toc9842"/>
      <w:r>
        <w:rPr>
          <w:rFonts w:hint="eastAsia" w:ascii="宋体" w:hAnsi="宋体" w:eastAsia="宋体" w:cs="宋体"/>
          <w:b/>
          <w:bCs/>
          <w:sz w:val="32"/>
          <w:szCs w:val="32"/>
          <w:highlight w:val="none"/>
        </w:rPr>
        <w:t>第二章  供应商须知</w:t>
      </w:r>
      <w:bookmarkEnd w:id="12"/>
      <w:bookmarkEnd w:id="13"/>
    </w:p>
    <w:p w14:paraId="15950082">
      <w:pPr>
        <w:spacing w:line="240" w:lineRule="auto"/>
        <w:jc w:val="center"/>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〖须知前附表〗</w:t>
      </w:r>
    </w:p>
    <w:tbl>
      <w:tblPr>
        <w:tblStyle w:val="29"/>
        <w:tblW w:w="5047"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490"/>
        <w:gridCol w:w="1695"/>
        <w:gridCol w:w="7865"/>
      </w:tblGrid>
      <w:tr w14:paraId="027A273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tcBorders>
              <w:top w:val="single" w:color="auto" w:sz="12" w:space="0"/>
              <w:bottom w:val="single" w:color="auto" w:sz="2" w:space="0"/>
            </w:tcBorders>
            <w:shd w:val="clear" w:color="auto" w:fill="F1F1F1"/>
            <w:noWrap w:val="0"/>
            <w:vAlign w:val="center"/>
          </w:tcPr>
          <w:p w14:paraId="4CEA9F0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843" w:type="pct"/>
            <w:tcBorders>
              <w:top w:val="single" w:color="auto" w:sz="12" w:space="0"/>
              <w:bottom w:val="single" w:color="auto" w:sz="2" w:space="0"/>
            </w:tcBorders>
            <w:shd w:val="clear" w:color="auto" w:fill="F1F1F1"/>
            <w:noWrap w:val="0"/>
            <w:vAlign w:val="center"/>
          </w:tcPr>
          <w:p w14:paraId="4930040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内容</w:t>
            </w:r>
          </w:p>
        </w:tc>
        <w:tc>
          <w:tcPr>
            <w:tcW w:w="3912" w:type="pct"/>
            <w:tcBorders>
              <w:top w:val="single" w:color="auto" w:sz="12" w:space="0"/>
              <w:bottom w:val="single" w:color="auto" w:sz="2" w:space="0"/>
            </w:tcBorders>
            <w:shd w:val="clear" w:color="auto" w:fill="F1F1F1"/>
            <w:noWrap w:val="0"/>
            <w:vAlign w:val="center"/>
          </w:tcPr>
          <w:p w14:paraId="6A9A746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说明和要求</w:t>
            </w:r>
          </w:p>
        </w:tc>
      </w:tr>
      <w:tr w14:paraId="0A6EB81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tcBorders>
              <w:top w:val="single" w:color="auto" w:sz="2" w:space="0"/>
            </w:tcBorders>
            <w:noWrap w:val="0"/>
            <w:vAlign w:val="center"/>
          </w:tcPr>
          <w:p w14:paraId="20F3665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843" w:type="pct"/>
            <w:tcBorders>
              <w:top w:val="single" w:color="auto" w:sz="2" w:space="0"/>
            </w:tcBorders>
            <w:noWrap w:val="0"/>
            <w:vAlign w:val="center"/>
          </w:tcPr>
          <w:p w14:paraId="55BA5EC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项目名称</w:t>
            </w:r>
          </w:p>
        </w:tc>
        <w:tc>
          <w:tcPr>
            <w:tcW w:w="3912" w:type="pct"/>
            <w:tcBorders>
              <w:top w:val="single" w:color="auto" w:sz="2" w:space="0"/>
            </w:tcBorders>
            <w:noWrap w:val="0"/>
            <w:vAlign w:val="center"/>
          </w:tcPr>
          <w:p w14:paraId="00EDA2F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2025-2027管委会机关餐饮服务第三批（金融商务产业园等部门餐厅服务）</w:t>
            </w:r>
            <w:r>
              <w:rPr>
                <w:rFonts w:hint="eastAsia" w:ascii="宋体" w:hAnsi="宋体" w:eastAsia="宋体" w:cs="宋体"/>
                <w:i w:val="0"/>
                <w:iCs w:val="0"/>
                <w:caps w:val="0"/>
                <w:color w:val="auto"/>
                <w:spacing w:val="0"/>
                <w:kern w:val="0"/>
                <w:sz w:val="24"/>
                <w:szCs w:val="24"/>
                <w:highlight w:val="none"/>
                <w:u w:val="none"/>
                <w:lang w:val="en-US" w:eastAsia="zh-CN" w:bidi="ar-SA"/>
              </w:rPr>
              <w:t>（总部创意产业园）（四包）</w:t>
            </w:r>
          </w:p>
        </w:tc>
      </w:tr>
      <w:tr w14:paraId="2A99668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4" w:type="pct"/>
            <w:noWrap w:val="0"/>
            <w:vAlign w:val="center"/>
          </w:tcPr>
          <w:p w14:paraId="5A6E216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843" w:type="pct"/>
            <w:noWrap w:val="0"/>
            <w:vAlign w:val="center"/>
          </w:tcPr>
          <w:p w14:paraId="067C234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项目编号</w:t>
            </w:r>
          </w:p>
        </w:tc>
        <w:tc>
          <w:tcPr>
            <w:tcW w:w="3912" w:type="pct"/>
            <w:noWrap w:val="0"/>
            <w:vAlign w:val="center"/>
          </w:tcPr>
          <w:p w14:paraId="5707FC8E">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rPr>
            </w:pP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CGZC-2025-114（HSGJ2025-171）</w:t>
            </w:r>
          </w:p>
        </w:tc>
      </w:tr>
      <w:tr w14:paraId="0CD1D31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B97151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843" w:type="pct"/>
            <w:noWrap w:val="0"/>
            <w:vAlign w:val="center"/>
          </w:tcPr>
          <w:p w14:paraId="03176D2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预算执行书编号</w:t>
            </w:r>
          </w:p>
        </w:tc>
        <w:tc>
          <w:tcPr>
            <w:tcW w:w="3912" w:type="pct"/>
            <w:noWrap w:val="0"/>
            <w:vAlign w:val="center"/>
          </w:tcPr>
          <w:p w14:paraId="4C7E32BF">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YS-西安市港务区-2025-00114</w:t>
            </w:r>
          </w:p>
        </w:tc>
      </w:tr>
      <w:tr w14:paraId="0C6E91C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restart"/>
            <w:noWrap w:val="0"/>
            <w:vAlign w:val="center"/>
          </w:tcPr>
          <w:p w14:paraId="198B14E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843" w:type="pct"/>
            <w:noWrap w:val="0"/>
            <w:vAlign w:val="center"/>
          </w:tcPr>
          <w:p w14:paraId="53ED714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是否预留份额专门面向中小企业采购</w:t>
            </w:r>
          </w:p>
        </w:tc>
        <w:tc>
          <w:tcPr>
            <w:tcW w:w="3912" w:type="pct"/>
            <w:noWrap w:val="0"/>
            <w:vAlign w:val="center"/>
          </w:tcPr>
          <w:p w14:paraId="5B2CF82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 xml:space="preserve">是  </w:t>
            </w:r>
            <w:r>
              <w:rPr>
                <w:rFonts w:hint="eastAsia" w:ascii="MS Gothic" w:hAnsi="MS Gothic"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5F86F13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53BAA59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p>
        </w:tc>
        <w:tc>
          <w:tcPr>
            <w:tcW w:w="843" w:type="pct"/>
            <w:noWrap w:val="0"/>
            <w:vAlign w:val="center"/>
          </w:tcPr>
          <w:p w14:paraId="01FA88F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支持中小企业发展</w:t>
            </w:r>
          </w:p>
        </w:tc>
        <w:tc>
          <w:tcPr>
            <w:tcW w:w="3912" w:type="pct"/>
            <w:noWrap w:val="0"/>
            <w:vAlign w:val="center"/>
          </w:tcPr>
          <w:p w14:paraId="646F5B3F">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根据《政府采购促进中小企业发展管理办法》（财库〔2020〕46号）文件的有关规定，提供小微企业制造的货物、承建的工程或者承接的服务（不包括使用大型、中型企业商号或者注册商标的货物）参与政府采购活动时对小型和微型企业产品的报价给予扣除，用扣除后的价格参加评审。同时，依据该办法第四条第二款规定在货物采购项目中，供应商提供的货物既有中小企业制造货物，也有大型企业制造货物的，不享受中小企业扶持政策。</w:t>
            </w:r>
            <w:r>
              <w:rPr>
                <w:rFonts w:hint="eastAsia" w:ascii="宋体" w:hAnsi="宋体" w:eastAsia="宋体" w:cs="宋体"/>
                <w:b/>
                <w:bCs/>
                <w:sz w:val="24"/>
                <w:szCs w:val="24"/>
                <w:highlight w:val="none"/>
                <w:lang w:eastAsia="zh-CN"/>
              </w:rPr>
              <w:t>本项目的扣除比例为：10%。</w:t>
            </w:r>
          </w:p>
          <w:p w14:paraId="78F36D21">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eastAsia="zh-CN"/>
              </w:rPr>
              <w:t>本项目专门面向</w:t>
            </w:r>
            <w:r>
              <w:rPr>
                <w:rFonts w:hint="eastAsia" w:ascii="宋体" w:hAnsi="宋体" w:eastAsia="宋体" w:cs="宋体"/>
                <w:b/>
                <w:bCs/>
                <w:sz w:val="24"/>
                <w:szCs w:val="24"/>
                <w:highlight w:val="none"/>
                <w:lang w:val="en-US" w:eastAsia="zh-CN"/>
              </w:rPr>
              <w:t>中小</w:t>
            </w:r>
            <w:r>
              <w:rPr>
                <w:rFonts w:hint="eastAsia" w:ascii="宋体" w:hAnsi="宋体" w:eastAsia="宋体" w:cs="宋体"/>
                <w:b/>
                <w:bCs/>
                <w:sz w:val="24"/>
                <w:szCs w:val="24"/>
                <w:highlight w:val="none"/>
                <w:lang w:eastAsia="zh-CN"/>
              </w:rPr>
              <w:t>企业采购，本项目所属行业为：</w:t>
            </w:r>
            <w:r>
              <w:rPr>
                <w:rFonts w:hint="eastAsia" w:ascii="宋体" w:hAnsi="宋体" w:eastAsia="宋体" w:cs="宋体"/>
                <w:b/>
                <w:bCs/>
                <w:sz w:val="24"/>
                <w:szCs w:val="24"/>
                <w:highlight w:val="none"/>
                <w:lang w:val="en-US" w:eastAsia="zh-CN"/>
              </w:rPr>
              <w:t>餐饮业</w:t>
            </w:r>
            <w:r>
              <w:rPr>
                <w:rFonts w:hint="eastAsia" w:ascii="宋体" w:hAnsi="宋体" w:eastAsia="宋体" w:cs="宋体"/>
                <w:b/>
                <w:bCs/>
                <w:sz w:val="24"/>
                <w:szCs w:val="24"/>
                <w:highlight w:val="none"/>
                <w:lang w:eastAsia="zh-CN"/>
              </w:rPr>
              <w:t>。</w:t>
            </w:r>
          </w:p>
        </w:tc>
      </w:tr>
      <w:tr w14:paraId="6039F44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3E6A669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p>
        </w:tc>
        <w:tc>
          <w:tcPr>
            <w:tcW w:w="843" w:type="pct"/>
            <w:noWrap w:val="0"/>
            <w:vAlign w:val="center"/>
          </w:tcPr>
          <w:p w14:paraId="1192160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支持监狱企业发展</w:t>
            </w:r>
          </w:p>
        </w:tc>
        <w:tc>
          <w:tcPr>
            <w:tcW w:w="3912" w:type="pct"/>
            <w:noWrap w:val="0"/>
            <w:vAlign w:val="center"/>
          </w:tcPr>
          <w:p w14:paraId="65D46220">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根据财政部、司法部联合下发的《关于政府采购支持监狱企业发展有关问题的通知》（财库〔2014〕68号）的规定，监狱企业视同小型、微型企业。价格评审时给予的扣除，用扣除后的价格参与评审。</w:t>
            </w:r>
            <w:r>
              <w:rPr>
                <w:rFonts w:hint="eastAsia" w:ascii="宋体" w:hAnsi="宋体" w:eastAsia="宋体" w:cs="宋体"/>
                <w:b/>
                <w:bCs/>
                <w:sz w:val="24"/>
                <w:szCs w:val="24"/>
                <w:highlight w:val="none"/>
                <w:lang w:eastAsia="zh-CN"/>
              </w:rPr>
              <w:t>本项目的扣除比例为：10%。</w:t>
            </w:r>
          </w:p>
        </w:tc>
      </w:tr>
      <w:tr w14:paraId="77BA85C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4D7D159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p>
        </w:tc>
        <w:tc>
          <w:tcPr>
            <w:tcW w:w="843" w:type="pct"/>
            <w:noWrap w:val="0"/>
            <w:vAlign w:val="center"/>
          </w:tcPr>
          <w:p w14:paraId="4E8E0FA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其他法律法规强制性规定的</w:t>
            </w:r>
          </w:p>
        </w:tc>
        <w:tc>
          <w:tcPr>
            <w:tcW w:w="3912" w:type="pct"/>
            <w:noWrap w:val="0"/>
            <w:vAlign w:val="center"/>
          </w:tcPr>
          <w:p w14:paraId="6AFB5D5B">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r>
              <w:rPr>
                <w:rFonts w:hint="eastAsia" w:ascii="宋体" w:hAnsi="宋体" w:eastAsia="宋体" w:cs="宋体"/>
                <w:b/>
                <w:bCs/>
                <w:sz w:val="24"/>
                <w:szCs w:val="24"/>
                <w:highlight w:val="none"/>
                <w:lang w:eastAsia="zh-CN"/>
              </w:rPr>
              <w:t>本项目的扣除比例为：10%。</w:t>
            </w:r>
          </w:p>
        </w:tc>
      </w:tr>
      <w:tr w14:paraId="1566C01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4EFA5F5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p>
        </w:tc>
        <w:tc>
          <w:tcPr>
            <w:tcW w:w="843" w:type="pct"/>
            <w:noWrap w:val="0"/>
            <w:vAlign w:val="center"/>
          </w:tcPr>
          <w:p w14:paraId="6DAC583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其他</w:t>
            </w:r>
          </w:p>
        </w:tc>
        <w:tc>
          <w:tcPr>
            <w:tcW w:w="3912" w:type="pct"/>
            <w:noWrap w:val="0"/>
            <w:vAlign w:val="center"/>
          </w:tcPr>
          <w:p w14:paraId="4B9F22FC">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参加政府采购活动的</w:t>
            </w:r>
            <w:r>
              <w:rPr>
                <w:rFonts w:hint="eastAsia" w:ascii="宋体" w:hAnsi="宋体" w:eastAsia="宋体" w:cs="宋体"/>
                <w:sz w:val="24"/>
                <w:szCs w:val="24"/>
                <w:highlight w:val="none"/>
                <w:lang w:val="en-US" w:eastAsia="zh-CN"/>
              </w:rPr>
              <w:t>小微</w:t>
            </w:r>
            <w:r>
              <w:rPr>
                <w:rFonts w:hint="eastAsia" w:ascii="宋体" w:hAnsi="宋体" w:eastAsia="宋体" w:cs="宋体"/>
                <w:sz w:val="24"/>
                <w:szCs w:val="24"/>
                <w:highlight w:val="none"/>
                <w:lang w:eastAsia="zh-CN"/>
              </w:rPr>
              <w:t>企业、监狱企业、残疾人福利性单位应根据企业性质分别提供《中小企业声明函》\《监狱企业证明函》\《残疾</w:t>
            </w:r>
            <w:r>
              <w:rPr>
                <w:rFonts w:hint="eastAsia" w:ascii="宋体" w:hAnsi="宋体" w:eastAsia="宋体" w:cs="宋体"/>
                <w:sz w:val="24"/>
                <w:szCs w:val="24"/>
                <w:highlight w:val="none"/>
              </w:rPr>
              <w:t>人福利性单位声明函》。其中，《监狱企业证明函》应由省级以上监狱管理局、戒毒管理局（含新疆生产建设兵团）出具。未提供上述声明函\证明函的，不能享受招标文件规定的价格扣除，但不影响投标文件的有效性。</w:t>
            </w:r>
          </w:p>
        </w:tc>
      </w:tr>
      <w:tr w14:paraId="1FE0336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1992A6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843" w:type="pct"/>
            <w:noWrap w:val="0"/>
            <w:vAlign w:val="center"/>
          </w:tcPr>
          <w:p w14:paraId="17A74BF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预算金额</w:t>
            </w:r>
            <w:r>
              <w:rPr>
                <w:rFonts w:hint="eastAsia" w:ascii="宋体" w:hAnsi="宋体" w:eastAsia="宋体" w:cs="宋体"/>
                <w:sz w:val="24"/>
                <w:szCs w:val="24"/>
                <w:highlight w:val="none"/>
                <w:lang w:eastAsia="zh-CN"/>
              </w:rPr>
              <w:t>及最高限价</w:t>
            </w:r>
          </w:p>
        </w:tc>
        <w:tc>
          <w:tcPr>
            <w:tcW w:w="3912" w:type="pct"/>
            <w:noWrap w:val="0"/>
            <w:vAlign w:val="center"/>
          </w:tcPr>
          <w:p w14:paraId="383F5F5C">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项目预算：</w:t>
            </w:r>
            <w:r>
              <w:rPr>
                <w:rFonts w:hint="eastAsia" w:ascii="宋体" w:hAnsi="宋体" w:eastAsia="宋体" w:cs="宋体"/>
                <w:sz w:val="24"/>
                <w:szCs w:val="24"/>
                <w:highlight w:val="none"/>
                <w:lang w:val="en-US" w:eastAsia="zh-CN"/>
              </w:rPr>
              <w:t>909000.00</w:t>
            </w:r>
            <w:r>
              <w:rPr>
                <w:rFonts w:hint="eastAsia" w:ascii="宋体" w:hAnsi="宋体" w:eastAsia="宋体" w:cs="宋体"/>
                <w:sz w:val="24"/>
                <w:szCs w:val="24"/>
                <w:highlight w:val="none"/>
              </w:rPr>
              <w:t>元</w:t>
            </w:r>
          </w:p>
          <w:p w14:paraId="0722B223">
            <w:pP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2.最高限价</w:t>
            </w:r>
            <w:r>
              <w:rPr>
                <w:rFonts w:hint="eastAsia" w:ascii="宋体" w:hAnsi="宋体" w:eastAsia="宋体" w:cs="宋体"/>
                <w:sz w:val="24"/>
                <w:szCs w:val="24"/>
                <w:highlight w:val="none"/>
                <w:lang w:val="en-US" w:eastAsia="zh-CN"/>
              </w:rPr>
              <w:t>：909000.00元</w:t>
            </w:r>
          </w:p>
          <w:p w14:paraId="7AD27E0F">
            <w:pPr>
              <w:pStyle w:val="15"/>
              <w:keepNext w:val="0"/>
              <w:keepLines w:val="0"/>
              <w:pageBreakBefore w:val="0"/>
              <w:kinsoku/>
              <w:wordWrap/>
              <w:overflowPunct/>
              <w:topLinePunct w:val="0"/>
              <w:autoSpaceDE/>
              <w:autoSpaceDN/>
              <w:bidi w:val="0"/>
              <w:adjustRightInd/>
              <w:snapToGrid w:val="0"/>
              <w:spacing w:line="312" w:lineRule="auto"/>
              <w:rPr>
                <w:rFonts w:hint="eastAsia"/>
                <w:highlight w:val="none"/>
              </w:rPr>
            </w:pPr>
            <w:r>
              <w:rPr>
                <w:rFonts w:hint="eastAsia" w:ascii="宋体" w:hAnsi="宋体" w:eastAsia="宋体" w:cs="宋体"/>
                <w:color w:val="auto"/>
                <w:kern w:val="0"/>
                <w:sz w:val="24"/>
                <w:szCs w:val="24"/>
                <w:highlight w:val="none"/>
                <w:lang w:val="en-US" w:eastAsia="zh-CN" w:bidi="ar-SA"/>
              </w:rPr>
              <w:t>投标人投标总报价超过最高限价为无效投标。</w:t>
            </w:r>
          </w:p>
        </w:tc>
      </w:tr>
      <w:tr w14:paraId="67466F5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21DA0C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843" w:type="pct"/>
            <w:noWrap w:val="0"/>
            <w:vAlign w:val="center"/>
          </w:tcPr>
          <w:p w14:paraId="3700937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rPr>
              <w:t>是否接受联合体</w:t>
            </w:r>
          </w:p>
        </w:tc>
        <w:tc>
          <w:tcPr>
            <w:tcW w:w="3912" w:type="pct"/>
            <w:noWrap w:val="0"/>
            <w:vAlign w:val="center"/>
          </w:tcPr>
          <w:p w14:paraId="5C25C5BD">
            <w:pPr>
              <w:keepNext w:val="0"/>
              <w:keepLines w:val="0"/>
              <w:pageBreakBefore w:val="0"/>
              <w:kinsoku/>
              <w:wordWrap/>
              <w:overflowPunct/>
              <w:topLinePunct w:val="0"/>
              <w:autoSpaceDE/>
              <w:autoSpaceDN/>
              <w:bidi w:val="0"/>
              <w:adjustRightInd/>
              <w:snapToGrid w:val="0"/>
              <w:spacing w:line="312" w:lineRule="auto"/>
              <w:jc w:val="center"/>
              <w:rPr>
                <w:rFonts w:hint="eastAsia" w:ascii="楷体_GB2312" w:hAnsi="Times New Roman" w:eastAsia="楷体_GB2312" w:cs="Times New Roman"/>
                <w:kern w:val="0"/>
                <w:sz w:val="32"/>
                <w:szCs w:val="32"/>
                <w:highlight w:val="none"/>
                <w:lang w:val="en-US" w:eastAsia="zh-CN" w:bidi="ar-SA"/>
              </w:rPr>
            </w:pPr>
            <w:r>
              <w:rPr>
                <w:rFonts w:hint="eastAsia" w:ascii="宋体" w:hAnsi="宋体" w:eastAsia="宋体" w:cs="宋体"/>
                <w:sz w:val="24"/>
                <w:szCs w:val="24"/>
                <w:highlight w:val="none"/>
              </w:rPr>
              <w:t xml:space="preserve">☐是  </w:t>
            </w: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1C48E85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73CD62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p>
        </w:tc>
        <w:tc>
          <w:tcPr>
            <w:tcW w:w="843" w:type="pct"/>
            <w:noWrap w:val="0"/>
            <w:vAlign w:val="center"/>
          </w:tcPr>
          <w:p w14:paraId="56C8371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是否允许进口产品</w:t>
            </w:r>
          </w:p>
        </w:tc>
        <w:tc>
          <w:tcPr>
            <w:tcW w:w="3912" w:type="pct"/>
            <w:noWrap w:val="0"/>
            <w:vAlign w:val="center"/>
          </w:tcPr>
          <w:p w14:paraId="2C726D03">
            <w:pPr>
              <w:keepNext w:val="0"/>
              <w:keepLines w:val="0"/>
              <w:pageBreakBefore w:val="0"/>
              <w:kinsoku/>
              <w:wordWrap/>
              <w:overflowPunct/>
              <w:topLinePunct w:val="0"/>
              <w:autoSpaceDE/>
              <w:autoSpaceDN/>
              <w:bidi w:val="0"/>
              <w:adjustRightInd/>
              <w:snapToGrid w:val="0"/>
              <w:spacing w:line="312" w:lineRule="auto"/>
              <w:jc w:val="center"/>
              <w:rPr>
                <w:rFonts w:hint="eastAsia"/>
                <w:highlight w:val="none"/>
                <w:lang w:val="en-US" w:eastAsia="zh-CN"/>
              </w:rPr>
            </w:pPr>
            <w:r>
              <w:rPr>
                <w:rFonts w:hint="eastAsia" w:ascii="宋体" w:hAnsi="宋体" w:eastAsia="宋体" w:cs="宋体"/>
                <w:sz w:val="24"/>
                <w:szCs w:val="24"/>
                <w:highlight w:val="none"/>
              </w:rPr>
              <w:t xml:space="preserve">☐是  </w:t>
            </w: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38E558D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8870CF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w:t>
            </w:r>
          </w:p>
        </w:tc>
        <w:tc>
          <w:tcPr>
            <w:tcW w:w="843" w:type="pct"/>
            <w:noWrap w:val="0"/>
            <w:vAlign w:val="center"/>
          </w:tcPr>
          <w:p w14:paraId="3516593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是否允许大中企业向小微企业分包</w:t>
            </w:r>
          </w:p>
        </w:tc>
        <w:tc>
          <w:tcPr>
            <w:tcW w:w="3912" w:type="pct"/>
            <w:noWrap w:val="0"/>
            <w:vAlign w:val="center"/>
          </w:tcPr>
          <w:p w14:paraId="42E80AAD">
            <w:pPr>
              <w:keepNext w:val="0"/>
              <w:keepLines w:val="0"/>
              <w:pageBreakBefore w:val="0"/>
              <w:kinsoku/>
              <w:wordWrap/>
              <w:overflowPunct/>
              <w:topLinePunct w:val="0"/>
              <w:autoSpaceDE/>
              <w:autoSpaceDN/>
              <w:bidi w:val="0"/>
              <w:adjustRightInd/>
              <w:snapToGrid w:val="0"/>
              <w:spacing w:line="312" w:lineRule="auto"/>
              <w:jc w:val="center"/>
              <w:rPr>
                <w:rFonts w:hint="default"/>
                <w:highlight w:val="none"/>
                <w:lang w:val="en-US" w:eastAsia="zh-CN"/>
              </w:rPr>
            </w:pP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 xml:space="preserve">是  </w:t>
            </w:r>
            <w:r>
              <w:rPr>
                <w:rFonts w:hint="eastAsia" w:ascii="MS Gothic" w:hAnsi="MS Gothic"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5C2E724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A5E86B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w:t>
            </w:r>
          </w:p>
        </w:tc>
        <w:tc>
          <w:tcPr>
            <w:tcW w:w="843" w:type="pct"/>
            <w:noWrap w:val="0"/>
            <w:vAlign w:val="center"/>
          </w:tcPr>
          <w:p w14:paraId="5094D59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highlight w:val="none"/>
              </w:rPr>
              <w:t>采购内容</w:t>
            </w:r>
          </w:p>
        </w:tc>
        <w:tc>
          <w:tcPr>
            <w:tcW w:w="3912" w:type="pct"/>
            <w:noWrap w:val="0"/>
            <w:vAlign w:val="center"/>
          </w:tcPr>
          <w:p w14:paraId="7441A3DF">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lang w:val="en-US" w:eastAsia="zh-CN"/>
              </w:rPr>
              <w:t>2025-2027管委会机关餐饮服务第三批（金融商务产业园等部门餐厅服务）</w:t>
            </w:r>
            <w:r>
              <w:rPr>
                <w:rFonts w:hint="eastAsia" w:ascii="宋体" w:hAnsi="宋体" w:eastAsia="宋体" w:cs="宋体"/>
                <w:i w:val="0"/>
                <w:iCs w:val="0"/>
                <w:caps w:val="0"/>
                <w:color w:val="auto"/>
                <w:spacing w:val="0"/>
                <w:kern w:val="0"/>
                <w:sz w:val="24"/>
                <w:szCs w:val="24"/>
                <w:highlight w:val="none"/>
                <w:u w:val="none"/>
                <w:lang w:val="en-US" w:eastAsia="zh-CN" w:bidi="ar-SA"/>
              </w:rPr>
              <w:t>，</w:t>
            </w:r>
            <w:r>
              <w:rPr>
                <w:rFonts w:hint="eastAsia" w:ascii="宋体" w:hAnsi="宋体" w:eastAsia="宋体" w:cs="宋体"/>
                <w:color w:val="auto"/>
                <w:sz w:val="24"/>
                <w:highlight w:val="none"/>
                <w:lang w:eastAsia="zh-CN"/>
              </w:rPr>
              <w:t>详见第三章</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lang w:eastAsia="zh-CN"/>
              </w:rPr>
              <w:t>招标内容及要求</w:t>
            </w:r>
            <w:r>
              <w:rPr>
                <w:rFonts w:hint="eastAsia" w:ascii="宋体" w:hAnsi="宋体" w:eastAsia="宋体" w:cs="宋体"/>
                <w:color w:val="auto"/>
                <w:sz w:val="24"/>
                <w:highlight w:val="none"/>
              </w:rPr>
              <w:t>。</w:t>
            </w:r>
          </w:p>
        </w:tc>
      </w:tr>
      <w:tr w14:paraId="1FDFF64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394607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843" w:type="pct"/>
            <w:noWrap w:val="0"/>
            <w:vAlign w:val="center"/>
          </w:tcPr>
          <w:p w14:paraId="47734A06">
            <w:pPr>
              <w:pStyle w:val="16"/>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服务期</w:t>
            </w:r>
          </w:p>
        </w:tc>
        <w:tc>
          <w:tcPr>
            <w:tcW w:w="3912" w:type="pct"/>
            <w:noWrap w:val="0"/>
            <w:vAlign w:val="center"/>
          </w:tcPr>
          <w:p w14:paraId="47FF6AD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3年</w:t>
            </w:r>
          </w:p>
        </w:tc>
      </w:tr>
      <w:tr w14:paraId="7EE9A82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3E37CD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w:t>
            </w:r>
          </w:p>
        </w:tc>
        <w:tc>
          <w:tcPr>
            <w:tcW w:w="843" w:type="pct"/>
            <w:noWrap w:val="0"/>
            <w:vAlign w:val="center"/>
          </w:tcPr>
          <w:p w14:paraId="4FBBCB2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color w:val="auto"/>
                <w:sz w:val="24"/>
                <w:highlight w:val="none"/>
                <w:lang w:eastAsia="zh-CN"/>
              </w:rPr>
              <w:t>服务地点</w:t>
            </w:r>
          </w:p>
        </w:tc>
        <w:tc>
          <w:tcPr>
            <w:tcW w:w="3912" w:type="pct"/>
            <w:noWrap w:val="0"/>
            <w:vAlign w:val="center"/>
          </w:tcPr>
          <w:p w14:paraId="37C658B0">
            <w:pPr>
              <w:keepNext w:val="0"/>
              <w:keepLines w:val="0"/>
              <w:pageBreakBefore w:val="0"/>
              <w:kinsoku/>
              <w:wordWrap/>
              <w:overflowPunct/>
              <w:topLinePunct w:val="0"/>
              <w:autoSpaceDE/>
              <w:autoSpaceDN/>
              <w:bidi w:val="0"/>
              <w:adjustRightInd/>
              <w:snapToGrid w:val="0"/>
              <w:spacing w:line="312" w:lineRule="auto"/>
              <w:jc w:val="left"/>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rPr>
              <w:t>采购人指定的地点</w:t>
            </w:r>
          </w:p>
        </w:tc>
      </w:tr>
      <w:tr w14:paraId="23E177B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ABD549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w:t>
            </w:r>
          </w:p>
        </w:tc>
        <w:tc>
          <w:tcPr>
            <w:tcW w:w="843" w:type="pct"/>
            <w:noWrap w:val="0"/>
            <w:vAlign w:val="center"/>
          </w:tcPr>
          <w:p w14:paraId="742501C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color w:val="auto"/>
                <w:sz w:val="24"/>
                <w:highlight w:val="none"/>
              </w:rPr>
              <w:t>质量要求</w:t>
            </w:r>
          </w:p>
        </w:tc>
        <w:tc>
          <w:tcPr>
            <w:tcW w:w="3912" w:type="pct"/>
            <w:noWrap w:val="0"/>
            <w:vAlign w:val="center"/>
          </w:tcPr>
          <w:p w14:paraId="5E1F045C">
            <w:pPr>
              <w:keepNext w:val="0"/>
              <w:keepLines w:val="0"/>
              <w:pageBreakBefore w:val="0"/>
              <w:kinsoku/>
              <w:wordWrap/>
              <w:overflowPunct/>
              <w:topLinePunct w:val="0"/>
              <w:autoSpaceDE/>
              <w:autoSpaceDN/>
              <w:bidi w:val="0"/>
              <w:adjustRightInd/>
              <w:snapToGrid w:val="0"/>
              <w:spacing w:line="312"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满足国家及行业现行技术标准、规范要求</w:t>
            </w:r>
          </w:p>
        </w:tc>
      </w:tr>
      <w:tr w14:paraId="7744411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2977EB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val="en-US" w:eastAsia="zh-CN"/>
              </w:rPr>
              <w:t>13</w:t>
            </w:r>
          </w:p>
        </w:tc>
        <w:tc>
          <w:tcPr>
            <w:tcW w:w="843" w:type="pct"/>
            <w:noWrap w:val="0"/>
            <w:vAlign w:val="center"/>
          </w:tcPr>
          <w:p w14:paraId="13DD7F21">
            <w:pPr>
              <w:keepNext w:val="0"/>
              <w:keepLines w:val="0"/>
              <w:pageBreakBefore w:val="0"/>
              <w:widowControl/>
              <w:kinsoku/>
              <w:wordWrap/>
              <w:overflowPunct/>
              <w:topLinePunct w:val="0"/>
              <w:autoSpaceDE/>
              <w:autoSpaceDN/>
              <w:bidi w:val="0"/>
              <w:adjustRightInd/>
              <w:snapToGrid w:val="0"/>
              <w:spacing w:line="31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付款方式</w:t>
            </w:r>
          </w:p>
        </w:tc>
        <w:tc>
          <w:tcPr>
            <w:tcW w:w="3912" w:type="pct"/>
            <w:noWrap w:val="0"/>
            <w:vAlign w:val="center"/>
          </w:tcPr>
          <w:p w14:paraId="227CDF9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1.预付款支付条款：无</w:t>
            </w:r>
          </w:p>
          <w:p w14:paraId="592E90F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2.剩余款项支付条款：</w:t>
            </w:r>
          </w:p>
          <w:p w14:paraId="6603363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right="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合同签订后，第一季度工作完成支付该年度合同总金额的 25.00%。第二季度工作完成支付该年度合同总金额的 25.00%。第三季度工作完成支付该年度合同总金额的 25.00%。第四季度工作完成支付该年度合同总金额的 25.00%。</w:t>
            </w:r>
          </w:p>
          <w:p w14:paraId="67D65BE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注：付款依据为合同、招标文件、投标文件、发票。</w:t>
            </w:r>
          </w:p>
        </w:tc>
      </w:tr>
      <w:tr w14:paraId="02F3F24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CC52D8E">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color w:val="FF0000"/>
                <w:sz w:val="24"/>
                <w:szCs w:val="24"/>
                <w:highlight w:val="none"/>
                <w:lang w:val="en-US" w:eastAsia="zh-CN"/>
              </w:rPr>
            </w:pPr>
            <w:r>
              <w:rPr>
                <w:rFonts w:hint="eastAsia" w:ascii="宋体" w:hAnsi="宋体" w:eastAsia="宋体" w:cs="宋体"/>
                <w:sz w:val="24"/>
                <w:szCs w:val="24"/>
                <w:highlight w:val="none"/>
                <w:lang w:val="en-US" w:eastAsia="zh-CN"/>
              </w:rPr>
              <w:t>14</w:t>
            </w:r>
          </w:p>
        </w:tc>
        <w:tc>
          <w:tcPr>
            <w:tcW w:w="843" w:type="pct"/>
            <w:noWrap w:val="0"/>
            <w:vAlign w:val="center"/>
          </w:tcPr>
          <w:p w14:paraId="45DC221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供应商资质条件</w:t>
            </w:r>
          </w:p>
        </w:tc>
        <w:tc>
          <w:tcPr>
            <w:tcW w:w="3912" w:type="pct"/>
            <w:noWrap w:val="0"/>
            <w:vAlign w:val="center"/>
          </w:tcPr>
          <w:p w14:paraId="5BE11FC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1.有效的主体资格证明：提供合格有效的法人或者其他组织的营业执照等证明文件或自然人的身份证明；</w:t>
            </w:r>
          </w:p>
          <w:p w14:paraId="127E3ED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2.基本资格条件：符合《中华人民共和国政府采购法》第二十二条的规定；</w:t>
            </w:r>
          </w:p>
          <w:p w14:paraId="23CF702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4560600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4.单位负责人为同一人或者存在直接控股、管理关系的不同供应商，不得参加同一合同项下的政府采购活动。</w:t>
            </w:r>
          </w:p>
          <w:p w14:paraId="55BA649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31F9F74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6.本项目专门面向中小微企业采购，须符合《政府采购促进中小企业发展管理办法》（财库〔2020〕46号）规定的中小微企业参加，符合要求的监狱企业或残疾人福利单位视同小微企业，并按要求提供声明函。</w:t>
            </w:r>
          </w:p>
        </w:tc>
      </w:tr>
      <w:tr w14:paraId="14D9626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A8BF9DB">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15</w:t>
            </w:r>
          </w:p>
        </w:tc>
        <w:tc>
          <w:tcPr>
            <w:tcW w:w="843" w:type="pct"/>
            <w:noWrap w:val="0"/>
            <w:vAlign w:val="center"/>
          </w:tcPr>
          <w:p w14:paraId="0F02597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投标保证金</w:t>
            </w:r>
          </w:p>
        </w:tc>
        <w:tc>
          <w:tcPr>
            <w:tcW w:w="3912" w:type="pct"/>
            <w:noWrap w:val="0"/>
            <w:vAlign w:val="center"/>
          </w:tcPr>
          <w:p w14:paraId="0001E874">
            <w:pPr>
              <w:keepNext w:val="0"/>
              <w:keepLines w:val="0"/>
              <w:pageBreakBefore w:val="0"/>
              <w:kinsoku/>
              <w:wordWrap/>
              <w:overflowPunct/>
              <w:topLinePunct w:val="0"/>
              <w:autoSpaceDE/>
              <w:autoSpaceDN/>
              <w:bidi w:val="0"/>
              <w:adjustRightInd/>
              <w:snapToGrid w:val="0"/>
              <w:spacing w:line="312" w:lineRule="auto"/>
              <w:jc w:val="both"/>
              <w:rPr>
                <w:rFonts w:hint="eastAsia"/>
                <w:highlight w:val="none"/>
                <w:lang w:val="en-US" w:eastAsia="zh-CN"/>
              </w:rPr>
            </w:pPr>
            <w:r>
              <w:rPr>
                <w:rFonts w:hint="eastAsia" w:ascii="宋体" w:hAnsi="宋体" w:eastAsia="宋体" w:cs="宋体"/>
                <w:sz w:val="24"/>
                <w:szCs w:val="24"/>
                <w:highlight w:val="none"/>
                <w:lang w:eastAsia="zh-CN"/>
              </w:rPr>
              <w:t>无</w:t>
            </w:r>
          </w:p>
        </w:tc>
      </w:tr>
      <w:tr w14:paraId="6A25EA7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94F574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16</w:t>
            </w:r>
          </w:p>
        </w:tc>
        <w:tc>
          <w:tcPr>
            <w:tcW w:w="843" w:type="pct"/>
            <w:noWrap w:val="0"/>
            <w:vAlign w:val="center"/>
          </w:tcPr>
          <w:p w14:paraId="33765FC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rPr>
              <w:t>履约保证金</w:t>
            </w:r>
          </w:p>
        </w:tc>
        <w:tc>
          <w:tcPr>
            <w:tcW w:w="3912" w:type="pct"/>
            <w:noWrap w:val="0"/>
            <w:vAlign w:val="center"/>
          </w:tcPr>
          <w:p w14:paraId="71B130F6">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根据陕西省财政厅关于落实政府采购支持中小企业政策有关事项的通知《陕财办采函〔2022〕10号》货物和服务采购项目为保证采购合同的履行，确需收取履约保证金的，应在采购文件中约定履约保证金收取要求，收取比例不超过合同金额的5%。</w:t>
            </w:r>
          </w:p>
          <w:p w14:paraId="052B9AA5">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供应商应在领取中标通知书后5个工作日内将履约保证金足额交纳至以下账户，其数额（或担保金额）为合同金额的〈0-10〉%（舍入到百元），履约保证金由采购代理机构代收和退还\采购人自行收取和退还。</w:t>
            </w:r>
          </w:p>
          <w:p w14:paraId="07334598">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户　名：_____________________________</w:t>
            </w:r>
          </w:p>
          <w:p w14:paraId="34593D1D">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账　号：_____________________________</w:t>
            </w:r>
          </w:p>
          <w:p w14:paraId="4BF78AC7">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开户行：_____________________________</w:t>
            </w:r>
          </w:p>
          <w:p w14:paraId="11EBDC6A">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业务咨询电话：_______________________</w:t>
            </w:r>
          </w:p>
          <w:p w14:paraId="4AD60F7A">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sz w:val="24"/>
                <w:szCs w:val="24"/>
                <w:highlight w:val="none"/>
                <w:lang w:eastAsia="zh-CN"/>
              </w:rPr>
              <w:t>本项目无</w:t>
            </w:r>
            <w:r>
              <w:rPr>
                <w:rFonts w:hint="eastAsia" w:ascii="宋体" w:hAnsi="宋体" w:eastAsia="宋体" w:cs="宋体"/>
                <w:sz w:val="24"/>
                <w:szCs w:val="24"/>
                <w:highlight w:val="none"/>
              </w:rPr>
              <w:t>履约保证金</w:t>
            </w:r>
            <w:r>
              <w:rPr>
                <w:rFonts w:hint="eastAsia" w:ascii="宋体" w:hAnsi="宋体" w:eastAsia="宋体" w:cs="宋体"/>
                <w:sz w:val="24"/>
                <w:szCs w:val="24"/>
                <w:highlight w:val="none"/>
                <w:lang w:eastAsia="zh-CN"/>
              </w:rPr>
              <w:t>。</w:t>
            </w:r>
          </w:p>
        </w:tc>
      </w:tr>
      <w:tr w14:paraId="6E2DF3C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9E8C9D2">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17</w:t>
            </w:r>
          </w:p>
        </w:tc>
        <w:tc>
          <w:tcPr>
            <w:tcW w:w="843" w:type="pct"/>
            <w:noWrap w:val="0"/>
            <w:vAlign w:val="center"/>
          </w:tcPr>
          <w:p w14:paraId="529D923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投标文件份数</w:t>
            </w:r>
          </w:p>
        </w:tc>
        <w:tc>
          <w:tcPr>
            <w:tcW w:w="3912" w:type="pct"/>
            <w:noWrap w:val="0"/>
            <w:vAlign w:val="center"/>
          </w:tcPr>
          <w:p w14:paraId="0AB5EDAA">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投标供应商无需提供；</w:t>
            </w:r>
          </w:p>
          <w:p w14:paraId="3DD491FB">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中标供应商在领取中标通知书时</w:t>
            </w:r>
            <w:r>
              <w:rPr>
                <w:rFonts w:hint="eastAsia" w:ascii="宋体" w:hAnsi="宋体" w:eastAsia="宋体" w:cs="宋体"/>
                <w:sz w:val="24"/>
                <w:szCs w:val="24"/>
                <w:highlight w:val="none"/>
                <w:lang w:eastAsia="zh-CN"/>
              </w:rPr>
              <w:t>提供</w:t>
            </w:r>
            <w:r>
              <w:rPr>
                <w:rFonts w:hint="eastAsia" w:ascii="宋体" w:hAnsi="宋体" w:eastAsia="宋体" w:cs="宋体"/>
                <w:sz w:val="24"/>
                <w:szCs w:val="24"/>
                <w:highlight w:val="none"/>
              </w:rPr>
              <w:t>正本壹份、副本贰份，电子版壹份</w:t>
            </w:r>
            <w:r>
              <w:rPr>
                <w:rFonts w:hint="eastAsia" w:ascii="宋体" w:hAnsi="宋体" w:eastAsia="宋体" w:cs="宋体"/>
                <w:sz w:val="24"/>
                <w:szCs w:val="24"/>
                <w:highlight w:val="none"/>
                <w:lang w:eastAsia="zh-CN"/>
              </w:rPr>
              <w:t>。</w:t>
            </w:r>
          </w:p>
        </w:tc>
      </w:tr>
      <w:tr w14:paraId="58AA565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9DCAC3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18</w:t>
            </w:r>
          </w:p>
        </w:tc>
        <w:tc>
          <w:tcPr>
            <w:tcW w:w="843" w:type="pct"/>
            <w:noWrap w:val="0"/>
            <w:vAlign w:val="center"/>
          </w:tcPr>
          <w:p w14:paraId="2E28183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highlight w:val="none"/>
                <w:lang w:eastAsia="zh-CN"/>
              </w:rPr>
            </w:pPr>
            <w:r>
              <w:rPr>
                <w:rFonts w:hint="eastAsia" w:ascii="宋体" w:hAnsi="宋体" w:eastAsia="宋体" w:cs="宋体"/>
                <w:sz w:val="24"/>
                <w:szCs w:val="24"/>
                <w:highlight w:val="none"/>
              </w:rPr>
              <w:t>现场踏勘和集中答疑</w:t>
            </w:r>
          </w:p>
        </w:tc>
        <w:tc>
          <w:tcPr>
            <w:tcW w:w="3912" w:type="pct"/>
            <w:noWrap w:val="0"/>
            <w:vAlign w:val="center"/>
          </w:tcPr>
          <w:p w14:paraId="436DB1C6">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color w:val="auto"/>
                <w:sz w:val="24"/>
                <w:highlight w:val="none"/>
                <w:lang w:eastAsia="zh-CN"/>
              </w:rPr>
            </w:pPr>
            <w:r>
              <w:rPr>
                <w:rFonts w:hint="eastAsia" w:ascii="宋体" w:hAnsi="宋体" w:eastAsia="宋体" w:cs="宋体"/>
                <w:sz w:val="24"/>
                <w:szCs w:val="24"/>
                <w:highlight w:val="none"/>
                <w:lang w:eastAsia="zh-CN"/>
              </w:rPr>
              <w:t>不统一组织</w:t>
            </w:r>
          </w:p>
        </w:tc>
      </w:tr>
      <w:tr w14:paraId="6566B44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BE25725">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19</w:t>
            </w:r>
          </w:p>
        </w:tc>
        <w:tc>
          <w:tcPr>
            <w:tcW w:w="843" w:type="pct"/>
            <w:noWrap w:val="0"/>
            <w:vAlign w:val="center"/>
          </w:tcPr>
          <w:p w14:paraId="198FF8F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政府采购信息发布媒体</w:t>
            </w:r>
          </w:p>
          <w:p w14:paraId="0B92D74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（采购公告、采购结果公告、变更公告）</w:t>
            </w:r>
          </w:p>
        </w:tc>
        <w:tc>
          <w:tcPr>
            <w:tcW w:w="3912" w:type="pct"/>
            <w:noWrap w:val="0"/>
            <w:vAlign w:val="center"/>
          </w:tcPr>
          <w:p w14:paraId="35666759">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1．陕西省政府采购网：仅提供项目公告，官网地址：http://ccgp-shaanxi.gov.cn/。</w:t>
            </w:r>
          </w:p>
          <w:p w14:paraId="76704F1A">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2．全国公共资源交易平台（陕西省·西安市）：即西安市公共资源交易平台，提供项目公告和采购文件下载。官网地址：http://sxggzyjy.xa.gov.cn/</w:t>
            </w:r>
          </w:p>
        </w:tc>
      </w:tr>
      <w:tr w14:paraId="04FE884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3D27F25">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20</w:t>
            </w:r>
          </w:p>
        </w:tc>
        <w:tc>
          <w:tcPr>
            <w:tcW w:w="843" w:type="pct"/>
            <w:noWrap w:val="0"/>
            <w:vAlign w:val="center"/>
          </w:tcPr>
          <w:p w14:paraId="012E393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询问和质疑</w:t>
            </w:r>
          </w:p>
        </w:tc>
        <w:tc>
          <w:tcPr>
            <w:tcW w:w="3912" w:type="pct"/>
            <w:noWrap w:val="0"/>
            <w:vAlign w:val="center"/>
          </w:tcPr>
          <w:p w14:paraId="1CFEE022">
            <w:pPr>
              <w:keepNext w:val="0"/>
              <w:keepLines w:val="0"/>
              <w:pageBreakBefore w:val="0"/>
              <w:kinsoku/>
              <w:wordWrap/>
              <w:overflowPunct/>
              <w:topLinePunct w:val="0"/>
              <w:autoSpaceDE/>
              <w:autoSpaceDN/>
              <w:bidi w:val="0"/>
              <w:adjustRightInd/>
              <w:snapToGrid w:val="0"/>
              <w:spacing w:line="312" w:lineRule="auto"/>
              <w:jc w:val="both"/>
              <w:rPr>
                <w:rFonts w:hint="eastAsia" w:eastAsia="宋体"/>
                <w:highlight w:val="none"/>
                <w:lang w:eastAsia="zh-CN"/>
              </w:rPr>
            </w:pPr>
            <w:r>
              <w:rPr>
                <w:rFonts w:hint="eastAsia" w:ascii="宋体" w:hAnsi="宋体" w:eastAsia="宋体" w:cs="宋体"/>
                <w:sz w:val="24"/>
                <w:szCs w:val="24"/>
                <w:highlight w:val="none"/>
              </w:rPr>
              <w:t>见</w:t>
            </w:r>
            <w:r>
              <w:rPr>
                <w:rFonts w:hint="eastAsia" w:ascii="宋体" w:hAnsi="宋体" w:eastAsia="宋体" w:cs="宋体"/>
                <w:sz w:val="24"/>
                <w:szCs w:val="24"/>
                <w:highlight w:val="none"/>
                <w:lang w:eastAsia="zh-CN"/>
              </w:rPr>
              <w:t>招标公告</w:t>
            </w:r>
            <w:r>
              <w:rPr>
                <w:rFonts w:hint="eastAsia" w:ascii="宋体" w:hAnsi="宋体" w:eastAsia="宋体" w:cs="宋体"/>
                <w:sz w:val="24"/>
                <w:szCs w:val="24"/>
                <w:highlight w:val="none"/>
              </w:rPr>
              <w:t>中的“联系方式”</w:t>
            </w:r>
          </w:p>
        </w:tc>
      </w:tr>
      <w:tr w14:paraId="4C6D7B1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9AE04A0">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w:t>
            </w:r>
          </w:p>
        </w:tc>
        <w:tc>
          <w:tcPr>
            <w:tcW w:w="843" w:type="pct"/>
            <w:noWrap w:val="0"/>
            <w:vAlign w:val="center"/>
          </w:tcPr>
          <w:p w14:paraId="3CFB9BB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投诉受理</w:t>
            </w:r>
          </w:p>
        </w:tc>
        <w:tc>
          <w:tcPr>
            <w:tcW w:w="3912" w:type="pct"/>
            <w:noWrap w:val="0"/>
            <w:vAlign w:val="center"/>
          </w:tcPr>
          <w:p w14:paraId="16D20868">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1．受理单位：同级财政部门</w:t>
            </w:r>
          </w:p>
          <w:p w14:paraId="1039BABB">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2．联系电话：029-</w:t>
            </w:r>
            <w:r>
              <w:rPr>
                <w:rFonts w:hint="eastAsia" w:ascii="宋体" w:hAnsi="宋体" w:eastAsia="宋体" w:cs="宋体"/>
                <w:sz w:val="24"/>
                <w:szCs w:val="24"/>
                <w:highlight w:val="none"/>
                <w:lang w:val="en-US" w:eastAsia="zh-CN"/>
              </w:rPr>
              <w:t>83521198</w:t>
            </w:r>
          </w:p>
          <w:p w14:paraId="129C6E15">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3．地址：</w:t>
            </w:r>
            <w:r>
              <w:rPr>
                <w:rFonts w:hint="eastAsia" w:ascii="宋体" w:hAnsi="宋体" w:eastAsia="宋体" w:cs="宋体"/>
                <w:sz w:val="24"/>
                <w:szCs w:val="24"/>
                <w:highlight w:val="none"/>
                <w:lang w:eastAsia="zh-CN"/>
              </w:rPr>
              <w:t>西安市港务区港务大道</w:t>
            </w:r>
            <w:r>
              <w:rPr>
                <w:rFonts w:hint="eastAsia" w:ascii="宋体" w:hAnsi="宋体" w:eastAsia="宋体" w:cs="宋体"/>
                <w:sz w:val="24"/>
                <w:szCs w:val="24"/>
                <w:highlight w:val="none"/>
                <w:lang w:val="en-US" w:eastAsia="zh-CN"/>
              </w:rPr>
              <w:t>6号</w:t>
            </w:r>
          </w:p>
        </w:tc>
      </w:tr>
      <w:tr w14:paraId="4B4D216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E620EE3">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22</w:t>
            </w:r>
          </w:p>
        </w:tc>
        <w:tc>
          <w:tcPr>
            <w:tcW w:w="843" w:type="pct"/>
            <w:noWrap w:val="0"/>
            <w:vAlign w:val="center"/>
          </w:tcPr>
          <w:p w14:paraId="7B20C69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信用信息查询截至时点</w:t>
            </w:r>
          </w:p>
        </w:tc>
        <w:tc>
          <w:tcPr>
            <w:tcW w:w="3912" w:type="pct"/>
            <w:noWrap w:val="0"/>
            <w:vAlign w:val="center"/>
          </w:tcPr>
          <w:p w14:paraId="2A93096B">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同提交投标文件截止时间</w:t>
            </w:r>
          </w:p>
        </w:tc>
      </w:tr>
      <w:tr w14:paraId="18999E1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CE41D0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23</w:t>
            </w:r>
          </w:p>
        </w:tc>
        <w:tc>
          <w:tcPr>
            <w:tcW w:w="843" w:type="pct"/>
            <w:noWrap w:val="0"/>
            <w:vAlign w:val="center"/>
          </w:tcPr>
          <w:p w14:paraId="32CE1DA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开标形式</w:t>
            </w:r>
          </w:p>
        </w:tc>
        <w:tc>
          <w:tcPr>
            <w:tcW w:w="3912" w:type="pct"/>
            <w:noWrap w:val="0"/>
            <w:vAlign w:val="center"/>
          </w:tcPr>
          <w:p w14:paraId="6935543E">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不见面开标  ☐见面开标</w:t>
            </w:r>
          </w:p>
          <w:p w14:paraId="5CF959E0">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详见本章“开标程序”有关内容。</w:t>
            </w:r>
          </w:p>
        </w:tc>
      </w:tr>
      <w:tr w14:paraId="1555C12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0F2DE2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24</w:t>
            </w:r>
          </w:p>
        </w:tc>
        <w:tc>
          <w:tcPr>
            <w:tcW w:w="843" w:type="pct"/>
            <w:noWrap w:val="0"/>
            <w:vAlign w:val="center"/>
          </w:tcPr>
          <w:p w14:paraId="7E99DDD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是否允许递交多个备选投标方案</w:t>
            </w:r>
          </w:p>
        </w:tc>
        <w:tc>
          <w:tcPr>
            <w:tcW w:w="3912" w:type="pct"/>
            <w:noWrap w:val="0"/>
            <w:vAlign w:val="center"/>
          </w:tcPr>
          <w:p w14:paraId="53C795B7">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☐是  </w:t>
            </w: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5095C25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5172E26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w:t>
            </w:r>
          </w:p>
        </w:tc>
        <w:tc>
          <w:tcPr>
            <w:tcW w:w="843" w:type="pct"/>
            <w:noWrap w:val="0"/>
            <w:vAlign w:val="center"/>
          </w:tcPr>
          <w:p w14:paraId="23B7144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中标通知书</w:t>
            </w:r>
          </w:p>
        </w:tc>
        <w:tc>
          <w:tcPr>
            <w:tcW w:w="3912" w:type="pct"/>
            <w:noWrap w:val="0"/>
            <w:vAlign w:val="center"/>
          </w:tcPr>
          <w:p w14:paraId="034949FE">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1．领取地点：西安市高新路88号尚品国际B幢25层</w:t>
            </w:r>
          </w:p>
          <w:p w14:paraId="69E57964">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2．联系电话：</w:t>
            </w:r>
            <w:r>
              <w:rPr>
                <w:rFonts w:hint="eastAsia" w:ascii="宋体" w:hAnsi="宋体" w:eastAsia="宋体" w:cs="宋体"/>
                <w:sz w:val="24"/>
                <w:szCs w:val="24"/>
                <w:highlight w:val="none"/>
                <w:lang w:eastAsia="zh-CN"/>
              </w:rPr>
              <w:t>029-81779899转8013</w:t>
            </w:r>
          </w:p>
          <w:p w14:paraId="68DEB276">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highlight w:val="none"/>
                <w:lang w:eastAsia="zh-CN"/>
              </w:rPr>
            </w:pPr>
            <w:r>
              <w:rPr>
                <w:rFonts w:hint="eastAsia" w:ascii="宋体" w:hAnsi="宋体" w:eastAsia="宋体" w:cs="宋体"/>
                <w:sz w:val="24"/>
                <w:szCs w:val="24"/>
                <w:highlight w:val="none"/>
              </w:rPr>
              <w:t>3．联系人：</w:t>
            </w:r>
            <w:r>
              <w:rPr>
                <w:rFonts w:hint="eastAsia" w:ascii="宋体" w:hAnsi="宋体" w:eastAsia="宋体" w:cs="宋体"/>
                <w:i w:val="0"/>
                <w:iCs w:val="0"/>
                <w:caps w:val="0"/>
                <w:color w:val="auto"/>
                <w:spacing w:val="0"/>
                <w:sz w:val="24"/>
                <w:szCs w:val="24"/>
                <w:highlight w:val="none"/>
                <w:u w:val="none"/>
                <w:lang w:eastAsia="zh-CN"/>
              </w:rPr>
              <w:t>曹美奇、李琛</w:t>
            </w:r>
          </w:p>
        </w:tc>
      </w:tr>
      <w:tr w14:paraId="7F6726A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9994FD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w:t>
            </w:r>
          </w:p>
        </w:tc>
        <w:tc>
          <w:tcPr>
            <w:tcW w:w="843" w:type="pct"/>
            <w:noWrap w:val="0"/>
            <w:vAlign w:val="center"/>
          </w:tcPr>
          <w:p w14:paraId="54DFEBE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中标服务费及交纳信息</w:t>
            </w:r>
          </w:p>
        </w:tc>
        <w:tc>
          <w:tcPr>
            <w:tcW w:w="3912" w:type="pct"/>
            <w:noWrap w:val="0"/>
            <w:vAlign w:val="center"/>
          </w:tcPr>
          <w:p w14:paraId="58A0FC23">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中标</w:t>
            </w:r>
            <w:r>
              <w:rPr>
                <w:rFonts w:hint="eastAsia" w:ascii="宋体" w:hAnsi="宋体" w:eastAsia="宋体" w:cs="宋体"/>
                <w:sz w:val="24"/>
                <w:szCs w:val="24"/>
                <w:highlight w:val="none"/>
                <w:lang w:eastAsia="zh-CN"/>
              </w:rPr>
              <w:t>单位</w:t>
            </w:r>
            <w:r>
              <w:rPr>
                <w:rFonts w:hint="eastAsia" w:ascii="宋体" w:hAnsi="宋体" w:eastAsia="宋体" w:cs="宋体"/>
                <w:sz w:val="24"/>
                <w:szCs w:val="24"/>
                <w:highlight w:val="none"/>
              </w:rPr>
              <w:t>应向采购代理机构交纳招标代理服务费。招标代理服务费收取按照国家计委颁布的《招标代理服务收费管理暂行办法》（计价格[2002]1980号）和（发改办价格[2003]857号）按服务收费标准计取。此服务费应计入</w:t>
            </w:r>
            <w:r>
              <w:rPr>
                <w:rFonts w:hint="eastAsia" w:ascii="宋体" w:hAnsi="宋体" w:eastAsia="宋体" w:cs="宋体"/>
                <w:sz w:val="24"/>
                <w:szCs w:val="24"/>
                <w:highlight w:val="none"/>
                <w:lang w:eastAsia="zh-CN"/>
              </w:rPr>
              <w:t>投标</w:t>
            </w:r>
            <w:r>
              <w:rPr>
                <w:rFonts w:hint="eastAsia" w:ascii="宋体" w:hAnsi="宋体" w:eastAsia="宋体" w:cs="宋体"/>
                <w:sz w:val="24"/>
                <w:szCs w:val="24"/>
                <w:highlight w:val="none"/>
              </w:rPr>
              <w:t>报价中，但不需要单独开列。</w:t>
            </w:r>
          </w:p>
          <w:p w14:paraId="4626F7AA">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2.代理服务费交纳信息</w:t>
            </w:r>
          </w:p>
          <w:p w14:paraId="44D6D8DC">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银行户名：华晟国际项目管理有限公司</w:t>
            </w:r>
          </w:p>
          <w:p w14:paraId="7270C1B2">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开户银行：建设银行西安劳动路支行</w:t>
            </w:r>
          </w:p>
          <w:p w14:paraId="3C7DA935">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账    号：610501 740015 00000 427</w:t>
            </w:r>
          </w:p>
          <w:p w14:paraId="7C2E11F5">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default" w:ascii="宋体" w:hAnsi="宋体" w:eastAsia="宋体" w:cs="宋体"/>
                <w:sz w:val="24"/>
                <w:szCs w:val="24"/>
                <w:highlight w:val="none"/>
                <w:lang w:val="en-US" w:eastAsia="zh-CN"/>
              </w:rPr>
              <w:t>转账事由：</w:t>
            </w:r>
            <w:r>
              <w:rPr>
                <w:rFonts w:hint="eastAsia" w:ascii="宋体" w:hAnsi="宋体" w:eastAsia="宋体" w:cs="宋体"/>
                <w:sz w:val="24"/>
                <w:szCs w:val="24"/>
                <w:highlight w:val="none"/>
                <w:lang w:val="en-US" w:eastAsia="zh-CN"/>
              </w:rPr>
              <w:t>CGZC-2025-114（HSGJ2025-171）</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none"/>
                <w:lang w:val="en-US" w:eastAsia="zh-CN"/>
              </w:rPr>
              <w:t xml:space="preserve">包 </w:t>
            </w:r>
            <w:r>
              <w:rPr>
                <w:rFonts w:hint="default" w:ascii="宋体" w:hAnsi="宋体" w:eastAsia="宋体" w:cs="宋体"/>
                <w:sz w:val="24"/>
                <w:szCs w:val="24"/>
                <w:highlight w:val="none"/>
                <w:lang w:val="en-US" w:eastAsia="zh-CN"/>
              </w:rPr>
              <w:t>中标服务费</w:t>
            </w:r>
          </w:p>
        </w:tc>
      </w:tr>
      <w:tr w14:paraId="21E75B1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553E3D3">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27</w:t>
            </w:r>
          </w:p>
        </w:tc>
        <w:tc>
          <w:tcPr>
            <w:tcW w:w="843" w:type="pct"/>
            <w:noWrap w:val="0"/>
            <w:vAlign w:val="center"/>
          </w:tcPr>
          <w:p w14:paraId="4EF9E58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西安市公共资源交易中心电子化政府采购系统技术支持（软件开发商）</w:t>
            </w:r>
          </w:p>
        </w:tc>
        <w:tc>
          <w:tcPr>
            <w:tcW w:w="3912" w:type="pct"/>
            <w:noWrap w:val="0"/>
            <w:vAlign w:val="center"/>
          </w:tcPr>
          <w:p w14:paraId="0BFF7EC2">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国泰新点软件股份有限公司</w:t>
            </w:r>
          </w:p>
          <w:p w14:paraId="0FBDE823">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1．技术支持热线：400-998-0000/400-928-0095</w:t>
            </w:r>
          </w:p>
          <w:p w14:paraId="04361EA8">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2．驻场技术人员：029-86510166/86510167转80310</w:t>
            </w:r>
          </w:p>
        </w:tc>
      </w:tr>
      <w:tr w14:paraId="038FE3E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E9B15B2">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28</w:t>
            </w:r>
          </w:p>
        </w:tc>
        <w:tc>
          <w:tcPr>
            <w:tcW w:w="843" w:type="pct"/>
            <w:noWrap w:val="0"/>
            <w:vAlign w:val="center"/>
          </w:tcPr>
          <w:p w14:paraId="61B26D7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CA业务网点</w:t>
            </w:r>
          </w:p>
        </w:tc>
        <w:tc>
          <w:tcPr>
            <w:tcW w:w="3912" w:type="pct"/>
            <w:noWrap w:val="0"/>
            <w:vAlign w:val="center"/>
          </w:tcPr>
          <w:p w14:paraId="6A51069D">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陕西省数字证书认证中心股份有限公司</w:t>
            </w:r>
          </w:p>
          <w:p w14:paraId="19FD7A90">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网点1：西安市高新三路信息港大厦1楼客服中心</w:t>
            </w:r>
          </w:p>
          <w:p w14:paraId="77EEBFFE">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客服电话：4006-369-888</w:t>
            </w:r>
          </w:p>
          <w:p w14:paraId="365FDAD9">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网点2：西安市长安北路14号省体育公寓B座一楼</w:t>
            </w:r>
          </w:p>
          <w:p w14:paraId="1C0C0186">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咨询电话：029-88661241</w:t>
            </w:r>
          </w:p>
          <w:p w14:paraId="4AB9ED7B">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网点3：西安市文景北路16号白桦林国际B座2楼11#窗口</w:t>
            </w:r>
          </w:p>
          <w:p w14:paraId="4A9B12AA">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咨询电话：029-86510073转80211</w:t>
            </w:r>
          </w:p>
        </w:tc>
      </w:tr>
      <w:tr w14:paraId="4EDD954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5A982E25">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29</w:t>
            </w:r>
          </w:p>
        </w:tc>
        <w:tc>
          <w:tcPr>
            <w:tcW w:w="843" w:type="pct"/>
            <w:noWrap w:val="0"/>
            <w:vAlign w:val="center"/>
          </w:tcPr>
          <w:p w14:paraId="66E6A54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政府采购</w:t>
            </w:r>
            <w:r>
              <w:rPr>
                <w:rFonts w:hint="eastAsia" w:ascii="宋体" w:hAnsi="宋体" w:eastAsia="宋体" w:cs="宋体"/>
                <w:sz w:val="24"/>
                <w:szCs w:val="24"/>
                <w:highlight w:val="none"/>
                <w:lang w:eastAsia="zh-CN"/>
              </w:rPr>
              <w:t>信用担保及信用融资政策</w:t>
            </w:r>
          </w:p>
        </w:tc>
        <w:tc>
          <w:tcPr>
            <w:tcW w:w="3912" w:type="pct"/>
            <w:noWrap w:val="0"/>
            <w:vAlign w:val="center"/>
          </w:tcPr>
          <w:p w14:paraId="592C1036">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西安市政府采购信用担保及信用融资政策</w:t>
            </w:r>
          </w:p>
          <w:p w14:paraId="4F0AE684">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为发挥政府采购促进中小企业发展的政策功能，西安市财政局制定了《西安市政府采购信用担保及信用融资工作实施方案（试行）》（市财发〔2014〕167），为参与西安市市级政府采购项目的投标人提供政府采购信用担保和融资服务，并按照程序确定了合作的担保机构和商业银行。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p>
          <w:p w14:paraId="5034A45C">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西安浐灞国际港政府采购信用融资联系人：</w:t>
            </w:r>
            <w:r>
              <w:rPr>
                <w:rFonts w:hint="eastAsia" w:ascii="宋体" w:hAnsi="宋体" w:eastAsia="宋体" w:cs="宋体"/>
                <w:sz w:val="24"/>
                <w:szCs w:val="24"/>
                <w:highlight w:val="none"/>
                <w:lang w:eastAsia="zh-CN"/>
              </w:rPr>
              <w:t>王涛</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lang w:eastAsia="zh-CN"/>
              </w:rPr>
              <w:t>15029991040</w:t>
            </w:r>
          </w:p>
        </w:tc>
      </w:tr>
      <w:tr w14:paraId="2F797D1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90757D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30</w:t>
            </w:r>
          </w:p>
        </w:tc>
        <w:tc>
          <w:tcPr>
            <w:tcW w:w="843" w:type="pct"/>
            <w:noWrap w:val="0"/>
            <w:vAlign w:val="center"/>
          </w:tcPr>
          <w:p w14:paraId="146C0260">
            <w:pPr>
              <w:keepNext w:val="0"/>
              <w:keepLines w:val="0"/>
              <w:pageBreakBefore w:val="0"/>
              <w:kinsoku/>
              <w:wordWrap/>
              <w:overflowPunct/>
              <w:topLinePunct w:val="0"/>
              <w:autoSpaceDE/>
              <w:autoSpaceDN/>
              <w:bidi w:val="0"/>
              <w:adjustRightInd/>
              <w:snapToGrid w:val="0"/>
              <w:spacing w:line="312" w:lineRule="auto"/>
              <w:ind w:left="0" w:leftChars="0" w:right="0" w:rightChars="0" w:firstLine="0" w:firstLineChars="0"/>
              <w:jc w:val="center"/>
              <w:rPr>
                <w:rFonts w:hint="eastAsia" w:ascii="宋体" w:hAnsi="宋体" w:eastAsia="宋体" w:cs="宋体"/>
                <w:sz w:val="24"/>
                <w:szCs w:val="24"/>
                <w:highlight w:val="none"/>
              </w:rPr>
            </w:pPr>
            <w:r>
              <w:rPr>
                <w:rFonts w:hint="eastAsia" w:hAnsi="宋体" w:cs="Times New Roman"/>
                <w:sz w:val="24"/>
                <w:szCs w:val="24"/>
                <w:highlight w:val="none"/>
              </w:rPr>
              <w:t>所属行业</w:t>
            </w:r>
          </w:p>
        </w:tc>
        <w:tc>
          <w:tcPr>
            <w:tcW w:w="3912" w:type="pct"/>
            <w:noWrap w:val="0"/>
            <w:vAlign w:val="center"/>
          </w:tcPr>
          <w:p w14:paraId="2F9FB79D">
            <w:pPr>
              <w:pStyle w:val="24"/>
              <w:keepNext w:val="0"/>
              <w:keepLines w:val="0"/>
              <w:pageBreakBefore w:val="0"/>
              <w:kinsoku/>
              <w:wordWrap/>
              <w:overflowPunct/>
              <w:topLinePunct w:val="0"/>
              <w:autoSpaceDE/>
              <w:autoSpaceDN/>
              <w:bidi w:val="0"/>
              <w:adjustRightInd/>
              <w:snapToGrid w:val="0"/>
              <w:spacing w:before="0" w:beforeAutospacing="0" w:after="0" w:afterAutospacing="0" w:line="312" w:lineRule="auto"/>
              <w:jc w:val="both"/>
              <w:rPr>
                <w:rFonts w:hint="default" w:ascii="宋体" w:hAnsi="宋体" w:eastAsia="宋体" w:cs="宋体"/>
                <w:sz w:val="24"/>
                <w:szCs w:val="24"/>
                <w:highlight w:val="none"/>
              </w:rPr>
            </w:pPr>
            <w:r>
              <w:rPr>
                <w:rFonts w:hint="eastAsia" w:hAnsi="宋体" w:cs="Times New Roman"/>
                <w:sz w:val="24"/>
                <w:szCs w:val="24"/>
                <w:highlight w:val="none"/>
              </w:rPr>
              <w:t>采购标的对应的</w:t>
            </w:r>
            <w:r>
              <w:rPr>
                <w:rFonts w:hint="eastAsia" w:cs="Times New Roman"/>
                <w:sz w:val="24"/>
                <w:szCs w:val="24"/>
                <w:highlight w:val="none"/>
                <w:lang w:val="en-US" w:eastAsia="zh-CN"/>
              </w:rPr>
              <w:t>小微</w:t>
            </w:r>
            <w:r>
              <w:rPr>
                <w:rFonts w:hint="eastAsia" w:hAnsi="宋体" w:cs="Times New Roman"/>
                <w:sz w:val="24"/>
                <w:szCs w:val="24"/>
                <w:highlight w:val="none"/>
              </w:rPr>
              <w:t>企业划分标准所属行业：</w:t>
            </w:r>
            <w:r>
              <w:rPr>
                <w:rFonts w:hint="eastAsia" w:cs="Times New Roman"/>
                <w:sz w:val="24"/>
                <w:szCs w:val="24"/>
                <w:highlight w:val="none"/>
                <w:lang w:val="en-US" w:eastAsia="zh-CN"/>
              </w:rPr>
              <w:t>餐饮</w:t>
            </w:r>
            <w:r>
              <w:rPr>
                <w:rFonts w:hint="default" w:cs="Times New Roman"/>
                <w:sz w:val="24"/>
                <w:szCs w:val="24"/>
                <w:highlight w:val="none"/>
              </w:rPr>
              <w:t>业</w:t>
            </w:r>
          </w:p>
        </w:tc>
      </w:tr>
      <w:tr w14:paraId="31DEEB8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7DC57E6">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31</w:t>
            </w:r>
          </w:p>
        </w:tc>
        <w:tc>
          <w:tcPr>
            <w:tcW w:w="843" w:type="pct"/>
            <w:noWrap w:val="0"/>
            <w:vAlign w:val="center"/>
          </w:tcPr>
          <w:p w14:paraId="5A774456">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highlight w:val="none"/>
              </w:rPr>
              <w:t>供应商</w:t>
            </w:r>
            <w:r>
              <w:rPr>
                <w:rFonts w:hint="eastAsia" w:ascii="宋体" w:hAnsi="宋体" w:eastAsia="宋体" w:cs="宋体"/>
                <w:color w:val="auto"/>
                <w:kern w:val="2"/>
                <w:highlight w:val="none"/>
                <w:lang w:eastAsia="zh-CN" w:bidi="ar-SA"/>
              </w:rPr>
              <w:t>入库登记</w:t>
            </w:r>
          </w:p>
        </w:tc>
        <w:tc>
          <w:tcPr>
            <w:tcW w:w="3912" w:type="pct"/>
            <w:noWrap w:val="0"/>
            <w:vAlign w:val="center"/>
          </w:tcPr>
          <w:p w14:paraId="0106CD7A">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textAlignment w:val="auto"/>
              <w:rPr>
                <w:rFonts w:hint="eastAsia" w:ascii="宋体" w:hAnsi="宋体" w:eastAsia="宋体" w:cs="宋体"/>
                <w:sz w:val="24"/>
                <w:szCs w:val="24"/>
                <w:highlight w:val="none"/>
              </w:rPr>
            </w:pPr>
            <w:r>
              <w:rPr>
                <w:rFonts w:hint="eastAsia" w:ascii="宋体" w:hAnsi="宋体" w:eastAsia="宋体" w:cs="宋体"/>
                <w:color w:val="auto"/>
                <w:kern w:val="2"/>
                <w:highlight w:val="none"/>
                <w:lang w:eastAsia="zh-CN" w:bidi="ar-SA"/>
              </w:rPr>
              <w:t>请</w:t>
            </w:r>
            <w:r>
              <w:rPr>
                <w:rFonts w:hint="eastAsia" w:ascii="宋体" w:hAnsi="宋体" w:eastAsia="宋体" w:cs="宋体"/>
                <w:sz w:val="24"/>
                <w:highlight w:val="none"/>
              </w:rPr>
              <w:t>供应商</w:t>
            </w:r>
            <w:r>
              <w:rPr>
                <w:rFonts w:hint="eastAsia" w:ascii="宋体" w:hAnsi="宋体" w:eastAsia="宋体" w:cs="宋体"/>
                <w:color w:val="auto"/>
                <w:kern w:val="2"/>
                <w:highlight w:val="none"/>
                <w:lang w:eastAsia="zh-CN" w:bidi="ar-SA"/>
              </w:rPr>
              <w:t>按照陕西省财政厅关于政府采购供应商注册登记有关事项的通知中的要求，通过陕西省政府采购网（http://www.ccgp-shaanxi.gov.cn/）注册登记加入陕西省政府采购供应商库。</w:t>
            </w:r>
          </w:p>
        </w:tc>
      </w:tr>
      <w:tr w14:paraId="144F74E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40F523A">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32</w:t>
            </w:r>
          </w:p>
        </w:tc>
        <w:tc>
          <w:tcPr>
            <w:tcW w:w="843" w:type="pct"/>
            <w:noWrap w:val="0"/>
            <w:vAlign w:val="center"/>
          </w:tcPr>
          <w:p w14:paraId="2F472AD3">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color w:val="auto"/>
                <w:kern w:val="2"/>
                <w:highlight w:val="none"/>
                <w:lang w:eastAsia="zh-CN" w:bidi="ar-SA"/>
              </w:rPr>
              <w:t>其他未尽事宜</w:t>
            </w:r>
          </w:p>
        </w:tc>
        <w:tc>
          <w:tcPr>
            <w:tcW w:w="3912" w:type="pct"/>
            <w:noWrap w:val="0"/>
            <w:vAlign w:val="center"/>
          </w:tcPr>
          <w:p w14:paraId="3739058D">
            <w:pPr>
              <w:pStyle w:val="76"/>
              <w:keepNext w:val="0"/>
              <w:keepLines w:val="0"/>
              <w:pageBreakBefore w:val="0"/>
              <w:widowControl w:val="0"/>
              <w:kinsoku/>
              <w:wordWrap/>
              <w:overflowPunct/>
              <w:topLinePunct w:val="0"/>
              <w:autoSpaceDE/>
              <w:autoSpaceDN/>
              <w:bidi w:val="0"/>
              <w:adjustRightInd/>
              <w:snapToGrid w:val="0"/>
              <w:spacing w:line="312" w:lineRule="auto"/>
              <w:ind w:left="0" w:right="0" w:rightChars="0"/>
              <w:textAlignment w:val="auto"/>
              <w:rPr>
                <w:rFonts w:hint="eastAsia" w:ascii="宋体" w:hAnsi="宋体" w:eastAsia="宋体" w:cs="宋体"/>
                <w:color w:val="auto"/>
                <w:kern w:val="2"/>
                <w:highlight w:val="none"/>
                <w:lang w:val="zh-TW" w:eastAsia="zh-CN" w:bidi="ar-SA"/>
              </w:rPr>
            </w:pPr>
            <w:r>
              <w:rPr>
                <w:rFonts w:hint="eastAsia" w:ascii="宋体" w:hAnsi="宋体" w:eastAsia="宋体" w:cs="宋体"/>
                <w:color w:val="auto"/>
                <w:kern w:val="2"/>
                <w:highlight w:val="none"/>
                <w:lang w:val="zh-TW" w:eastAsia="zh-CN" w:bidi="ar-SA"/>
              </w:rPr>
              <w:t>①按照《中华人民共和国政府采购法》及相关法律法规执行。</w:t>
            </w:r>
          </w:p>
          <w:p w14:paraId="65A3D47E">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textAlignment w:val="auto"/>
              <w:rPr>
                <w:rFonts w:hint="eastAsia" w:ascii="宋体" w:hAnsi="宋体" w:eastAsia="宋体" w:cs="宋体"/>
                <w:sz w:val="24"/>
                <w:szCs w:val="24"/>
                <w:highlight w:val="none"/>
                <w:lang w:eastAsia="zh-CN"/>
              </w:rPr>
            </w:pPr>
            <w:r>
              <w:rPr>
                <w:rFonts w:hint="eastAsia" w:ascii="宋体" w:hAnsi="宋体" w:eastAsia="宋体" w:cs="宋体"/>
                <w:color w:val="auto"/>
                <w:kern w:val="2"/>
                <w:highlight w:val="none"/>
                <w:lang w:val="zh-TW" w:eastAsia="zh-CN" w:bidi="ar-SA"/>
              </w:rPr>
              <w:t>②根据西安市财政局关于促进政府采购公平竞争优化营商环境的通知</w:t>
            </w:r>
            <w:r>
              <w:rPr>
                <w:rFonts w:hint="eastAsia" w:ascii="宋体" w:hAnsi="宋体" w:eastAsia="宋体" w:cs="宋体"/>
                <w:color w:val="auto"/>
                <w:kern w:val="2"/>
                <w:highlight w:val="none"/>
                <w:lang w:val="en-US" w:eastAsia="zh-CN" w:bidi="ar-SA"/>
              </w:rPr>
              <w:t xml:space="preserve"> </w:t>
            </w:r>
            <w:r>
              <w:rPr>
                <w:rFonts w:hint="eastAsia" w:ascii="宋体" w:hAnsi="宋体" w:eastAsia="宋体" w:cs="宋体"/>
                <w:color w:val="auto"/>
                <w:kern w:val="2"/>
                <w:highlight w:val="none"/>
                <w:lang w:val="zh-TW" w:eastAsia="zh-CN" w:bidi="ar-SA"/>
              </w:rPr>
              <w:t>市财函〔2021〕431号文规定，</w:t>
            </w:r>
            <w:r>
              <w:rPr>
                <w:rFonts w:hint="eastAsia" w:ascii="宋体" w:hAnsi="宋体" w:eastAsia="宋体" w:cs="宋体"/>
                <w:sz w:val="24"/>
                <w:highlight w:val="none"/>
              </w:rPr>
              <w:t>供应商</w:t>
            </w:r>
            <w:r>
              <w:rPr>
                <w:rFonts w:hint="eastAsia" w:ascii="宋体" w:hAnsi="宋体" w:eastAsia="宋体" w:cs="宋体"/>
                <w:color w:val="auto"/>
                <w:kern w:val="2"/>
                <w:highlight w:val="none"/>
                <w:lang w:val="zh-TW" w:eastAsia="zh-CN" w:bidi="ar-SA"/>
              </w:rPr>
              <w:t>登记免费领取采购文件的，如不参与项目投标，应在递交投标（响应）文件截止时间前一日以书面形式告知采购代理机构。否则，采购代理机构可以向财政部门反映情况并提供相应的佐证。</w:t>
            </w:r>
            <w:r>
              <w:rPr>
                <w:rFonts w:hint="eastAsia" w:ascii="宋体" w:hAnsi="宋体" w:eastAsia="宋体" w:cs="宋体"/>
                <w:sz w:val="24"/>
                <w:highlight w:val="none"/>
              </w:rPr>
              <w:t>供应商</w:t>
            </w:r>
            <w:r>
              <w:rPr>
                <w:rFonts w:hint="eastAsia" w:ascii="宋体" w:hAnsi="宋体" w:eastAsia="宋体" w:cs="宋体"/>
                <w:color w:val="auto"/>
                <w:kern w:val="2"/>
                <w:highlight w:val="none"/>
                <w:lang w:val="zh-TW" w:eastAsia="zh-CN" w:bidi="ar-SA"/>
              </w:rPr>
              <w:t>一年内累计出现三次该情形，将被监管部门记录为失信行为。</w:t>
            </w:r>
          </w:p>
        </w:tc>
      </w:tr>
    </w:tbl>
    <w:p w14:paraId="73249F59">
      <w:pPr>
        <w:jc w:val="both"/>
        <w:rPr>
          <w:rFonts w:hint="eastAsia" w:ascii="宋体" w:hAnsi="宋体" w:eastAsia="宋体" w:cs="宋体"/>
          <w:b/>
          <w:bCs/>
          <w:sz w:val="28"/>
          <w:szCs w:val="28"/>
          <w:highlight w:val="none"/>
        </w:rPr>
      </w:pPr>
      <w:r>
        <w:rPr>
          <w:rFonts w:hint="eastAsia" w:ascii="宋体" w:hAnsi="宋体" w:eastAsia="宋体" w:cs="宋体"/>
          <w:sz w:val="24"/>
          <w:szCs w:val="24"/>
          <w:highlight w:val="none"/>
        </w:rPr>
        <w:br w:type="page"/>
      </w:r>
      <w:r>
        <w:rPr>
          <w:rFonts w:hint="eastAsia" w:ascii="宋体" w:hAnsi="宋体" w:eastAsia="宋体" w:cs="宋体"/>
          <w:b/>
          <w:bCs/>
          <w:sz w:val="28"/>
          <w:szCs w:val="28"/>
          <w:highlight w:val="none"/>
        </w:rPr>
        <w:t>一、有关定义</w:t>
      </w:r>
    </w:p>
    <w:p w14:paraId="153EAA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w:t>
      </w:r>
      <w:r>
        <w:rPr>
          <w:rFonts w:hint="eastAsia" w:ascii="宋体" w:hAnsi="宋体" w:eastAsia="宋体" w:cs="宋体"/>
          <w:sz w:val="24"/>
          <w:szCs w:val="24"/>
          <w:highlight w:val="none"/>
          <w:lang w:val="en-US" w:eastAsia="zh-CN"/>
        </w:rPr>
        <w:t>西安浐灞国际港党政办公室</w:t>
      </w:r>
      <w:r>
        <w:rPr>
          <w:rFonts w:hint="eastAsia" w:ascii="宋体" w:hAnsi="宋体" w:eastAsia="宋体" w:cs="宋体"/>
          <w:sz w:val="24"/>
          <w:szCs w:val="24"/>
          <w:highlight w:val="none"/>
        </w:rPr>
        <w:t>。</w:t>
      </w:r>
    </w:p>
    <w:p w14:paraId="2AC45E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2．供应商：指向采购人提供货物、工程或者服务的法人、其他组织或者自然人。</w:t>
      </w:r>
    </w:p>
    <w:p w14:paraId="316D8B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3．同级政府采购监管部门：同级财政部门。</w:t>
      </w:r>
    </w:p>
    <w:p w14:paraId="6D9FECA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4．西安市公共资源交易平台：即【全国公共资源交易平台（陕西省·西安市）】的简称，官网地址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http://sxggzyjy.xa.gov.cn/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p>
    <w:p w14:paraId="2221B1E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5．企业端：指西安市公共资源交易平台〖首页·〉电子交易平台·〉陕西政府采购交易系统·〉企业端〗，快捷登录网址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"http://www.sxggzyjy.cn:9002/TPBidder/memberLogin"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http://www.sxggzyjy.cn:9002/TPBidder/memberLogin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p>
    <w:p w14:paraId="026C0D54">
      <w:pPr>
        <w:keepLines w:val="0"/>
        <w:pageBreakBefore w:val="0"/>
        <w:kinsoku/>
        <w:wordWrap/>
        <w:overflowPunct/>
        <w:topLinePunct w:val="0"/>
        <w:autoSpaceDE/>
        <w:autoSpaceDN/>
        <w:bidi w:val="0"/>
        <w:snapToGrid/>
        <w:spacing w:line="360" w:lineRule="auto"/>
        <w:jc w:val="both"/>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二、供应商注意事项</w:t>
      </w:r>
    </w:p>
    <w:p w14:paraId="5BD66231">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（一）供应商投标流程</w:t>
      </w:r>
    </w:p>
    <w:p w14:paraId="76CB6F4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使用电子交易系统的采购项目（即线上项目），将同时提供WORD\PDF格式（仅用于预览）和SXSZF格式（用于制作电子投标文件）两个版本，文件内容一致。</w:t>
      </w:r>
    </w:p>
    <w:p w14:paraId="77DA163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1．预览采购文件：打开西安市公共资源交易平台〖首页·〉交易大厅·〉政府采购〗栏目，下载和阅读本项目采购文件的预览版本（WORD\PDF格式）；</w:t>
      </w:r>
    </w:p>
    <w:p w14:paraId="7379790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2．办理注册登记（针对初次使用电子交易系统的用户）：</w:t>
      </w:r>
    </w:p>
    <w:p w14:paraId="6DCE0EF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（1）办理诚信入库注册：在决定参加本项目采购活动后，供应商应先在西安市公共资源交易平台上完成“诚信入库登记”；</w:t>
      </w:r>
    </w:p>
    <w:p w14:paraId="7FC7417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办理数字认证（CA锁）：一般分为法人锁（必选）、企业锁主锁（必选）及副锁（可选）。CA锁将用于对电子投标文件进行签章、加密、递交及开标时解密等相关操作。CA办理及售后服务统一由第三方机构（陕西省数字证书认证中心股份有限公司）负责。</w:t>
      </w:r>
    </w:p>
    <w:p w14:paraId="3DD67642">
      <w:pPr>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办理须知：</w:t>
      </w:r>
    </w:p>
    <w:p w14:paraId="2B82CD76">
      <w:pPr>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http://</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"http://www.snca.com.cn/channel/show/27.html"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www.snca.com.cn/channel/show/27.html</w:t>
      </w:r>
      <w:r>
        <w:rPr>
          <w:rStyle w:val="35"/>
          <w:rFonts w:hint="eastAsia" w:ascii="宋体" w:hAnsi="宋体" w:eastAsia="宋体" w:cs="宋体"/>
          <w:color w:val="auto"/>
          <w:sz w:val="24"/>
          <w:szCs w:val="24"/>
          <w:highlight w:val="none"/>
          <w:u w:val="none"/>
        </w:rPr>
        <w:fldChar w:fldCharType="end"/>
      </w:r>
    </w:p>
    <w:p w14:paraId="27EEF52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（3）绑定和激活CA：将数字证书与诚信库中的供应商账户进行绑定。</w:t>
      </w:r>
    </w:p>
    <w:p w14:paraId="7833954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采购文件获取期限内及时下载电子招标文件并做好备份，逾期无法再下载！</w:t>
      </w:r>
    </w:p>
    <w:p w14:paraId="17B4590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4．制作电子投标文件：需要使用专用制作软件“新点投标文件制作软件（陕西公共资源）”进行编制，编制完成后使用CA锁对电子投标文件进行签章、加密。详见本章中的“投标文件”相关内容。</w:t>
      </w:r>
    </w:p>
    <w:p w14:paraId="340AD66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5．提交电子投标文件：在提交投标文件截止时间前及时提交加密后电子投标文件，逾期提交的，系统将会拒收；</w:t>
      </w:r>
    </w:p>
    <w:p w14:paraId="1006B3E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6．在线参加开标大会：开标当日，供应商法定代表人或其授权代表需提前登录“不见面开标”系统，收到主持人“开始解密”指令后，使用CA锁（必须与加密文件时的CA锁为同一把锁）在线对电子投标文件进行解密。采用“不见面开标”系统后，供应商无需到达开标现场，即可在线参与整个开标过程。相关技术问题，请咨询软件开发商。</w:t>
      </w:r>
    </w:p>
    <w:p w14:paraId="1CBBEAF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7．等待专家评审：评审期间，可能需要对评审专家提出的问题进行澄清或答复。在主持人宣布评审结束前，供应商请勿擅自离席，否则由此造成的不利后果，由供应商自行承担。</w:t>
      </w:r>
    </w:p>
    <w:p w14:paraId="2C2E247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8．中标供应商注册：按照陕西省政府采购监管部门的要求，采购代理机构在发布中标公告前，应由中标供应商在陕西省政府采购网上完成注册。</w:t>
      </w:r>
    </w:p>
    <w:p w14:paraId="212F1E5E">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（二）关于询问、质疑和投诉</w:t>
      </w:r>
    </w:p>
    <w:p w14:paraId="029ADF38">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1．询问</w:t>
      </w:r>
    </w:p>
    <w:p w14:paraId="5F924D8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供应商对政府采购活动事项有疑问的，可以向采购人或采购代理机构提出询问。采购人或采购代理机构将在3个工作日内对供应商依法提出的询问作出答复。</w:t>
      </w:r>
    </w:p>
    <w:p w14:paraId="7399C0A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根据采购人和采购代理机构签订的《政府采购委托代理协议》，针对采购需求（包括采购内容、技术或服务要求、商务要求、合同条款、供应商资格条件、评审要素及分值一览表）的询问请向采购人提出。</w:t>
      </w:r>
    </w:p>
    <w:p w14:paraId="60028A39">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2．质疑</w:t>
      </w:r>
    </w:p>
    <w:p w14:paraId="3F444B4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（1）供应商认为采购文件、采购过程、成交结果使自己的权益受到损害的，可以在知道或应知其权益受到损害之日起7个工作日内以书面形式向采购人、采购代理机构提出。</w:t>
      </w:r>
    </w:p>
    <w:p w14:paraId="762F4E2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（2）质疑方式：</w:t>
      </w:r>
    </w:p>
    <w:p w14:paraId="7FE316F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在线质疑：</w:t>
      </w:r>
    </w:p>
    <w:p w14:paraId="14B7E01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登录西安市公共资源交易平台〖首页·〉电子交易平台·〉企业端〗，在〖我的项目〗中点击“项目流程·〉提出质疑”，填写表单并提交质疑。</w:t>
      </w:r>
    </w:p>
    <w:p w14:paraId="4E3E699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书面质疑：</w:t>
      </w:r>
    </w:p>
    <w:p w14:paraId="4A3E077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书面质疑函应按照财政部国库司制定的《政府采购供应商质疑函范本》（见下方链接）进行填写，签字、盖章后提交至采购人、采购代理机构。</w:t>
      </w:r>
    </w:p>
    <w:p w14:paraId="19C6DE9C">
      <w:pPr>
        <w:keepLines w:val="0"/>
        <w:pageBreakBefore w:val="0"/>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质疑函范本地址：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"http://download.ccgp.gov.cn/2018/zhiyihanfanben.zip"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http://download.ccgp.gov.cn/2018/zhiyihanfanben.zip</w:t>
      </w:r>
      <w:r>
        <w:rPr>
          <w:rStyle w:val="35"/>
          <w:rFonts w:hint="eastAsia" w:ascii="宋体" w:hAnsi="宋体" w:eastAsia="宋体" w:cs="宋体"/>
          <w:color w:val="auto"/>
          <w:sz w:val="24"/>
          <w:szCs w:val="24"/>
          <w:highlight w:val="none"/>
          <w:u w:val="none"/>
        </w:rPr>
        <w:fldChar w:fldCharType="end"/>
      </w:r>
    </w:p>
    <w:p w14:paraId="263A4A7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供应商为自然人的，应当由本人签字；供应商为法人或者其他组织的，应当由法定代表人、主要负责人，或者其授权代表签字或者盖章，并加盖单位公章，公章不得以合同章或其他印章代替。供应商委托代理人提出质疑的，应当同时提交供应商签署的授权委托书。</w:t>
      </w:r>
    </w:p>
    <w:p w14:paraId="1EB7B62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（4）在法定质疑期内，针对同一采购程序环节的质疑应当一次性提出。采购人、采购代理机构将在收到书面质疑后7个工作日内做出答复，并以书面形式通知质疑人和其他有关供应商。</w:t>
      </w:r>
    </w:p>
    <w:p w14:paraId="271AEDB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（5）有下列情形之一的，属于无效质疑：</w:t>
      </w:r>
    </w:p>
    <w:p w14:paraId="7A30AB3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对采购文件提出质疑的质疑人不是依法获取采购文件的潜在供应商；对采购过程、中标结果提出质疑的质疑人不是参与本次政府采购项目的供应商；</w:t>
      </w:r>
    </w:p>
    <w:p w14:paraId="62989D3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超过法定期限或未以书面形式提出的；</w:t>
      </w:r>
    </w:p>
    <w:p w14:paraId="19F02A3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缺乏必要的证明材料，或捏造事实、提供虚假材料，或以非法手段取得证明材料的；</w:t>
      </w:r>
    </w:p>
    <w:p w14:paraId="38A26FA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质疑函没有合法有效的签字、盖章或委托授权书的（代理人提出质疑和投诉，应当提交供应商签署的授权委托书）；</w:t>
      </w:r>
    </w:p>
    <w:p w14:paraId="55AEA24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⑤ 针对同一采购程序环节又提出其他质疑事项的，或质疑答复后就同一事项再次提出质疑的；</w:t>
      </w:r>
    </w:p>
    <w:p w14:paraId="230F54C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⑥ 不符合法律、法规、规章和政府采购监管机构规定的其他条件的。</w:t>
      </w:r>
    </w:p>
    <w:p w14:paraId="596EA8E8">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3．投诉</w:t>
      </w:r>
    </w:p>
    <w:p w14:paraId="7F67946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质疑供应商对采购人、采购代理机构的答复不满意，或者采购人、采购代理机构未在规定的时间内做出答复的，可以在答复期满后15个工作日内按照《政府采购质疑和投诉办法》（财政部94号令）相关规定向同级财政部门提出投诉。</w:t>
      </w:r>
    </w:p>
    <w:p w14:paraId="4F17055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（2）供应商投诉的事项不得超出已质疑事项的范围。供应商提出投诉时，应当提交投诉书和必要的证明材料，并按财政部《投诉书范本》给定的格式进行填写。</w:t>
      </w:r>
    </w:p>
    <w:p w14:paraId="1A4FF4E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投诉书范本地址：</w:t>
      </w:r>
    </w:p>
    <w:p w14:paraId="51E721B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"http://download.ccgp.gov.cn/2018/tousushufanben.zip" </w:instrText>
      </w:r>
      <w:r>
        <w:rPr>
          <w:rFonts w:hint="eastAsia" w:ascii="宋体" w:hAnsi="宋体" w:eastAsia="宋体" w:cs="宋体"/>
          <w:sz w:val="24"/>
          <w:szCs w:val="24"/>
          <w:highlight w:val="none"/>
        </w:rPr>
        <w:fldChar w:fldCharType="separate"/>
      </w:r>
      <w:r>
        <w:rPr>
          <w:rStyle w:val="35"/>
          <w:rFonts w:hint="eastAsia" w:ascii="宋体" w:hAnsi="宋体" w:eastAsia="宋体" w:cs="宋体"/>
          <w:sz w:val="24"/>
          <w:szCs w:val="24"/>
          <w:highlight w:val="none"/>
        </w:rPr>
        <w:t>http://download.ccgp.gov.cn/2018/tousushufanben.zip</w:t>
      </w:r>
      <w:r>
        <w:rPr>
          <w:rStyle w:val="35"/>
          <w:rFonts w:hint="eastAsia" w:ascii="宋体" w:hAnsi="宋体" w:eastAsia="宋体" w:cs="宋体"/>
          <w:sz w:val="24"/>
          <w:szCs w:val="24"/>
          <w:highlight w:val="none"/>
        </w:rPr>
        <w:fldChar w:fldCharType="end"/>
      </w:r>
    </w:p>
    <w:p w14:paraId="42E37455">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4．恶意质疑、投诉的法律后果</w:t>
      </w:r>
    </w:p>
    <w:p w14:paraId="18AC5DF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（1）对捏造事实、提供虚假材料进行质疑、投诉的行为予以严肃处理：</w:t>
      </w:r>
    </w:p>
    <w:p w14:paraId="2045BD0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政府采购质疑和投诉办法》（财政部94号令）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14:paraId="69C9D09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（2）对捏造事实诬告陷害他人、诽谤他人的法律适用：</w:t>
      </w:r>
    </w:p>
    <w:p w14:paraId="0F0DE00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《中华人民共和国刑法》第243条【诬告陷害罪】捏造事实诬告陷害他人，意图使他人受刑事追究，情节严重的，处三年以下有期徒刑、拘役或者管制；造成严重后果的，处三年以上十年以下有期徒刑。</w:t>
      </w:r>
    </w:p>
    <w:p w14:paraId="1A6E35C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《中华人民共和国刑法》第246条【侮辱罪、诽谤罪】以暴力或者其他方法公然侮辱他人或者捏造事实诽谤他人，情节严重的，处三年以下有期徒刑、拘役、管制或者剥夺政治权利。</w:t>
      </w:r>
    </w:p>
    <w:p w14:paraId="1985B06E">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（三）关于保证金</w:t>
      </w:r>
    </w:p>
    <w:p w14:paraId="531BEA4D">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1．西安市政府采购信用担保及信用融资政策</w:t>
      </w:r>
    </w:p>
    <w:p w14:paraId="554A4C3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为发挥政府采购促进中小企业发展的政策功能，西安市财政局制定了《西安市政府采购信用担保及信用融资工作实施方案（试行）》（市财发〔2014〕167号，以下简称《实施方案》），为参与西安市市级政府采购项目的供应商提供政府采购信用担保和融资服务。供应商在交纳投标保证金、履约保证金时可自愿选择通过担保函的形式交纳，供应商违约，开具担保函单位承担连带责任。</w:t>
      </w:r>
    </w:p>
    <w:p w14:paraId="76920C8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为发挥政府采购促进中小企业发展的政策功能，进一步做好政府采购信用担保及信用融资相关工作，2015年西安市财政局先后发布了《关于贯彻落实〈西安市政府采购信用担保及信用融资工作实施方案（试行）〉有关事宜的通知》和《关于进一步做好政府采购信用担保及信用融资工作有关事宜的通知》。2017年西安市财政局对合作机构名单进行了调整，详见《2017年西安市政府采购信用担保及信用融资合作机构联系名单》（以下简称合作机构名单）。</w:t>
      </w:r>
    </w:p>
    <w:p w14:paraId="1F0F525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《实施方案》链接地址：</w:t>
      </w:r>
    </w:p>
    <w:p w14:paraId="663AD9B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"http://xaczj.xa.gov.cn/zfcg/cgfg/5db90552fd850863a9e4594d.html"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http://xaczj.xa.gov.cn/zfcg/cgfg/5db90552fd850863a9e4594d.html</w:t>
      </w:r>
      <w:r>
        <w:rPr>
          <w:rStyle w:val="35"/>
          <w:rFonts w:hint="eastAsia" w:ascii="宋体" w:hAnsi="宋体" w:eastAsia="宋体" w:cs="宋体"/>
          <w:color w:val="auto"/>
          <w:sz w:val="24"/>
          <w:szCs w:val="24"/>
          <w:highlight w:val="none"/>
          <w:u w:val="none"/>
        </w:rPr>
        <w:fldChar w:fldCharType="end"/>
      </w:r>
    </w:p>
    <w:p w14:paraId="30597A4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《合作机构名单》链接地址：</w:t>
      </w:r>
    </w:p>
    <w:p w14:paraId="2C066B19">
      <w:pPr>
        <w:pStyle w:val="104"/>
        <w:keepLines w:val="0"/>
        <w:pageBreakBefore w:val="0"/>
        <w:kinsoku/>
        <w:wordWrap/>
        <w:overflowPunct/>
        <w:topLinePunct w:val="0"/>
        <w:autoSpaceDE/>
        <w:autoSpaceDN/>
        <w:bidi w:val="0"/>
        <w:snapToGrid/>
        <w:spacing w:line="360" w:lineRule="auto"/>
        <w:ind w:firstLine="410" w:firstLineChars="171"/>
        <w:textAlignment w:val="auto"/>
        <w:outlineLvl w:val="9"/>
        <w:rPr>
          <w:rStyle w:val="35"/>
          <w:rFonts w:hint="eastAsia" w:ascii="宋体" w:hAnsi="宋体" w:eastAsia="宋体" w:cs="宋体"/>
          <w:color w:val="auto"/>
          <w:sz w:val="24"/>
          <w:szCs w:val="24"/>
          <w:highlight w:val="none"/>
          <w:u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"http://xaczj.xa.gov.cn/zfcg/cgfg/5db9054565cbd804f69e97e0.html"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http://xaczj.xa.gov.cn/zfcg/cgfg/5db9054565cbd804f69e97e0.html</w:t>
      </w:r>
      <w:r>
        <w:rPr>
          <w:rStyle w:val="35"/>
          <w:rFonts w:hint="eastAsia" w:ascii="宋体" w:hAnsi="宋体" w:eastAsia="宋体" w:cs="宋体"/>
          <w:color w:val="auto"/>
          <w:sz w:val="24"/>
          <w:szCs w:val="24"/>
          <w:highlight w:val="none"/>
          <w:u w:val="none"/>
        </w:rPr>
        <w:fldChar w:fldCharType="end"/>
      </w:r>
    </w:p>
    <w:p w14:paraId="6A7350C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r>
        <w:rPr>
          <w:rFonts w:hint="eastAsia" w:ascii="宋体" w:hAnsi="宋体" w:eastAsia="宋体" w:cs="宋体"/>
          <w:sz w:val="24"/>
          <w:szCs w:val="24"/>
          <w:highlight w:val="none"/>
          <w:lang w:eastAsia="zh-CN"/>
        </w:rPr>
        <w:t>。</w:t>
      </w:r>
    </w:p>
    <w:p w14:paraId="319A75D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联系方式:西安浐灞国际港政府采购信用融资联系人： </w:t>
      </w:r>
      <w:r>
        <w:rPr>
          <w:rFonts w:hint="eastAsia" w:ascii="宋体" w:hAnsi="宋体" w:eastAsia="宋体" w:cs="宋体"/>
          <w:color w:val="000000"/>
          <w:spacing w:val="0"/>
          <w:sz w:val="24"/>
          <w:highlight w:val="none"/>
          <w:lang w:eastAsia="zh-CN"/>
        </w:rPr>
        <w:t>王涛</w:t>
      </w:r>
      <w:r>
        <w:rPr>
          <w:rFonts w:hint="eastAsia" w:ascii="宋体" w:hAnsi="宋体" w:eastAsia="宋体" w:cs="宋体"/>
          <w:color w:val="000000"/>
          <w:spacing w:val="0"/>
          <w:sz w:val="24"/>
          <w:highlight w:val="none"/>
        </w:rPr>
        <w:t xml:space="preserve"> </w:t>
      </w:r>
      <w:r>
        <w:rPr>
          <w:rFonts w:hint="eastAsia" w:ascii="宋体" w:hAnsi="宋体" w:eastAsia="宋体" w:cs="宋体"/>
          <w:color w:val="000000"/>
          <w:spacing w:val="0"/>
          <w:sz w:val="24"/>
          <w:highlight w:val="none"/>
          <w:lang w:val="en-US" w:eastAsia="zh-CN"/>
        </w:rPr>
        <w:t xml:space="preserve"> </w:t>
      </w:r>
      <w:r>
        <w:rPr>
          <w:rFonts w:hint="eastAsia" w:ascii="宋体" w:hAnsi="宋体" w:eastAsia="宋体" w:cs="宋体"/>
          <w:color w:val="000000"/>
          <w:spacing w:val="0"/>
          <w:sz w:val="24"/>
          <w:highlight w:val="none"/>
          <w:lang w:eastAsia="zh-CN"/>
        </w:rPr>
        <w:t>15029991040</w:t>
      </w:r>
      <w:r>
        <w:rPr>
          <w:rFonts w:hint="eastAsia" w:ascii="宋体" w:hAnsi="宋体" w:eastAsia="宋体" w:cs="宋体"/>
          <w:sz w:val="24"/>
          <w:szCs w:val="24"/>
          <w:highlight w:val="none"/>
          <w:lang w:val="en-US" w:eastAsia="zh-CN"/>
        </w:rPr>
        <w:t>）</w:t>
      </w:r>
    </w:p>
    <w:p w14:paraId="1C24890A">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2．投标保证金</w:t>
      </w:r>
    </w:p>
    <w:p w14:paraId="496A677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按照西安市财政局《关于促进政府采购公平竞争优化营商环境的通知》第三条规定，供应商参与西安市政府采购活动时，免交投标保证金。</w:t>
      </w:r>
    </w:p>
    <w:p w14:paraId="54617741">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3．履约保证金</w:t>
      </w:r>
    </w:p>
    <w:p w14:paraId="2C60012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（1）交纳履约保证金</w:t>
      </w:r>
    </w:p>
    <w:p w14:paraId="73D5571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招标文件要求供应商提交履约保证金的，供应商可通过支票、本票、汇票、网上银行支付等非现金形式交纳，也可通过履约担保函（包含纸质保函、电子保函）形式提交，其中采用纸质保函的，应当提交保函原件；采用电子保函的，可登录西安市公共资源交易平台〖首页·〉电子交易平台·〉陕西政府采购交易系统·〉企业端〗，登录后切换到〖我的项目〗模块下，即可选择电子履约保函申请（点击申请后系统将自动跳转至电子保函业务平台，选择对应金融机构后，按要求填写相应信息进行申请）。</w:t>
      </w:r>
    </w:p>
    <w:p w14:paraId="1ED0E52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（2）采用履约保函形式时应注意以下事项：</w:t>
      </w:r>
    </w:p>
    <w:p w14:paraId="65447A2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履约保函的受益人为采购人，供应商未能按合同规定履行其义务时，采购人有权从履约保证金中取得补偿。</w:t>
      </w:r>
    </w:p>
    <w:p w14:paraId="4DA8820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履约保函的内容包括但不限于保函申请人、项目名称（如分标段，还应写明所投标段）、担保金额、保函有效期（履约保函的有效期至少应覆盖至合同验收之日，履约保函有效期不足的，供应商应向履约保函签发机构办理担保续期手续）；</w:t>
      </w:r>
    </w:p>
    <w:p w14:paraId="3874587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担保金额不少于《投标邀请函》中规定的履约保证金交纳金额；</w:t>
      </w:r>
    </w:p>
    <w:p w14:paraId="585427B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保函申请人须与供应商名称一致。若供应商为联合体形式，原则上可由联合体任意一方或多方作为保函申请人，然而对于电子保函，目前只能由下载电子招标文件的一方作为保函申请人。</w:t>
      </w:r>
    </w:p>
    <w:p w14:paraId="15B7E15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（3）退还履约保证金</w:t>
      </w:r>
    </w:p>
    <w:p w14:paraId="5BB3C37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在采购项目验收合格后，中标供应商持政府采购项目验收单，到履约保证金原收取人处办理退还手续，5个工作日内无息退还（针对支票、本票、汇票、网上银行等支付形式）\当场返还（针对纸质保函）\当场注销（针对电子保函）。</w:t>
      </w:r>
    </w:p>
    <w:p w14:paraId="4659C146">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（四）关于联合体</w:t>
      </w:r>
    </w:p>
    <w:p w14:paraId="08EDA9D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1．《政府采购促进中小企业发展管理办法》（财库〔2020〕46号）</w:t>
      </w:r>
      <w:r>
        <w:rPr>
          <w:rFonts w:hint="eastAsia" w:ascii="宋体" w:hAnsi="宋体" w:eastAsia="宋体" w:cs="宋体"/>
          <w:sz w:val="24"/>
          <w:szCs w:val="24"/>
          <w:highlight w:val="none"/>
          <w:lang w:eastAsia="zh-CN"/>
        </w:rPr>
        <w:t>、</w:t>
      </w:r>
      <w:r>
        <w:rPr>
          <w:rFonts w:hint="eastAsia" w:ascii="宋体" w:hAnsi="宋体" w:eastAsia="宋体" w:cs="宋体"/>
          <w:color w:val="auto"/>
          <w:sz w:val="24"/>
          <w:szCs w:val="24"/>
          <w:highlight w:val="none"/>
          <w:lang w:eastAsia="zh-CN"/>
        </w:rPr>
        <w:t>《陕西省财政厅关于进一步落实政府采购支持中小企业相关政策的通知》（陕财办采〔2023〕3号）</w:t>
      </w:r>
      <w:r>
        <w:rPr>
          <w:rFonts w:hint="eastAsia" w:ascii="宋体" w:hAnsi="宋体" w:eastAsia="宋体" w:cs="宋体"/>
          <w:sz w:val="24"/>
          <w:szCs w:val="24"/>
          <w:highlight w:val="none"/>
        </w:rPr>
        <w:t>鼓励大中型企业和其他自然人、法人或者其他组织与小型、微型企业组成联合体共同参加非专门面向中小企业的政府采购活动。联合体各方均为小型、微型企业的，联合体视同为小型、微型企业；联合协议中约定，小型、微型企业的协议合同金额占到联合体协议合同总金额</w:t>
      </w:r>
      <w:r>
        <w:rPr>
          <w:rFonts w:hint="eastAsia" w:ascii="宋体" w:hAnsi="宋体" w:eastAsia="宋体" w:cs="宋体"/>
          <w:b w:val="0"/>
          <w:bCs w:val="0"/>
          <w:sz w:val="24"/>
          <w:szCs w:val="24"/>
          <w:highlight w:val="none"/>
          <w:lang w:val="en-US" w:eastAsia="zh-CN"/>
        </w:rPr>
        <w:t>30</w:t>
      </w:r>
      <w:r>
        <w:rPr>
          <w:rFonts w:hint="eastAsia" w:ascii="宋体" w:hAnsi="宋体" w:eastAsia="宋体" w:cs="宋体"/>
          <w:b w:val="0"/>
          <w:bCs w:val="0"/>
          <w:sz w:val="24"/>
          <w:szCs w:val="24"/>
          <w:highlight w:val="none"/>
        </w:rPr>
        <w:t>%</w:t>
      </w:r>
      <w:r>
        <w:rPr>
          <w:rFonts w:hint="eastAsia" w:ascii="宋体" w:hAnsi="宋体" w:eastAsia="宋体" w:cs="宋体"/>
          <w:sz w:val="24"/>
          <w:szCs w:val="24"/>
          <w:highlight w:val="none"/>
        </w:rPr>
        <w:t>以上的，对联合体或者大中型企业的报价给</w:t>
      </w:r>
      <w:r>
        <w:rPr>
          <w:rFonts w:hint="eastAsia" w:ascii="宋体" w:hAnsi="宋体" w:eastAsia="宋体" w:cs="宋体"/>
          <w:color w:val="auto"/>
          <w:sz w:val="24"/>
          <w:szCs w:val="24"/>
          <w:highlight w:val="none"/>
        </w:rPr>
        <w:t>予</w:t>
      </w:r>
      <w:r>
        <w:rPr>
          <w:rFonts w:hint="eastAsia" w:ascii="宋体" w:hAnsi="宋体" w:eastAsia="宋体" w:cs="宋体"/>
          <w:b w:val="0"/>
          <w:bCs w:val="0"/>
          <w:color w:val="auto"/>
          <w:sz w:val="24"/>
          <w:szCs w:val="24"/>
          <w:highlight w:val="none"/>
        </w:rPr>
        <w:t>4%—6%</w:t>
      </w:r>
      <w:r>
        <w:rPr>
          <w:rFonts w:hint="eastAsia" w:ascii="宋体" w:hAnsi="宋体" w:eastAsia="宋体" w:cs="宋体"/>
          <w:color w:val="auto"/>
          <w:sz w:val="24"/>
          <w:szCs w:val="24"/>
          <w:highlight w:val="none"/>
        </w:rPr>
        <w:t>（</w:t>
      </w:r>
      <w:r>
        <w:rPr>
          <w:rFonts w:hint="eastAsia" w:ascii="宋体" w:hAnsi="宋体" w:eastAsia="宋体" w:cs="宋体"/>
          <w:sz w:val="24"/>
          <w:szCs w:val="24"/>
          <w:highlight w:val="none"/>
        </w:rPr>
        <w:t>工程项目为1%~2%）的扣除，用扣除后的价格参加评审。</w:t>
      </w:r>
    </w:p>
    <w:p w14:paraId="49B6210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投标邀请函中载明“接受联合体”时，两个以上供应商可以组成一个联合体，以一个供应商的身份参与投标；投标邀请函未明确载明“不接受联合体”时，视同接受联合体。采购项目接受联合体时，组成联合体的大中型企业和其他自然人、法人或者其他组织，与小型、微型企业之间不得存在投资关系的。</w:t>
      </w:r>
    </w:p>
    <w:p w14:paraId="1685724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联合体各方之间应当签订《联合体协议书》，明确约定联合体各方承担的工作和相应的责任。联合体协议签订后，联合体各方不得再单独参加或者与其他供应商另外组成联合体参加同一合同项下的政府采购活动。</w:t>
      </w:r>
    </w:p>
    <w:p w14:paraId="6A055B1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4．供应商以联合体形式参加政府采购活动时，遵循以下规则：</w:t>
      </w:r>
    </w:p>
    <w:p w14:paraId="4657DFC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联合体各方均应当具备投标邀请函中前五项基本资格要求；第六项《法定代表人委托授权书》由联合体牵头人的法定代表人（法人单位）或负责人（非法人单位）代表联合体各方进行签字、盖章，并对联合体各方负责。</w:t>
      </w:r>
    </w:p>
    <w:p w14:paraId="62F7F25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采购人根据采购项目的特殊要求规定供应商特定条件的，联合体各方中至少应当有一方符合采购人规定的特定条件。联合体中有同类资质的供应商按照联合体分工承担相同工作的，应当按照资质等级较低的供应商确定资质等级。</w:t>
      </w:r>
    </w:p>
    <w:p w14:paraId="6124327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采用资格前审的项目，联合体应当在提交资格前审申请文件前组成。资格前审后联合体不得增减、更换成员。</w:t>
      </w:r>
    </w:p>
    <w:p w14:paraId="1E29F64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资格审查阶段，采购人将对所有联合体成员进行信用记录查询，联合体成员存在不良信用记录的，视同联合体存在不良信用记录。</w:t>
      </w:r>
    </w:p>
    <w:p w14:paraId="60193A6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⑤ 招标文件要求供应商交纳保证金的，可以由联合体中的一方或者多方共同交纳保证金，其交纳的保证金对联合体各方均具有约束力。</w:t>
      </w:r>
    </w:p>
    <w:p w14:paraId="6E21529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⑥ 招标文件要求供应商提供履约人员和设备情况的，联合体各方均应提供，以说明其作为独立供应商所具有的能有效执行合同的能力和资源。</w:t>
      </w:r>
    </w:p>
    <w:p w14:paraId="0D0C778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⑦ 招标文件要求供应商提供同类或类似项目业绩的，联合体各方符合招标文件要求的同类或类似业绩可以累计，但联合体一方或多方共同参与的同一业绩不重复计算。</w:t>
      </w:r>
    </w:p>
    <w:p w14:paraId="1803869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⑧ 投标文件中需要供应商盖章之处，联合体牵头人加盖公章即可。除联合体协议必须由各方共同签署外，投标文件中要求由法定代表人签字、盖章之处，由联合体牵头人的法定代表人（法人单位）或负责人（非法人单位）代表联合体各方进行签字、盖章，并对联合体各方负责。</w:t>
      </w:r>
    </w:p>
    <w:p w14:paraId="4C7BD49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⑨ 对采购项目提出投诉时，应当由组成联合体的所有供应商共同提出。</w:t>
      </w:r>
    </w:p>
    <w:p w14:paraId="068443D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（5）联合体出现下列情形之一的，联合体投标无效：</w:t>
      </w:r>
    </w:p>
    <w:p w14:paraId="536FE2F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没有提交有效的联合体协议的；</w:t>
      </w:r>
    </w:p>
    <w:p w14:paraId="06195FB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组成联合体的大中型企业和其他自然人、法人或者其他组织，与小型、微型企业之间存在投资关系的；</w:t>
      </w:r>
    </w:p>
    <w:p w14:paraId="1022D46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联合体协议签订后，联合体成员单独参加或者与其他供应商另外组成联合体参加同一合同项下的政府采购活动的；</w:t>
      </w:r>
    </w:p>
    <w:p w14:paraId="2DCB15C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资格前审后联合体增减、更换成员的；</w:t>
      </w:r>
    </w:p>
    <w:p w14:paraId="2ABE47D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⑤ 联合体成员因存在不良信用记录，被拒绝其参与政府采购活动的。</w:t>
      </w:r>
    </w:p>
    <w:p w14:paraId="77EA6AB8">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（五）关于进口产品</w:t>
      </w:r>
    </w:p>
    <w:p w14:paraId="313A7A0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政府采购进口产品管理办法》（财库〔2007〕119号）规定，政府采购应当采购本国产品，确需采购进口产品的，应当在采购活动开始前向财政部门提出申请并获得财政部门审核同意后，依法开展政府采购活动。采购人采购进口产品时，优先采购向我国企业转让技术、与我国企业签订消化吸收再创新方案的供应商的进口产品。</w:t>
      </w:r>
    </w:p>
    <w:p w14:paraId="67CDC15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根据《关于政府采购进口产品管理有关问题的通知》（财办库〔2008〕248号）有关规定，财政部门审核同意购买进口产品的，投标邀请函将明确载明“允许进口产品参与”，此时满足招标文件要求的国产产品仍然可以参与竞争；否则，视为拒绝进口产品参与，供应商以进口产品参与投标时，将作无效投标处理。</w:t>
      </w:r>
    </w:p>
    <w:p w14:paraId="79AE227A">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（六）关于政府采购政策</w:t>
      </w:r>
    </w:p>
    <w:p w14:paraId="1D4BEBA1">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1．对中小企业、监狱企业、残疾人福利性单位的优惠政策</w:t>
      </w:r>
    </w:p>
    <w:p w14:paraId="7F78CF0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政府采购促进中小企业发展管理办法》（财库〔2020〕46号）的有关规定，提供小微企业制造的货物、承建的工程或者承接的服务（不包括使用大型、中型企业商号或者注册商标的货物）参与政府采购活动时对小型和微型企业产品的报价给予扣除（实际价格扣除比例以本章《评审要素及分值一览表》中的具体规定为准），用扣除后的价格参加评审。同时，依据该办法第四条第二款规定在货物采购项目中，供应商提供的货物既有中小企业制造货物，也有大型企业制造货物的，不享受中小企业扶持政策。</w:t>
      </w:r>
    </w:p>
    <w:p w14:paraId="6C84DC9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（2）根据财政部、司法部联合下发的《关于政府采购支持监狱企业发展有关问题的通知》（财库〔2014〕68号）的规定，监狱企业视同小型、微型企业。</w:t>
      </w:r>
    </w:p>
    <w:p w14:paraId="3FDD822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34FEDE6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参加政府采购活动的中小企业、监狱企业、残疾人福利性单位应根据企业性质分别提供《中小企业声明函》\《监狱企业证明函》\《残疾人福利性单位声明函》。其中，《监狱企业证明函》应由省级以上监狱管理局、戒毒管理局（含新疆生产建设兵团）出具。未提供上述声明函\证明函的，不能享受招标文件规定的价格扣除，但不影响投标文件的有效性。</w:t>
      </w:r>
    </w:p>
    <w:p w14:paraId="0A2C2E84">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2．节能、环保产品采购政策</w:t>
      </w:r>
    </w:p>
    <w:p w14:paraId="1DC0FCA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财政部、发展改革委、生态环境部、市场监管总局《关于调整优化节能产品、环境标志产品政府采购执行机制的通知》（财库〔2019〕9号）规定“对政府采购节能产品、环境标志产品实施品目清单管理”。采购人拟采购的产品属于品目清单范围的，依据国家确定的认证机构出具的、处于有效期之内的节能产品、环境标志产品认证证书，对获得证书的产品实施政府优先采购或强制采购。</w:t>
      </w:r>
    </w:p>
    <w:p w14:paraId="6B18411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2F80CC0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（3）《节能产品政府采购品目清单》见财政部、发展改革委《关于印发节能产品政府采购品目清单的通知》（财库〔2019〕19号）附件。</w:t>
      </w:r>
    </w:p>
    <w:p w14:paraId="539944B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（4）《环境标志产品政府采购品目清单》见财政部、生态环境部《关于印发环境标志产品政府采购品目清单的通知》（财库〔2019〕18号）附件。</w:t>
      </w:r>
    </w:p>
    <w:p w14:paraId="423CA80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highlight w:val="none"/>
          <w:lang w:eastAsia="zh-CN"/>
        </w:rPr>
      </w:pPr>
      <w:r>
        <w:rPr>
          <w:rFonts w:hint="eastAsia" w:ascii="宋体" w:hAnsi="宋体" w:eastAsia="宋体" w:cs="宋体"/>
          <w:sz w:val="24"/>
          <w:szCs w:val="24"/>
          <w:highlight w:val="none"/>
        </w:rPr>
        <w:t>（5）“国家确定的认证机构”名单见市场监管总局《关于发布参与实施政府采购节能产品、环境标志产品认证机构名录的公告》（2019年第16号）。</w:t>
      </w:r>
    </w:p>
    <w:p w14:paraId="579C5A16">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3.</w:t>
      </w:r>
      <w:r>
        <w:rPr>
          <w:rFonts w:hint="eastAsia" w:ascii="宋体" w:hAnsi="宋体" w:eastAsia="宋体" w:cs="宋体"/>
          <w:b/>
          <w:bCs/>
          <w:sz w:val="24"/>
          <w:szCs w:val="24"/>
          <w:highlight w:val="none"/>
        </w:rPr>
        <w:t>陕西省中小企业政府采购信用融资办法</w:t>
      </w:r>
    </w:p>
    <w:p w14:paraId="6ADF744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为进一步贯彻落实国务院和陕西省关于支持中小企业发展的政策措施，发挥政府采购政策导向作用，充分利用信息化技术，通过搭建信息对称、相互对接的平台，有效缓解中小企业融资难、融资贵问题。陕西省财政厅结合陕西省政府采购信息化建设实际，制定了《陕西省中小企业政府采购信用融资办法》（陕财办采〔2018〕23号，简称融资办法）。</w:t>
      </w:r>
    </w:p>
    <w:p w14:paraId="03BE6032">
      <w:pPr>
        <w:keepLines w:val="0"/>
        <w:pageBreakBefore w:val="0"/>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链接地址：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"http://www.ccgp-shaanxi.gov.cn/zcdservice/zcd/shanxi/article/zcdt/1390497710741917696"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http://www.ccgp-shaanxi.gov.cn/zcdservice/zcd/shanxi/article/zcdt/1390497710741917696</w:t>
      </w:r>
      <w:r>
        <w:rPr>
          <w:rStyle w:val="35"/>
          <w:rFonts w:hint="eastAsia" w:ascii="宋体" w:hAnsi="宋体" w:eastAsia="宋体" w:cs="宋体"/>
          <w:color w:val="auto"/>
          <w:sz w:val="24"/>
          <w:szCs w:val="24"/>
          <w:highlight w:val="none"/>
          <w:u w:val="none"/>
        </w:rPr>
        <w:fldChar w:fldCharType="end"/>
      </w:r>
    </w:p>
    <w:p w14:paraId="094992C6">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（七）关于现场踏勘和集中答疑</w:t>
      </w:r>
    </w:p>
    <w:p w14:paraId="44D739F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采购人可以根据项目实际情况决定是否组织现场踏勘\标前集中答疑</w:t>
      </w:r>
      <w:r>
        <w:rPr>
          <w:rFonts w:hint="eastAsia" w:ascii="宋体" w:hAnsi="宋体" w:eastAsia="宋体" w:cs="宋体"/>
          <w:color w:val="auto"/>
          <w:sz w:val="24"/>
          <w:szCs w:val="24"/>
          <w:highlight w:val="none"/>
        </w:rPr>
        <w:t>。投标邀请函中</w:t>
      </w:r>
      <w:r>
        <w:rPr>
          <w:rFonts w:hint="eastAsia" w:ascii="宋体" w:hAnsi="宋体" w:eastAsia="宋体" w:cs="宋体"/>
          <w:sz w:val="24"/>
          <w:szCs w:val="24"/>
          <w:highlight w:val="none"/>
        </w:rPr>
        <w:t>明确载明安排上述活动的，各供应商应派出技术、预算等相关人员，在招标文件约定的时间、地点参加现场踏勘\标前集中答疑。</w:t>
      </w:r>
    </w:p>
    <w:p w14:paraId="505EDA3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代表可在采购人指引下就采购内容相关数据进行实地测量，需要采购人或采购代理机构解答的问题可以以口头或书面形式做出。口头问题，口头答复；书面问题，将由采购人和采购代理机构整理后，在“政府采购信息发布媒体”上发布《答疑纪要》。答疑纪要是招标文件的组成部分，与招标文件中表述不一致的内容，以答疑纪要为准。</w:t>
      </w:r>
    </w:p>
    <w:p w14:paraId="0698482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凡未参加现场踏勘和集中答疑的供应商，由此带来的不利后果由该供应商自行承担。</w:t>
      </w:r>
    </w:p>
    <w:p w14:paraId="0A927409">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（八）关于同一品牌产品的处理</w:t>
      </w:r>
    </w:p>
    <w:p w14:paraId="778EFC4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用最低评标价法的采购项目，提供相同品牌产品的不同供应商参加同一合同项下投标的，以其中通过资格审查、符合性审查且报价最低的参加评标；报价相同的，由采购人或者采购人委托评审委员会按照采购文件规定的方式确定一个参加评标的供应商，采购文件未规定的采取随机抽取方式确定，其他投标无效。</w:t>
      </w:r>
    </w:p>
    <w:p w14:paraId="78EF411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使用综合评分法的采购项目，提供相同品牌产品且通过资格审查、符合性审查的不同供应商参加同一合同项下投标的，按一家供应商计算，评审后得分最高的同品牌供应商获得中标供应商推荐资格；评审得分相同的，由采购人或者采购人委托评审委员会按照采购文件规定的方式确定一个供应商获得中标供应商推荐资格，采购文件未规定的采取随机抽取方式确定，其他同品牌供应商不作为中标候选人。</w:t>
      </w:r>
    </w:p>
    <w:p w14:paraId="252EE5E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非单一产品采购项目，采购人将根据采购项目技术构成、产品价格比重等因素确定核心产品（可能不止一种），并在采购文件中载明。多家供应商提供的核心产品有部分采用或全部采用相同品牌的，按一家供应商计算。</w:t>
      </w:r>
    </w:p>
    <w:p w14:paraId="324BB689">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（九）关于知识产权和保密事项</w:t>
      </w:r>
    </w:p>
    <w:p w14:paraId="4271B4B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1．所有涉及知识产权的产品及设计，供应商必须确保委托人、采购人拥有其合法的、不受限制的无偿使用权，并免受任何侵权诉讼或索偿；否则，由此产生的一切经济损失和法律责任由供应商承担。</w:t>
      </w:r>
    </w:p>
    <w:p w14:paraId="5B8C2D9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由采购人向供应商提供的用户需求书、图纸、样品、模型、模件和所有资料，供应商获得后，应对其保密。除非采购人同意，供应商不得向第三方透露或将其用于本次投标以外的任何用途。开标后，若采购人有要求，供应商人须归还采购人认为需保密的文件和资料，并销毁所有相应的备份文件及资料。</w:t>
      </w:r>
    </w:p>
    <w:p w14:paraId="1F6A7143">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（十）关于信用记录的查询和使用</w:t>
      </w:r>
    </w:p>
    <w:p w14:paraId="1F323C3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1．根据财政部《关于在政府采购活动中查询及使用信用记录有关问题的通知》（财库〔2016〕125号）第二条有关要求，采购人将在资格审查阶段通过【信用中国】（</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"https://www.creditchina.gov.cn"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https://www.creditchina.gov.cn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/）和【中国政府采购网】（</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对供应商的信用情况进行甄别。</w:t>
      </w:r>
    </w:p>
    <w:p w14:paraId="4AF3521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2．对列入失信被执行人、</w:t>
      </w:r>
      <w:r>
        <w:rPr>
          <w:rFonts w:hint="eastAsia" w:ascii="宋体" w:hAnsi="宋体" w:eastAsia="宋体" w:cs="宋体"/>
          <w:sz w:val="24"/>
          <w:szCs w:val="24"/>
          <w:highlight w:val="none"/>
          <w:lang w:eastAsia="zh-CN"/>
        </w:rPr>
        <w:t>重大税收违法失信主体</w:t>
      </w:r>
      <w:r>
        <w:rPr>
          <w:rFonts w:hint="eastAsia" w:ascii="宋体" w:hAnsi="宋体" w:eastAsia="宋体" w:cs="宋体"/>
          <w:sz w:val="24"/>
          <w:szCs w:val="24"/>
          <w:highlight w:val="none"/>
        </w:rPr>
        <w:t>、政府采购严重违法失信行为记录名单及其他不符合《中华人民共和国政府采购法》第二十二条规定条件的供应商，将拒绝其参与政府采购活动。</w:t>
      </w:r>
    </w:p>
    <w:p w14:paraId="3A4E144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3．供应商在参加政府采购活动前3年内因违法经营被禁止在一定期限内参加政府采购活动，期限届满的，可以参加政府采购活动的，但供应商应提供相关证明材料。</w:t>
      </w:r>
    </w:p>
    <w:p w14:paraId="421BA0F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4．信用记录查询结果打印后，将与其他采购文件一并保存。</w:t>
      </w:r>
    </w:p>
    <w:p w14:paraId="73DFD8DF">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（十一）其他重要事项</w:t>
      </w:r>
    </w:p>
    <w:p w14:paraId="3CF2D6C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1．招标文件内所附网络链接仅供参考，不保证其长期有效性。</w:t>
      </w:r>
    </w:p>
    <w:p w14:paraId="6D30F7F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2．供应商的投标费用自理。</w:t>
      </w:r>
    </w:p>
    <w:p w14:paraId="78ACE994">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三、招标文件</w:t>
      </w:r>
    </w:p>
    <w:p w14:paraId="7640F352">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（一）招标文件的解释权</w:t>
      </w:r>
    </w:p>
    <w:p w14:paraId="323B0A3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本项目招标文件的解释权归采购代理机构，评标委员会成员应根据政府采购法律法规和招标文件所载明的评审方法、标准进行评审。</w:t>
      </w:r>
    </w:p>
    <w:p w14:paraId="313E49A3">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（二）招标文件主要内容</w:t>
      </w:r>
    </w:p>
    <w:p w14:paraId="76FE701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 xml:space="preserve">第1章  </w:t>
      </w:r>
      <w:r>
        <w:rPr>
          <w:rFonts w:hint="eastAsia" w:ascii="宋体" w:hAnsi="宋体" w:eastAsia="宋体" w:cs="宋体"/>
          <w:color w:val="auto"/>
          <w:sz w:val="24"/>
          <w:szCs w:val="24"/>
          <w:highlight w:val="none"/>
          <w:lang w:eastAsia="zh-CN"/>
        </w:rPr>
        <w:t>招标公告</w:t>
      </w:r>
    </w:p>
    <w:p w14:paraId="7861F46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第2章  供应商须知</w:t>
      </w:r>
    </w:p>
    <w:p w14:paraId="1E7A3E4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第3章  招标内容及要求</w:t>
      </w:r>
    </w:p>
    <w:p w14:paraId="3DDA926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第4章  </w:t>
      </w:r>
      <w:r>
        <w:rPr>
          <w:rFonts w:hint="eastAsia" w:ascii="宋体" w:hAnsi="宋体" w:eastAsia="宋体" w:cs="宋体"/>
          <w:sz w:val="24"/>
          <w:szCs w:val="24"/>
          <w:highlight w:val="none"/>
          <w:lang w:eastAsia="zh-CN"/>
        </w:rPr>
        <w:t>商务及</w:t>
      </w:r>
      <w:r>
        <w:rPr>
          <w:rFonts w:hint="eastAsia" w:ascii="宋体" w:hAnsi="宋体" w:eastAsia="宋体" w:cs="宋体"/>
          <w:sz w:val="24"/>
          <w:szCs w:val="24"/>
          <w:highlight w:val="none"/>
        </w:rPr>
        <w:t>合同文本</w:t>
      </w:r>
    </w:p>
    <w:p w14:paraId="6BB3CC0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第5章  投标文件构成及格式</w:t>
      </w:r>
    </w:p>
    <w:p w14:paraId="3CDAA128">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（三）招标文件的检查及阅读</w:t>
      </w:r>
    </w:p>
    <w:p w14:paraId="23064BC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供应商应认真阅读和充分理解招标文件中所有的事项、格式条款和规范要求，在投标文件中对招标文件做出全面响应，并按招标文件的要求提交全部资料。</w:t>
      </w:r>
    </w:p>
    <w:p w14:paraId="5A40188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项目废标后重新组织招标的，采购代理机构将重新编制、发布新版招标文件，供应商应按新版招标文件重新编制投标文件。原招标文件及投标文件失效。</w:t>
      </w:r>
    </w:p>
    <w:p w14:paraId="28F78B38">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（四）招标文件的修改、澄清</w:t>
      </w:r>
    </w:p>
    <w:p w14:paraId="5B50DF5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1．提交投标文件截止之日前，采购人或采购代理机构可能对已发出的招标文件进行澄清或者修改，澄清或者修改的内容为招标文件的组成部分。</w:t>
      </w:r>
    </w:p>
    <w:p w14:paraId="5B95DD4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2．当需要澄清或修改时，采购代理机构将在提交投标文件截止之日15日前，在财政部门指定的“政府采购信息发布媒体”上发布变更公告；不足15日的，将顺延提交投标文件截止时间。</w:t>
      </w:r>
    </w:p>
    <w:p w14:paraId="6BB5A65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澄清或修改的内容可能影响投标文件编制时，采购代理机构将在发布变更公告的同时，提醒供应商下载答疑文件（*.SXSCF，即更新后的电子招标文件）。供应商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14:paraId="15A5926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4．请各供应商在提交投标文件截止时间之前，务必随时关注“政府采购信息发布媒体”上发布的变更公告，采购代理机构不再另行通知，因供应商未及时关注所造成的一切后果由供应商自行承担：</w:t>
      </w:r>
    </w:p>
    <w:p w14:paraId="0FAED90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陕西省政府采购网</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http://www.ccgp-shaanxi.gov.cn/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）中的〖首页·〉信息公告·〉市级·〉西安市〗；</w:t>
      </w:r>
    </w:p>
    <w:p w14:paraId="2D163B5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"http://xa.sxggzyjy.cn/"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全国公共资源交易网（陕西省·西安市）</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http://sxggzyjy.xa.gov.cn/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）中的〖首页·〉交易大厅·〉政府采购〗。</w:t>
      </w:r>
    </w:p>
    <w:p w14:paraId="2ABCE685">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四、投标文件</w:t>
      </w:r>
    </w:p>
    <w:p w14:paraId="709C29AD">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（一）投标文件的式样</w:t>
      </w:r>
    </w:p>
    <w:p w14:paraId="58B0E64D">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1．组成及格式</w:t>
      </w:r>
    </w:p>
    <w:p w14:paraId="3B84C75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供应商依照招标文件第五章《投标文件构成及格式》给定形式进行编制投标文件。项目分标段的，应按所投标段分别准备投标文件。</w:t>
      </w:r>
    </w:p>
    <w:p w14:paraId="43780BEC">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2．语言</w:t>
      </w:r>
    </w:p>
    <w:p w14:paraId="258A7DA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招标活动的所有文件、资料、函电文字均使用简体中文，确需提交用其他语言形成的资料，必须翻译成简体中文，如有差异，以简体中文为准。</w:t>
      </w:r>
    </w:p>
    <w:p w14:paraId="44590F80">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3．计量单位</w:t>
      </w:r>
    </w:p>
    <w:p w14:paraId="14076FE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投标文件的计量单位应使用中华人民共和国法定计量单位，但招标文件另有规定的除外。</w:t>
      </w:r>
    </w:p>
    <w:p w14:paraId="396E4241">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（二）投标文件的有效期</w:t>
      </w:r>
    </w:p>
    <w:p w14:paraId="5146B00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投标文件有效期为自开标之日起不少于90个日历日。如中标，延长至合同执行完毕时止。</w:t>
      </w:r>
    </w:p>
    <w:p w14:paraId="2A4283EA">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（三）投标报价</w:t>
      </w:r>
    </w:p>
    <w:p w14:paraId="770ECC5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highlight w:val="none"/>
          <w:lang w:eastAsia="zh-CN"/>
        </w:rPr>
      </w:pPr>
      <w:r>
        <w:rPr>
          <w:rFonts w:hint="eastAsia" w:ascii="宋体" w:hAnsi="宋体" w:eastAsia="宋体" w:cs="宋体"/>
          <w:sz w:val="24"/>
          <w:szCs w:val="24"/>
          <w:highlight w:val="none"/>
          <w:lang w:eastAsia="zh-CN"/>
        </w:rPr>
        <w:t>本项目投标方案范围内计价模式固定总价，</w:t>
      </w:r>
      <w:r>
        <w:rPr>
          <w:rFonts w:hint="eastAsia" w:ascii="宋体" w:hAnsi="宋体" w:eastAsia="宋体" w:cs="宋体"/>
          <w:sz w:val="24"/>
          <w:szCs w:val="24"/>
          <w:highlight w:val="none"/>
          <w:lang w:val="en-US" w:eastAsia="zh-CN"/>
        </w:rPr>
        <w:t>投标报价包括但不限于指项目完成并经验收合格的所有费用，包括项目费用、国家按现行税收政策征收的一切税费等。</w:t>
      </w:r>
    </w:p>
    <w:p w14:paraId="470CF02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供应商在报价时应充分考虑所有可能发生的费用，</w:t>
      </w:r>
      <w:r>
        <w:rPr>
          <w:rFonts w:hint="eastAsia" w:ascii="宋体" w:hAnsi="宋体" w:eastAsia="宋体" w:cs="宋体"/>
          <w:sz w:val="24"/>
          <w:szCs w:val="24"/>
          <w:highlight w:val="none"/>
        </w:rPr>
        <w:t>招标文件未列明，而供应商认为应当计取的费用均应列入报价中。报价时不论是否计取，采购人均按已计取对待。</w:t>
      </w:r>
    </w:p>
    <w:p w14:paraId="2EC7016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2．供应商应严格按照《投标文件构成及格式》第二部分《开标一览表》中的相关要求填写分类报价及其他需要响应的内容。投标报价只能提交唯一报价，任何有选择的报价将不予接受，按无效投标处理。</w:t>
      </w:r>
    </w:p>
    <w:p w14:paraId="7CF9149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3．投标报价货币：人民币；单位：元。</w:t>
      </w:r>
    </w:p>
    <w:p w14:paraId="1EEC165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4．投标文件报价出现前后不一致的，除招标文件另有规定外，按照下列规则修正：</w:t>
      </w:r>
    </w:p>
    <w:p w14:paraId="70CBF7B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（1）投标文件中开标一览表内容与投标文件中其他位置相应内容表述不一致的，以开标一览表为准；</w:t>
      </w:r>
    </w:p>
    <w:p w14:paraId="2616EBF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（2）大写金额和小写金额不一致的，以大写金额为准；</w:t>
      </w:r>
    </w:p>
    <w:p w14:paraId="6B4027B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（3）单价金额小数点或者百分比有明显错位的，以开标一览表的总价为准，并修改单价；</w:t>
      </w:r>
    </w:p>
    <w:p w14:paraId="1FFAD94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（4）总价金额与按单价汇总金额不一致的，以单价金额计算结果为准。</w:t>
      </w:r>
    </w:p>
    <w:p w14:paraId="57D279C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同时出现两种以上不一致的，按照前款规定的顺序修正。修正后的报价经供应商确认后产生约束力，供应商不确认的，其投标无效。</w:t>
      </w:r>
    </w:p>
    <w:p w14:paraId="66A8C77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5．因供应商对招标文件理解不透、误解、疏漏或对市场行情了解不清造成的后果和风险，均由供应商自己负责。</w:t>
      </w:r>
    </w:p>
    <w:p w14:paraId="4231134F">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（四）投标文件的制作和签章</w:t>
      </w:r>
    </w:p>
    <w:p w14:paraId="0FE572B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1．电子投标文件（*.SXSTF）需要使用专用制作软件——“新点投标文件制作软件（陕西公共资源）”进行编制。软件下载地址及操作手册：见西安市公共资源交易平台〖首页〉服务指南〉下载专区〗中的《</w:t>
      </w:r>
      <w:r>
        <w:rPr>
          <w:rFonts w:hint="eastAsia" w:ascii="宋体" w:hAnsi="宋体" w:eastAsia="宋体" w:cs="宋体"/>
          <w:b/>
          <w:bCs/>
          <w:sz w:val="24"/>
          <w:szCs w:val="24"/>
          <w:highlight w:val="none"/>
        </w:rPr>
        <w:t>政府采购项目投标文件制作软件及操作手册</w:t>
      </w:r>
      <w:r>
        <w:rPr>
          <w:rFonts w:hint="eastAsia" w:ascii="宋体" w:hAnsi="宋体" w:eastAsia="宋体" w:cs="宋体"/>
          <w:sz w:val="24"/>
          <w:szCs w:val="24"/>
          <w:highlight w:val="none"/>
        </w:rPr>
        <w:t>》。</w:t>
      </w:r>
    </w:p>
    <w:p w14:paraId="569017E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链接地址：</w:t>
      </w:r>
    </w:p>
    <w:p w14:paraId="6693C1A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"http://sxggzyjy.xa.gov.cn/fwzn/004003/20181115/4d59c184-e8f6-4d5a-a416-c2f6b0601e66.html"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sz w:val="24"/>
          <w:szCs w:val="24"/>
          <w:highlight w:val="none"/>
        </w:rPr>
        <w:t>http://sxggzyjy.xa.gov.cn/fwzn/004003/20181115/4d59c184-e8f6-4d5a-a416-c2f6b0601e66.html</w:t>
      </w:r>
      <w:r>
        <w:rPr>
          <w:rStyle w:val="35"/>
          <w:rFonts w:hint="eastAsia" w:ascii="宋体" w:hAnsi="宋体" w:eastAsia="宋体" w:cs="宋体"/>
          <w:sz w:val="24"/>
          <w:szCs w:val="24"/>
          <w:highlight w:val="none"/>
        </w:rPr>
        <w:fldChar w:fldCharType="end"/>
      </w:r>
    </w:p>
    <w:p w14:paraId="39CAFD4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2．编制电子投标文件前，</w:t>
      </w:r>
      <w:r>
        <w:rPr>
          <w:rFonts w:hint="eastAsia" w:ascii="宋体" w:hAnsi="宋体" w:eastAsia="宋体" w:cs="宋体"/>
          <w:b/>
          <w:bCs/>
          <w:sz w:val="24"/>
          <w:szCs w:val="24"/>
          <w:highlight w:val="none"/>
        </w:rPr>
        <w:t>务必先做好电子招标文件的备份工作</w:t>
      </w:r>
      <w:r>
        <w:rPr>
          <w:rFonts w:hint="eastAsia" w:ascii="宋体" w:hAnsi="宋体" w:eastAsia="宋体" w:cs="宋体"/>
          <w:sz w:val="24"/>
          <w:szCs w:val="24"/>
          <w:highlight w:val="none"/>
        </w:rPr>
        <w:t>。然后按操作手册中给出的方法将电子招标文件（*.SXSZF）或答疑文件（*.SXSCF，即更新后的电子招标文件）导入制作软件，最后按照章节分别编制投标文件各个部分。</w:t>
      </w:r>
    </w:p>
    <w:p w14:paraId="0921797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再次提醒</w:t>
      </w:r>
      <w:r>
        <w:rPr>
          <w:rFonts w:hint="eastAsia" w:ascii="宋体" w:hAnsi="宋体" w:eastAsia="宋体" w:cs="宋体"/>
          <w:sz w:val="24"/>
          <w:szCs w:val="24"/>
          <w:highlight w:val="none"/>
        </w:rPr>
        <w:t>：提交投标文件截止时间前，供应商应随时留意“政府采购信息发布媒体”上可能发布的变更公告。若变更公告中明确注明本项目伴有变更文件的，供应商应登录企业端后，从〖项目流程·〉项目管理·〉答疑文件下载〗获取更新后的电子招标文件（*.SXSCF），</w:t>
      </w:r>
      <w:r>
        <w:rPr>
          <w:rFonts w:hint="eastAsia" w:ascii="宋体" w:hAnsi="宋体" w:eastAsia="宋体" w:cs="宋体"/>
          <w:b/>
          <w:bCs/>
          <w:sz w:val="24"/>
          <w:szCs w:val="24"/>
          <w:highlight w:val="none"/>
        </w:rPr>
        <w:t>使用旧版电子招标文件制作的电子投标文件（*.SXSTF），系统将拒绝接收。</w:t>
      </w:r>
    </w:p>
    <w:p w14:paraId="3701BBF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3．电子投标文件制作过程中，需要法定代表人签字或盖章的地方，请使用“法人CA锁”进行签章；需要加盖供应商公章的地方，请使用“企业CA锁”进行签章。</w:t>
      </w:r>
    </w:p>
    <w:p w14:paraId="50BA102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若导出的PDF文件里看不到签章，请尝试使用专用制作软件中的“查看投标文件工具”打开未加密的电子投标文件重新导出。在制作过程中，如有其他技术性问题，请先翻阅操作手册，或致电软件开发商。</w:t>
      </w:r>
    </w:p>
    <w:p w14:paraId="225E3D21">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（五）投标文件的加密和提交</w:t>
      </w:r>
    </w:p>
    <w:p w14:paraId="24DF05F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1．在生成电子投标文件时，需要使用CA锁对投标文件进行加密。</w:t>
      </w:r>
    </w:p>
    <w:p w14:paraId="444662B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注意：加密投标文件和开标时解密投标文件应当使用同一CA，否则将会导致解密失败。</w:t>
      </w:r>
    </w:p>
    <w:p w14:paraId="7635485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14:paraId="53EE1BE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3．上传文件有误或需要重新提交的，可先撤销已经上传的文件，然后重新上传新文件。</w:t>
      </w:r>
    </w:p>
    <w:p w14:paraId="2A183EBF">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（六）投标文件的补充、修改和撤回</w:t>
      </w:r>
    </w:p>
    <w:p w14:paraId="71AA978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14:paraId="10EB825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2．供应商在提交投标文件截止时间后，撤回投标文件的，投标保证金不予退还。</w:t>
      </w:r>
    </w:p>
    <w:p w14:paraId="057CF79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对已提交的电子投标文件进行补充、修改的，应先从电子交易平台上撤回旧文件，再重新提交新文件；中标后提交的纸质文件（备案用）应从专用制作软件中直接打印，与电子投标文件保持一致，不允许补充和修改。</w:t>
      </w:r>
    </w:p>
    <w:p w14:paraId="14FAF741">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（七）关于投标文件的雷同性分析</w:t>
      </w:r>
    </w:p>
    <w:p w14:paraId="217ACA8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根据陕西省公共资源交易中心2021年7月22日印发的《关于在政府采购交易系统中开通标书雷同性分析功能的通知》，在符合性审查环节，将由评标委员会在评标系统中对供应商的电子投标文件进行雷同性分析。</w:t>
      </w:r>
    </w:p>
    <w:p w14:paraId="140F030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雷同性分析由两项指标组成，分别是“文件制作机器码”和“文件创建标识码”。其中，前者通过验证电子投标文件制作设备的特征信息（如MAC地址、硬盘序列号、CPU编号、主板号等），判断电子投标文件是否出自同一台设备。</w:t>
      </w:r>
    </w:p>
    <w:p w14:paraId="7A9A6EF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若“文件制作机器码”一致，则表明不同投标供应商的电子投标文件出自同一台制作设备，根据《陕西省财政厅关于政府采购有关政策的复函》（陕财办采函〔2019〕18号），该情形可以视为投标供应商串通投标，其投标无效。</w:t>
      </w:r>
    </w:p>
    <w:p w14:paraId="79D4AF6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若“文件创建标识码”一致，则表示不同投标供应商使用投标文件制作软件时，使用同一源工程文件，该情形建议由评标委员会结合项目情况综合判定。</w:t>
      </w:r>
    </w:p>
    <w:p w14:paraId="67AA4BB8">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（八）投标文件被拒绝接收的情形</w:t>
      </w:r>
    </w:p>
    <w:p w14:paraId="0898226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1．误投的或采用旧版电子招标文件制作的；</w:t>
      </w:r>
    </w:p>
    <w:p w14:paraId="46BF5FE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2．逾期提交电子投标文件的。</w:t>
      </w:r>
    </w:p>
    <w:p w14:paraId="54B0E95A">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五、开标程序</w:t>
      </w:r>
    </w:p>
    <w:p w14:paraId="1596A69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开标工作由采购代理机构组织实施，整个过程受同级政府采购监管机构的监督、管理。</w:t>
      </w:r>
    </w:p>
    <w:p w14:paraId="1EC3270C">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[适用于不见面开标项目]</w:t>
      </w:r>
    </w:p>
    <w:p w14:paraId="6ADE9D17">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（一）“不见面开标”基本流程</w:t>
      </w:r>
    </w:p>
    <w:p w14:paraId="2376E2E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“不见面开标”是依托政府采购云平台实现的供应商在线参与开标的一种组织形式。供应商无需抵达开标现场，即可在线实现开标、解密、澄清等操作。</w:t>
      </w:r>
    </w:p>
    <w:p w14:paraId="1A64440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1．供应商登录：开标前，请各供应商至少提前半小时登录西安市公共资源交易平台〖首页·〉不见面开标〗系统。</w:t>
      </w:r>
    </w:p>
    <w:p w14:paraId="3572E87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2．主持人宣布开标：提交投标文件截止时间过后，系统将不再接收任何投标文件。</w:t>
      </w:r>
    </w:p>
    <w:p w14:paraId="1675828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3．解密投标文件：供应商在收到主持人“开始解密”指令后，应使用“加密该投标文件的CA锁（</w:t>
      </w:r>
      <w:r>
        <w:rPr>
          <w:rFonts w:hint="eastAsia" w:ascii="宋体" w:hAnsi="宋体" w:eastAsia="宋体" w:cs="宋体"/>
          <w:b/>
          <w:bCs/>
          <w:sz w:val="24"/>
          <w:szCs w:val="24"/>
          <w:highlight w:val="none"/>
        </w:rPr>
        <w:t>必须是同一把锁</w:t>
      </w:r>
      <w:r>
        <w:rPr>
          <w:rFonts w:hint="eastAsia" w:ascii="宋体" w:hAnsi="宋体" w:eastAsia="宋体" w:cs="宋体"/>
          <w:sz w:val="24"/>
          <w:szCs w:val="24"/>
          <w:highlight w:val="none"/>
        </w:rPr>
        <w:t>）”在线完成投标文件解密。除因【西安市公共资源交易中心】断电、断网、系统故障及其他不可抗力等因素，导致“不见面开标”系统无法正常运行外，供应商应在规定的解密时间内完成解密。</w:t>
      </w:r>
    </w:p>
    <w:p w14:paraId="4F94A93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4．唱标：对于公开招标项目，“不见面开标”系统将自动展示供应商名单及其投标报价。</w:t>
      </w:r>
    </w:p>
    <w:p w14:paraId="2B9D635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5．开标结束：进入评审环节。供应商请保持在线，评审期间评标委员会可能会要求供应商做相应的澄清。因供应商擅自离席造成的不利后果，由供应商自行承担。</w:t>
      </w:r>
    </w:p>
    <w:p w14:paraId="7246333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“不见面开标”系统操作说明：详见西安市公共资源交易平台〖首页·〉服务指南·〉下载专区〗中的《</w:t>
      </w:r>
      <w:r>
        <w:rPr>
          <w:rFonts w:hint="eastAsia" w:ascii="宋体" w:hAnsi="宋体" w:eastAsia="宋体" w:cs="宋体"/>
          <w:b/>
          <w:bCs/>
          <w:sz w:val="24"/>
          <w:szCs w:val="24"/>
          <w:highlight w:val="none"/>
        </w:rPr>
        <w:t>西安公共资源交易不见面开标大厅供应商操作手册</w:t>
      </w:r>
      <w:r>
        <w:rPr>
          <w:rFonts w:hint="eastAsia" w:ascii="宋体" w:hAnsi="宋体" w:eastAsia="宋体" w:cs="宋体"/>
          <w:sz w:val="24"/>
          <w:szCs w:val="24"/>
          <w:highlight w:val="none"/>
        </w:rPr>
        <w:t>》。</w:t>
      </w:r>
    </w:p>
    <w:p w14:paraId="73282B24">
      <w:pPr>
        <w:keepLines w:val="0"/>
        <w:pageBreakBefore w:val="0"/>
        <w:kinsoku/>
        <w:wordWrap/>
        <w:overflowPunct/>
        <w:topLinePunct w:val="0"/>
        <w:autoSpaceDE/>
        <w:autoSpaceDN/>
        <w:bidi w:val="0"/>
        <w:snapToGrid/>
        <w:spacing w:line="360" w:lineRule="auto"/>
        <w:ind w:firstLine="480" w:firstLineChars="200"/>
        <w:textAlignment w:val="auto"/>
        <w:outlineLvl w:val="9"/>
        <w:rPr>
          <w:rStyle w:val="35"/>
          <w:rFonts w:hint="eastAsia" w:ascii="宋体" w:hAnsi="宋体" w:eastAsia="宋体" w:cs="宋体"/>
          <w:color w:val="auto"/>
          <w:sz w:val="24"/>
          <w:szCs w:val="24"/>
          <w:highlight w:val="none"/>
          <w:u w:val="none"/>
        </w:rPr>
      </w:pPr>
      <w:r>
        <w:rPr>
          <w:rFonts w:hint="eastAsia" w:ascii="宋体" w:hAnsi="宋体" w:eastAsia="宋体" w:cs="宋体"/>
          <w:sz w:val="24"/>
          <w:szCs w:val="24"/>
          <w:highlight w:val="none"/>
        </w:rPr>
        <w:t>链接地址：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"http://sxggzyjy.xa.gov.cn/fwzn/004003/20200426/bc8b2c1e-abe2-4168-913c-68ff93345faf.html"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http://sxggzyjy.xa.gov.cn/fwzn/004003/20200426/bc8b2c1e-abe2-4168-913c-68ff93345faf.html</w:t>
      </w:r>
      <w:r>
        <w:rPr>
          <w:rStyle w:val="35"/>
          <w:rFonts w:hint="eastAsia" w:ascii="宋体" w:hAnsi="宋体" w:eastAsia="宋体" w:cs="宋体"/>
          <w:color w:val="auto"/>
          <w:sz w:val="24"/>
          <w:szCs w:val="24"/>
          <w:highlight w:val="none"/>
          <w:u w:val="none"/>
        </w:rPr>
        <w:fldChar w:fldCharType="end"/>
      </w:r>
    </w:p>
    <w:p w14:paraId="67B43F7C">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（二）开标环节投标文件视为无效的情形</w:t>
      </w:r>
    </w:p>
    <w:p w14:paraId="46A4757D">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1．供应商放弃或拒绝对电子投标文件进行解密的；</w:t>
      </w:r>
    </w:p>
    <w:p w14:paraId="3C13B088">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2．因供应商自身原因，导致未在规定的解密时限内完整解密的，如忘带CA锁、或携带的CA锁与加密文件的CA锁不同、或使用旧版招标文件编制投标文件等情形；</w:t>
      </w:r>
    </w:p>
    <w:p w14:paraId="70491E1F">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3．上传的电子投标文件无法正常打开的；</w:t>
      </w:r>
    </w:p>
    <w:p w14:paraId="1F1D6C87">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4．政府采购法律法规规定的其他无效情形。</w:t>
      </w:r>
    </w:p>
    <w:p w14:paraId="0958214B">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（三）开标环节投标文件视为无效的情形</w:t>
      </w:r>
    </w:p>
    <w:p w14:paraId="140D264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1．供应商放弃或拒绝对电子投标文件进行解密的；</w:t>
      </w:r>
    </w:p>
    <w:p w14:paraId="560E073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2．因供应商自身原因，导致未在规定的解密时限内完整解密的，如忘带CA锁、或携带的CA锁与加密文件的CA锁不同、或使用旧版招标文件编制投标文件等情形；</w:t>
      </w:r>
    </w:p>
    <w:p w14:paraId="4CA2B55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3．上传的电子投标文件无法正常打开的；</w:t>
      </w:r>
    </w:p>
    <w:p w14:paraId="10CD05C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4．政府采购法律法规规定的其他无效情形。</w:t>
      </w:r>
    </w:p>
    <w:p w14:paraId="78D9B65E">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（四）突发状况的应急处置</w:t>
      </w:r>
    </w:p>
    <w:p w14:paraId="3ED3BC7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在开评标过程中，如因停电、断网、电子化系统故障等特殊原因导致电子化开、评标工作无法正常进行时，采购代理机构将及时汇报政府采购监管部门，并等待或中止后续活动。</w:t>
      </w:r>
    </w:p>
    <w:p w14:paraId="019A9CD6">
      <w:pPr>
        <w:pStyle w:val="3"/>
        <w:keepLines w:val="0"/>
        <w:pageBreakBefore w:val="0"/>
        <w:kinsoku/>
        <w:wordWrap/>
        <w:overflowPunct/>
        <w:topLinePunct w:val="0"/>
        <w:autoSpaceDE/>
        <w:autoSpaceDN/>
        <w:bidi w:val="0"/>
        <w:snapToGrid/>
        <w:spacing w:line="360" w:lineRule="auto"/>
        <w:textAlignment w:val="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六、资格审查</w:t>
      </w:r>
    </w:p>
    <w:p w14:paraId="20175AE0">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开标结束后，由采购人委派的资格审查小组按照《政府采购货物和服务招标投标管理办法》（财政部第87号令）有关规定，对投标文件中的供应商资格证明文件进行审查，并对供应商信用记录进行核查。资格审查小组由3人以上单数组成，采购人应出具书面授权函，并指定组长。</w:t>
      </w:r>
    </w:p>
    <w:p w14:paraId="34046F42">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供应商提供的资格证明文件缺少任何一项或有任何一项不满足，都将被视为无效投标。供应商所提供的资格证明文件应图文清晰、易于辨识，否则由此带来的不利后果由供应商自行承担。</w:t>
      </w:r>
    </w:p>
    <w:p w14:paraId="19DC0A96">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资格审查结束后，资格审查小组成员应当对审查结果进行签字确认；对未通过资格审查的供应商，资格审查小组应当场告知其未通过的原因。</w:t>
      </w:r>
    </w:p>
    <w:p w14:paraId="54ED2324">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合格供应商不足3家的，不得评标。</w:t>
      </w:r>
    </w:p>
    <w:p w14:paraId="69ABE850">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〖资格性审查表〗</w:t>
      </w:r>
    </w:p>
    <w:tbl>
      <w:tblPr>
        <w:tblStyle w:val="28"/>
        <w:tblW w:w="499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35"/>
        <w:gridCol w:w="2790"/>
        <w:gridCol w:w="6411"/>
      </w:tblGrid>
      <w:tr w14:paraId="4A4CDF8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0" w:type="pct"/>
            <w:tcBorders>
              <w:top w:val="single" w:color="auto" w:sz="12" w:space="0"/>
              <w:bottom w:val="single" w:color="auto" w:sz="2" w:space="0"/>
            </w:tcBorders>
            <w:shd w:val="clear" w:color="auto" w:fill="F1F1F1"/>
            <w:noWrap w:val="0"/>
            <w:vAlign w:val="center"/>
          </w:tcPr>
          <w:p w14:paraId="2FE34A3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1404" w:type="pct"/>
            <w:tcBorders>
              <w:top w:val="single" w:color="auto" w:sz="12" w:space="0"/>
              <w:bottom w:val="single" w:color="auto" w:sz="2" w:space="0"/>
            </w:tcBorders>
            <w:shd w:val="clear" w:color="auto" w:fill="F1F1F1"/>
            <w:noWrap w:val="0"/>
            <w:vAlign w:val="center"/>
          </w:tcPr>
          <w:p w14:paraId="1D0649B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资格性审查项</w:t>
            </w:r>
          </w:p>
        </w:tc>
        <w:tc>
          <w:tcPr>
            <w:tcW w:w="3224" w:type="pct"/>
            <w:tcBorders>
              <w:top w:val="single" w:color="auto" w:sz="12" w:space="0"/>
              <w:bottom w:val="single" w:color="auto" w:sz="2" w:space="0"/>
            </w:tcBorders>
            <w:shd w:val="clear" w:color="auto" w:fill="F1F1F1"/>
            <w:noWrap w:val="0"/>
            <w:vAlign w:val="center"/>
          </w:tcPr>
          <w:p w14:paraId="35FB7CA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eastAsia="zh-CN"/>
              </w:rPr>
              <w:t>通过条件</w:t>
            </w:r>
          </w:p>
        </w:tc>
      </w:tr>
      <w:tr w14:paraId="3F38864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0" w:type="pct"/>
            <w:noWrap w:val="0"/>
            <w:vAlign w:val="center"/>
          </w:tcPr>
          <w:p w14:paraId="2EEE5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1404" w:type="pct"/>
            <w:noWrap w:val="0"/>
            <w:vAlign w:val="center"/>
          </w:tcPr>
          <w:p w14:paraId="62DD5AB9">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有效的主体资格证明</w:t>
            </w:r>
          </w:p>
        </w:tc>
        <w:tc>
          <w:tcPr>
            <w:tcW w:w="3224" w:type="pct"/>
            <w:noWrap w:val="0"/>
            <w:vAlign w:val="center"/>
          </w:tcPr>
          <w:p w14:paraId="3C0B57F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提供合格有效的法人或者其他组织的营业执照等证明文件或自然人的身份证明；</w:t>
            </w:r>
          </w:p>
        </w:tc>
      </w:tr>
      <w:tr w14:paraId="697021C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0" w:type="pct"/>
            <w:noWrap w:val="0"/>
            <w:vAlign w:val="center"/>
          </w:tcPr>
          <w:p w14:paraId="6D0BB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1404" w:type="pct"/>
            <w:noWrap w:val="0"/>
            <w:vAlign w:val="center"/>
          </w:tcPr>
          <w:p w14:paraId="28B5DB40">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基本资格条件</w:t>
            </w:r>
          </w:p>
        </w:tc>
        <w:tc>
          <w:tcPr>
            <w:tcW w:w="3224" w:type="pct"/>
            <w:noWrap w:val="0"/>
            <w:vAlign w:val="center"/>
          </w:tcPr>
          <w:p w14:paraId="1C3935B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符合《中华人民共和国政府采购法》第二十二条的规定；</w:t>
            </w:r>
          </w:p>
        </w:tc>
      </w:tr>
      <w:tr w14:paraId="37CAC9D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0" w:type="pct"/>
            <w:noWrap w:val="0"/>
            <w:vAlign w:val="center"/>
          </w:tcPr>
          <w:p w14:paraId="5673E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1404" w:type="pct"/>
            <w:noWrap w:val="0"/>
            <w:vAlign w:val="center"/>
          </w:tcPr>
          <w:p w14:paraId="69A55D54">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法定代表人委托授权书\身份证明</w:t>
            </w:r>
          </w:p>
        </w:tc>
        <w:tc>
          <w:tcPr>
            <w:tcW w:w="3224" w:type="pct"/>
            <w:noWrap w:val="0"/>
            <w:vAlign w:val="center"/>
          </w:tcPr>
          <w:p w14:paraId="23B191D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color w:val="auto"/>
                <w:sz w:val="24"/>
                <w:szCs w:val="24"/>
                <w:highlight w:val="none"/>
                <w:lang w:val="en-US" w:eastAsia="zh-CN"/>
              </w:rPr>
              <w:t>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tc>
      </w:tr>
      <w:tr w14:paraId="4397445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0" w:type="pct"/>
            <w:noWrap w:val="0"/>
            <w:vAlign w:val="center"/>
          </w:tcPr>
          <w:p w14:paraId="75B7D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1404" w:type="pct"/>
            <w:noWrap w:val="0"/>
            <w:vAlign w:val="center"/>
          </w:tcPr>
          <w:p w14:paraId="4CB8AAFE">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关联关系</w:t>
            </w:r>
          </w:p>
        </w:tc>
        <w:tc>
          <w:tcPr>
            <w:tcW w:w="3224" w:type="pct"/>
            <w:noWrap w:val="0"/>
            <w:vAlign w:val="center"/>
          </w:tcPr>
          <w:p w14:paraId="0C05B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单位负责人为同一人或者存在直接控股、管理关系的不同供应商，不得参加同一合同项下的政府采购活动。</w:t>
            </w:r>
          </w:p>
        </w:tc>
      </w:tr>
      <w:tr w14:paraId="28B056E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0" w:type="pct"/>
            <w:noWrap w:val="0"/>
            <w:vAlign w:val="center"/>
          </w:tcPr>
          <w:p w14:paraId="228E2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highlight w:val="none"/>
                <w:lang w:eastAsia="zh-CN"/>
              </w:rPr>
            </w:pPr>
            <w:r>
              <w:rPr>
                <w:rFonts w:hint="default" w:ascii="宋体" w:hAnsi="宋体" w:eastAsia="宋体" w:cs="宋体"/>
                <w:sz w:val="24"/>
                <w:szCs w:val="24"/>
                <w:highlight w:val="none"/>
                <w:lang w:eastAsia="zh-CN"/>
              </w:rPr>
              <w:t>5</w:t>
            </w:r>
          </w:p>
        </w:tc>
        <w:tc>
          <w:tcPr>
            <w:tcW w:w="1404" w:type="pct"/>
            <w:noWrap w:val="0"/>
            <w:vAlign w:val="center"/>
          </w:tcPr>
          <w:p w14:paraId="1C00BF99">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资质证书</w:t>
            </w:r>
          </w:p>
        </w:tc>
        <w:tc>
          <w:tcPr>
            <w:tcW w:w="3224" w:type="pct"/>
            <w:noWrap w:val="0"/>
            <w:vAlign w:val="center"/>
          </w:tcPr>
          <w:p w14:paraId="1714B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宋体" w:hAnsi="宋体" w:eastAsia="宋体" w:cs="宋体"/>
                <w:i w:val="0"/>
                <w:iCs w:val="0"/>
                <w:caps w:val="0"/>
                <w:color w:val="auto"/>
                <w:spacing w:val="0"/>
                <w:kern w:val="0"/>
                <w:sz w:val="24"/>
                <w:szCs w:val="24"/>
                <w:highlight w:val="none"/>
                <w:u w:val="none"/>
                <w:lang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须提供有效的《食品经营许可证》</w:t>
            </w:r>
            <w:r>
              <w:rPr>
                <w:rFonts w:hint="default" w:ascii="宋体" w:hAnsi="宋体" w:eastAsia="宋体" w:cs="宋体"/>
                <w:i w:val="0"/>
                <w:iCs w:val="0"/>
                <w:caps w:val="0"/>
                <w:color w:val="auto"/>
                <w:spacing w:val="0"/>
                <w:kern w:val="0"/>
                <w:sz w:val="24"/>
                <w:szCs w:val="24"/>
                <w:highlight w:val="none"/>
                <w:u w:val="none"/>
                <w:lang w:eastAsia="zh-CN" w:bidi="ar-SA"/>
              </w:rPr>
              <w:t>。</w:t>
            </w:r>
          </w:p>
        </w:tc>
      </w:tr>
      <w:tr w14:paraId="51EC951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0" w:type="pct"/>
            <w:noWrap w:val="0"/>
            <w:vAlign w:val="center"/>
          </w:tcPr>
          <w:p w14:paraId="47512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1404" w:type="pct"/>
            <w:noWrap w:val="0"/>
            <w:vAlign w:val="center"/>
          </w:tcPr>
          <w:p w14:paraId="163C78A3">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专门面向中小企业</w:t>
            </w:r>
          </w:p>
        </w:tc>
        <w:tc>
          <w:tcPr>
            <w:tcW w:w="3224" w:type="pct"/>
            <w:noWrap w:val="0"/>
            <w:vAlign w:val="center"/>
          </w:tcPr>
          <w:p w14:paraId="6C3A1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本项目专门面向中小微企业采购，须符合《政府采购促进中小企业发展管理办法》（财库〔2020〕46号）规定的中小微企业参加，符合要求的监狱企业或残疾人福利单位视同小微企业，并按要求提供声明函。</w:t>
            </w:r>
          </w:p>
        </w:tc>
      </w:tr>
      <w:tr w14:paraId="6020488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000" w:type="pct"/>
            <w:gridSpan w:val="3"/>
            <w:noWrap w:val="0"/>
            <w:vAlign w:val="center"/>
          </w:tcPr>
          <w:p w14:paraId="776EE494">
            <w:pPr>
              <w:spacing w:line="360" w:lineRule="auto"/>
              <w:ind w:left="0" w:leftChars="0" w:right="0" w:rightChars="0" w:firstLine="0" w:firstLineChars="0"/>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注意事项：</w:t>
            </w:r>
          </w:p>
          <w:p w14:paraId="6C188784">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除银行、保险、石油石化、电力、电信行业外，其他行业分支机构在参与投标时，须同时提供分支机构主体资格证明文件和总公司（总所）出具的授权书，总公司（总所）只能授权一家分支机构。经总公司（总所）授权后，总公司（总所）取得的相关资质证书对分支机构有效（法律法规或行业另有规定的除外）。</w:t>
            </w:r>
          </w:p>
          <w:p w14:paraId="5A3C4631">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事业单位参与投标时，可不提供财务状况报告、社会保障资金和税收缴纳证明；依法免税或不需要缴纳社会保障资金的供应商，应提供相应证明文件，证明其依法免税或不需要缴纳社会保障资金；自然人（仅限中国公民）参与投标时，只须提供身份证复印件。</w:t>
            </w:r>
          </w:p>
          <w:p w14:paraId="4371CABE">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3．以联合体形式参与投标时，应提供有效的《联合体协议书》，并遵循招标文件第二章中“关于联合体”的相关规定。</w:t>
            </w:r>
          </w:p>
          <w:p w14:paraId="758572D6">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4．《法定代表人委托授权书》、《法定代表人身份证明书》应按第五章《投标文件构成及格式》中给定的格式填写，并按要求签字、盖章。</w:t>
            </w:r>
          </w:p>
          <w:p w14:paraId="6DE7B23E">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按照财政部《关于在政府采购活动中查询及使用信用记录有关问题的通知》（财库〔2016〕125号）要求，在资格审查阶段，采购人将对投标供应商的信用记录进行核查，出现招标文件第二章中“关于信用记录的查询和使用”所列失信行为的，将拒绝其参与政府采购活动。</w:t>
            </w:r>
          </w:p>
        </w:tc>
      </w:tr>
    </w:tbl>
    <w:p w14:paraId="7B343BAD">
      <w:pPr>
        <w:pStyle w:val="3"/>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七、评审方法和程序</w:t>
      </w:r>
    </w:p>
    <w:p w14:paraId="4496F164">
      <w:pPr>
        <w:pStyle w:val="97"/>
        <w:keepNext/>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（一）评标方法</w:t>
      </w:r>
    </w:p>
    <w:p w14:paraId="2AEA19D9">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本项目采用综合评分法，即投标文件满足招标文件全部实质性要求，且按照评审因素的量化指标评审得分最高的供应商为中标候选人。</w:t>
      </w:r>
    </w:p>
    <w:p w14:paraId="7862B0E6">
      <w:pPr>
        <w:pStyle w:val="97"/>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（二）评标程序</w:t>
      </w:r>
    </w:p>
    <w:p w14:paraId="779777E6">
      <w:pPr>
        <w:pStyle w:val="95"/>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1．组建评标委员会</w:t>
      </w:r>
    </w:p>
    <w:p w14:paraId="666F5AD4">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为了确保评标工作的公平、公正，依据政府采购法和政府采购相关法规、规章，成立评标委员会，评标委员会由采购人代表和有关技术、经济等方面的专家组成，成员人数为5人以上单数（采购预算金额在1000万元以上、技术复杂、社会影响较大的采购项目评标委员会成员人数应当为7人以上单数）。其中，技术、经济等方面的专家不少于成员总数的三分之二。评标专家从政府采购评审专家库内相关专业的专家名单中随机抽取。</w:t>
      </w:r>
    </w:p>
    <w:p w14:paraId="7481EAA3">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由采购代理机构组织评标委员会推选评标组长，采购人代表不得担任组长。</w:t>
      </w:r>
    </w:p>
    <w:p w14:paraId="44D2C293">
      <w:pPr>
        <w:pStyle w:val="95"/>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2．投标文件的符合性审查</w:t>
      </w:r>
    </w:p>
    <w:p w14:paraId="093B09A7">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供应商资格性审查通过后，评标委员会对符合资格的投标人的投标文件进行符合性审查，以确定其是否满足招标文件的实质性要求。</w:t>
      </w:r>
    </w:p>
    <w:p w14:paraId="0F184C1B">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对于投标文件中含义不明确、同类问题表述不一致或者有明显文字和计算错误的内容，评标委员会应当以书面形式要求投标人作出必要的澄清、说明或者补正。</w:t>
      </w:r>
    </w:p>
    <w:p w14:paraId="1E0290BB">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投标人的澄清、说明或者补正应当采用书面形式，并加盖公章，或者由法定代表人或其授权的代表签字。投标人的澄清、说明或者补正不得超出投标文件的范围或者改变投标文件的实质性内容。</w:t>
      </w:r>
    </w:p>
    <w:p w14:paraId="22BD5145">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〖符合性审查表〗</w:t>
      </w:r>
    </w:p>
    <w:tbl>
      <w:tblPr>
        <w:tblStyle w:val="28"/>
        <w:tblW w:w="499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41"/>
        <w:gridCol w:w="2228"/>
        <w:gridCol w:w="6967"/>
      </w:tblGrid>
      <w:tr w14:paraId="095F142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tcBorders>
              <w:top w:val="single" w:color="auto" w:sz="12" w:space="0"/>
              <w:bottom w:val="single" w:color="auto" w:sz="2" w:space="0"/>
            </w:tcBorders>
            <w:shd w:val="clear" w:color="auto" w:fill="F1F1F1"/>
            <w:noWrap w:val="0"/>
            <w:vAlign w:val="center"/>
          </w:tcPr>
          <w:p w14:paraId="59CA8E6A">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1121" w:type="pct"/>
            <w:tcBorders>
              <w:top w:val="single" w:color="auto" w:sz="12" w:space="0"/>
              <w:bottom w:val="single" w:color="auto" w:sz="2" w:space="0"/>
            </w:tcBorders>
            <w:shd w:val="clear" w:color="auto" w:fill="F1F1F1"/>
            <w:noWrap w:val="0"/>
            <w:vAlign w:val="center"/>
          </w:tcPr>
          <w:p w14:paraId="2CFCC24A">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符合性审查项</w:t>
            </w:r>
          </w:p>
        </w:tc>
        <w:tc>
          <w:tcPr>
            <w:tcW w:w="3505" w:type="pct"/>
            <w:tcBorders>
              <w:top w:val="single" w:color="auto" w:sz="12" w:space="0"/>
              <w:bottom w:val="single" w:color="auto" w:sz="2" w:space="0"/>
            </w:tcBorders>
            <w:shd w:val="clear" w:color="auto" w:fill="F1F1F1"/>
            <w:noWrap w:val="0"/>
            <w:vAlign w:val="center"/>
          </w:tcPr>
          <w:p w14:paraId="3D0C90D5">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通过条件</w:t>
            </w:r>
          </w:p>
        </w:tc>
      </w:tr>
      <w:tr w14:paraId="1D9ED50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tcBorders>
              <w:top w:val="single" w:color="auto" w:sz="2" w:space="0"/>
            </w:tcBorders>
            <w:noWrap w:val="0"/>
            <w:vAlign w:val="center"/>
          </w:tcPr>
          <w:p w14:paraId="6260C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1121" w:type="pct"/>
            <w:tcBorders>
              <w:top w:val="single" w:color="auto" w:sz="2" w:space="0"/>
            </w:tcBorders>
            <w:noWrap w:val="0"/>
            <w:vAlign w:val="center"/>
          </w:tcPr>
          <w:p w14:paraId="1DA620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与项目的一致性</w:t>
            </w:r>
          </w:p>
        </w:tc>
        <w:tc>
          <w:tcPr>
            <w:tcW w:w="3505" w:type="pct"/>
            <w:tcBorders>
              <w:top w:val="single" w:color="auto" w:sz="2" w:space="0"/>
            </w:tcBorders>
            <w:noWrap w:val="0"/>
            <w:vAlign w:val="center"/>
          </w:tcPr>
          <w:p w14:paraId="26A29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至少以下三处的项目名称、项目编号、标段（未分标段的除外）与本项目完全一致：</w:t>
            </w:r>
          </w:p>
          <w:p w14:paraId="60AD4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（1）投标文件封面</w:t>
            </w:r>
          </w:p>
          <w:p w14:paraId="4D3D9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（2）投标函</w:t>
            </w:r>
          </w:p>
          <w:p w14:paraId="5306F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（3）法定代表人委托授权书\身份证明</w:t>
            </w:r>
          </w:p>
        </w:tc>
      </w:tr>
      <w:tr w14:paraId="3B019D6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4B19D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1121" w:type="pct"/>
            <w:noWrap w:val="0"/>
            <w:vAlign w:val="center"/>
          </w:tcPr>
          <w:p w14:paraId="5A2469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投标文件组成</w:t>
            </w:r>
          </w:p>
        </w:tc>
        <w:tc>
          <w:tcPr>
            <w:tcW w:w="3505" w:type="pct"/>
            <w:noWrap w:val="0"/>
            <w:vAlign w:val="center"/>
          </w:tcPr>
          <w:p w14:paraId="42180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投标文件应包含以下部分：</w:t>
            </w:r>
          </w:p>
          <w:p w14:paraId="7BD95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（1）投标函</w:t>
            </w:r>
          </w:p>
          <w:p w14:paraId="498D8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（2）开标一览表</w:t>
            </w:r>
          </w:p>
          <w:p w14:paraId="0CBA7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（3）资格证明文件</w:t>
            </w:r>
          </w:p>
          <w:p w14:paraId="4AC11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（4）供应商概况</w:t>
            </w:r>
          </w:p>
          <w:p w14:paraId="2D412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（5）供应商参加政府采购活动承诺书</w:t>
            </w:r>
          </w:p>
          <w:p w14:paraId="6C368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（6）投标方案</w:t>
            </w:r>
          </w:p>
        </w:tc>
      </w:tr>
      <w:tr w14:paraId="6CA473D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38E7D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1121" w:type="pct"/>
            <w:noWrap w:val="0"/>
            <w:vAlign w:val="center"/>
          </w:tcPr>
          <w:p w14:paraId="0AE79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签章</w:t>
            </w:r>
          </w:p>
        </w:tc>
        <w:tc>
          <w:tcPr>
            <w:tcW w:w="3505" w:type="pct"/>
            <w:noWrap w:val="0"/>
            <w:vAlign w:val="center"/>
          </w:tcPr>
          <w:p w14:paraId="2FEBE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签章均符合招标文件要求，且无遗漏。</w:t>
            </w:r>
          </w:p>
        </w:tc>
      </w:tr>
      <w:tr w14:paraId="2C080A5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770A9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1121" w:type="pct"/>
            <w:noWrap w:val="0"/>
            <w:vAlign w:val="center"/>
          </w:tcPr>
          <w:p w14:paraId="10E4CC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语言和计量单位</w:t>
            </w:r>
          </w:p>
        </w:tc>
        <w:tc>
          <w:tcPr>
            <w:tcW w:w="3505" w:type="pct"/>
            <w:noWrap w:val="0"/>
            <w:vAlign w:val="center"/>
          </w:tcPr>
          <w:p w14:paraId="73ACB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符合招标文件的要求</w:t>
            </w:r>
          </w:p>
        </w:tc>
      </w:tr>
      <w:tr w14:paraId="08FA272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55D81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1121" w:type="pct"/>
            <w:noWrap w:val="0"/>
            <w:vAlign w:val="center"/>
          </w:tcPr>
          <w:p w14:paraId="63310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投标文件有效期</w:t>
            </w:r>
          </w:p>
        </w:tc>
        <w:tc>
          <w:tcPr>
            <w:tcW w:w="3505" w:type="pct"/>
            <w:noWrap w:val="0"/>
            <w:vAlign w:val="center"/>
          </w:tcPr>
          <w:p w14:paraId="38FA1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符合招标文件的要求</w:t>
            </w:r>
          </w:p>
        </w:tc>
      </w:tr>
      <w:tr w14:paraId="7708E50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5B76B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1121" w:type="pct"/>
            <w:noWrap w:val="0"/>
            <w:vAlign w:val="center"/>
          </w:tcPr>
          <w:p w14:paraId="0FBC5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投标报价</w:t>
            </w:r>
          </w:p>
        </w:tc>
        <w:tc>
          <w:tcPr>
            <w:tcW w:w="3505" w:type="pct"/>
            <w:noWrap w:val="0"/>
            <w:vAlign w:val="center"/>
          </w:tcPr>
          <w:p w14:paraId="6CF22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同时满足以下条款：</w:t>
            </w:r>
          </w:p>
          <w:p w14:paraId="36293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（1）货币单位符合招标文件要求</w:t>
            </w:r>
          </w:p>
          <w:p w14:paraId="45AD9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（2）报价符合唯一性要求</w:t>
            </w:r>
          </w:p>
          <w:p w14:paraId="50068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（3）未超出采购预算及最高限价</w:t>
            </w:r>
          </w:p>
          <w:p w14:paraId="56A99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highlight w:val="none"/>
              </w:rPr>
            </w:pPr>
            <w:r>
              <w:rPr>
                <w:rFonts w:hint="eastAsia" w:ascii="宋体" w:hAnsi="宋体" w:eastAsia="宋体" w:cs="宋体"/>
                <w:sz w:val="24"/>
                <w:szCs w:val="24"/>
                <w:highlight w:val="none"/>
              </w:rPr>
              <w:t>（4）符合《开标一览表》的填报要求</w:t>
            </w:r>
          </w:p>
        </w:tc>
      </w:tr>
      <w:tr w14:paraId="6B21B13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47BD4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p>
        </w:tc>
        <w:tc>
          <w:tcPr>
            <w:tcW w:w="1121" w:type="pct"/>
            <w:noWrap w:val="0"/>
            <w:vAlign w:val="center"/>
          </w:tcPr>
          <w:p w14:paraId="38CEE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实质性条款响应</w:t>
            </w:r>
          </w:p>
        </w:tc>
        <w:tc>
          <w:tcPr>
            <w:tcW w:w="3505" w:type="pct"/>
            <w:noWrap w:val="0"/>
            <w:vAlign w:val="center"/>
          </w:tcPr>
          <w:p w14:paraId="70548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完全响应招标文件要求的各项技术（服务）、商务实质性条款。</w:t>
            </w:r>
          </w:p>
        </w:tc>
      </w:tr>
      <w:tr w14:paraId="271A9EB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56777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w:t>
            </w:r>
          </w:p>
        </w:tc>
        <w:tc>
          <w:tcPr>
            <w:tcW w:w="1121" w:type="pct"/>
            <w:noWrap w:val="0"/>
            <w:vAlign w:val="center"/>
          </w:tcPr>
          <w:p w14:paraId="084F8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合同条款响应</w:t>
            </w:r>
          </w:p>
        </w:tc>
        <w:tc>
          <w:tcPr>
            <w:tcW w:w="3505" w:type="pct"/>
            <w:noWrap w:val="0"/>
            <w:vAlign w:val="center"/>
          </w:tcPr>
          <w:p w14:paraId="1B5F3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完全理解并响应招标文件合同条款的要求，且未含有采购人不能接受的附加条件的。</w:t>
            </w:r>
          </w:p>
        </w:tc>
      </w:tr>
      <w:tr w14:paraId="4EB07C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51DB6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w:t>
            </w:r>
          </w:p>
        </w:tc>
        <w:tc>
          <w:tcPr>
            <w:tcW w:w="1121" w:type="pct"/>
            <w:noWrap w:val="0"/>
            <w:vAlign w:val="center"/>
          </w:tcPr>
          <w:p w14:paraId="5C8AA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电子投标文件雷同性分析</w:t>
            </w:r>
          </w:p>
        </w:tc>
        <w:tc>
          <w:tcPr>
            <w:tcW w:w="3505" w:type="pct"/>
            <w:noWrap w:val="0"/>
            <w:vAlign w:val="center"/>
          </w:tcPr>
          <w:p w14:paraId="79713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电子投标文件的“文件制作机器码”和“文件创建标识码”通过评标系统的雷同性分析。</w:t>
            </w:r>
          </w:p>
        </w:tc>
      </w:tr>
      <w:tr w14:paraId="294EC52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560C8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1121" w:type="pct"/>
            <w:noWrap w:val="0"/>
            <w:vAlign w:val="center"/>
          </w:tcPr>
          <w:p w14:paraId="5A62D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其他</w:t>
            </w:r>
          </w:p>
        </w:tc>
        <w:tc>
          <w:tcPr>
            <w:tcW w:w="3505" w:type="pct"/>
            <w:noWrap w:val="0"/>
            <w:vAlign w:val="center"/>
          </w:tcPr>
          <w:p w14:paraId="7631C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完全理解并接受法律法规和招标文件对供应商合法经营的各类规约和责任义务要求，没有出现法律法规或招标文件规定的其他无效情形。</w:t>
            </w:r>
          </w:p>
        </w:tc>
      </w:tr>
    </w:tbl>
    <w:p w14:paraId="55F4EE82">
      <w:pPr>
        <w:pStyle w:val="95"/>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3．综合比较与评价</w:t>
      </w:r>
    </w:p>
    <w:p w14:paraId="61C944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评标委员会按《评审要素及分值一览表》中规定的评标方法和标准，对通过符合性审查的投标文件进行商务和技术评估，综合比较与评价。</w:t>
      </w:r>
    </w:p>
    <w:p w14:paraId="2728BE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出现下列情形的，供应商投标无效：</w:t>
      </w:r>
    </w:p>
    <w:p w14:paraId="60FE21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（1）投标文件报价出现本章第五小节“投标报价”所列需要修正情形，但供应商对修正后的报价不予确认的；</w:t>
      </w:r>
    </w:p>
    <w:p w14:paraId="3E8E34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32"/>
          <w:szCs w:val="32"/>
          <w:highlight w:val="none"/>
        </w:rPr>
      </w:pPr>
      <w:r>
        <w:rPr>
          <w:rFonts w:hint="eastAsia" w:ascii="宋体" w:hAnsi="宋体" w:eastAsia="宋体" w:cs="宋体"/>
          <w:sz w:val="24"/>
          <w:szCs w:val="24"/>
          <w:highlight w:val="none"/>
        </w:rPr>
        <w:t>（2）评标委员会认为供应商的报价明显低于其他通过符合性审查供应商的报价，有可能影响产品质量或者不能诚信履约的，要求供应商在评标现场合理的时间内提供书面说明（必要时提交相关证明材料），供应商不能证明其报价合理性的。</w:t>
      </w:r>
    </w:p>
    <w:p w14:paraId="17F0771D">
      <w:pPr>
        <w:spacing w:line="560" w:lineRule="exact"/>
        <w:jc w:val="center"/>
        <w:outlineLvl w:val="3"/>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〖评审要素及分值一览表〗</w:t>
      </w:r>
    </w:p>
    <w:tbl>
      <w:tblPr>
        <w:tblStyle w:val="108"/>
        <w:tblW w:w="508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05"/>
        <w:gridCol w:w="1458"/>
        <w:gridCol w:w="8053"/>
      </w:tblGrid>
      <w:tr w14:paraId="7F1A1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3CFAE6AA">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b/>
                <w:bCs/>
                <w:spacing w:val="0"/>
                <w:sz w:val="24"/>
                <w:szCs w:val="24"/>
                <w:highlight w:val="none"/>
                <w:lang w:eastAsia="zh-CN"/>
              </w:rPr>
            </w:pPr>
            <w:r>
              <w:rPr>
                <w:rFonts w:hint="eastAsia" w:cs="宋体"/>
                <w:b/>
                <w:bCs/>
                <w:spacing w:val="0"/>
                <w:sz w:val="24"/>
                <w:szCs w:val="24"/>
                <w:highlight w:val="none"/>
                <w:lang w:eastAsia="zh-CN"/>
              </w:rPr>
              <w:t>序号</w:t>
            </w:r>
          </w:p>
        </w:tc>
        <w:tc>
          <w:tcPr>
            <w:tcW w:w="735" w:type="pct"/>
            <w:noWrap w:val="0"/>
            <w:vAlign w:val="center"/>
          </w:tcPr>
          <w:p w14:paraId="25DFB88E">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b/>
                <w:bCs/>
                <w:spacing w:val="0"/>
                <w:sz w:val="24"/>
                <w:szCs w:val="24"/>
                <w:highlight w:val="none"/>
              </w:rPr>
            </w:pPr>
            <w:r>
              <w:rPr>
                <w:rFonts w:hint="eastAsia" w:ascii="宋体" w:hAnsi="宋体" w:eastAsia="宋体" w:cs="宋体"/>
                <w:b/>
                <w:bCs/>
                <w:spacing w:val="0"/>
                <w:sz w:val="24"/>
                <w:szCs w:val="24"/>
                <w:highlight w:val="none"/>
              </w:rPr>
              <w:t>评审内容</w:t>
            </w:r>
          </w:p>
        </w:tc>
        <w:tc>
          <w:tcPr>
            <w:tcW w:w="4060" w:type="pct"/>
            <w:noWrap w:val="0"/>
            <w:vAlign w:val="top"/>
          </w:tcPr>
          <w:p w14:paraId="3A6A3E16">
            <w:pPr>
              <w:pStyle w:val="109"/>
              <w:spacing w:before="216" w:line="360" w:lineRule="auto"/>
              <w:ind w:left="2794"/>
              <w:rPr>
                <w:rFonts w:hint="eastAsia" w:ascii="宋体" w:hAnsi="宋体" w:eastAsia="宋体" w:cs="宋体"/>
                <w:b/>
                <w:bCs/>
                <w:spacing w:val="0"/>
                <w:sz w:val="24"/>
                <w:szCs w:val="24"/>
                <w:highlight w:val="none"/>
              </w:rPr>
            </w:pPr>
            <w:r>
              <w:rPr>
                <w:rFonts w:hint="eastAsia" w:ascii="宋体" w:hAnsi="宋体" w:eastAsia="宋体" w:cs="宋体"/>
                <w:b/>
                <w:bCs/>
                <w:spacing w:val="0"/>
                <w:sz w:val="24"/>
                <w:szCs w:val="24"/>
                <w:highlight w:val="none"/>
              </w:rPr>
              <w:t>评审原则与标准</w:t>
            </w:r>
          </w:p>
        </w:tc>
      </w:tr>
      <w:tr w14:paraId="5026DA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21894688">
            <w:pPr>
              <w:pStyle w:val="109"/>
              <w:keepNext w:val="0"/>
              <w:keepLines w:val="0"/>
              <w:pageBreakBefore w:val="0"/>
              <w:widowControl/>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1</w:t>
            </w:r>
          </w:p>
        </w:tc>
        <w:tc>
          <w:tcPr>
            <w:tcW w:w="735" w:type="pct"/>
            <w:noWrap w:val="0"/>
            <w:vAlign w:val="center"/>
          </w:tcPr>
          <w:p w14:paraId="43770710">
            <w:pPr>
              <w:pStyle w:val="109"/>
              <w:keepNext w:val="0"/>
              <w:keepLines w:val="0"/>
              <w:pageBreakBefore w:val="0"/>
              <w:widowControl/>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pacing w:val="0"/>
                <w:sz w:val="24"/>
                <w:szCs w:val="24"/>
                <w:highlight w:val="none"/>
              </w:rPr>
            </w:pPr>
            <w:r>
              <w:rPr>
                <w:rFonts w:hint="eastAsia" w:cs="宋体"/>
                <w:spacing w:val="0"/>
                <w:sz w:val="24"/>
                <w:szCs w:val="24"/>
                <w:highlight w:val="none"/>
                <w:lang w:eastAsia="zh-CN"/>
              </w:rPr>
              <w:t>投标</w:t>
            </w:r>
            <w:r>
              <w:rPr>
                <w:rFonts w:hint="eastAsia" w:ascii="宋体" w:hAnsi="宋体" w:eastAsia="宋体" w:cs="宋体"/>
                <w:spacing w:val="0"/>
                <w:sz w:val="24"/>
                <w:szCs w:val="24"/>
                <w:highlight w:val="none"/>
              </w:rPr>
              <w:t>报价</w:t>
            </w:r>
          </w:p>
          <w:p w14:paraId="52717FEF">
            <w:pPr>
              <w:pStyle w:val="109"/>
              <w:keepNext w:val="0"/>
              <w:keepLines w:val="0"/>
              <w:pageBreakBefore w:val="0"/>
              <w:widowControl/>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rPr>
              <w:t>（</w:t>
            </w:r>
            <w:r>
              <w:rPr>
                <w:rFonts w:hint="eastAsia" w:cs="宋体"/>
                <w:spacing w:val="0"/>
                <w:sz w:val="24"/>
                <w:szCs w:val="24"/>
                <w:highlight w:val="none"/>
                <w:lang w:val="en-US" w:eastAsia="zh-CN"/>
              </w:rPr>
              <w:t>10</w:t>
            </w:r>
            <w:r>
              <w:rPr>
                <w:rFonts w:hint="eastAsia" w:ascii="宋体" w:hAnsi="宋体" w:eastAsia="宋体" w:cs="宋体"/>
                <w:spacing w:val="0"/>
                <w:sz w:val="24"/>
                <w:szCs w:val="24"/>
                <w:highlight w:val="none"/>
              </w:rPr>
              <w:t>分</w:t>
            </w:r>
            <w:r>
              <w:rPr>
                <w:rFonts w:hint="eastAsia" w:ascii="宋体" w:hAnsi="宋体" w:eastAsia="宋体" w:cs="宋体"/>
                <w:spacing w:val="0"/>
                <w:sz w:val="24"/>
                <w:szCs w:val="24"/>
                <w:highlight w:val="none"/>
                <w:lang w:eastAsia="zh-CN"/>
              </w:rPr>
              <w:t>）</w:t>
            </w:r>
          </w:p>
        </w:tc>
        <w:tc>
          <w:tcPr>
            <w:tcW w:w="4060" w:type="pct"/>
            <w:noWrap w:val="0"/>
            <w:vAlign w:val="center"/>
          </w:tcPr>
          <w:p w14:paraId="686E2BDD">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zh-TW" w:eastAsia="zh-TW"/>
              </w:rPr>
            </w:pPr>
            <w:r>
              <w:rPr>
                <w:rFonts w:hint="eastAsia" w:ascii="宋体" w:hAnsi="宋体" w:eastAsia="宋体" w:cs="宋体"/>
                <w:spacing w:val="0"/>
                <w:sz w:val="24"/>
                <w:szCs w:val="24"/>
                <w:highlight w:val="none"/>
                <w:lang w:val="zh-TW" w:eastAsia="zh-TW"/>
              </w:rPr>
              <w:t>经资格审查、符合性审查合格的投标文件，其投标报价为有效投标报价。满足招标文件要求且投标价格最低的投标报价为评标基准价，其价格分为满分。价格分按照下列公式计算。</w:t>
            </w:r>
          </w:p>
          <w:p w14:paraId="3C37794A">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zh-TW" w:eastAsia="zh-TW"/>
              </w:rPr>
            </w:pPr>
            <w:r>
              <w:rPr>
                <w:rFonts w:hint="eastAsia" w:ascii="宋体" w:hAnsi="宋体" w:eastAsia="宋体" w:cs="宋体"/>
                <w:spacing w:val="0"/>
                <w:sz w:val="24"/>
                <w:szCs w:val="24"/>
                <w:highlight w:val="none"/>
                <w:lang w:val="zh-TW" w:eastAsia="zh-TW"/>
              </w:rPr>
              <w:t>投标报价得分=(评标基准价／投标报价)×10</w:t>
            </w:r>
          </w:p>
          <w:p w14:paraId="2EF7DC7C">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lang w:val="zh-TW" w:eastAsia="zh-TW"/>
              </w:rPr>
              <w:t>注：本项目专门面</w:t>
            </w:r>
            <w:r>
              <w:rPr>
                <w:rFonts w:hint="eastAsia" w:cs="宋体"/>
                <w:spacing w:val="0"/>
                <w:sz w:val="24"/>
                <w:szCs w:val="24"/>
                <w:highlight w:val="none"/>
                <w:lang w:val="en-US" w:eastAsia="zh-CN"/>
              </w:rPr>
              <w:t>中小</w:t>
            </w:r>
            <w:r>
              <w:rPr>
                <w:rFonts w:hint="eastAsia" w:ascii="宋体" w:hAnsi="宋体" w:eastAsia="宋体" w:cs="宋体"/>
                <w:spacing w:val="0"/>
                <w:sz w:val="24"/>
                <w:szCs w:val="24"/>
                <w:highlight w:val="none"/>
                <w:lang w:val="zh-TW" w:eastAsia="zh-TW"/>
              </w:rPr>
              <w:t>企业采购，根据财政部发布《政府采购促进中小企业发展政策问答》的规定，专门面向中小企业采购的项目或者采购包，不再执行价格评审优惠的扶持政策。</w:t>
            </w:r>
          </w:p>
        </w:tc>
      </w:tr>
      <w:tr w14:paraId="5BAA14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6A0EECFD">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2</w:t>
            </w:r>
          </w:p>
        </w:tc>
        <w:tc>
          <w:tcPr>
            <w:tcW w:w="735" w:type="pct"/>
            <w:noWrap w:val="0"/>
            <w:vAlign w:val="center"/>
          </w:tcPr>
          <w:p w14:paraId="3247E79C">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服务方案</w:t>
            </w:r>
          </w:p>
          <w:p w14:paraId="71298ED1">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en-US" w:bidi="ar-SA"/>
              </w:rPr>
            </w:pPr>
            <w:r>
              <w:rPr>
                <w:rFonts w:hint="eastAsia" w:ascii="宋体" w:hAnsi="宋体" w:eastAsia="宋体" w:cs="宋体"/>
                <w:spacing w:val="0"/>
                <w:sz w:val="24"/>
                <w:szCs w:val="24"/>
                <w:highlight w:val="none"/>
              </w:rPr>
              <w:t>（</w:t>
            </w:r>
            <w:r>
              <w:rPr>
                <w:rFonts w:hint="eastAsia" w:cs="宋体"/>
                <w:spacing w:val="0"/>
                <w:sz w:val="24"/>
                <w:szCs w:val="24"/>
                <w:highlight w:val="none"/>
                <w:lang w:val="en-US" w:eastAsia="zh-CN"/>
              </w:rPr>
              <w:t>12</w:t>
            </w:r>
            <w:r>
              <w:rPr>
                <w:rFonts w:hint="eastAsia" w:ascii="宋体" w:hAnsi="宋体" w:eastAsia="宋体" w:cs="宋体"/>
                <w:spacing w:val="0"/>
                <w:sz w:val="24"/>
                <w:szCs w:val="24"/>
                <w:highlight w:val="none"/>
              </w:rPr>
              <w:t>分）</w:t>
            </w:r>
          </w:p>
        </w:tc>
        <w:tc>
          <w:tcPr>
            <w:tcW w:w="4060" w:type="pct"/>
            <w:noWrap w:val="0"/>
            <w:vAlign w:val="center"/>
          </w:tcPr>
          <w:p w14:paraId="735A91DE">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投标人需提供科学、完整、合理、规范的服务方案。方案内容完整，分析全面。总体服务方案设计科学合理、描述条理清晰，可行性、安全性强，完全满足采购需求得（8-12]分；方案内容较完整，分析较全面、总体服务方案设计较合理、描述条理较清晰，可行性较强，满足采购需求得（4-8]分；方案内容一般，可行性一般，基本满足采购需求得（0-4]分；未提供不得分。</w:t>
            </w:r>
          </w:p>
        </w:tc>
      </w:tr>
      <w:tr w14:paraId="4BB0E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7A88C20F">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rPr>
            </w:pPr>
            <w:r>
              <w:rPr>
                <w:rFonts w:hint="eastAsia" w:cs="宋体"/>
                <w:spacing w:val="0"/>
                <w:sz w:val="24"/>
                <w:szCs w:val="24"/>
                <w:highlight w:val="none"/>
                <w:lang w:val="en-US" w:eastAsia="zh-CN"/>
              </w:rPr>
              <w:t>3</w:t>
            </w:r>
          </w:p>
        </w:tc>
        <w:tc>
          <w:tcPr>
            <w:tcW w:w="735" w:type="pct"/>
            <w:noWrap w:val="0"/>
            <w:vAlign w:val="center"/>
          </w:tcPr>
          <w:p w14:paraId="0C1DC320">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供餐标准</w:t>
            </w:r>
          </w:p>
          <w:p w14:paraId="60116B9D">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rPr>
              <w:t>（4分）</w:t>
            </w:r>
          </w:p>
        </w:tc>
        <w:tc>
          <w:tcPr>
            <w:tcW w:w="4060" w:type="pct"/>
            <w:noWrap w:val="0"/>
            <w:vAlign w:val="center"/>
          </w:tcPr>
          <w:p w14:paraId="5B2351B1">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根据供应商供餐标准的方案，日常菜品和特色菜品的丰富程度，推陈出新的能力进行综合评审。</w:t>
            </w:r>
          </w:p>
          <w:p w14:paraId="5BA7720E">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方案完整，菜品多样、丰富得（</w:t>
            </w:r>
            <w:r>
              <w:rPr>
                <w:rFonts w:hint="eastAsia" w:cs="宋体"/>
                <w:spacing w:val="0"/>
                <w:sz w:val="24"/>
                <w:szCs w:val="24"/>
                <w:highlight w:val="none"/>
                <w:lang w:val="en-US" w:eastAsia="zh-CN" w:bidi="ar-SA"/>
              </w:rPr>
              <w:t>2</w:t>
            </w:r>
            <w:r>
              <w:rPr>
                <w:rFonts w:hint="eastAsia" w:ascii="宋体" w:hAnsi="宋体" w:eastAsia="宋体" w:cs="宋体"/>
                <w:spacing w:val="0"/>
                <w:sz w:val="24"/>
                <w:szCs w:val="24"/>
                <w:highlight w:val="none"/>
                <w:lang w:val="en-US" w:eastAsia="zh-CN" w:bidi="ar-SA"/>
              </w:rPr>
              <w:t>-</w:t>
            </w:r>
            <w:r>
              <w:rPr>
                <w:rFonts w:hint="eastAsia" w:cs="宋体"/>
                <w:spacing w:val="0"/>
                <w:sz w:val="24"/>
                <w:szCs w:val="24"/>
                <w:highlight w:val="none"/>
                <w:lang w:val="en-US" w:eastAsia="zh-CN" w:bidi="ar-SA"/>
              </w:rPr>
              <w:t>4</w:t>
            </w:r>
            <w:r>
              <w:rPr>
                <w:rFonts w:hint="eastAsia" w:ascii="宋体" w:hAnsi="宋体" w:eastAsia="宋体" w:cs="宋体"/>
                <w:spacing w:val="0"/>
                <w:sz w:val="24"/>
                <w:szCs w:val="24"/>
                <w:highlight w:val="none"/>
                <w:lang w:val="en-US" w:eastAsia="zh-CN" w:bidi="ar-SA"/>
              </w:rPr>
              <w:t>］分；</w:t>
            </w:r>
          </w:p>
          <w:p w14:paraId="20AAF9EE">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方案简单、菜品一般得（0-</w:t>
            </w:r>
            <w:r>
              <w:rPr>
                <w:rFonts w:hint="eastAsia" w:cs="宋体"/>
                <w:spacing w:val="0"/>
                <w:sz w:val="24"/>
                <w:szCs w:val="24"/>
                <w:highlight w:val="none"/>
                <w:lang w:val="en-US" w:eastAsia="zh-CN" w:bidi="ar-SA"/>
              </w:rPr>
              <w:t>2</w:t>
            </w:r>
            <w:r>
              <w:rPr>
                <w:rFonts w:hint="eastAsia" w:ascii="宋体" w:hAnsi="宋体" w:eastAsia="宋体" w:cs="宋体"/>
                <w:spacing w:val="0"/>
                <w:sz w:val="24"/>
                <w:szCs w:val="24"/>
                <w:highlight w:val="none"/>
                <w:lang w:val="en-US" w:eastAsia="zh-CN" w:bidi="ar-SA"/>
              </w:rPr>
              <w:t>］分；</w:t>
            </w:r>
          </w:p>
          <w:p w14:paraId="7E53749D">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未提供不得分。</w:t>
            </w:r>
          </w:p>
        </w:tc>
      </w:tr>
      <w:tr w14:paraId="6F81F4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12AF1534">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rPr>
            </w:pPr>
            <w:r>
              <w:rPr>
                <w:rFonts w:hint="eastAsia" w:cs="宋体"/>
                <w:spacing w:val="0"/>
                <w:sz w:val="24"/>
                <w:szCs w:val="24"/>
                <w:highlight w:val="none"/>
                <w:lang w:val="en-US" w:eastAsia="zh-CN"/>
              </w:rPr>
              <w:t>4</w:t>
            </w:r>
          </w:p>
        </w:tc>
        <w:tc>
          <w:tcPr>
            <w:tcW w:w="735" w:type="pct"/>
            <w:noWrap w:val="0"/>
            <w:vAlign w:val="center"/>
          </w:tcPr>
          <w:p w14:paraId="7D112CF5">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岗位规范及管理条例</w:t>
            </w:r>
          </w:p>
          <w:p w14:paraId="2F7E8D75">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（10分）</w:t>
            </w:r>
          </w:p>
        </w:tc>
        <w:tc>
          <w:tcPr>
            <w:tcW w:w="4060" w:type="pct"/>
            <w:noWrap w:val="0"/>
            <w:vAlign w:val="center"/>
          </w:tcPr>
          <w:p w14:paraId="2367E662">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有针对不同岗位的培训管理、考核标准、仪容着装要求等，岗位规范及管理条例内容全面，详细、可行性高得（7-10］分；岗位规范及管理条例内容较全面，较详细、可行性较好得（3-7］分；岗位规范及管理条例内容一般得（0-3]分；未提供不得分。</w:t>
            </w:r>
          </w:p>
        </w:tc>
      </w:tr>
      <w:tr w14:paraId="4EDEFB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71A460F1">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5</w:t>
            </w:r>
          </w:p>
        </w:tc>
        <w:tc>
          <w:tcPr>
            <w:tcW w:w="735" w:type="pct"/>
            <w:noWrap w:val="0"/>
            <w:vAlign w:val="center"/>
          </w:tcPr>
          <w:p w14:paraId="0A4C483F">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lang w:val="en-US" w:eastAsia="zh-CN"/>
              </w:rPr>
              <w:t>服务质量保证措施</w:t>
            </w:r>
            <w:r>
              <w:rPr>
                <w:rFonts w:hint="eastAsia" w:ascii="宋体" w:hAnsi="宋体" w:eastAsia="宋体" w:cs="宋体"/>
                <w:spacing w:val="0"/>
                <w:sz w:val="24"/>
                <w:szCs w:val="24"/>
                <w:highlight w:val="none"/>
              </w:rPr>
              <w:t>（</w:t>
            </w:r>
            <w:r>
              <w:rPr>
                <w:rFonts w:hint="eastAsia" w:cs="宋体"/>
                <w:spacing w:val="0"/>
                <w:sz w:val="24"/>
                <w:szCs w:val="24"/>
                <w:highlight w:val="none"/>
                <w:lang w:val="en-US" w:eastAsia="zh-CN"/>
              </w:rPr>
              <w:t>10</w:t>
            </w:r>
            <w:r>
              <w:rPr>
                <w:rFonts w:hint="eastAsia" w:ascii="宋体" w:hAnsi="宋体" w:eastAsia="宋体" w:cs="宋体"/>
                <w:spacing w:val="0"/>
                <w:sz w:val="24"/>
                <w:szCs w:val="24"/>
                <w:highlight w:val="none"/>
              </w:rPr>
              <w:t>分）</w:t>
            </w:r>
          </w:p>
        </w:tc>
        <w:tc>
          <w:tcPr>
            <w:tcW w:w="4060" w:type="pct"/>
            <w:noWrap w:val="0"/>
            <w:vAlign w:val="center"/>
          </w:tcPr>
          <w:p w14:paraId="7CFF0912">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服务质量保证措施内容总体思路清晰、合理、可行性强得（7-10］分；质量保证措施总体思路较清晰、合理，可行性较强得（3-7］分；质量保证措施总体思路基本清晰、合理，可行性一般得（0-3]分；未提供不得分。</w:t>
            </w:r>
          </w:p>
        </w:tc>
      </w:tr>
      <w:tr w14:paraId="7FF0D9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428773EA">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6</w:t>
            </w:r>
          </w:p>
        </w:tc>
        <w:tc>
          <w:tcPr>
            <w:tcW w:w="735" w:type="pct"/>
            <w:noWrap w:val="0"/>
            <w:vAlign w:val="center"/>
          </w:tcPr>
          <w:p w14:paraId="16451D35">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sz w:val="24"/>
                <w:szCs w:val="24"/>
                <w:highlight w:val="none"/>
              </w:rPr>
            </w:pPr>
            <w:r>
              <w:rPr>
                <w:rFonts w:hint="eastAsia" w:ascii="宋体" w:hAnsi="宋体" w:eastAsia="宋体"/>
                <w:sz w:val="24"/>
                <w:szCs w:val="24"/>
                <w:highlight w:val="none"/>
                <w:lang w:val="en-US" w:eastAsia="zh-CN"/>
              </w:rPr>
              <w:t>卫生管理方案</w:t>
            </w:r>
            <w:r>
              <w:rPr>
                <w:rFonts w:hint="eastAsia" w:ascii="宋体" w:hAnsi="宋体" w:eastAsia="宋体"/>
                <w:sz w:val="24"/>
                <w:szCs w:val="24"/>
                <w:highlight w:val="none"/>
              </w:rPr>
              <w:t>（</w:t>
            </w:r>
            <w:r>
              <w:rPr>
                <w:rFonts w:hint="eastAsia"/>
                <w:sz w:val="24"/>
                <w:szCs w:val="24"/>
                <w:highlight w:val="none"/>
                <w:lang w:val="en-US" w:eastAsia="zh-CN"/>
              </w:rPr>
              <w:t>8</w:t>
            </w:r>
            <w:r>
              <w:rPr>
                <w:rFonts w:hint="eastAsia" w:ascii="宋体" w:hAnsi="宋体" w:eastAsia="宋体"/>
                <w:sz w:val="24"/>
                <w:szCs w:val="24"/>
                <w:highlight w:val="none"/>
              </w:rPr>
              <w:t>分）</w:t>
            </w:r>
          </w:p>
        </w:tc>
        <w:tc>
          <w:tcPr>
            <w:tcW w:w="4060" w:type="pct"/>
            <w:noWrap w:val="0"/>
            <w:vAlign w:val="center"/>
          </w:tcPr>
          <w:p w14:paraId="12783559">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提供卫生管理方案，包括食品卫生安全，人员卫生，环境卫生，垃圾处理方案等，对餐饮用品、清洁材料有严格的质量标准、考核办法。方案全面具体、针对性强，管理责任清晰，质量标准及考核办法完备，可操作性高得（5-8］分；方案较全面、针对性较强，管理责任较清晰，可操作性较强得（3-5］分；方案基本全面、有针对性，管理责任基本清晰，可操作性一般得（0-3]分；未提供不得分。</w:t>
            </w:r>
          </w:p>
        </w:tc>
      </w:tr>
      <w:tr w14:paraId="60CCC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6" w:hRule="atLeast"/>
        </w:trPr>
        <w:tc>
          <w:tcPr>
            <w:tcW w:w="204" w:type="pct"/>
            <w:noWrap w:val="0"/>
            <w:vAlign w:val="center"/>
          </w:tcPr>
          <w:p w14:paraId="35461188">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rPr>
            </w:pPr>
            <w:r>
              <w:rPr>
                <w:rFonts w:hint="eastAsia" w:cs="宋体"/>
                <w:spacing w:val="0"/>
                <w:sz w:val="24"/>
                <w:szCs w:val="24"/>
                <w:highlight w:val="none"/>
                <w:lang w:val="en-US" w:eastAsia="zh-CN"/>
              </w:rPr>
              <w:t>7</w:t>
            </w:r>
          </w:p>
        </w:tc>
        <w:tc>
          <w:tcPr>
            <w:tcW w:w="735" w:type="pct"/>
            <w:noWrap w:val="0"/>
            <w:vAlign w:val="center"/>
          </w:tcPr>
          <w:p w14:paraId="6A572CFE">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sz w:val="24"/>
                <w:szCs w:val="24"/>
                <w:highlight w:val="none"/>
              </w:rPr>
            </w:pPr>
            <w:r>
              <w:rPr>
                <w:rFonts w:hint="eastAsia" w:ascii="宋体" w:hAnsi="宋体" w:eastAsia="宋体"/>
                <w:sz w:val="24"/>
                <w:szCs w:val="24"/>
                <w:highlight w:val="none"/>
                <w:lang w:val="en-US" w:eastAsia="zh-CN"/>
              </w:rPr>
              <w:t>材料保存措施</w:t>
            </w:r>
            <w:r>
              <w:rPr>
                <w:rFonts w:hint="eastAsia" w:ascii="宋体" w:hAnsi="宋体" w:eastAsia="宋体"/>
                <w:sz w:val="24"/>
                <w:szCs w:val="24"/>
                <w:highlight w:val="none"/>
              </w:rPr>
              <w:t>（</w:t>
            </w:r>
            <w:r>
              <w:rPr>
                <w:rFonts w:hint="eastAsia"/>
                <w:sz w:val="24"/>
                <w:szCs w:val="24"/>
                <w:highlight w:val="none"/>
                <w:lang w:val="en-US" w:eastAsia="zh-CN"/>
              </w:rPr>
              <w:t>5</w:t>
            </w:r>
            <w:r>
              <w:rPr>
                <w:rFonts w:hint="eastAsia" w:ascii="宋体" w:hAnsi="宋体" w:eastAsia="宋体"/>
                <w:sz w:val="24"/>
                <w:szCs w:val="24"/>
                <w:highlight w:val="none"/>
              </w:rPr>
              <w:t>分）</w:t>
            </w:r>
          </w:p>
        </w:tc>
        <w:tc>
          <w:tcPr>
            <w:tcW w:w="4060" w:type="pct"/>
            <w:noWrap w:val="0"/>
            <w:vAlign w:val="center"/>
          </w:tcPr>
          <w:p w14:paraId="77032521">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原材料等食品保存管理方案切实可行，符合本项目的要求。措施方案全面具体、具有针对性、可操作性的得（</w:t>
            </w:r>
            <w:r>
              <w:rPr>
                <w:rFonts w:hint="eastAsia" w:cs="宋体"/>
                <w:sz w:val="24"/>
                <w:szCs w:val="24"/>
                <w:highlight w:val="none"/>
                <w:vertAlign w:val="baseline"/>
                <w:lang w:val="en-US" w:eastAsia="zh-CN"/>
              </w:rPr>
              <w:t>3</w:t>
            </w:r>
            <w:r>
              <w:rPr>
                <w:rFonts w:hint="eastAsia" w:ascii="宋体" w:hAnsi="宋体" w:eastAsia="宋体" w:cs="宋体"/>
                <w:sz w:val="24"/>
                <w:szCs w:val="24"/>
                <w:highlight w:val="none"/>
                <w:vertAlign w:val="baseline"/>
                <w:lang w:val="en-US" w:eastAsia="zh-CN"/>
              </w:rPr>
              <w:t>-</w:t>
            </w:r>
            <w:r>
              <w:rPr>
                <w:rFonts w:hint="eastAsia" w:cs="宋体"/>
                <w:sz w:val="24"/>
                <w:szCs w:val="24"/>
                <w:highlight w:val="none"/>
                <w:vertAlign w:val="baseline"/>
                <w:lang w:val="en-US" w:eastAsia="zh-CN"/>
              </w:rPr>
              <w:t>5</w:t>
            </w:r>
            <w:r>
              <w:rPr>
                <w:rFonts w:hint="eastAsia" w:ascii="宋体" w:hAnsi="宋体" w:eastAsia="宋体" w:cs="宋体"/>
                <w:sz w:val="24"/>
                <w:szCs w:val="24"/>
                <w:highlight w:val="none"/>
                <w:vertAlign w:val="baseline"/>
                <w:lang w:val="en-US" w:eastAsia="zh-CN"/>
              </w:rPr>
              <w:t>］分；措施方案基本全面具体、针对性一般、可操作性一般的得（0-</w:t>
            </w:r>
            <w:r>
              <w:rPr>
                <w:rFonts w:hint="eastAsia" w:cs="宋体"/>
                <w:sz w:val="24"/>
                <w:szCs w:val="24"/>
                <w:highlight w:val="none"/>
                <w:vertAlign w:val="baseline"/>
                <w:lang w:val="en-US" w:eastAsia="zh-CN"/>
              </w:rPr>
              <w:t>3</w:t>
            </w:r>
            <w:r>
              <w:rPr>
                <w:rFonts w:hint="eastAsia" w:ascii="宋体" w:hAnsi="宋体" w:eastAsia="宋体" w:cs="宋体"/>
                <w:sz w:val="24"/>
                <w:szCs w:val="24"/>
                <w:highlight w:val="none"/>
                <w:vertAlign w:val="baseline"/>
                <w:lang w:val="en-US" w:eastAsia="zh-CN"/>
              </w:rPr>
              <w:t>］分；未提供不得分。</w:t>
            </w:r>
          </w:p>
        </w:tc>
      </w:tr>
      <w:tr w14:paraId="067424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20716C6E">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8</w:t>
            </w:r>
          </w:p>
        </w:tc>
        <w:tc>
          <w:tcPr>
            <w:tcW w:w="735" w:type="pct"/>
            <w:noWrap w:val="0"/>
            <w:vAlign w:val="center"/>
          </w:tcPr>
          <w:p w14:paraId="6FC38624">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rPr>
              <w:t>拟派人员情况（</w:t>
            </w:r>
            <w:r>
              <w:rPr>
                <w:rFonts w:hint="eastAsia" w:cs="宋体"/>
                <w:spacing w:val="0"/>
                <w:sz w:val="24"/>
                <w:szCs w:val="24"/>
                <w:highlight w:val="none"/>
                <w:lang w:val="en-US" w:eastAsia="zh-CN"/>
              </w:rPr>
              <w:t>10</w:t>
            </w:r>
            <w:r>
              <w:rPr>
                <w:rFonts w:hint="eastAsia" w:ascii="宋体" w:hAnsi="宋体" w:eastAsia="宋体" w:cs="宋体"/>
                <w:spacing w:val="0"/>
                <w:sz w:val="24"/>
                <w:szCs w:val="24"/>
                <w:highlight w:val="none"/>
                <w:lang w:val="en-US" w:eastAsia="zh-CN"/>
              </w:rPr>
              <w:t>分）</w:t>
            </w:r>
          </w:p>
        </w:tc>
        <w:tc>
          <w:tcPr>
            <w:tcW w:w="4060" w:type="pct"/>
            <w:noWrap w:val="0"/>
            <w:vAlign w:val="center"/>
          </w:tcPr>
          <w:p w14:paraId="05D47A7A">
            <w:pPr>
              <w:keepNext w:val="0"/>
              <w:keepLines w:val="0"/>
              <w:pageBreakBefore w:val="0"/>
              <w:widowControl w:val="0"/>
              <w:kinsoku w:val="0"/>
              <w:wordWrap/>
              <w:overflowPunct/>
              <w:topLinePunct w:val="0"/>
              <w:autoSpaceDE w:val="0"/>
              <w:autoSpaceDN w:val="0"/>
              <w:bidi w:val="0"/>
              <w:spacing w:line="360" w:lineRule="auto"/>
              <w:jc w:val="both"/>
              <w:textAlignment w:val="baseline"/>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en-US" w:bidi="ar-SA"/>
              </w:rPr>
              <w:t>根据人员组织机构、数量、执业年限、相关证书、专业程度、工作经验等进行综合评审。人员架构科学、合理、专业、经验丰富，提供相关证书等材料完整得（7-10]分；人员架构较科学、合理、专业、经验较丰富，提供相关证书等材料完整得（3-7]分；人员架构简单、配置一般、经验一般，提供材料基本齐全得（0-3]分；未提供不得分。备注：提供人员相关证件并加盖公章。</w:t>
            </w:r>
          </w:p>
        </w:tc>
      </w:tr>
      <w:tr w14:paraId="3F4A0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21CFD797">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9</w:t>
            </w:r>
          </w:p>
        </w:tc>
        <w:tc>
          <w:tcPr>
            <w:tcW w:w="735" w:type="pct"/>
            <w:noWrap w:val="0"/>
            <w:vAlign w:val="center"/>
          </w:tcPr>
          <w:p w14:paraId="22985FBC">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应急预案</w:t>
            </w:r>
          </w:p>
          <w:p w14:paraId="5FF25C58">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w:t>
            </w:r>
            <w:r>
              <w:rPr>
                <w:rFonts w:hint="eastAsia" w:cs="宋体"/>
                <w:spacing w:val="0"/>
                <w:sz w:val="24"/>
                <w:szCs w:val="24"/>
                <w:highlight w:val="none"/>
                <w:lang w:val="en-US" w:eastAsia="zh-CN"/>
              </w:rPr>
              <w:t>8</w:t>
            </w:r>
            <w:r>
              <w:rPr>
                <w:rFonts w:hint="eastAsia" w:ascii="宋体" w:hAnsi="宋体" w:eastAsia="宋体" w:cs="宋体"/>
                <w:spacing w:val="0"/>
                <w:sz w:val="24"/>
                <w:szCs w:val="24"/>
                <w:highlight w:val="none"/>
                <w:lang w:val="en-US" w:eastAsia="zh-CN"/>
              </w:rPr>
              <w:t>分）</w:t>
            </w:r>
          </w:p>
        </w:tc>
        <w:tc>
          <w:tcPr>
            <w:tcW w:w="4060" w:type="pct"/>
            <w:noWrap w:val="0"/>
            <w:vAlign w:val="center"/>
          </w:tcPr>
          <w:p w14:paraId="43AAD04F">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en-US" w:bidi="ar-SA"/>
              </w:rPr>
            </w:pPr>
            <w:r>
              <w:rPr>
                <w:rFonts w:hint="eastAsia" w:ascii="宋体" w:hAnsi="宋体" w:eastAsia="宋体" w:cs="宋体"/>
                <w:highlight w:val="none"/>
                <w:vertAlign w:val="baseline"/>
                <w:lang w:val="en-US" w:eastAsia="zh-CN"/>
              </w:rPr>
              <w:t>突发情况处置是否合理、切实可行，包括停水、停电、停气应急预案，食物中毒应急预案，消防安全突发事件应急预案。应急预案内容完善、合理可行、针对性强的得（5-8］分；应急预案内容较完善、较合理可行、针对性较强的得（3-5］分；应急预案内容基本完善、合理、针对性一般的得（0-3]分；未提供不得分。</w:t>
            </w:r>
          </w:p>
        </w:tc>
      </w:tr>
      <w:tr w14:paraId="58638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3463709D">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bidi="ar-SA"/>
              </w:rPr>
              <w:t>10</w:t>
            </w:r>
          </w:p>
        </w:tc>
        <w:tc>
          <w:tcPr>
            <w:tcW w:w="735" w:type="pct"/>
            <w:noWrap w:val="0"/>
            <w:vAlign w:val="center"/>
          </w:tcPr>
          <w:p w14:paraId="04DBC9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售后服务</w:t>
            </w:r>
          </w:p>
          <w:p w14:paraId="3E869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pacing w:val="0"/>
                <w:sz w:val="24"/>
                <w:szCs w:val="24"/>
                <w:highlight w:val="none"/>
                <w:lang w:val="en-US" w:eastAsia="zh-CN"/>
              </w:rPr>
            </w:pPr>
            <w:r>
              <w:rPr>
                <w:rFonts w:hint="eastAsia" w:ascii="宋体" w:hAnsi="宋体" w:cs="宋体"/>
                <w:color w:val="auto"/>
                <w:sz w:val="24"/>
                <w:highlight w:val="none"/>
                <w:lang w:val="en-US" w:eastAsia="zh-CN"/>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eastAsia="zh-CN"/>
              </w:rPr>
              <w:t>分</w:t>
            </w:r>
            <w:r>
              <w:rPr>
                <w:rFonts w:hint="eastAsia" w:ascii="宋体" w:hAnsi="宋体" w:cs="宋体"/>
                <w:color w:val="auto"/>
                <w:sz w:val="24"/>
                <w:highlight w:val="none"/>
                <w:lang w:val="en-US" w:eastAsia="zh-CN"/>
              </w:rPr>
              <w:t>）</w:t>
            </w:r>
          </w:p>
        </w:tc>
        <w:tc>
          <w:tcPr>
            <w:tcW w:w="4060" w:type="pct"/>
            <w:noWrap w:val="0"/>
            <w:vAlign w:val="center"/>
          </w:tcPr>
          <w:p w14:paraId="6D0F9768">
            <w:pPr>
              <w:keepNext w:val="0"/>
              <w:keepLines w:val="0"/>
              <w:pageBreakBefore w:val="0"/>
              <w:widowControl/>
              <w:kinsoku/>
              <w:wordWrap/>
              <w:overflowPunct/>
              <w:topLinePunct w:val="0"/>
              <w:autoSpaceDE/>
              <w:autoSpaceDN/>
              <w:bidi w:val="0"/>
              <w:adjustRightInd/>
              <w:snapToGrid/>
              <w:spacing w:line="360" w:lineRule="auto"/>
              <w:ind w:right="0" w:rightChars="0"/>
              <w:jc w:val="left"/>
              <w:textAlignment w:val="auto"/>
              <w:rPr>
                <w:rFonts w:hint="eastAsia" w:ascii="宋体" w:hAnsi="宋体" w:eastAsia="宋体" w:cs="宋体"/>
                <w:spacing w:val="0"/>
                <w:sz w:val="24"/>
                <w:szCs w:val="24"/>
                <w:highlight w:val="none"/>
                <w:lang w:val="en-US" w:eastAsia="zh-CN"/>
              </w:rPr>
            </w:pPr>
            <w:r>
              <w:rPr>
                <w:rFonts w:hint="default" w:ascii="宋体" w:hAnsi="宋体" w:eastAsia="宋体" w:cs="宋体"/>
                <w:highlight w:val="none"/>
                <w:vertAlign w:val="baseline"/>
                <w:lang w:val="en-US" w:eastAsia="zh-CN"/>
              </w:rPr>
              <w:t>售后服务方案满足</w:t>
            </w:r>
            <w:r>
              <w:rPr>
                <w:rFonts w:hint="eastAsia" w:ascii="宋体" w:hAnsi="宋体" w:eastAsia="宋体" w:cs="宋体"/>
                <w:highlight w:val="none"/>
                <w:vertAlign w:val="baseline"/>
                <w:lang w:val="en-US" w:eastAsia="zh-CN"/>
              </w:rPr>
              <w:t>采购</w:t>
            </w:r>
            <w:r>
              <w:rPr>
                <w:rFonts w:hint="default" w:ascii="宋体" w:hAnsi="宋体" w:eastAsia="宋体" w:cs="宋体"/>
                <w:highlight w:val="none"/>
                <w:vertAlign w:val="baseline"/>
                <w:lang w:val="en-US" w:eastAsia="zh-CN"/>
              </w:rPr>
              <w:t>方要求，</w:t>
            </w:r>
            <w:r>
              <w:rPr>
                <w:rFonts w:hint="eastAsia" w:ascii="宋体" w:hAnsi="宋体" w:eastAsia="宋体" w:cs="宋体"/>
                <w:highlight w:val="none"/>
                <w:vertAlign w:val="baseline"/>
                <w:lang w:val="en-US" w:eastAsia="zh-CN"/>
              </w:rPr>
              <w:t>内容</w:t>
            </w:r>
            <w:r>
              <w:rPr>
                <w:rFonts w:hint="default" w:ascii="宋体" w:hAnsi="宋体" w:eastAsia="宋体" w:cs="宋体"/>
                <w:highlight w:val="none"/>
                <w:vertAlign w:val="baseline"/>
                <w:lang w:val="en-US" w:eastAsia="zh-CN"/>
              </w:rPr>
              <w:t>合理、针对性强得</w:t>
            </w:r>
            <w:r>
              <w:rPr>
                <w:rFonts w:hint="eastAsia" w:ascii="宋体" w:hAnsi="宋体" w:eastAsia="宋体" w:cs="宋体"/>
                <w:highlight w:val="none"/>
                <w:vertAlign w:val="baseline"/>
                <w:lang w:val="en-US" w:eastAsia="zh-CN"/>
              </w:rPr>
              <w:t>（5-8］</w:t>
            </w:r>
            <w:r>
              <w:rPr>
                <w:rFonts w:hint="default" w:ascii="宋体" w:hAnsi="宋体" w:eastAsia="宋体" w:cs="宋体"/>
                <w:highlight w:val="none"/>
                <w:vertAlign w:val="baseline"/>
                <w:lang w:val="en-US" w:eastAsia="zh-CN"/>
              </w:rPr>
              <w:t>分；</w:t>
            </w:r>
            <w:r>
              <w:rPr>
                <w:rFonts w:hint="eastAsia" w:ascii="宋体" w:hAnsi="宋体" w:eastAsia="宋体" w:cs="宋体"/>
                <w:highlight w:val="none"/>
                <w:vertAlign w:val="baseline"/>
                <w:lang w:val="en-US" w:eastAsia="zh-CN"/>
              </w:rPr>
              <w:t>内容较</w:t>
            </w:r>
            <w:r>
              <w:rPr>
                <w:rFonts w:hint="default" w:ascii="宋体" w:hAnsi="宋体" w:eastAsia="宋体" w:cs="宋体"/>
                <w:highlight w:val="none"/>
                <w:vertAlign w:val="baseline"/>
                <w:lang w:val="en-US" w:eastAsia="zh-CN"/>
              </w:rPr>
              <w:t>合理、针对性</w:t>
            </w:r>
            <w:r>
              <w:rPr>
                <w:rFonts w:hint="eastAsia" w:ascii="宋体" w:hAnsi="宋体" w:eastAsia="宋体" w:cs="宋体"/>
                <w:highlight w:val="none"/>
                <w:vertAlign w:val="baseline"/>
                <w:lang w:val="en-US" w:eastAsia="zh-CN"/>
              </w:rPr>
              <w:t>较强</w:t>
            </w:r>
            <w:r>
              <w:rPr>
                <w:rFonts w:hint="default" w:ascii="宋体" w:hAnsi="宋体" w:eastAsia="宋体" w:cs="宋体"/>
                <w:highlight w:val="none"/>
                <w:vertAlign w:val="baseline"/>
                <w:lang w:val="en-US" w:eastAsia="zh-CN"/>
              </w:rPr>
              <w:t>得</w:t>
            </w:r>
            <w:r>
              <w:rPr>
                <w:rFonts w:hint="eastAsia" w:ascii="宋体" w:hAnsi="宋体" w:eastAsia="宋体" w:cs="宋体"/>
                <w:highlight w:val="none"/>
                <w:vertAlign w:val="baseline"/>
                <w:lang w:val="en-US" w:eastAsia="zh-CN"/>
              </w:rPr>
              <w:t>（3-5］</w:t>
            </w:r>
            <w:r>
              <w:rPr>
                <w:rFonts w:hint="default" w:ascii="宋体" w:hAnsi="宋体" w:eastAsia="宋体" w:cs="宋体"/>
                <w:highlight w:val="none"/>
                <w:vertAlign w:val="baseline"/>
                <w:lang w:val="en-US" w:eastAsia="zh-CN"/>
              </w:rPr>
              <w:t>分；</w:t>
            </w:r>
            <w:r>
              <w:rPr>
                <w:rFonts w:hint="eastAsia" w:ascii="宋体" w:hAnsi="宋体" w:eastAsia="宋体" w:cs="宋体"/>
                <w:highlight w:val="none"/>
                <w:vertAlign w:val="baseline"/>
                <w:lang w:val="en-US" w:eastAsia="zh-CN"/>
              </w:rPr>
              <w:t>内容基本</w:t>
            </w:r>
            <w:r>
              <w:rPr>
                <w:rFonts w:hint="default" w:ascii="宋体" w:hAnsi="宋体" w:eastAsia="宋体" w:cs="宋体"/>
                <w:highlight w:val="none"/>
                <w:vertAlign w:val="baseline"/>
                <w:lang w:val="en-US" w:eastAsia="zh-CN"/>
              </w:rPr>
              <w:t>合理、针对性一般得</w:t>
            </w:r>
            <w:r>
              <w:rPr>
                <w:rFonts w:hint="eastAsia" w:ascii="宋体" w:hAnsi="宋体" w:eastAsia="宋体" w:cs="宋体"/>
                <w:snapToGrid w:val="0"/>
                <w:color w:val="000000"/>
                <w:spacing w:val="0"/>
                <w:kern w:val="0"/>
                <w:position w:val="0"/>
                <w:sz w:val="21"/>
                <w:szCs w:val="21"/>
                <w:highlight w:val="none"/>
                <w:lang w:val="en-US" w:eastAsia="zh-CN"/>
              </w:rPr>
              <w:t>（0-3]</w:t>
            </w:r>
            <w:r>
              <w:rPr>
                <w:rFonts w:hint="default" w:ascii="宋体" w:hAnsi="宋体" w:eastAsia="宋体" w:cs="宋体"/>
                <w:highlight w:val="none"/>
                <w:vertAlign w:val="baseline"/>
                <w:lang w:val="en-US" w:eastAsia="zh-CN"/>
              </w:rPr>
              <w:t>分；未提供不得分。</w:t>
            </w:r>
          </w:p>
        </w:tc>
      </w:tr>
      <w:tr w14:paraId="2484BD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542EAA9F">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spacing w:val="0"/>
                <w:sz w:val="24"/>
                <w:szCs w:val="24"/>
                <w:highlight w:val="none"/>
                <w:lang w:val="en-US" w:eastAsia="zh-CN" w:bidi="ar-SA"/>
              </w:rPr>
            </w:pPr>
            <w:r>
              <w:rPr>
                <w:rFonts w:hint="eastAsia" w:cs="宋体"/>
                <w:spacing w:val="0"/>
                <w:sz w:val="24"/>
                <w:szCs w:val="24"/>
                <w:highlight w:val="none"/>
                <w:lang w:val="en-US" w:eastAsia="zh-CN" w:bidi="ar-SA"/>
              </w:rPr>
              <w:t>11</w:t>
            </w:r>
          </w:p>
        </w:tc>
        <w:tc>
          <w:tcPr>
            <w:tcW w:w="735" w:type="pct"/>
            <w:noWrap w:val="0"/>
            <w:vAlign w:val="center"/>
          </w:tcPr>
          <w:p w14:paraId="297637A4">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spacing w:val="0"/>
                <w:sz w:val="24"/>
                <w:szCs w:val="24"/>
                <w:highlight w:val="none"/>
                <w:lang w:val="zh-CN" w:eastAsia="zh-CN"/>
              </w:rPr>
            </w:pPr>
            <w:r>
              <w:rPr>
                <w:rFonts w:hint="eastAsia" w:ascii="宋体" w:hAnsi="宋体" w:eastAsia="宋体" w:cs="宋体"/>
                <w:spacing w:val="0"/>
                <w:sz w:val="24"/>
                <w:szCs w:val="24"/>
                <w:highlight w:val="none"/>
                <w:lang w:val="zh-CN" w:eastAsia="zh-CN"/>
              </w:rPr>
              <w:t>服务承诺</w:t>
            </w:r>
          </w:p>
          <w:p w14:paraId="3827A42F">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color w:val="000000"/>
                <w:sz w:val="24"/>
                <w:szCs w:val="24"/>
                <w:highlight w:val="none"/>
                <w:lang w:val="en-US" w:eastAsia="zh-CN" w:bidi="ar-SA"/>
              </w:rPr>
            </w:pPr>
            <w:r>
              <w:rPr>
                <w:rFonts w:hint="eastAsia" w:ascii="宋体" w:hAnsi="宋体" w:eastAsia="宋体" w:cs="宋体"/>
                <w:spacing w:val="0"/>
                <w:sz w:val="24"/>
                <w:szCs w:val="24"/>
                <w:highlight w:val="none"/>
                <w:lang w:val="zh-CN" w:eastAsia="zh-CN"/>
              </w:rPr>
              <w:t>（</w:t>
            </w:r>
            <w:r>
              <w:rPr>
                <w:rFonts w:hint="eastAsia" w:cs="宋体"/>
                <w:spacing w:val="0"/>
                <w:sz w:val="24"/>
                <w:szCs w:val="24"/>
                <w:highlight w:val="none"/>
                <w:lang w:val="en-US" w:eastAsia="zh-CN"/>
              </w:rPr>
              <w:t>5</w:t>
            </w:r>
            <w:r>
              <w:rPr>
                <w:rFonts w:hint="eastAsia" w:ascii="宋体" w:hAnsi="宋体" w:eastAsia="宋体" w:cs="宋体"/>
                <w:spacing w:val="0"/>
                <w:sz w:val="24"/>
                <w:szCs w:val="24"/>
                <w:highlight w:val="none"/>
                <w:lang w:val="en-US" w:eastAsia="zh-CN"/>
              </w:rPr>
              <w:t>分</w:t>
            </w:r>
            <w:r>
              <w:rPr>
                <w:rFonts w:hint="eastAsia" w:ascii="宋体" w:hAnsi="宋体" w:eastAsia="宋体" w:cs="宋体"/>
                <w:spacing w:val="0"/>
                <w:sz w:val="24"/>
                <w:szCs w:val="24"/>
                <w:highlight w:val="none"/>
                <w:lang w:val="zh-CN" w:eastAsia="zh-CN"/>
              </w:rPr>
              <w:t>）</w:t>
            </w:r>
          </w:p>
        </w:tc>
        <w:tc>
          <w:tcPr>
            <w:tcW w:w="4060" w:type="pct"/>
            <w:noWrap w:val="0"/>
            <w:vAlign w:val="center"/>
          </w:tcPr>
          <w:p w14:paraId="444CC48F">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pacing w:val="0"/>
                <w:sz w:val="24"/>
                <w:szCs w:val="24"/>
                <w:highlight w:val="none"/>
                <w:lang w:val="en-US" w:eastAsia="zh-CN"/>
              </w:rPr>
              <w:t>针对本项目提供合理、可行、完善的服务承诺，包括：①食品安全承诺、②消防安全承诺、③食堂环境卫生承诺、④依法用工承诺、⑤厨房设备安全运行承诺等。 服务承诺明确、合理得（3-5］分；服务承诺简单、基本合理得（0-3]分；未提供不得分</w:t>
            </w:r>
            <w:r>
              <w:rPr>
                <w:rFonts w:hint="eastAsia" w:cs="宋体"/>
                <w:spacing w:val="0"/>
                <w:sz w:val="24"/>
                <w:szCs w:val="24"/>
                <w:highlight w:val="none"/>
                <w:lang w:val="en-US" w:eastAsia="zh-CN"/>
              </w:rPr>
              <w:t>。</w:t>
            </w:r>
          </w:p>
        </w:tc>
      </w:tr>
      <w:tr w14:paraId="1BFDA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7E4789DF">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bidi="ar-SA"/>
              </w:rPr>
            </w:pPr>
            <w:r>
              <w:rPr>
                <w:rFonts w:hint="eastAsia" w:cs="宋体"/>
                <w:spacing w:val="0"/>
                <w:sz w:val="24"/>
                <w:szCs w:val="24"/>
                <w:highlight w:val="none"/>
                <w:lang w:val="en-US" w:eastAsia="zh-CN" w:bidi="ar-SA"/>
              </w:rPr>
              <w:t>12</w:t>
            </w:r>
          </w:p>
        </w:tc>
        <w:tc>
          <w:tcPr>
            <w:tcW w:w="735" w:type="pct"/>
            <w:noWrap w:val="0"/>
            <w:vAlign w:val="center"/>
          </w:tcPr>
          <w:p w14:paraId="63624BFF">
            <w:pPr>
              <w:pStyle w:val="109"/>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业绩</w:t>
            </w:r>
          </w:p>
          <w:p w14:paraId="23B56529">
            <w:pPr>
              <w:pStyle w:val="109"/>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highlight w:val="none"/>
                <w:vertAlign w:val="baseline"/>
                <w:lang w:val="en-US" w:eastAsia="zh-CN"/>
              </w:rPr>
              <w:t>（</w:t>
            </w:r>
            <w:r>
              <w:rPr>
                <w:rFonts w:hint="eastAsia" w:cs="宋体"/>
                <w:highlight w:val="none"/>
                <w:vertAlign w:val="baseline"/>
                <w:lang w:val="en-US" w:eastAsia="zh-CN"/>
              </w:rPr>
              <w:t>10</w:t>
            </w:r>
            <w:r>
              <w:rPr>
                <w:rFonts w:hint="eastAsia" w:ascii="宋体" w:hAnsi="宋体" w:eastAsia="宋体" w:cs="宋体"/>
                <w:highlight w:val="none"/>
                <w:vertAlign w:val="baseline"/>
                <w:lang w:val="en-US" w:eastAsia="zh-CN"/>
              </w:rPr>
              <w:t>分）</w:t>
            </w:r>
          </w:p>
        </w:tc>
        <w:tc>
          <w:tcPr>
            <w:tcW w:w="4060" w:type="pct"/>
            <w:noWrap w:val="0"/>
            <w:vAlign w:val="center"/>
          </w:tcPr>
          <w:p w14:paraId="5035C513">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宋体" w:hAnsi="宋体" w:eastAsia="宋体" w:cs="宋体"/>
                <w:spacing w:val="0"/>
                <w:sz w:val="24"/>
                <w:szCs w:val="24"/>
                <w:highlight w:val="none"/>
                <w:lang w:val="en-US" w:eastAsia="zh-CN"/>
              </w:rPr>
            </w:pPr>
            <w:r>
              <w:rPr>
                <w:rFonts w:hint="default" w:ascii="宋体" w:hAnsi="宋体" w:eastAsia="宋体" w:cs="宋体"/>
                <w:highlight w:val="none"/>
                <w:vertAlign w:val="baseline"/>
                <w:lang w:val="en-US" w:eastAsia="zh-CN"/>
              </w:rPr>
              <w:t>投标人提供2022年1月1日至今（以合同签订时间为准）类似业绩，以合同协议书为准，每份计2分，最高计10分。</w:t>
            </w:r>
          </w:p>
        </w:tc>
      </w:tr>
    </w:tbl>
    <w:p w14:paraId="415FF5BC">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4．推荐中标候选人</w:t>
      </w:r>
    </w:p>
    <w:p w14:paraId="170F1682">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（1）采用最低评标价法的，评标结果按投标报价由低到高顺序排列。投标报价相同的并列。投标文件满足招标文件全部实质性要求且投标报价最低的投标人为排名第一的中标候选人。</w:t>
      </w:r>
    </w:p>
    <w:p w14:paraId="5D5B7C61">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排名第一的中标候选人。</w:t>
      </w:r>
    </w:p>
    <w:p w14:paraId="2E32FF35">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5．编写</w:t>
      </w:r>
      <w:r>
        <w:rPr>
          <w:rFonts w:hint="eastAsia" w:ascii="宋体" w:hAnsi="宋体" w:eastAsia="宋体" w:cs="宋体"/>
          <w:b/>
          <w:bCs/>
          <w:sz w:val="24"/>
          <w:szCs w:val="24"/>
          <w:highlight w:val="none"/>
          <w:lang w:eastAsia="zh-CN"/>
        </w:rPr>
        <w:t>评标报告</w:t>
      </w:r>
    </w:p>
    <w:p w14:paraId="74391246">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评标报告</w:t>
      </w:r>
      <w:r>
        <w:rPr>
          <w:rFonts w:hint="eastAsia" w:ascii="宋体" w:hAnsi="宋体" w:eastAsia="宋体" w:cs="宋体"/>
          <w:sz w:val="24"/>
          <w:szCs w:val="24"/>
          <w:highlight w:val="none"/>
        </w:rPr>
        <w:t>是评标委员会根据全体评标成员签字的原始评标记录和评标结果编写的报告，其主要内容包括：</w:t>
      </w:r>
    </w:p>
    <w:p w14:paraId="123663C7">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（1）招标公告刊登的媒体名称、开标日期和地点；</w:t>
      </w:r>
    </w:p>
    <w:p w14:paraId="2609EBC4">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（2）投标供应商名单和评标委员会成员名单；</w:t>
      </w:r>
    </w:p>
    <w:p w14:paraId="26FCBADC">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（3）评标方法；</w:t>
      </w:r>
    </w:p>
    <w:p w14:paraId="3F8EE4FE">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（4）开标记录和评标情况及说明，包括投标无效供应商名单及原因；</w:t>
      </w:r>
    </w:p>
    <w:p w14:paraId="5B936415">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（5）评标结果，确定的中标候选人名单或者经采购人委托直接确定的中标供应商；</w:t>
      </w:r>
    </w:p>
    <w:p w14:paraId="1CB86D4D">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（6）其他需要说明的情况，包括评标过程中投标供应商根据评标委员会要求进行的澄清、说明或者补正，评标委员会成员的更换等。</w:t>
      </w:r>
    </w:p>
    <w:p w14:paraId="59F0D9D5">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309CD4C3">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（三）评标争议处理规则</w:t>
      </w:r>
    </w:p>
    <w:p w14:paraId="68910EE4">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评标委员会在评审过程中，对于符合性审查、对投标文件做无效投标处理及其他需要共同认定的事项存在争议的，应当以少数服从多数的原则做出结论，但不得违背法律法规和招标文件规定。持不同意见的评标委员会成员应当在评标报告上签署不同意见及理由，否则视为同意评标报告。持不同意见的评标委员会成员认为认定过程和结果不符合法律法规或者招标文件规定的，应当及时向采购人或本采购代理机构书面反映。采购人或采购代理机构收到书面反映后，应当书面报告同级政府采购监管部门依法处理。</w:t>
      </w:r>
    </w:p>
    <w:p w14:paraId="7C342B5D">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（四）评审现场人员的保密责任</w:t>
      </w:r>
    </w:p>
    <w:p w14:paraId="004DF5A5">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在采购结果确定前，采购人、采购代理机构对评审委员会名单负有保密责任。评审委员会成员、采购人和集中采购代理机构工作人员、相关监督人员等与评审工作有关的人员，对评审情况以及在评审过程中获悉的国家秘密、商业秘密负有保密责任。</w:t>
      </w:r>
    </w:p>
    <w:p w14:paraId="0D28BB1D">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（五）视同供应商串通投标的情形，其投标无效：</w:t>
      </w:r>
    </w:p>
    <w:p w14:paraId="212C757F">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1．不同供应商的投标文件由同一单位或者个人编制；</w:t>
      </w:r>
    </w:p>
    <w:p w14:paraId="1F5686E4">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2．不同供应商委托同一单位或者个人办理投标事宜；</w:t>
      </w:r>
    </w:p>
    <w:p w14:paraId="6E5EFB0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3．不同供应商的投标文件载明的项目管理成员或者联系人员为同一人；</w:t>
      </w:r>
    </w:p>
    <w:p w14:paraId="2D3C8BA7">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4．不同供应商的投标文件异常一致或者投标报价呈规律性差异。</w:t>
      </w:r>
    </w:p>
    <w:p w14:paraId="70A67EF9">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八、中标</w:t>
      </w:r>
    </w:p>
    <w:p w14:paraId="0BBFA2A6">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1．采购代理机构在评标工作结束后2个工作日内将</w:t>
      </w:r>
      <w:r>
        <w:rPr>
          <w:rFonts w:hint="eastAsia" w:ascii="宋体" w:hAnsi="宋体" w:eastAsia="宋体" w:cs="宋体"/>
          <w:sz w:val="24"/>
          <w:szCs w:val="24"/>
          <w:highlight w:val="none"/>
          <w:lang w:eastAsia="zh-CN"/>
        </w:rPr>
        <w:t>评标报告</w:t>
      </w:r>
      <w:r>
        <w:rPr>
          <w:rFonts w:hint="eastAsia" w:ascii="宋体" w:hAnsi="宋体" w:eastAsia="宋体" w:cs="宋体"/>
          <w:sz w:val="24"/>
          <w:szCs w:val="24"/>
          <w:highlight w:val="none"/>
        </w:rPr>
        <w:t>送采购人。</w:t>
      </w:r>
    </w:p>
    <w:p w14:paraId="6208A339">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2．采购人应当自收到评标报告之日起</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个工作日内，在评标报告确定的中标候选人名单中按顺序确定中标人。中标候选人并列的，由采购人或者采购人委托评标委员会按照招标文件规定的方式确定中标人；招标文件未规定的，采取随机抽取的方式确定。采购人在收到评标报告5个工作日内未按评标报告推荐的中标候选人顺序确定中标人，又不能说明合法理由的，视同按评标报告推荐的顺序确定排名第一的中标候选人为中标人。</w:t>
      </w:r>
    </w:p>
    <w:p w14:paraId="0A5CE75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3．采购代理机构将在中标供应商确定之日起2个工作日内，在【</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陕西省政府采购网</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http://www.ccgp-shaanxi.gov.cn/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）上公布中标结果。中标公告期限为1个工作日。</w:t>
      </w:r>
    </w:p>
    <w:p w14:paraId="695376FD">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4．在公告中标结果的同时，采购代理机构将向中标供应商发出中标通知书，中标供应</w:t>
      </w:r>
      <w:r>
        <w:rPr>
          <w:rFonts w:hint="eastAsia" w:ascii="宋体" w:hAnsi="宋体" w:eastAsia="宋体" w:cs="宋体"/>
          <w:color w:val="auto"/>
          <w:sz w:val="24"/>
          <w:szCs w:val="24"/>
          <w:highlight w:val="none"/>
        </w:rPr>
        <w:t>商在领取中标通知书时提供一正两副纸质投标文件</w:t>
      </w:r>
      <w:r>
        <w:rPr>
          <w:rFonts w:hint="eastAsia" w:ascii="宋体" w:hAnsi="宋体" w:eastAsia="宋体" w:cs="宋体"/>
          <w:color w:val="auto"/>
          <w:sz w:val="24"/>
          <w:szCs w:val="24"/>
          <w:highlight w:val="none"/>
          <w:lang w:eastAsia="zh-CN"/>
        </w:rPr>
        <w:t>及电子版一份</w:t>
      </w:r>
      <w:r>
        <w:rPr>
          <w:rFonts w:hint="eastAsia" w:ascii="宋体" w:hAnsi="宋体" w:eastAsia="宋体" w:cs="宋体"/>
          <w:color w:val="auto"/>
          <w:sz w:val="24"/>
          <w:szCs w:val="24"/>
          <w:highlight w:val="none"/>
        </w:rPr>
        <w:t>用于备案。</w:t>
      </w:r>
    </w:p>
    <w:p w14:paraId="1D46EF44">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采用综合评分法评审的，供应商可登录【全国公共资源交易中心（陕西省·西安市）】网站〖首页·〉电子交易平台·〉企业端〗，登录后切换到〖我的项目〗模块，依次点选〖项目流程·〉项目管理·〉评标结果查看〗，查看本单位的最终得分与排序。</w:t>
      </w:r>
    </w:p>
    <w:p w14:paraId="7C7EB0AF">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6．采购代理机构按照相关规定将</w:t>
      </w:r>
      <w:r>
        <w:rPr>
          <w:rFonts w:hint="eastAsia" w:ascii="宋体" w:hAnsi="宋体" w:eastAsia="宋体" w:cs="宋体"/>
          <w:sz w:val="24"/>
          <w:szCs w:val="24"/>
          <w:highlight w:val="none"/>
          <w:lang w:eastAsia="zh-CN"/>
        </w:rPr>
        <w:t>评标报告</w:t>
      </w:r>
      <w:r>
        <w:rPr>
          <w:rFonts w:hint="eastAsia" w:ascii="宋体" w:hAnsi="宋体" w:eastAsia="宋体" w:cs="宋体"/>
          <w:sz w:val="24"/>
          <w:szCs w:val="24"/>
          <w:highlight w:val="none"/>
        </w:rPr>
        <w:t>送监管机构备案。</w:t>
      </w:r>
    </w:p>
    <w:p w14:paraId="759061A3">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九、合同签订、履行及验收</w:t>
      </w:r>
    </w:p>
    <w:p w14:paraId="7B92FCE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招标文件、投标文件、澄清、补充合同等为政府采购合同的组成部分，具有同等法律效力。</w:t>
      </w:r>
    </w:p>
    <w:p w14:paraId="2E3FB3F9">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（一）签订政府采购合同</w:t>
      </w:r>
    </w:p>
    <w:p w14:paraId="243932E8">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1．自中标通知书发出之日起</w:t>
      </w:r>
      <w:r>
        <w:rPr>
          <w:rFonts w:hint="eastAsia" w:ascii="宋体" w:hAnsi="宋体" w:eastAsia="宋体" w:cs="宋体"/>
          <w:sz w:val="24"/>
          <w:szCs w:val="24"/>
          <w:highlight w:val="none"/>
          <w:lang w:val="en-US" w:eastAsia="zh-CN"/>
        </w:rPr>
        <w:t>25</w:t>
      </w:r>
      <w:r>
        <w:rPr>
          <w:rFonts w:hint="eastAsia" w:ascii="宋体" w:hAnsi="宋体" w:eastAsia="宋体" w:cs="宋体"/>
          <w:sz w:val="24"/>
          <w:szCs w:val="24"/>
          <w:highlight w:val="none"/>
        </w:rPr>
        <w:t>日内，采购人与中标供应商应按招标文件和中标供应商投标文件的约定，签订书面合同。</w:t>
      </w:r>
    </w:p>
    <w:p w14:paraId="07CD248E">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2．中标供应商拒绝与采购人签订合同的，采购人可以按照《政府采购法实施条例》第四十九条规定，确定下一候选人为中标供应商，也可以重新开展政府采购活动。</w:t>
      </w:r>
    </w:p>
    <w:p w14:paraId="563022B2">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3．采购人不得向中标供应商提出任何不合理的要求，作为签订合同的条件，不得与中标供应商私下订立背离合同实质性内容的任何协议，所签订的合同不得对招标文件和中标供应商投标文件作实质性修改。</w:t>
      </w:r>
    </w:p>
    <w:p w14:paraId="4E08A5E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4．质疑或者投诉事项可能影响中标、成交结果的，采购人应当暂停签订合同，已经签订合同的，应当中止履行合同。</w:t>
      </w:r>
    </w:p>
    <w:p w14:paraId="5D969FEE">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（二）合同公告及备案</w:t>
      </w:r>
    </w:p>
    <w:p w14:paraId="37B98BA1">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1．采购人应当自政府采购合同签订之日起2个工作日内，在陕西省政府采购网对合同进行公示，但政府采购合同中涉及国家秘密、商业秘密的内容除外。</w:t>
      </w:r>
    </w:p>
    <w:p w14:paraId="5D1A8A6A">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2．采购人应自合同签订之日起7个工作日内将政府采购合同报送监管机构备案。</w:t>
      </w:r>
    </w:p>
    <w:p w14:paraId="7D9E5FF1">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（三）履行合同</w:t>
      </w:r>
    </w:p>
    <w:p w14:paraId="52830BC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1．合同一经签订，双方应严格履行合同规定的义务。</w:t>
      </w:r>
    </w:p>
    <w:p w14:paraId="50DA7F7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2．在合同履行过程中，如发生合同纠纷，合同双方应按照《中华人民共和国民法典》及合同条款的有关规定进行处理。</w:t>
      </w:r>
    </w:p>
    <w:p w14:paraId="4692547D">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（四）验收或考核</w:t>
      </w:r>
    </w:p>
    <w:p w14:paraId="5E692F36">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1．采购人严格按照国家相关法律法规的要求及招标文件的要求组织验收或考核。</w:t>
      </w:r>
    </w:p>
    <w:p w14:paraId="62B7EF77">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2．采购人按《关于促进政府采购公平竞争优化营商环境的通知》（财库〔2019〕38号）、《保障中小企业款项支付条例》（国务院令第728号）等规定及采购合同的约定进行支付合同款项。</w:t>
      </w:r>
    </w:p>
    <w:p w14:paraId="03456796">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十、废标及重新招标</w:t>
      </w:r>
    </w:p>
    <w:p w14:paraId="2F0C405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60D20AEF">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2．根据《政府采购法》第三十六条规定，在招标采购中，出现下列情形之一的，本项目按废标处理：</w:t>
      </w:r>
    </w:p>
    <w:p w14:paraId="6663021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（1）出现影响采购公正的违法、违规行为的；</w:t>
      </w:r>
    </w:p>
    <w:p w14:paraId="212C7B10">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（2）供应商的报价均超过了采购预算，采购人不能支付的；</w:t>
      </w:r>
    </w:p>
    <w:p w14:paraId="7996D2FD">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（3）因重大变故，采购任务取消的。</w:t>
      </w:r>
    </w:p>
    <w:p w14:paraId="4949F970">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废标后，除采购任务取消外，本项目将重新组织招标。</w:t>
      </w:r>
    </w:p>
    <w:p w14:paraId="61B5DCFE">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在递交投标文件阶段、密封性等形式检查阶段、资格审查阶段或评标委员会评标阶段，当出现有效投标供应商不足3家时，本项目将依据西安市财政局《关于进一步规范市级预算单位变更政府采购方式审批管理的通知》（市财发〔2017〕186号）的有关规定，按政府采购监管部门事前批准的采购方式继续进行。</w:t>
      </w:r>
    </w:p>
    <w:p w14:paraId="0074372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4．招标文件未明确的其他事项，按《政府采购法》及其相关法律法规执行。</w:t>
      </w:r>
    </w:p>
    <w:p w14:paraId="05C1154B">
      <w:pPr>
        <w:rPr>
          <w:rFonts w:hint="eastAsia" w:ascii="宋体" w:hAnsi="宋体" w:eastAsia="宋体" w:cs="宋体"/>
          <w:sz w:val="32"/>
          <w:szCs w:val="32"/>
          <w:highlight w:val="none"/>
        </w:rPr>
      </w:pPr>
      <w:bookmarkStart w:id="14" w:name="_Toc100219614"/>
      <w:r>
        <w:rPr>
          <w:rFonts w:hint="eastAsia" w:ascii="宋体" w:hAnsi="宋体" w:eastAsia="宋体" w:cs="宋体"/>
          <w:sz w:val="32"/>
          <w:szCs w:val="32"/>
          <w:highlight w:val="none"/>
        </w:rPr>
        <w:br w:type="page"/>
      </w:r>
    </w:p>
    <w:p w14:paraId="77FC03BC">
      <w:pPr>
        <w:spacing w:before="90" w:after="0" w:line="360" w:lineRule="auto"/>
        <w:ind w:right="0"/>
        <w:jc w:val="both"/>
        <w:rPr>
          <w:rFonts w:hint="eastAsia" w:ascii="宋体" w:hAnsi="宋体" w:eastAsia="宋体" w:cs="宋体"/>
          <w:color w:val="000000"/>
          <w:spacing w:val="0"/>
          <w:sz w:val="24"/>
          <w:szCs w:val="24"/>
          <w:highlight w:val="none"/>
        </w:rPr>
      </w:pPr>
      <w:r>
        <w:rPr>
          <w:rFonts w:hint="eastAsia" w:ascii="宋体" w:hAnsi="宋体"/>
          <w:b/>
          <w:sz w:val="24"/>
          <w:highlight w:val="none"/>
          <w:lang w:eastAsia="zh-CN"/>
        </w:rPr>
        <w:t>附件一</w:t>
      </w:r>
      <w:r>
        <w:rPr>
          <w:rFonts w:hint="eastAsia" w:ascii="宋体" w:hAnsi="宋体"/>
          <w:b/>
          <w:sz w:val="24"/>
          <w:highlight w:val="none"/>
          <w:lang w:val="en-US" w:eastAsia="zh-CN"/>
        </w:rPr>
        <w:t xml:space="preserve">                            </w:t>
      </w:r>
      <w:r>
        <w:rPr>
          <w:rFonts w:hint="eastAsia" w:ascii="宋体" w:hAnsi="宋体" w:eastAsia="宋体" w:cs="宋体"/>
          <w:color w:val="000000"/>
          <w:spacing w:val="-8"/>
          <w:sz w:val="24"/>
          <w:szCs w:val="24"/>
          <w:highlight w:val="none"/>
        </w:rPr>
        <w:t>“政采贷”业务介绍</w:t>
      </w:r>
    </w:p>
    <w:p w14:paraId="4C61CF70">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0"/>
          <w:sz w:val="24"/>
          <w:szCs w:val="24"/>
          <w:highlight w:val="none"/>
        </w:rPr>
      </w:pPr>
      <w:r>
        <w:rPr>
          <w:rFonts w:hint="eastAsia" w:ascii="宋体" w:hAnsi="宋体" w:eastAsia="宋体" w:cs="宋体"/>
          <w:color w:val="333333"/>
          <w:spacing w:val="-3"/>
          <w:sz w:val="24"/>
          <w:szCs w:val="24"/>
          <w:highlight w:val="none"/>
        </w:rPr>
        <w:t>政采贷，即政府采购合同融资，是银行机构以政府采购诚信考核和信用审查为基础，凭借中小企业取得并提供的政府采购合同，按优于一般中小企业贷款的利率直接向申请贷款的中小企业发放贷款的一种新融资方式。政府采购贷特点政</w:t>
      </w:r>
      <w:r>
        <w:rPr>
          <w:rFonts w:hint="eastAsia" w:ascii="宋体" w:hAnsi="宋体" w:eastAsia="宋体" w:cs="宋体"/>
          <w:color w:val="333333"/>
          <w:spacing w:val="5"/>
          <w:sz w:val="24"/>
          <w:szCs w:val="24"/>
          <w:highlight w:val="none"/>
        </w:rPr>
        <w:t>采贷以中小企业的政府采购信用和国库集中支付作为履约保障的政府采购合同</w:t>
      </w:r>
      <w:r>
        <w:rPr>
          <w:rFonts w:hint="eastAsia" w:ascii="宋体" w:hAnsi="宋体" w:eastAsia="宋体" w:cs="宋体"/>
          <w:color w:val="333333"/>
          <w:spacing w:val="0"/>
          <w:sz w:val="24"/>
          <w:szCs w:val="24"/>
          <w:highlight w:val="none"/>
        </w:rPr>
        <w:t>为基础，借力政府采购诚信保障，提供了银企对接的机会和相关的服务支持。</w:t>
      </w:r>
    </w:p>
    <w:p w14:paraId="6DD7BA61">
      <w:pPr>
        <w:spacing w:line="360" w:lineRule="auto"/>
        <w:rPr>
          <w:rFonts w:hint="eastAsia" w:ascii="宋体" w:hAnsi="宋体" w:eastAsia="宋体" w:cs="宋体"/>
          <w:color w:val="333333"/>
          <w:spacing w:val="0"/>
          <w:sz w:val="24"/>
          <w:szCs w:val="24"/>
          <w:highlight w:val="none"/>
        </w:rPr>
      </w:pPr>
      <w:r>
        <w:rPr>
          <w:rFonts w:hint="eastAsia" w:ascii="宋体" w:hAnsi="宋体" w:eastAsia="宋体" w:cs="宋体"/>
          <w:color w:val="333333"/>
          <w:spacing w:val="0"/>
          <w:sz w:val="24"/>
          <w:szCs w:val="24"/>
          <w:highlight w:val="none"/>
        </w:rPr>
        <w:br w:type="page"/>
      </w:r>
    </w:p>
    <w:p w14:paraId="28E31E94">
      <w:pPr>
        <w:pStyle w:val="102"/>
        <w:spacing w:before="40" w:line="420" w:lineRule="exact"/>
        <w:rPr>
          <w:rFonts w:hint="eastAsia" w:ascii="宋体" w:hAnsi="宋体"/>
          <w:b/>
          <w:sz w:val="24"/>
          <w:highlight w:val="none"/>
          <w:lang w:eastAsia="zh-CN"/>
        </w:rPr>
      </w:pPr>
      <w:r>
        <w:rPr>
          <w:rFonts w:hint="eastAsia" w:ascii="宋体" w:hAnsi="宋体"/>
          <w:b/>
          <w:sz w:val="24"/>
          <w:highlight w:val="none"/>
          <w:lang w:eastAsia="zh-CN"/>
        </w:rPr>
        <w:t>附件二</w:t>
      </w:r>
    </w:p>
    <w:p w14:paraId="2166DE91">
      <w:pPr>
        <w:spacing w:before="281" w:after="0" w:line="360" w:lineRule="auto"/>
        <w:ind w:left="480" w:right="0" w:firstLine="0"/>
        <w:jc w:val="center"/>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陕西政府采购供应商信用融资信息服务平台操作手册</w:t>
      </w:r>
    </w:p>
    <w:p w14:paraId="15361B38">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3"/>
          <w:sz w:val="24"/>
          <w:highlight w:val="none"/>
        </w:rPr>
        <w:t>陕西政府采购供应商信用融资信息服务平台主要功能为：供应商凭中标项目或成交合提交融资意向，查看融资申请进度等功能，本操作手册将详细说明这些</w:t>
      </w:r>
      <w:r>
        <w:rPr>
          <w:rFonts w:hint="eastAsia" w:ascii="宋体" w:hAnsi="宋体" w:eastAsia="宋体" w:cs="宋体"/>
          <w:color w:val="333333"/>
          <w:spacing w:val="0"/>
          <w:sz w:val="24"/>
          <w:highlight w:val="none"/>
        </w:rPr>
        <w:t>功能。</w:t>
      </w:r>
    </w:p>
    <w:p w14:paraId="16D58486">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0"/>
          <w:sz w:val="24"/>
          <w:highlight w:val="none"/>
        </w:rPr>
        <w:t>1</w:t>
      </w:r>
      <w:r>
        <w:rPr>
          <w:rFonts w:hint="eastAsia" w:ascii="宋体" w:hAnsi="宋体" w:cs="宋体"/>
          <w:color w:val="333333"/>
          <w:spacing w:val="0"/>
          <w:sz w:val="24"/>
          <w:highlight w:val="none"/>
          <w:lang w:val="en-US" w:eastAsia="zh-CN"/>
        </w:rPr>
        <w:t>.</w:t>
      </w:r>
      <w:r>
        <w:rPr>
          <w:rFonts w:hint="eastAsia" w:ascii="宋体" w:hAnsi="宋体" w:eastAsia="宋体" w:cs="宋体"/>
          <w:color w:val="333333"/>
          <w:spacing w:val="0"/>
          <w:sz w:val="24"/>
          <w:highlight w:val="none"/>
        </w:rPr>
        <w:t>首页</w:t>
      </w:r>
    </w:p>
    <w:p w14:paraId="6666932B">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平台首页主要呈现陕西政府采购信用融资相关政策法规、基本操作流程及供应商帮助内容，供应商企业可由登录注册模块登录平台。</w:t>
      </w:r>
    </w:p>
    <w:p w14:paraId="07FE905E">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0"/>
          <w:sz w:val="24"/>
          <w:highlight w:val="none"/>
        </w:rPr>
        <w:t>2</w:t>
      </w:r>
      <w:r>
        <w:rPr>
          <w:rFonts w:hint="eastAsia" w:ascii="宋体" w:hAnsi="宋体" w:cs="宋体"/>
          <w:color w:val="333333"/>
          <w:spacing w:val="0"/>
          <w:sz w:val="24"/>
          <w:highlight w:val="none"/>
          <w:lang w:val="en-US" w:eastAsia="zh-CN"/>
        </w:rPr>
        <w:t>.</w:t>
      </w:r>
      <w:r>
        <w:rPr>
          <w:rFonts w:hint="eastAsia" w:ascii="宋体" w:hAnsi="宋体" w:eastAsia="宋体" w:cs="宋体"/>
          <w:color w:val="333333"/>
          <w:spacing w:val="0"/>
          <w:sz w:val="24"/>
          <w:highlight w:val="none"/>
        </w:rPr>
        <w:t>登录</w:t>
      </w:r>
    </w:p>
    <w:p w14:paraId="06CC2FF4">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highlight w:val="none"/>
          <w:lang w:eastAsia="zh-CN"/>
        </w:rPr>
      </w:pPr>
      <w:r>
        <w:rPr>
          <w:rFonts w:hint="eastAsia" w:ascii="宋体" w:hAnsi="宋体" w:eastAsia="宋体" w:cs="宋体"/>
          <w:color w:val="333333"/>
          <w:spacing w:val="-3"/>
          <w:sz w:val="24"/>
          <w:highlight w:val="none"/>
        </w:rPr>
        <w:t>陕西政府采购网的中标企业可用手机号注册用户，注册时需要填写企业名称及社会统一信用代码等信息，如下图：</w:t>
      </w:r>
    </w:p>
    <w:p w14:paraId="0C0FE16A">
      <w:pPr>
        <w:rPr>
          <w:rFonts w:hint="eastAsia" w:ascii="宋体" w:hAnsi="宋体"/>
          <w:b/>
          <w:sz w:val="24"/>
          <w:highlight w:val="none"/>
          <w:lang w:eastAsia="zh-CN"/>
        </w:rPr>
      </w:pPr>
      <w:r>
        <w:rPr>
          <w:rFonts w:hint="eastAsia" w:ascii="宋体" w:hAnsi="宋体"/>
          <w:b/>
          <w:sz w:val="24"/>
          <w:highlight w:val="none"/>
          <w:lang w:eastAsia="zh-CN"/>
        </w:rPr>
        <w:drawing>
          <wp:inline distT="0" distB="0" distL="114300" distR="114300">
            <wp:extent cx="6127750" cy="3615690"/>
            <wp:effectExtent l="0" t="0" r="6350" b="3810"/>
            <wp:docPr id="1"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1"/>
                    <pic:cNvPicPr>
                      <a:picLocks noChangeAspect="1"/>
                    </pic:cNvPicPr>
                  </pic:nvPicPr>
                  <pic:blipFill>
                    <a:blip r:embed="rId18"/>
                    <a:stretch>
                      <a:fillRect/>
                    </a:stretch>
                  </pic:blipFill>
                  <pic:spPr>
                    <a:xfrm>
                      <a:off x="0" y="0"/>
                      <a:ext cx="6127750" cy="3615690"/>
                    </a:xfrm>
                    <a:prstGeom prst="rect">
                      <a:avLst/>
                    </a:prstGeom>
                    <a:noFill/>
                    <a:ln>
                      <a:noFill/>
                    </a:ln>
                  </pic:spPr>
                </pic:pic>
              </a:graphicData>
            </a:graphic>
          </wp:inline>
        </w:drawing>
      </w:r>
    </w:p>
    <w:p w14:paraId="3CC3FA51">
      <w:pPr>
        <w:rPr>
          <w:rFonts w:hint="eastAsia" w:ascii="宋体" w:hAnsi="宋体"/>
          <w:b/>
          <w:sz w:val="24"/>
          <w:highlight w:val="none"/>
          <w:lang w:eastAsia="zh-CN"/>
        </w:rPr>
      </w:pPr>
      <w:r>
        <w:rPr>
          <w:rFonts w:hint="eastAsia" w:ascii="宋体" w:hAnsi="宋体"/>
          <w:b/>
          <w:sz w:val="24"/>
          <w:highlight w:val="none"/>
          <w:lang w:eastAsia="zh-CN"/>
        </w:rPr>
        <w:br w:type="page"/>
      </w:r>
    </w:p>
    <w:p w14:paraId="784C6EAF">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注册成功后，凭手机登录平台，如下图，点击首页：</w:t>
      </w:r>
    </w:p>
    <w:p w14:paraId="7049627D">
      <w:pPr>
        <w:rPr>
          <w:highlight w:val="none"/>
          <w:lang w:eastAsia="zh-CN"/>
        </w:rPr>
      </w:pPr>
      <w:r>
        <w:rPr>
          <w:highlight w:val="none"/>
          <w:lang w:eastAsia="zh-CN"/>
        </w:rPr>
        <w:drawing>
          <wp:inline distT="0" distB="0" distL="114300" distR="114300">
            <wp:extent cx="6071235" cy="3425190"/>
            <wp:effectExtent l="0" t="0" r="5715" b="3810"/>
            <wp:docPr id="2"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2"/>
                    <pic:cNvPicPr>
                      <a:picLocks noChangeAspect="1"/>
                    </pic:cNvPicPr>
                  </pic:nvPicPr>
                  <pic:blipFill>
                    <a:blip r:embed="rId19"/>
                    <a:stretch>
                      <a:fillRect/>
                    </a:stretch>
                  </pic:blipFill>
                  <pic:spPr>
                    <a:xfrm>
                      <a:off x="0" y="0"/>
                      <a:ext cx="6071235" cy="3425190"/>
                    </a:xfrm>
                    <a:prstGeom prst="rect">
                      <a:avLst/>
                    </a:prstGeom>
                    <a:noFill/>
                    <a:ln>
                      <a:noFill/>
                    </a:ln>
                  </pic:spPr>
                </pic:pic>
              </a:graphicData>
            </a:graphic>
          </wp:inline>
        </w:drawing>
      </w:r>
    </w:p>
    <w:p w14:paraId="49EA0B70">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3.点击“可融资项目/合同”，再点击申请贷款：</w:t>
      </w:r>
    </w:p>
    <w:p w14:paraId="457923AF">
      <w:pPr>
        <w:rPr>
          <w:highlight w:val="none"/>
          <w:lang w:eastAsia="zh-CN"/>
        </w:rPr>
      </w:pPr>
      <w:r>
        <w:rPr>
          <w:highlight w:val="none"/>
          <w:lang w:eastAsia="zh-CN"/>
        </w:rPr>
        <w:drawing>
          <wp:inline distT="0" distB="0" distL="114300" distR="114300">
            <wp:extent cx="6101715" cy="3441065"/>
            <wp:effectExtent l="0" t="0" r="13335" b="6985"/>
            <wp:docPr id="3"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3"/>
                    <pic:cNvPicPr>
                      <a:picLocks noChangeAspect="1"/>
                    </pic:cNvPicPr>
                  </pic:nvPicPr>
                  <pic:blipFill>
                    <a:blip r:embed="rId20"/>
                    <a:stretch>
                      <a:fillRect/>
                    </a:stretch>
                  </pic:blipFill>
                  <pic:spPr>
                    <a:xfrm>
                      <a:off x="0" y="0"/>
                      <a:ext cx="6101715" cy="3441065"/>
                    </a:xfrm>
                    <a:prstGeom prst="rect">
                      <a:avLst/>
                    </a:prstGeom>
                    <a:noFill/>
                    <a:ln>
                      <a:noFill/>
                    </a:ln>
                  </pic:spPr>
                </pic:pic>
              </a:graphicData>
            </a:graphic>
          </wp:inline>
        </w:drawing>
      </w:r>
    </w:p>
    <w:p w14:paraId="6772FBF7">
      <w:pPr>
        <w:rPr>
          <w:highlight w:val="none"/>
          <w:lang w:eastAsia="zh-CN"/>
        </w:rPr>
      </w:pPr>
      <w:r>
        <w:rPr>
          <w:highlight w:val="none"/>
          <w:lang w:eastAsia="zh-CN"/>
        </w:rPr>
        <w:br w:type="page"/>
      </w:r>
    </w:p>
    <w:p w14:paraId="65AA5651">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4.勾选融资意向书：</w:t>
      </w:r>
    </w:p>
    <w:p w14:paraId="7EE41532">
      <w:pPr>
        <w:rPr>
          <w:highlight w:val="none"/>
          <w:lang w:eastAsia="zh-CN"/>
        </w:rPr>
      </w:pPr>
      <w:r>
        <w:rPr>
          <w:highlight w:val="none"/>
          <w:lang w:eastAsia="zh-CN"/>
        </w:rPr>
        <w:drawing>
          <wp:inline distT="0" distB="0" distL="114300" distR="114300">
            <wp:extent cx="6142990" cy="3464560"/>
            <wp:effectExtent l="0" t="0" r="10160" b="2540"/>
            <wp:docPr id="4"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4"/>
                    <pic:cNvPicPr>
                      <a:picLocks noChangeAspect="1"/>
                    </pic:cNvPicPr>
                  </pic:nvPicPr>
                  <pic:blipFill>
                    <a:blip r:embed="rId21"/>
                    <a:stretch>
                      <a:fillRect/>
                    </a:stretch>
                  </pic:blipFill>
                  <pic:spPr>
                    <a:xfrm>
                      <a:off x="0" y="0"/>
                      <a:ext cx="6142990" cy="3464560"/>
                    </a:xfrm>
                    <a:prstGeom prst="rect">
                      <a:avLst/>
                    </a:prstGeom>
                    <a:noFill/>
                    <a:ln>
                      <a:noFill/>
                    </a:ln>
                  </pic:spPr>
                </pic:pic>
              </a:graphicData>
            </a:graphic>
          </wp:inline>
        </w:drawing>
      </w:r>
    </w:p>
    <w:p w14:paraId="69F59D38">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5.页面下拉，输入贷款金额、预计用款周期、可接受利率、贷款资金用途，点击保存，选择办理贷款机构所在地，然后点击下一步。</w:t>
      </w:r>
    </w:p>
    <w:p w14:paraId="007039E1">
      <w:pPr>
        <w:rPr>
          <w:highlight w:val="none"/>
          <w:lang w:eastAsia="zh-CN"/>
        </w:rPr>
      </w:pPr>
      <w:r>
        <w:rPr>
          <w:highlight w:val="none"/>
          <w:lang w:eastAsia="zh-CN"/>
        </w:rPr>
        <w:drawing>
          <wp:inline distT="0" distB="0" distL="114300" distR="114300">
            <wp:extent cx="6176645" cy="3484880"/>
            <wp:effectExtent l="0" t="0" r="14605" b="1270"/>
            <wp:docPr id="5"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descr="5"/>
                    <pic:cNvPicPr>
                      <a:picLocks noChangeAspect="1"/>
                    </pic:cNvPicPr>
                  </pic:nvPicPr>
                  <pic:blipFill>
                    <a:blip r:embed="rId22"/>
                    <a:stretch>
                      <a:fillRect/>
                    </a:stretch>
                  </pic:blipFill>
                  <pic:spPr>
                    <a:xfrm>
                      <a:off x="0" y="0"/>
                      <a:ext cx="6176645" cy="3484880"/>
                    </a:xfrm>
                    <a:prstGeom prst="rect">
                      <a:avLst/>
                    </a:prstGeom>
                    <a:noFill/>
                    <a:ln>
                      <a:noFill/>
                    </a:ln>
                  </pic:spPr>
                </pic:pic>
              </a:graphicData>
            </a:graphic>
          </wp:inline>
        </w:drawing>
      </w:r>
      <w:r>
        <w:rPr>
          <w:highlight w:val="none"/>
          <w:lang w:eastAsia="zh-CN"/>
        </w:rPr>
        <w:br w:type="page"/>
      </w:r>
    </w:p>
    <w:p w14:paraId="36739562">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6.在意向银行列点击提交贷款意向并确定：</w:t>
      </w:r>
    </w:p>
    <w:p w14:paraId="7DEE80AE">
      <w:pPr>
        <w:rPr>
          <w:highlight w:val="none"/>
          <w:lang w:eastAsia="zh-CN"/>
        </w:rPr>
      </w:pPr>
      <w:r>
        <w:rPr>
          <w:highlight w:val="none"/>
          <w:lang w:eastAsia="zh-CN"/>
        </w:rPr>
        <w:drawing>
          <wp:inline distT="0" distB="0" distL="114300" distR="114300">
            <wp:extent cx="6113780" cy="3449320"/>
            <wp:effectExtent l="0" t="0" r="1270" b="17780"/>
            <wp:docPr id="6"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descr="6"/>
                    <pic:cNvPicPr>
                      <a:picLocks noChangeAspect="1"/>
                    </pic:cNvPicPr>
                  </pic:nvPicPr>
                  <pic:blipFill>
                    <a:blip r:embed="rId23"/>
                    <a:stretch>
                      <a:fillRect/>
                    </a:stretch>
                  </pic:blipFill>
                  <pic:spPr>
                    <a:xfrm>
                      <a:off x="0" y="0"/>
                      <a:ext cx="6113780" cy="3449320"/>
                    </a:xfrm>
                    <a:prstGeom prst="rect">
                      <a:avLst/>
                    </a:prstGeom>
                    <a:noFill/>
                    <a:ln>
                      <a:noFill/>
                    </a:ln>
                  </pic:spPr>
                </pic:pic>
              </a:graphicData>
            </a:graphic>
          </wp:inline>
        </w:drawing>
      </w:r>
    </w:p>
    <w:p w14:paraId="69522AD3">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7.在申请进度栏即可查看本笔融资进度：</w:t>
      </w:r>
    </w:p>
    <w:p w14:paraId="62A89C71">
      <w:pPr>
        <w:rPr>
          <w:highlight w:val="none"/>
          <w:lang w:eastAsia="zh-CN"/>
        </w:rPr>
      </w:pPr>
      <w:r>
        <w:rPr>
          <w:highlight w:val="none"/>
          <w:lang w:eastAsia="zh-CN"/>
        </w:rPr>
        <w:drawing>
          <wp:inline distT="0" distB="0" distL="114300" distR="114300">
            <wp:extent cx="6142990" cy="3464560"/>
            <wp:effectExtent l="0" t="0" r="10160" b="2540"/>
            <wp:docPr id="7" name="图片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descr="7"/>
                    <pic:cNvPicPr>
                      <a:picLocks noChangeAspect="1"/>
                    </pic:cNvPicPr>
                  </pic:nvPicPr>
                  <pic:blipFill>
                    <a:blip r:embed="rId24"/>
                    <a:stretch>
                      <a:fillRect/>
                    </a:stretch>
                  </pic:blipFill>
                  <pic:spPr>
                    <a:xfrm>
                      <a:off x="0" y="0"/>
                      <a:ext cx="6142990" cy="3464560"/>
                    </a:xfrm>
                    <a:prstGeom prst="rect">
                      <a:avLst/>
                    </a:prstGeom>
                    <a:noFill/>
                    <a:ln>
                      <a:noFill/>
                    </a:ln>
                  </pic:spPr>
                </pic:pic>
              </a:graphicData>
            </a:graphic>
          </wp:inline>
        </w:drawing>
      </w:r>
    </w:p>
    <w:p w14:paraId="0574B2F1">
      <w:pPr>
        <w:rPr>
          <w:highlight w:val="none"/>
          <w:lang w:eastAsia="zh-CN"/>
        </w:rPr>
      </w:pPr>
      <w:r>
        <w:rPr>
          <w:highlight w:val="none"/>
          <w:lang w:eastAsia="zh-CN"/>
        </w:rPr>
        <w:br w:type="page"/>
      </w:r>
    </w:p>
    <w:p w14:paraId="636F1B4D">
      <w:pPr>
        <w:pStyle w:val="102"/>
        <w:keepNext w:val="0"/>
        <w:keepLines w:val="0"/>
        <w:pageBreakBefore w:val="0"/>
        <w:widowControl w:val="0"/>
        <w:kinsoku/>
        <w:wordWrap/>
        <w:overflowPunct/>
        <w:topLinePunct w:val="0"/>
        <w:autoSpaceDE/>
        <w:autoSpaceDN/>
        <w:bidi w:val="0"/>
        <w:adjustRightInd/>
        <w:snapToGrid/>
        <w:spacing w:before="40" w:line="420" w:lineRule="exact"/>
        <w:textAlignment w:val="auto"/>
        <w:outlineLvl w:val="9"/>
        <w:rPr>
          <w:rFonts w:hint="eastAsia" w:ascii="宋体" w:hAnsi="宋体"/>
          <w:b/>
          <w:sz w:val="24"/>
          <w:highlight w:val="none"/>
          <w:lang w:eastAsia="zh-CN"/>
        </w:rPr>
      </w:pPr>
      <w:r>
        <w:rPr>
          <w:rFonts w:hint="eastAsia" w:ascii="宋体" w:hAnsi="宋体"/>
          <w:b/>
          <w:sz w:val="24"/>
          <w:highlight w:val="none"/>
          <w:lang w:eastAsia="zh-CN"/>
        </w:rPr>
        <w:t>附件三</w:t>
      </w:r>
    </w:p>
    <w:p w14:paraId="439EFBEC">
      <w:pPr>
        <w:pStyle w:val="102"/>
        <w:spacing w:before="40" w:line="360" w:lineRule="auto"/>
        <w:jc w:val="center"/>
        <w:rPr>
          <w:rFonts w:hint="eastAsia" w:ascii="宋体" w:hAnsi="宋体" w:eastAsia="宋体" w:cs="宋体"/>
          <w:color w:val="000000"/>
          <w:spacing w:val="0"/>
          <w:sz w:val="24"/>
          <w:szCs w:val="22"/>
          <w:highlight w:val="none"/>
          <w:lang w:val="en-US" w:eastAsia="zh-CN" w:bidi="ar-SA"/>
        </w:rPr>
      </w:pPr>
      <w:r>
        <w:rPr>
          <w:rFonts w:hint="eastAsia" w:ascii="宋体" w:hAnsi="宋体" w:eastAsia="宋体" w:cs="宋体"/>
          <w:color w:val="000000"/>
          <w:spacing w:val="0"/>
          <w:sz w:val="24"/>
          <w:szCs w:val="22"/>
          <w:highlight w:val="none"/>
          <w:lang w:val="en-US" w:eastAsia="en-US" w:bidi="ar-SA"/>
        </w:rPr>
        <w:t>西安浐灞国际港开展政采贷业务</w:t>
      </w:r>
      <w:r>
        <w:rPr>
          <w:rFonts w:hint="eastAsia" w:ascii="宋体" w:hAnsi="宋体" w:eastAsia="宋体" w:cs="宋体"/>
          <w:color w:val="000000"/>
          <w:spacing w:val="0"/>
          <w:sz w:val="24"/>
          <w:highlight w:val="none"/>
        </w:rPr>
        <w:t>联系方式：</w:t>
      </w:r>
    </w:p>
    <w:p w14:paraId="1E637A7C">
      <w:pPr>
        <w:spacing w:before="165" w:after="0" w:line="360" w:lineRule="auto"/>
        <w:ind w:left="0" w:right="0" w:firstLine="0"/>
        <w:jc w:val="left"/>
        <w:rPr>
          <w:rFonts w:hint="eastAsia" w:ascii="宋体" w:hAnsi="宋体" w:eastAsia="宋体" w:cs="宋体"/>
          <w:color w:val="000000"/>
          <w:spacing w:val="0"/>
          <w:sz w:val="24"/>
          <w:highlight w:val="none"/>
        </w:rPr>
      </w:pPr>
    </w:p>
    <w:p w14:paraId="40CBFE5D">
      <w:pPr>
        <w:spacing w:before="165" w:after="0" w:line="360" w:lineRule="auto"/>
        <w:ind w:left="0" w:right="0" w:firstLine="480" w:firstLineChars="200"/>
        <w:jc w:val="left"/>
        <w:rPr>
          <w:rFonts w:hint="eastAsia" w:ascii="宋体" w:hAnsi="宋体" w:eastAsia="宋体" w:cs="宋体"/>
          <w:color w:val="000000"/>
          <w:spacing w:val="0"/>
          <w:sz w:val="24"/>
          <w:highlight w:val="none"/>
        </w:rPr>
      </w:pPr>
      <w:r>
        <w:rPr>
          <w:rFonts w:hint="eastAsia" w:ascii="宋体" w:hAnsi="宋体" w:eastAsia="宋体" w:cs="宋体"/>
          <w:color w:val="000000"/>
          <w:spacing w:val="0"/>
          <w:sz w:val="24"/>
          <w:highlight w:val="none"/>
          <w:lang w:eastAsia="zh-CN"/>
        </w:rPr>
        <w:t>西安浐灞国际港</w:t>
      </w:r>
      <w:r>
        <w:rPr>
          <w:rFonts w:hint="eastAsia" w:ascii="宋体" w:hAnsi="宋体" w:eastAsia="宋体" w:cs="宋体"/>
          <w:color w:val="000000"/>
          <w:spacing w:val="0"/>
          <w:sz w:val="24"/>
          <w:highlight w:val="none"/>
        </w:rPr>
        <w:t>政府采购信用融资联系人：</w:t>
      </w:r>
      <w:r>
        <w:rPr>
          <w:rFonts w:hint="eastAsia" w:ascii="宋体" w:hAnsi="宋体" w:eastAsia="宋体" w:cs="宋体"/>
          <w:color w:val="000000"/>
          <w:spacing w:val="0"/>
          <w:sz w:val="24"/>
          <w:highlight w:val="none"/>
          <w:lang w:eastAsia="zh-CN"/>
        </w:rPr>
        <w:t>王涛</w:t>
      </w:r>
      <w:r>
        <w:rPr>
          <w:rFonts w:hint="eastAsia" w:ascii="宋体" w:hAnsi="宋体" w:eastAsia="宋体" w:cs="宋体"/>
          <w:color w:val="000000"/>
          <w:spacing w:val="0"/>
          <w:sz w:val="24"/>
          <w:highlight w:val="none"/>
        </w:rPr>
        <w:t xml:space="preserve"> </w:t>
      </w:r>
      <w:r>
        <w:rPr>
          <w:rFonts w:hint="eastAsia" w:ascii="宋体" w:hAnsi="宋体" w:eastAsia="宋体" w:cs="宋体"/>
          <w:color w:val="000000"/>
          <w:spacing w:val="0"/>
          <w:sz w:val="24"/>
          <w:highlight w:val="none"/>
          <w:lang w:val="en-US" w:eastAsia="zh-CN"/>
        </w:rPr>
        <w:t xml:space="preserve"> </w:t>
      </w:r>
      <w:r>
        <w:rPr>
          <w:rFonts w:hint="eastAsia" w:ascii="宋体" w:hAnsi="宋体" w:eastAsia="宋体" w:cs="宋体"/>
          <w:color w:val="000000"/>
          <w:spacing w:val="0"/>
          <w:sz w:val="24"/>
          <w:highlight w:val="none"/>
          <w:lang w:eastAsia="zh-CN"/>
        </w:rPr>
        <w:t>15029991040</w:t>
      </w:r>
    </w:p>
    <w:p w14:paraId="1B85098B">
      <w:pPr>
        <w:rPr>
          <w:rFonts w:hint="eastAsia"/>
          <w:highlight w:val="none"/>
        </w:rPr>
      </w:pPr>
    </w:p>
    <w:p w14:paraId="2E564EC6">
      <w:pPr>
        <w:rPr>
          <w:rFonts w:hint="eastAsia" w:ascii="宋体" w:hAnsi="宋体"/>
          <w:sz w:val="24"/>
          <w:szCs w:val="24"/>
          <w:highlight w:val="none"/>
          <w:lang w:val="zh-CN"/>
        </w:rPr>
      </w:pPr>
      <w:r>
        <w:rPr>
          <w:rFonts w:hint="eastAsia" w:ascii="宋体" w:hAnsi="宋体"/>
          <w:sz w:val="24"/>
          <w:szCs w:val="24"/>
          <w:highlight w:val="none"/>
          <w:lang w:val="zh-CN"/>
        </w:rPr>
        <w:br w:type="page"/>
      </w:r>
    </w:p>
    <w:p w14:paraId="418828A0">
      <w:pPr>
        <w:pStyle w:val="2"/>
        <w:rPr>
          <w:rFonts w:hint="eastAsia" w:ascii="宋体" w:hAnsi="宋体" w:eastAsia="宋体" w:cs="宋体"/>
          <w:b/>
          <w:bCs/>
          <w:sz w:val="32"/>
          <w:szCs w:val="32"/>
          <w:highlight w:val="none"/>
        </w:rPr>
      </w:pPr>
      <w:bookmarkStart w:id="15" w:name="_Toc31713"/>
      <w:bookmarkStart w:id="16" w:name="_Toc12670"/>
      <w:r>
        <w:rPr>
          <w:rFonts w:hint="eastAsia" w:ascii="宋体" w:hAnsi="宋体" w:eastAsia="宋体" w:cs="宋体"/>
          <w:b/>
          <w:bCs/>
          <w:sz w:val="32"/>
          <w:szCs w:val="32"/>
          <w:highlight w:val="none"/>
        </w:rPr>
        <w:t>第三章  招标内容及要求</w:t>
      </w:r>
      <w:bookmarkEnd w:id="14"/>
      <w:bookmarkEnd w:id="15"/>
      <w:bookmarkEnd w:id="16"/>
    </w:p>
    <w:p w14:paraId="20E89154">
      <w:pPr>
        <w:keepNext w:val="0"/>
        <w:keepLines w:val="0"/>
        <w:pageBreakBefore w:val="0"/>
        <w:widowControl/>
        <w:kinsoku/>
        <w:wordWrap/>
        <w:overflowPunct/>
        <w:topLinePunct w:val="0"/>
        <w:autoSpaceDE/>
        <w:autoSpaceDN/>
        <w:bidi w:val="0"/>
        <w:spacing w:line="360" w:lineRule="auto"/>
        <w:ind w:right="0" w:rightChars="0"/>
        <w:rPr>
          <w:rFonts w:hint="eastAsia" w:ascii="宋体" w:hAnsi="宋体" w:eastAsia="宋体" w:cs="宋体"/>
          <w:b/>
          <w:bCs/>
          <w:sz w:val="24"/>
          <w:szCs w:val="24"/>
          <w:highlight w:val="none"/>
          <w:lang w:val="en-US" w:eastAsia="en-US" w:bidi="ar-SA"/>
        </w:rPr>
      </w:pPr>
      <w:bookmarkStart w:id="17" w:name="_Toc100219615"/>
      <w:r>
        <w:rPr>
          <w:rFonts w:hint="eastAsia" w:ascii="宋体" w:hAnsi="宋体" w:eastAsia="宋体" w:cs="宋体"/>
          <w:b/>
          <w:bCs/>
          <w:sz w:val="24"/>
          <w:szCs w:val="24"/>
          <w:highlight w:val="none"/>
          <w:lang w:val="en-US" w:eastAsia="en-US" w:bidi="ar-SA"/>
        </w:rPr>
        <w:t>一、项目概况</w:t>
      </w:r>
    </w:p>
    <w:p w14:paraId="09E64065">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spacing w:val="0"/>
          <w:position w:val="0"/>
          <w:sz w:val="24"/>
          <w:szCs w:val="24"/>
          <w:highlight w:val="none"/>
          <w:lang w:val="en-US" w:eastAsia="zh-CN"/>
        </w:rPr>
        <w:t>2025-2027管委会机关餐饮服务第三批（金融商务产业园等部门餐厅服务）（总部创意产业园）（四包）</w:t>
      </w:r>
      <w:r>
        <w:rPr>
          <w:rFonts w:hint="eastAsia" w:ascii="宋体" w:hAnsi="宋体" w:eastAsia="宋体" w:cs="宋体"/>
          <w:kern w:val="0"/>
          <w:sz w:val="24"/>
          <w:szCs w:val="24"/>
          <w:highlight w:val="none"/>
          <w:lang w:val="en-US" w:eastAsia="zh-CN"/>
        </w:rPr>
        <w:t>。</w:t>
      </w:r>
    </w:p>
    <w:p w14:paraId="6EA2EA67">
      <w:pPr>
        <w:keepNext w:val="0"/>
        <w:keepLines w:val="0"/>
        <w:pageBreakBefore w:val="0"/>
        <w:widowControl/>
        <w:kinsoku/>
        <w:wordWrap/>
        <w:overflowPunct/>
        <w:topLinePunct w:val="0"/>
        <w:autoSpaceDE/>
        <w:autoSpaceDN/>
        <w:bidi w:val="0"/>
        <w:spacing w:line="360" w:lineRule="auto"/>
        <w:ind w:right="0" w:rightChars="0"/>
        <w:rPr>
          <w:rFonts w:hint="eastAsia" w:ascii="宋体" w:hAnsi="宋体" w:eastAsia="宋体" w:cs="宋体"/>
          <w:b/>
          <w:bCs/>
          <w:sz w:val="24"/>
          <w:szCs w:val="24"/>
          <w:highlight w:val="none"/>
          <w:lang w:val="en-US" w:eastAsia="en-US" w:bidi="ar-SA"/>
        </w:rPr>
      </w:pPr>
      <w:r>
        <w:rPr>
          <w:rFonts w:hint="eastAsia" w:ascii="宋体" w:hAnsi="宋体" w:eastAsia="宋体" w:cs="宋体"/>
          <w:b/>
          <w:bCs/>
          <w:sz w:val="24"/>
          <w:szCs w:val="24"/>
          <w:highlight w:val="none"/>
          <w:lang w:val="en-US" w:eastAsia="en-US" w:bidi="ar-SA"/>
        </w:rPr>
        <w:t>二、服务内容</w:t>
      </w:r>
    </w:p>
    <w:p w14:paraId="1AF8E756">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en-US"/>
        </w:rPr>
        <w:t>为保障</w:t>
      </w:r>
      <w:r>
        <w:rPr>
          <w:rFonts w:hint="eastAsia" w:ascii="宋体" w:hAnsi="宋体" w:eastAsia="宋体" w:cs="宋体"/>
          <w:kern w:val="0"/>
          <w:sz w:val="24"/>
          <w:szCs w:val="24"/>
          <w:highlight w:val="none"/>
          <w:lang w:val="en-US" w:eastAsia="zh-CN"/>
        </w:rPr>
        <w:t>2025-2027管委会机关餐饮服务第三批（金融商务产业园等部门餐厅服务）</w:t>
      </w:r>
      <w:r>
        <w:rPr>
          <w:rFonts w:hint="eastAsia" w:ascii="宋体" w:hAnsi="宋体" w:eastAsia="宋体" w:cs="宋体"/>
          <w:kern w:val="0"/>
          <w:sz w:val="24"/>
          <w:szCs w:val="24"/>
          <w:highlight w:val="none"/>
          <w:lang w:val="en-US" w:eastAsia="en-US"/>
        </w:rPr>
        <w:t>（总部创意产业园）（四包）的正常餐饮活动，须进行餐厅服务承包采购</w:t>
      </w:r>
      <w:r>
        <w:rPr>
          <w:rFonts w:hint="eastAsia" w:ascii="宋体" w:hAnsi="宋体" w:eastAsia="宋体" w:cs="宋体"/>
          <w:kern w:val="0"/>
          <w:sz w:val="24"/>
          <w:szCs w:val="24"/>
          <w:highlight w:val="none"/>
          <w:lang w:val="en-US" w:eastAsia="zh-CN"/>
        </w:rPr>
        <w:t>，配置</w:t>
      </w:r>
      <w:r>
        <w:rPr>
          <w:rFonts w:hint="eastAsia" w:ascii="宋体" w:hAnsi="宋体" w:eastAsia="宋体" w:cs="宋体"/>
          <w:i w:val="0"/>
          <w:iCs w:val="0"/>
          <w:caps w:val="0"/>
          <w:color w:val="auto"/>
          <w:spacing w:val="0"/>
          <w:kern w:val="0"/>
          <w:sz w:val="24"/>
          <w:szCs w:val="24"/>
          <w:highlight w:val="none"/>
          <w:u w:val="none"/>
          <w:lang w:val="en-US" w:eastAsia="zh-CN" w:bidi="ar-SA"/>
        </w:rPr>
        <w:t>不少于</w:t>
      </w:r>
      <w:r>
        <w:rPr>
          <w:rFonts w:hint="eastAsia" w:ascii="宋体" w:hAnsi="宋体" w:eastAsia="宋体" w:cs="宋体"/>
          <w:kern w:val="0"/>
          <w:sz w:val="24"/>
          <w:szCs w:val="24"/>
          <w:highlight w:val="none"/>
          <w:lang w:val="en-US" w:eastAsia="zh-CN"/>
        </w:rPr>
        <w:t>5名厨房工作人员，用餐人数111人。合同执行过程中，因就餐人数增减需增减食堂工作人员的，由供应商与采购人协商解决。餐厅所辖区域的设备、设施安全运行及维护、卫生清洁服务；打卡收费，负责餐厅食品卫生、设备安全等工作。</w:t>
      </w:r>
    </w:p>
    <w:p w14:paraId="0F3AC56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（一）现场运营管理</w:t>
      </w:r>
    </w:p>
    <w:p w14:paraId="2BADFAB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1.服务内容</w:t>
      </w:r>
    </w:p>
    <w:p w14:paraId="20313F2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包括</w:t>
      </w:r>
      <w:r>
        <w:rPr>
          <w:rFonts w:hint="eastAsia" w:ascii="宋体" w:hAnsi="宋体" w:eastAsia="宋体" w:cs="宋体"/>
          <w:sz w:val="24"/>
          <w:szCs w:val="24"/>
          <w:highlight w:val="none"/>
          <w:lang w:val="en-US" w:eastAsia="zh-CN"/>
        </w:rPr>
        <w:t>但不限于</w:t>
      </w:r>
      <w:r>
        <w:rPr>
          <w:rFonts w:hint="eastAsia" w:ascii="宋体" w:hAnsi="宋体" w:eastAsia="宋体" w:cs="宋体"/>
          <w:sz w:val="24"/>
          <w:szCs w:val="24"/>
          <w:highlight w:val="none"/>
        </w:rPr>
        <w:t>：</w:t>
      </w:r>
    </w:p>
    <w:p w14:paraId="64DBE7A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（1）餐厅工作人员的招聘与管理；</w:t>
      </w:r>
    </w:p>
    <w:p w14:paraId="12CE9D5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（2）餐厅档口的餐品</w:t>
      </w:r>
      <w:r>
        <w:rPr>
          <w:rFonts w:hint="eastAsia" w:ascii="宋体" w:hAnsi="宋体" w:eastAsia="宋体" w:cs="宋体"/>
          <w:sz w:val="24"/>
          <w:szCs w:val="24"/>
          <w:highlight w:val="none"/>
        </w:rPr>
        <w:t>供应；</w:t>
      </w:r>
    </w:p>
    <w:p w14:paraId="700DE2F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（3）餐厅档口菜品质量控制</w:t>
      </w:r>
      <w:r>
        <w:rPr>
          <w:rFonts w:hint="eastAsia" w:ascii="宋体" w:hAnsi="宋体" w:eastAsia="宋体" w:cs="宋体"/>
          <w:sz w:val="24"/>
          <w:szCs w:val="24"/>
          <w:highlight w:val="none"/>
        </w:rPr>
        <w:t>；</w:t>
      </w:r>
    </w:p>
    <w:p w14:paraId="6C04CB4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（4）餐厅所有食材原料供应链搭建与管理；</w:t>
      </w:r>
    </w:p>
    <w:p w14:paraId="798C1F3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（5）餐厅食品安全管理；</w:t>
      </w:r>
    </w:p>
    <w:p w14:paraId="555AA6D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（6）餐厅环境质量管理</w:t>
      </w:r>
      <w:r>
        <w:rPr>
          <w:rFonts w:hint="eastAsia" w:ascii="宋体" w:hAnsi="宋体" w:eastAsia="宋体" w:cs="宋体"/>
          <w:sz w:val="24"/>
          <w:szCs w:val="24"/>
          <w:highlight w:val="none"/>
        </w:rPr>
        <w:t>；</w:t>
      </w:r>
    </w:p>
    <w:p w14:paraId="7D96BCE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（7）餐厅服务管理；</w:t>
      </w:r>
    </w:p>
    <w:p w14:paraId="24C0023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（8）餐厅</w:t>
      </w:r>
      <w:r>
        <w:rPr>
          <w:rFonts w:hint="eastAsia" w:ascii="宋体" w:hAnsi="宋体" w:eastAsia="宋体" w:cs="宋体"/>
          <w:sz w:val="24"/>
          <w:szCs w:val="24"/>
          <w:highlight w:val="none"/>
        </w:rPr>
        <w:t>设施设备的</w:t>
      </w:r>
      <w:r>
        <w:rPr>
          <w:rFonts w:hint="eastAsia" w:ascii="宋体" w:hAnsi="宋体" w:eastAsia="宋体" w:cs="宋体"/>
          <w:sz w:val="24"/>
          <w:szCs w:val="24"/>
          <w:highlight w:val="none"/>
          <w:lang w:val="en-US" w:eastAsia="zh-CN"/>
        </w:rPr>
        <w:t>保管与维护</w:t>
      </w:r>
      <w:r>
        <w:rPr>
          <w:rFonts w:hint="eastAsia" w:ascii="宋体" w:hAnsi="宋体" w:eastAsia="宋体" w:cs="宋体"/>
          <w:sz w:val="24"/>
          <w:szCs w:val="24"/>
          <w:highlight w:val="none"/>
          <w:lang w:eastAsia="zh-CN"/>
        </w:rPr>
        <w:t>；</w:t>
      </w:r>
    </w:p>
    <w:p w14:paraId="3A3A784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（9）突发事件的应急管理</w:t>
      </w:r>
      <w:r>
        <w:rPr>
          <w:rFonts w:hint="eastAsia" w:ascii="宋体" w:hAnsi="宋体" w:eastAsia="宋体" w:cs="宋体"/>
          <w:sz w:val="24"/>
          <w:szCs w:val="24"/>
          <w:highlight w:val="none"/>
        </w:rPr>
        <w:t>等。</w:t>
      </w:r>
    </w:p>
    <w:p w14:paraId="191A3CE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（二）经营管理服务</w:t>
      </w:r>
    </w:p>
    <w:p w14:paraId="628B30D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包括但不限于：</w:t>
      </w:r>
    </w:p>
    <w:p w14:paraId="7DB3BCC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1.结合经营情况，建立健全餐厅组织管理提供组织管理方案与制度；</w:t>
      </w:r>
    </w:p>
    <w:p w14:paraId="09DB929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2.引进国内先进餐厅管理理念与经验，为餐厅全流程管理提供方案；</w:t>
      </w:r>
    </w:p>
    <w:p w14:paraId="5BD3CD2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3.对餐饮专业团队的招聘、专业团队的建设管理工作提供建议并协助完成；</w:t>
      </w:r>
    </w:p>
    <w:p w14:paraId="73B7BE7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4.对餐厅人员进行日常培训；</w:t>
      </w:r>
    </w:p>
    <w:p w14:paraId="60715FC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5.按季度反馈信息系统运行情况以及整改意见；</w:t>
      </w:r>
    </w:p>
    <w:p w14:paraId="4D9FA6E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6.参与信息系统全流程运行并提供经营管理服务；</w:t>
      </w:r>
    </w:p>
    <w:p w14:paraId="507A462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7.参与餐厅供应链系统的选择、导入及监督工作；</w:t>
      </w:r>
    </w:p>
    <w:p w14:paraId="015260B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8.餐厅各类设施设备的选择与维护提供专业化的建议与意见；</w:t>
      </w:r>
    </w:p>
    <w:p w14:paraId="466CEB4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9.餐厅菜品研发及出品方案进行持续设计、优化与提升；</w:t>
      </w:r>
    </w:p>
    <w:p w14:paraId="341AA80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10.对餐厅的食品安全、环境卫生、经营情况等进行检查，并对发现问题进行汇总整理，并协助整改落实；</w:t>
      </w:r>
    </w:p>
    <w:p w14:paraId="31431BE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11.配合完成职责范围内的经营管理服务。</w:t>
      </w:r>
    </w:p>
    <w:p w14:paraId="5965681D">
      <w:pPr>
        <w:keepNext w:val="0"/>
        <w:keepLines w:val="0"/>
        <w:pageBreakBefore w:val="0"/>
        <w:widowControl/>
        <w:kinsoku/>
        <w:wordWrap/>
        <w:overflowPunct/>
        <w:topLinePunct w:val="0"/>
        <w:autoSpaceDE/>
        <w:autoSpaceDN/>
        <w:bidi w:val="0"/>
        <w:spacing w:line="360" w:lineRule="auto"/>
        <w:ind w:right="0" w:rightChars="0"/>
        <w:rPr>
          <w:rFonts w:hint="eastAsia" w:ascii="宋体" w:hAnsi="宋体" w:eastAsia="宋体" w:cs="宋体"/>
          <w:b/>
          <w:bCs/>
          <w:sz w:val="24"/>
          <w:szCs w:val="24"/>
          <w:highlight w:val="none"/>
          <w:lang w:val="en-US" w:eastAsia="zh-CN" w:bidi="ar-SA"/>
        </w:rPr>
      </w:pPr>
      <w:r>
        <w:rPr>
          <w:rFonts w:hint="eastAsia" w:ascii="宋体" w:hAnsi="宋体" w:eastAsia="宋体" w:cs="宋体"/>
          <w:b/>
          <w:bCs/>
          <w:sz w:val="24"/>
          <w:szCs w:val="24"/>
          <w:highlight w:val="none"/>
          <w:lang w:val="en-US" w:eastAsia="en-US" w:bidi="ar-SA"/>
        </w:rPr>
        <w:t>三、</w:t>
      </w:r>
      <w:r>
        <w:rPr>
          <w:rFonts w:hint="eastAsia" w:ascii="宋体" w:hAnsi="宋体" w:eastAsia="宋体" w:cs="宋体"/>
          <w:b/>
          <w:bCs/>
          <w:sz w:val="24"/>
          <w:szCs w:val="24"/>
          <w:highlight w:val="none"/>
          <w:lang w:val="en-US" w:eastAsia="zh-CN" w:bidi="ar-SA"/>
        </w:rPr>
        <w:t>技术</w:t>
      </w:r>
      <w:r>
        <w:rPr>
          <w:rFonts w:hint="eastAsia" w:ascii="宋体" w:hAnsi="宋体" w:eastAsia="宋体" w:cs="宋体"/>
          <w:b/>
          <w:bCs/>
          <w:sz w:val="24"/>
          <w:szCs w:val="24"/>
          <w:highlight w:val="none"/>
          <w:lang w:val="en-US" w:eastAsia="en-US" w:bidi="ar-SA"/>
        </w:rPr>
        <w:t>要求</w:t>
      </w:r>
    </w:p>
    <w:p w14:paraId="4A001E5C">
      <w:pPr>
        <w:keepNext w:val="0"/>
        <w:keepLines w:val="0"/>
        <w:pageBreakBefore w:val="0"/>
        <w:widowControl/>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（一）供餐标准</w:t>
      </w:r>
    </w:p>
    <w:p w14:paraId="263CA97C">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1.供应商按照每天人均40元（包含早餐、午餐、晚餐）标准合理配餐。</w:t>
      </w:r>
    </w:p>
    <w:p w14:paraId="308DA808">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配餐标准要求（不限于）：</w:t>
      </w:r>
    </w:p>
    <w:p w14:paraId="41A2064E">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（1）早餐：7个菜（4凉3热），主食馒头、包子、花卷、油条（饼）等，小吃胡辣汤、肉夹馍、豆腐脑等不能重样，小菜4种，稀饭2种，豆浆、鲜奶、鸡蛋必备。</w:t>
      </w:r>
    </w:p>
    <w:p w14:paraId="23182797">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（2）中餐：8个菜（春夏秋三季2凉6热、冬季8热），主食米饭、面条等，小吃不少于两种，荤素汤各1种，水果2样，酸奶1种。</w:t>
      </w:r>
    </w:p>
    <w:p w14:paraId="6BAF746B">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（3）晚餐：3个菜，面条。</w:t>
      </w:r>
    </w:p>
    <w:p w14:paraId="7D41E50D">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（4）小吃，多样化。</w:t>
      </w:r>
    </w:p>
    <w:p w14:paraId="0CB2B70F">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供应商按照上述餐费标准及要求制定菜谱，做到营养搭配、均衡膳食。</w:t>
      </w:r>
    </w:p>
    <w:p w14:paraId="2802F6AA">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2.供餐时间：早饭：07：30-09：00</w:t>
      </w:r>
    </w:p>
    <w:p w14:paraId="448BA231">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午饭：11：30-13：30</w:t>
      </w:r>
    </w:p>
    <w:p w14:paraId="508CE3B0">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晚饭：17：30-19：30</w:t>
      </w:r>
    </w:p>
    <w:p w14:paraId="55B6797A">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注：采购人周末及节假日均有少量人员值班，供应商需正常供餐。</w:t>
      </w:r>
    </w:p>
    <w:p w14:paraId="57B6EE54">
      <w:pPr>
        <w:keepNext w:val="0"/>
        <w:keepLines w:val="0"/>
        <w:pageBreakBefore w:val="0"/>
        <w:widowControl/>
        <w:kinsoku/>
        <w:wordWrap/>
        <w:overflowPunct/>
        <w:topLinePunct w:val="0"/>
        <w:autoSpaceDE/>
        <w:autoSpaceDN/>
        <w:bidi w:val="0"/>
        <w:spacing w:line="360" w:lineRule="auto"/>
        <w:ind w:right="0" w:rightChars="0"/>
        <w:rPr>
          <w:rFonts w:hint="eastAsia" w:ascii="宋体" w:hAnsi="宋体" w:eastAsia="宋体" w:cs="宋体"/>
          <w:b/>
          <w:bCs/>
          <w:sz w:val="24"/>
          <w:szCs w:val="24"/>
          <w:highlight w:val="none"/>
          <w:lang w:val="en-US" w:eastAsia="en-US" w:bidi="ar-SA"/>
        </w:rPr>
      </w:pPr>
      <w:r>
        <w:rPr>
          <w:rFonts w:hint="eastAsia" w:ascii="宋体" w:hAnsi="宋体" w:eastAsia="宋体" w:cs="宋体"/>
          <w:b/>
          <w:bCs/>
          <w:sz w:val="24"/>
          <w:szCs w:val="24"/>
          <w:highlight w:val="none"/>
          <w:lang w:val="en-US" w:eastAsia="en-US" w:bidi="ar-SA"/>
        </w:rPr>
        <w:t>四、服务要求与标准</w:t>
      </w:r>
    </w:p>
    <w:p w14:paraId="724A288C">
      <w:pPr>
        <w:keepNext w:val="0"/>
        <w:keepLines w:val="0"/>
        <w:pageBreakBefore w:val="0"/>
        <w:widowControl/>
        <w:kinsoku/>
        <w:wordWrap/>
        <w:overflowPunct/>
        <w:topLinePunct w:val="0"/>
        <w:autoSpaceDE/>
        <w:autoSpaceDN/>
        <w:bidi w:val="0"/>
        <w:spacing w:line="360" w:lineRule="auto"/>
        <w:ind w:right="0" w:rightChars="0"/>
        <w:rPr>
          <w:rFonts w:hint="eastAsia" w:ascii="宋体" w:hAnsi="宋体" w:eastAsia="宋体" w:cs="宋体"/>
          <w:b/>
          <w:bCs/>
          <w:sz w:val="24"/>
          <w:szCs w:val="24"/>
          <w:highlight w:val="none"/>
          <w:lang w:val="en-US" w:eastAsia="zh-CN" w:bidi="ar-SA"/>
        </w:rPr>
      </w:pPr>
      <w:r>
        <w:rPr>
          <w:rFonts w:hint="eastAsia" w:ascii="宋体" w:hAnsi="宋体" w:eastAsia="宋体" w:cs="宋体"/>
          <w:b/>
          <w:bCs/>
          <w:sz w:val="24"/>
          <w:szCs w:val="24"/>
          <w:highlight w:val="none"/>
          <w:lang w:val="en-US" w:eastAsia="zh-CN" w:bidi="ar-SA"/>
        </w:rPr>
        <w:t>（一）管理要求</w:t>
      </w:r>
    </w:p>
    <w:p w14:paraId="40CA6DA9">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w:t>
      </w:r>
      <w:r>
        <w:rPr>
          <w:rFonts w:hint="eastAsia" w:ascii="宋体" w:hAnsi="宋体" w:eastAsia="宋体" w:cs="宋体"/>
          <w:snapToGrid w:val="0"/>
          <w:color w:val="000000"/>
          <w:kern w:val="0"/>
          <w:sz w:val="24"/>
          <w:szCs w:val="24"/>
          <w:highlight w:val="none"/>
          <w:lang w:val="en-US" w:eastAsia="zh-CN" w:bidi="ar-SA"/>
        </w:rPr>
        <w:t>供应商负责做好食堂后厨及餐厅清洁卫生；</w:t>
      </w:r>
    </w:p>
    <w:p w14:paraId="0FD08F9E">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2.用时合理；</w:t>
      </w:r>
    </w:p>
    <w:p w14:paraId="723859E9">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3.所有菜品应根据季节变化更新原料搭配，注重菜品更新；</w:t>
      </w:r>
    </w:p>
    <w:p w14:paraId="75B1A810">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4.食品安全保证；</w:t>
      </w:r>
    </w:p>
    <w:p w14:paraId="05551108">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5.为就餐地点合理配备各类服务人员及人数；</w:t>
      </w:r>
    </w:p>
    <w:p w14:paraId="1A2B32BE">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6.供应商负责餐饮质量、现场安全生产管理等相关工作；</w:t>
      </w:r>
    </w:p>
    <w:p w14:paraId="56A0AECC">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7.食品样品留样：供应商每日食品须留样，食品样品的提取和保存应满足采购人或政府监管部门的要求，供应商应随时配合政府有关部门的管理；</w:t>
      </w:r>
    </w:p>
    <w:p w14:paraId="4402B33F">
      <w:pPr>
        <w:pStyle w:val="15"/>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8.</w:t>
      </w:r>
      <w:r>
        <w:rPr>
          <w:rFonts w:hint="eastAsia" w:ascii="宋体" w:hAnsi="宋体" w:eastAsia="宋体" w:cs="宋体"/>
          <w:snapToGrid w:val="0"/>
          <w:color w:val="000000"/>
          <w:kern w:val="0"/>
          <w:sz w:val="24"/>
          <w:szCs w:val="24"/>
          <w:highlight w:val="none"/>
          <w:lang w:val="en-US" w:eastAsia="zh-CN" w:bidi="ar-SA"/>
        </w:rPr>
        <w:t>餐厅食品安全管理工作，对食材入库检查、食材加工烹调、厨房餐具用具等重点环节进行重点把控；</w:t>
      </w:r>
    </w:p>
    <w:p w14:paraId="48869A3E">
      <w:pPr>
        <w:pStyle w:val="15"/>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9.</w:t>
      </w:r>
      <w:r>
        <w:rPr>
          <w:rFonts w:hint="eastAsia" w:ascii="宋体" w:hAnsi="宋体" w:eastAsia="宋体" w:cs="宋体"/>
          <w:color w:val="auto"/>
          <w:kern w:val="0"/>
          <w:sz w:val="24"/>
          <w:szCs w:val="24"/>
          <w:highlight w:val="none"/>
          <w:lang w:val="en-US" w:eastAsia="zh-CN"/>
        </w:rPr>
        <w:t>餐厅食品卫生管理工作，对食品配餐间、食品加工间以及工作人员的卫生等情况进行管理；</w:t>
      </w:r>
    </w:p>
    <w:p w14:paraId="653817CA">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10.餐厅各区域内的安全设施是否正常，制定消防演练、预案演练等工作，确保餐厅人员和财产安全；</w:t>
      </w:r>
    </w:p>
    <w:p w14:paraId="52CDEDAA">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11.安全、消防知识学习，定期进行安全、消防检查，及时处理安全漏洞与隐患，遇险情立即采取应急措施，并及时报告相关领导。</w:t>
      </w:r>
    </w:p>
    <w:p w14:paraId="300BCF67">
      <w:pPr>
        <w:keepNext w:val="0"/>
        <w:keepLines w:val="0"/>
        <w:pageBreakBefore w:val="0"/>
        <w:widowControl/>
        <w:kinsoku/>
        <w:wordWrap/>
        <w:overflowPunct/>
        <w:topLinePunct w:val="0"/>
        <w:autoSpaceDE/>
        <w:autoSpaceDN/>
        <w:bidi w:val="0"/>
        <w:spacing w:line="360" w:lineRule="auto"/>
        <w:ind w:right="0" w:rightChars="0"/>
        <w:rPr>
          <w:rFonts w:hint="eastAsia" w:ascii="宋体" w:hAnsi="宋体" w:eastAsia="宋体" w:cs="宋体"/>
          <w:b/>
          <w:bCs/>
          <w:sz w:val="24"/>
          <w:szCs w:val="24"/>
          <w:highlight w:val="none"/>
          <w:lang w:val="en-US" w:eastAsia="zh-CN" w:bidi="ar-SA"/>
        </w:rPr>
      </w:pPr>
      <w:r>
        <w:rPr>
          <w:rFonts w:hint="eastAsia" w:ascii="宋体" w:hAnsi="宋体" w:eastAsia="宋体" w:cs="宋体"/>
          <w:b/>
          <w:bCs/>
          <w:sz w:val="24"/>
          <w:szCs w:val="24"/>
          <w:highlight w:val="none"/>
          <w:lang w:val="en-US" w:eastAsia="zh-CN" w:bidi="ar-SA"/>
        </w:rPr>
        <w:t>（二）餐厅人员要求及标准</w:t>
      </w:r>
    </w:p>
    <w:p w14:paraId="2FA8280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餐厅服务人员应满足以下条件：</w:t>
      </w:r>
    </w:p>
    <w:p w14:paraId="29C6C1B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highlight w:val="none"/>
          <w:lang w:val="en-US" w:eastAsia="zh-CN"/>
        </w:rPr>
        <w:t>凡食品生产经营人员应按照相关规定进行健康检查，取得健康证明后方可参加工作；</w:t>
      </w:r>
    </w:p>
    <w:p w14:paraId="3A232BB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highlight w:val="none"/>
          <w:lang w:val="en-US" w:eastAsia="zh-CN"/>
        </w:rPr>
        <w:t>凡患有痢疾、伤寒、病毒性肝炎等消化道传染病（包括病原携带者），活动性肺结核，化脓性或者渗出性皮肤病及其它有碍食品卫生的疾病，不得从事接触直接入口食品工作；</w:t>
      </w:r>
    </w:p>
    <w:p w14:paraId="453AA12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highlight w:val="none"/>
          <w:lang w:val="en-US" w:eastAsia="zh-CN"/>
        </w:rPr>
        <w:t>凡食品从业人员手部有开放性、感染性伤口，必须调离工作岗位；</w:t>
      </w:r>
    </w:p>
    <w:p w14:paraId="6670608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highlight w:val="none"/>
          <w:lang w:val="en-US" w:eastAsia="zh-CN"/>
        </w:rPr>
        <w:t>人员须提供入职人员档案、身份证复印件、员工花名册以及对应照片、保险、健康证明、无犯罪记录证明等，</w:t>
      </w:r>
    </w:p>
    <w:p w14:paraId="6A2025D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highlight w:val="none"/>
          <w:lang w:val="en-US" w:eastAsia="zh-CN"/>
        </w:rPr>
        <w:t>人员应为年龄18周岁以上的中国公民，品行良好，遵纪守法，无犯罪记录或治安处罚记录。</w:t>
      </w:r>
    </w:p>
    <w:p w14:paraId="727BBA0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highlight w:val="none"/>
          <w:lang w:val="en-US" w:eastAsia="zh-CN"/>
        </w:rPr>
        <w:t>人员应具备相应岗位的工作能力和工作经验，思想作风正派；</w:t>
      </w:r>
    </w:p>
    <w:p w14:paraId="568F311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highlight w:val="none"/>
          <w:lang w:val="en-US" w:eastAsia="zh-CN"/>
        </w:rPr>
        <w:t>服务人员需提供人员名单、身份证号码等个人信息，以便于后期采购人随时核查。如出现虚假响应或不响应等情况，则取消中标资格。</w:t>
      </w:r>
    </w:p>
    <w:p w14:paraId="261BABFA">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spacing w:val="0"/>
          <w:w w:val="100"/>
          <w:kern w:val="0"/>
          <w:position w:val="0"/>
          <w:sz w:val="24"/>
          <w:szCs w:val="24"/>
          <w:highlight w:val="none"/>
          <w:shd w:val="clear" w:color="auto" w:fill="auto"/>
          <w:lang w:val="en-US" w:eastAsia="zh-CN" w:bidi="en-US"/>
        </w:rPr>
      </w:pPr>
      <w:r>
        <w:rPr>
          <w:rFonts w:hint="eastAsia" w:ascii="宋体" w:hAnsi="宋体" w:eastAsia="宋体" w:cs="宋体"/>
          <w:b/>
          <w:bCs/>
          <w:color w:val="000000"/>
          <w:spacing w:val="0"/>
          <w:w w:val="100"/>
          <w:kern w:val="0"/>
          <w:position w:val="0"/>
          <w:sz w:val="24"/>
          <w:szCs w:val="24"/>
          <w:highlight w:val="none"/>
          <w:shd w:val="clear" w:color="auto" w:fill="auto"/>
          <w:lang w:val="en-US" w:eastAsia="zh-CN" w:bidi="en-US"/>
        </w:rPr>
        <w:t>（三）食品安全生产要求及标准</w:t>
      </w:r>
    </w:p>
    <w:p w14:paraId="63B8C923">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kern w:val="0"/>
          <w:sz w:val="24"/>
          <w:szCs w:val="24"/>
          <w:highlight w:val="none"/>
          <w:lang w:val="en-US" w:eastAsia="zh-CN"/>
        </w:rPr>
        <w:t>.</w:t>
      </w:r>
      <w:r>
        <w:rPr>
          <w:rFonts w:hint="eastAsia" w:ascii="宋体" w:hAnsi="宋体" w:eastAsia="宋体" w:cs="宋体"/>
          <w:color w:val="auto"/>
          <w:sz w:val="24"/>
          <w:szCs w:val="24"/>
          <w:highlight w:val="none"/>
          <w:lang w:val="en-US" w:eastAsia="zh-CN"/>
        </w:rPr>
        <w:t>依照法律、法规和食品安全标准从事加工经营活动，对采购人负责，采取有效管理措施，保证食品安全，接受社会监督，承担社会责任。按照许可范围依法经营,并在就餐场所醒目位置悬挂或者摆放食品经营许可证；</w:t>
      </w:r>
    </w:p>
    <w:p w14:paraId="5C648971">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Chars="0"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kern w:val="0"/>
          <w:sz w:val="24"/>
          <w:szCs w:val="24"/>
          <w:highlight w:val="none"/>
          <w:lang w:val="en-US" w:eastAsia="zh-CN"/>
        </w:rPr>
        <w:t>.</w:t>
      </w:r>
      <w:r>
        <w:rPr>
          <w:rFonts w:hint="eastAsia" w:ascii="宋体" w:hAnsi="宋体" w:eastAsia="宋体" w:cs="宋体"/>
          <w:color w:val="auto"/>
          <w:sz w:val="24"/>
          <w:szCs w:val="24"/>
          <w:highlight w:val="none"/>
          <w:lang w:val="en-US" w:eastAsia="zh-CN"/>
        </w:rPr>
        <w:t>建立健全食品库房管理制度、食品加工间管理制度、粗加工管理制度、烹调加工管理制度、面食制作管理制度、食品留样制度、餐具洗涤消杀管理制度等相关制度；</w:t>
      </w:r>
    </w:p>
    <w:p w14:paraId="542E7A01">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Chars="0"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kern w:val="0"/>
          <w:sz w:val="24"/>
          <w:szCs w:val="24"/>
          <w:highlight w:val="none"/>
          <w:lang w:val="en-US" w:eastAsia="zh-CN"/>
        </w:rPr>
        <w:t>.</w:t>
      </w:r>
      <w:r>
        <w:rPr>
          <w:rFonts w:hint="eastAsia" w:ascii="宋体" w:hAnsi="宋体" w:eastAsia="宋体" w:cs="宋体"/>
          <w:color w:val="auto"/>
          <w:sz w:val="24"/>
          <w:szCs w:val="24"/>
          <w:highlight w:val="none"/>
          <w:lang w:val="en-US" w:eastAsia="zh-CN"/>
        </w:rPr>
        <w:t>建立餐厅食品安全管理组织机构,配备培训合格的食品安全管理员，对食品生产过程实施内部检查管理并记录,落实责任到人和员工奖罚制度管理，积极预防和控制食品安全事件。</w:t>
      </w:r>
    </w:p>
    <w:p w14:paraId="1F453A6E">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spacing w:val="0"/>
          <w:w w:val="100"/>
          <w:kern w:val="0"/>
          <w:position w:val="0"/>
          <w:sz w:val="24"/>
          <w:szCs w:val="24"/>
          <w:highlight w:val="none"/>
          <w:shd w:val="clear" w:color="auto" w:fill="auto"/>
          <w:lang w:val="en-US" w:eastAsia="zh-CN" w:bidi="en-US"/>
        </w:rPr>
      </w:pPr>
      <w:r>
        <w:rPr>
          <w:rFonts w:hint="eastAsia" w:ascii="宋体" w:hAnsi="宋体" w:eastAsia="宋体" w:cs="宋体"/>
          <w:b/>
          <w:bCs/>
          <w:color w:val="000000"/>
          <w:spacing w:val="0"/>
          <w:w w:val="100"/>
          <w:kern w:val="0"/>
          <w:position w:val="0"/>
          <w:sz w:val="24"/>
          <w:szCs w:val="24"/>
          <w:highlight w:val="none"/>
          <w:shd w:val="clear" w:color="auto" w:fill="auto"/>
          <w:lang w:val="en-US" w:eastAsia="zh-CN" w:bidi="en-US"/>
        </w:rPr>
        <w:t>（四）卫生要求</w:t>
      </w:r>
    </w:p>
    <w:p w14:paraId="0694E8BD">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1</w:t>
      </w:r>
      <w:r>
        <w:rPr>
          <w:rFonts w:hint="eastAsia" w:ascii="宋体" w:hAnsi="宋体" w:eastAsia="宋体" w:cs="宋体"/>
          <w:kern w:val="0"/>
          <w:sz w:val="24"/>
          <w:szCs w:val="24"/>
          <w:highlight w:val="none"/>
          <w:lang w:val="en-US" w:eastAsia="zh-CN"/>
        </w:rPr>
        <w:t>.</w:t>
      </w: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厨房内配备防蝇</w:t>
      </w:r>
      <w:r>
        <w:rPr>
          <w:rFonts w:hint="eastAsia" w:ascii="宋体" w:hAnsi="宋体" w:eastAsia="宋体" w:cs="宋体"/>
          <w:b w:val="0"/>
          <w:bCs w:val="0"/>
          <w:color w:val="000000"/>
          <w:kern w:val="0"/>
          <w:sz w:val="24"/>
          <w:szCs w:val="24"/>
          <w:highlight w:val="none"/>
          <w:lang w:val="en-US" w:eastAsia="zh-CN" w:bidi="ar"/>
        </w:rPr>
        <w:t>、防鼠</w:t>
      </w:r>
      <w:r>
        <w:rPr>
          <w:rFonts w:hint="eastAsia" w:ascii="宋体" w:hAnsi="宋体" w:eastAsia="宋体" w:cs="宋体"/>
          <w:color w:val="000000"/>
          <w:kern w:val="0"/>
          <w:sz w:val="24"/>
          <w:szCs w:val="24"/>
          <w:highlight w:val="none"/>
          <w:lang w:val="en-US" w:eastAsia="zh-CN" w:bidi="ar"/>
        </w:rPr>
        <w:t>措施和设施。</w:t>
      </w:r>
    </w:p>
    <w:p w14:paraId="69B7687F">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2</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连接餐厅的通道干净整洁，地面无积水和油腻，有隔音、隔气装置，设施完好有效。</w:t>
      </w:r>
    </w:p>
    <w:p w14:paraId="481276A2">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3</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灶台和橱柜清洁完好，无破损，无油垢，无垃圾，橱柜内各种用具用品摆放有序，无私人用品。</w:t>
      </w:r>
    </w:p>
    <w:p w14:paraId="32BE769B">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4</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排烟罩清洁完好，罩面、滤油网以及里面的照明灯具均无油垢，有定期擦排烟罩和清洗滤油网的措施。</w:t>
      </w:r>
    </w:p>
    <w:p w14:paraId="3585DC1B">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5</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调料缸干净整洁，各种调料充足，不变质，开餐工作结束时坚持加盖盖好。</w:t>
      </w:r>
    </w:p>
    <w:p w14:paraId="7619BFC2">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6</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砧板清洁，无霉斑积垢，开餐工作结束时，要竖放或置于两面通风处。</w:t>
      </w:r>
    </w:p>
    <w:p w14:paraId="36BE2F43">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7</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刀具清洁无锈迹，有安全地存放刀架，并实行个人保管制度。</w:t>
      </w:r>
    </w:p>
    <w:p w14:paraId="52CBFEEC">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8</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冰箱(冰柜、冷藏柜、保鲜柜)清洁完好，有定期的清理和除霜制度,表面无锈迹，无油垢，无破损；冰箱内干净，无积水，无异味，摆放整齐，严格做到鱼肉分开、荤素分开、生热分开、成品和半成品分开；无私人物品，并由专人管理。</w:t>
      </w:r>
    </w:p>
    <w:p w14:paraId="6329306B">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9</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冷拼间、面点间坚持做到“三专”(专间、专人、专用具)、“三严”(严格检查进货、严格分开生熟食品、严格消毒各种用具)、“三不入”(未经洗净的生食品不准入内、非有关的人员不准入内、私人的物品不得带入)，专间内备有“三水”(消毒水、洗涤水、清水)，进入专间实行两次更衣。</w:t>
      </w:r>
    </w:p>
    <w:p w14:paraId="743A6894">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10</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所有炊具、盛器、餐具清洁完好，无破损，无油垢。</w:t>
      </w:r>
    </w:p>
    <w:p w14:paraId="64AD1942">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11</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厨房的四壁、天花板干净整洁、无破损，地面、排水沟、无积水、无油垢、无积尘、无垃圾、无破损。</w:t>
      </w:r>
    </w:p>
    <w:p w14:paraId="68F6F26C">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12</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厨房门窗清洁完好，无油垢、无积尘、无破损。</w:t>
      </w:r>
    </w:p>
    <w:p w14:paraId="11F813E0">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13</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脚踏式垃圾箱(桶)加盖盖好，四周无散积垃圾，及时清运。</w:t>
      </w:r>
    </w:p>
    <w:p w14:paraId="3AAA68CE">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color w:val="000000"/>
          <w:kern w:val="0"/>
          <w:sz w:val="24"/>
          <w:szCs w:val="24"/>
          <w:highlight w:val="none"/>
          <w:lang w:val="en-US" w:eastAsia="zh-CN" w:bidi="ar"/>
        </w:rPr>
        <w:t>14</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厨房内四害密度控制在标准要求内，有定期的除害打药措施。</w:t>
      </w:r>
    </w:p>
    <w:p w14:paraId="42FC3F8A">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000000"/>
          <w:spacing w:val="0"/>
          <w:w w:val="100"/>
          <w:kern w:val="0"/>
          <w:position w:val="0"/>
          <w:sz w:val="24"/>
          <w:szCs w:val="24"/>
          <w:highlight w:val="none"/>
          <w:shd w:val="clear" w:color="auto" w:fill="auto"/>
          <w:lang w:val="en-US" w:eastAsia="zh-CN" w:bidi="en-US"/>
        </w:rPr>
        <w:t>（五）严格落实监管意见和整改的要求；</w:t>
      </w:r>
    </w:p>
    <w:p w14:paraId="47AAE1C0">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1</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食品安全管理员须认真按照职责要求，组织贯彻落实管理人员和从业人员食品安全知识培训、员工健康管理、索证票据、餐具清洗消毒、综合检查、设备管理,环境卫生管理等各项食品安全管理制度，并做好相关记录；</w:t>
      </w:r>
    </w:p>
    <w:p w14:paraId="33E7C9B9">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2</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每位员工都要严把食品安全卫生关，拿到出餐台的产品不得出现任何异物，切实做好预防食物中毒的工作；</w:t>
      </w:r>
    </w:p>
    <w:p w14:paraId="53A4DADE">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3</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餐厅设施设备</w:t>
      </w:r>
      <w:r>
        <w:rPr>
          <w:rFonts w:hint="eastAsia" w:ascii="宋体" w:hAnsi="宋体" w:eastAsia="宋体" w:cs="宋体"/>
          <w:color w:val="000000"/>
          <w:sz w:val="24"/>
          <w:szCs w:val="24"/>
          <w:highlight w:val="none"/>
          <w:shd w:val="clear" w:color="auto" w:fill="auto"/>
          <w:lang w:bidi="en-US"/>
        </w:rPr>
        <w:t>及时</w:t>
      </w:r>
      <w:r>
        <w:rPr>
          <w:rFonts w:hint="eastAsia" w:ascii="宋体" w:hAnsi="宋体" w:eastAsia="宋体" w:cs="宋体"/>
          <w:color w:val="000000"/>
          <w:sz w:val="24"/>
          <w:szCs w:val="24"/>
          <w:highlight w:val="none"/>
          <w:shd w:val="clear" w:color="auto" w:fill="auto"/>
          <w:lang w:val="en-US" w:eastAsia="zh-CN" w:bidi="en-US"/>
        </w:rPr>
        <w:t>清洗消毒和</w:t>
      </w:r>
      <w:r>
        <w:rPr>
          <w:rFonts w:hint="eastAsia" w:ascii="宋体" w:hAnsi="宋体" w:eastAsia="宋体" w:cs="宋体"/>
          <w:color w:val="000000"/>
          <w:sz w:val="24"/>
          <w:szCs w:val="24"/>
          <w:highlight w:val="none"/>
          <w:shd w:val="clear" w:color="auto" w:fill="auto"/>
          <w:lang w:bidi="en-US"/>
        </w:rPr>
        <w:t>满足餐厅设施设备</w:t>
      </w:r>
      <w:r>
        <w:rPr>
          <w:rFonts w:hint="eastAsia" w:ascii="宋体" w:hAnsi="宋体" w:eastAsia="宋体" w:cs="宋体"/>
          <w:color w:val="000000"/>
          <w:sz w:val="24"/>
          <w:szCs w:val="24"/>
          <w:highlight w:val="none"/>
          <w:shd w:val="clear" w:color="auto" w:fill="auto"/>
          <w:lang w:val="en-US" w:eastAsia="zh-CN" w:bidi="en-US"/>
        </w:rPr>
        <w:t>维护要求及标准；</w:t>
      </w:r>
    </w:p>
    <w:p w14:paraId="77D2D074">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4</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厨房员工必须进行机器设备安全使用知识的培训。</w:t>
      </w:r>
    </w:p>
    <w:p w14:paraId="5EBC2441">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5</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进场后对厨房设备进行全面统计造册，建立“设施设备清单”及“设施设备台账”。</w:t>
      </w:r>
    </w:p>
    <w:p w14:paraId="1EA1B649">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6</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各部门掌握自己所用设备的正确使用方法并严格按照设备操作说明书要求操作；</w:t>
      </w:r>
    </w:p>
    <w:p w14:paraId="65314790">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7</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定期进行设施设备安全检查，并填写“设施设备定期巡检表”；</w:t>
      </w:r>
    </w:p>
    <w:p w14:paraId="1F5D7F22">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8</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根据设备情况编制各项设备“年度保养计划”及“设备大中修计划”，对于在保修期间的设施设备问题及时联系厂家进行免费维保；对于超出保修期的设施设备问题及时联系相关人员进行维保；</w:t>
      </w:r>
    </w:p>
    <w:p w14:paraId="00443294">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9</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专人对厨房所有设备及水、电、气等重点安全事项进行检查，确保万无一失，方可离开厨房，并锁好厨房门锁。</w:t>
      </w:r>
    </w:p>
    <w:p w14:paraId="38C7899C">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000000"/>
          <w:spacing w:val="0"/>
          <w:w w:val="100"/>
          <w:kern w:val="0"/>
          <w:position w:val="0"/>
          <w:sz w:val="24"/>
          <w:szCs w:val="24"/>
          <w:highlight w:val="none"/>
          <w:shd w:val="clear" w:color="auto" w:fill="auto"/>
          <w:lang w:val="en-US" w:eastAsia="zh-CN" w:bidi="en-US"/>
        </w:rPr>
        <w:t>（六）餐厅消防安全管理要求及标准</w:t>
      </w:r>
    </w:p>
    <w:p w14:paraId="470FAA7C">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1</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在营业期间，保障安全出口、疏散通道畅通无阻，消防安全疏散标志要随时完好。</w:t>
      </w:r>
    </w:p>
    <w:p w14:paraId="17357A4E">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2</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工作人员都要参加餐厅的消防知识培训，了解灭火器材的位置及性能。所有工作人员必须做到“四懂四会”，即懂得本岗位的火灾危险性、懂得预防火灾的措施、懂得扑救火灾的方法、懂得逃生自救方法；会报警，会使用消防器材，会扑救初起火灾，会组织引导人员疏散；</w:t>
      </w:r>
    </w:p>
    <w:p w14:paraId="242AD0D4">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3</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电器设备使用时严格遵守操作规程，操作人员使用前必须熟悉操作程序，出现故障时及时处理。未经安全负责人同意，不得随意布置电源线路和安装使用大功率电气设备；</w:t>
      </w:r>
    </w:p>
    <w:p w14:paraId="11B07F74">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4</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不得擅自改、装设施、设备，以免引发火险事故；确需进行改装的需提前上报至甲方，由甲方进行核实确认后进行改装；</w:t>
      </w:r>
    </w:p>
    <w:p w14:paraId="77BEE359">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5</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餐厅配备的消防设施和灭火器材，必须随时保持完好有效，不准随意的挪动和损坏，如发现有异常情况应及时向相关负责部门上报；</w:t>
      </w:r>
    </w:p>
    <w:p w14:paraId="2C7EC746">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6</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常检查炉灶的各部位，发现门阀堵塞、失灵、胶管老化等问题，要立即停用修理。如发现室内有液化气气味，要立即关闭炉灶开关和角阀，切断气源，及时打开窗户，严禁在周围吸烟、点火或启动电器开关。检查漏点可用肥皂水，严禁使用明火试漏；</w:t>
      </w:r>
    </w:p>
    <w:p w14:paraId="466BBB65">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7</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工作结束后，操作人员及时关闭厨房所有阀门，切断气源、火源和电源。</w:t>
      </w:r>
    </w:p>
    <w:p w14:paraId="653F073C">
      <w:pPr>
        <w:bidi w:val="0"/>
        <w:rPr>
          <w:rFonts w:hint="eastAsia"/>
          <w:highlight w:val="none"/>
          <w:lang w:val="en-US" w:eastAsia="zh-CN"/>
        </w:rPr>
      </w:pPr>
    </w:p>
    <w:p w14:paraId="0039311A">
      <w:pPr>
        <w:keepNext w:val="0"/>
        <w:keepLines w:val="0"/>
        <w:pageBreakBefore w:val="0"/>
        <w:widowControl/>
        <w:numPr>
          <w:ilvl w:val="0"/>
          <w:numId w:val="0"/>
        </w:numPr>
        <w:kinsoku/>
        <w:wordWrap/>
        <w:overflowPunct/>
        <w:topLinePunct w:val="0"/>
        <w:autoSpaceDE/>
        <w:autoSpaceDN/>
        <w:bidi w:val="0"/>
        <w:adjustRightInd/>
        <w:snapToGrid/>
        <w:spacing w:after="0" w:line="560" w:lineRule="exact"/>
        <w:ind w:firstLine="480" w:firstLineChars="200"/>
        <w:textAlignment w:val="auto"/>
        <w:rPr>
          <w:rFonts w:hint="eastAsia" w:ascii="宋体" w:hAnsi="宋体" w:eastAsia="宋体" w:cs="宋体"/>
          <w:sz w:val="24"/>
          <w:szCs w:val="24"/>
          <w:highlight w:val="none"/>
          <w:lang w:val="en-US" w:eastAsia="zh-CN"/>
        </w:rPr>
      </w:pPr>
    </w:p>
    <w:bookmarkEnd w:id="17"/>
    <w:p w14:paraId="5BCF68B0">
      <w:pPr>
        <w:jc w:val="center"/>
        <w:outlineLvl w:val="0"/>
        <w:rPr>
          <w:rFonts w:hint="eastAsia" w:ascii="宋体" w:hAnsi="宋体" w:eastAsia="宋体" w:cs="宋体"/>
          <w:b/>
          <w:bCs/>
          <w:sz w:val="32"/>
          <w:szCs w:val="32"/>
          <w:highlight w:val="none"/>
        </w:rPr>
        <w:sectPr>
          <w:headerReference r:id="rId7" w:type="default"/>
          <w:footerReference r:id="rId8" w:type="default"/>
          <w:footerReference r:id="rId9" w:type="even"/>
          <w:pgSz w:w="11906" w:h="16838"/>
          <w:pgMar w:top="1417" w:right="1083" w:bottom="1417" w:left="1083" w:header="851" w:footer="992" w:gutter="0"/>
          <w:pgBorders>
            <w:top w:val="none" w:sz="0" w:space="0"/>
            <w:left w:val="none" w:sz="0" w:space="0"/>
            <w:bottom w:val="none" w:sz="0" w:space="0"/>
            <w:right w:val="none" w:sz="0" w:space="0"/>
          </w:pgBorders>
          <w:pgNumType w:fmt="decimal" w:start="1"/>
          <w:cols w:space="720" w:num="1"/>
          <w:docGrid w:type="linesAndChars" w:linePitch="312" w:charSpace="200"/>
        </w:sectPr>
      </w:pPr>
      <w:bookmarkStart w:id="18" w:name="_Toc5471"/>
      <w:bookmarkStart w:id="19" w:name="_Toc27069"/>
      <w:bookmarkStart w:id="20" w:name="_Toc100219616"/>
      <w:bookmarkStart w:id="21" w:name="_Toc7322"/>
    </w:p>
    <w:p w14:paraId="5DA511D8">
      <w:pPr>
        <w:jc w:val="center"/>
        <w:outlineLvl w:val="0"/>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 xml:space="preserve">第四章  </w:t>
      </w:r>
      <w:bookmarkEnd w:id="18"/>
      <w:r>
        <w:rPr>
          <w:rFonts w:hint="eastAsia" w:ascii="宋体" w:hAnsi="宋体" w:eastAsia="宋体" w:cs="宋体"/>
          <w:b/>
          <w:bCs/>
          <w:sz w:val="32"/>
          <w:szCs w:val="32"/>
          <w:highlight w:val="none"/>
        </w:rPr>
        <w:t>商务及合同文本</w:t>
      </w:r>
      <w:bookmarkEnd w:id="19"/>
    </w:p>
    <w:p w14:paraId="388CDA2C">
      <w:pPr>
        <w:keepNext w:val="0"/>
        <w:keepLines w:val="0"/>
        <w:pageBreakBefore w:val="0"/>
        <w:widowControl/>
        <w:kinsoku/>
        <w:wordWrap/>
        <w:overflowPunct/>
        <w:topLinePunct w:val="0"/>
        <w:autoSpaceDE/>
        <w:autoSpaceDN/>
        <w:bidi w:val="0"/>
        <w:adjustRightInd/>
        <w:snapToGrid/>
        <w:spacing w:after="0" w:line="360" w:lineRule="auto"/>
        <w:ind w:left="0" w:right="0" w:firstLine="560" w:firstLineChars="200"/>
        <w:jc w:val="center"/>
        <w:textAlignment w:val="auto"/>
        <w:rPr>
          <w:rFonts w:hint="eastAsia" w:ascii="宋体" w:hAnsi="宋体" w:eastAsia="宋体" w:cs="宋体"/>
          <w:b/>
          <w:bCs/>
          <w:color w:val="000000"/>
          <w:spacing w:val="0"/>
          <w:sz w:val="28"/>
          <w:szCs w:val="28"/>
          <w:highlight w:val="none"/>
          <w:lang w:eastAsia="zh-CN"/>
        </w:rPr>
      </w:pPr>
      <w:r>
        <w:rPr>
          <w:rFonts w:hint="eastAsia" w:ascii="宋体" w:hAnsi="宋体" w:eastAsia="宋体" w:cs="宋体"/>
          <w:b/>
          <w:bCs/>
          <w:color w:val="000000"/>
          <w:spacing w:val="0"/>
          <w:sz w:val="28"/>
          <w:szCs w:val="28"/>
          <w:highlight w:val="none"/>
          <w:lang w:eastAsia="zh-CN"/>
        </w:rPr>
        <w:t>一、商务要求</w:t>
      </w:r>
    </w:p>
    <w:p w14:paraId="3826FE1A">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（一）服务期：3年</w:t>
      </w:r>
    </w:p>
    <w:p w14:paraId="647AC19F">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（二）服务地点：采购人指定的地点</w:t>
      </w:r>
    </w:p>
    <w:p w14:paraId="28A40525">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（三）质量要求：满足国家及行业现行技术标准、规范要求</w:t>
      </w:r>
    </w:p>
    <w:p w14:paraId="40938F88">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（四）合同价款：合同为固定总价</w:t>
      </w:r>
    </w:p>
    <w:p w14:paraId="07DA5D02">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highlight w:val="none"/>
          <w:lang w:val="en-US" w:eastAsia="zh-CN"/>
        </w:rPr>
      </w:pPr>
      <w:r>
        <w:rPr>
          <w:rFonts w:hint="eastAsia" w:ascii="宋体" w:hAnsi="宋体" w:eastAsia="宋体" w:cs="宋体"/>
          <w:b w:val="0"/>
          <w:bCs w:val="0"/>
          <w:kern w:val="0"/>
          <w:sz w:val="24"/>
          <w:szCs w:val="24"/>
          <w:highlight w:val="none"/>
          <w:u w:val="none"/>
          <w:lang w:val="en-US" w:eastAsia="zh-CN" w:bidi="ar-SA"/>
        </w:rPr>
        <w:t>本项目计价模式为固定总价，投标报价包括但不限于指项目完成并经验收合格的所有费用，包括项目费用、国家按现行税收政策征收的一切税费等。</w:t>
      </w:r>
    </w:p>
    <w:p w14:paraId="57BCD08D">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（五）付款方式及付款依据</w:t>
      </w:r>
    </w:p>
    <w:p w14:paraId="022F9D6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1.预付款支付条款：无</w:t>
      </w:r>
    </w:p>
    <w:p w14:paraId="577402B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2.剩余款项支付条款：</w:t>
      </w:r>
    </w:p>
    <w:p w14:paraId="26A7561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right="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合同签订后，第一季度工作完成支付该年度合同总金额的 25.00%。第二季度工作完成支付该年度合同总金额的 25.00%。第三季度工作完成支付该年度合同总金额的 25.00%。第四季度工作完成支付该年度合同总金额的 25.00%。</w:t>
      </w:r>
    </w:p>
    <w:p w14:paraId="6EDCC88C">
      <w:pPr>
        <w:keepNext w:val="0"/>
        <w:keepLines w:val="0"/>
        <w:pageBreakBefore w:val="0"/>
        <w:widowControl/>
        <w:kinsoku/>
        <w:wordWrap/>
        <w:overflowPunct/>
        <w:topLinePunct w:val="0"/>
        <w:autoSpaceDE/>
        <w:autoSpaceDN/>
        <w:bidi w:val="0"/>
        <w:adjustRightInd/>
        <w:spacing w:line="360" w:lineRule="auto"/>
        <w:ind w:firstLine="480" w:firstLineChars="200"/>
        <w:rPr>
          <w:rFonts w:hint="eastAsia" w:ascii="宋体" w:hAnsi="宋体" w:eastAsia="宋体" w:cs="宋体"/>
          <w:color w:val="auto"/>
          <w:sz w:val="24"/>
          <w:szCs w:val="24"/>
          <w:highlight w:val="none"/>
          <w:lang w:val="en-US" w:eastAsia="zh-CN"/>
        </w:rPr>
        <w:sectPr>
          <w:footerReference r:id="rId10" w:type="default"/>
          <w:footerReference r:id="rId11" w:type="even"/>
          <w:pgSz w:w="11906" w:h="16838"/>
          <w:pgMar w:top="1417" w:right="1083" w:bottom="1417" w:left="1083" w:header="851" w:footer="992" w:gutter="0"/>
          <w:pgBorders>
            <w:top w:val="none" w:sz="0" w:space="0"/>
            <w:left w:val="none" w:sz="0" w:space="0"/>
            <w:bottom w:val="none" w:sz="0" w:space="0"/>
            <w:right w:val="none" w:sz="0" w:space="0"/>
          </w:pgBorders>
          <w:pgNumType w:fmt="decimal" w:start="53"/>
          <w:cols w:space="720" w:num="1"/>
          <w:docGrid w:type="linesAndChars" w:linePitch="312" w:charSpace="200"/>
        </w:sectPr>
      </w:pPr>
      <w:r>
        <w:rPr>
          <w:rFonts w:hint="eastAsia" w:ascii="宋体" w:hAnsi="宋体" w:eastAsia="宋体" w:cs="宋体"/>
          <w:color w:val="auto"/>
          <w:sz w:val="24"/>
          <w:szCs w:val="24"/>
          <w:highlight w:val="none"/>
          <w:lang w:val="en-US" w:eastAsia="zh-CN"/>
        </w:rPr>
        <w:t>注：付款依据为合同、招标文件、投标文件、发票。</w:t>
      </w:r>
    </w:p>
    <w:p w14:paraId="01FAC010">
      <w:pPr>
        <w:keepNext w:val="0"/>
        <w:keepLines w:val="0"/>
        <w:pageBreakBefore w:val="0"/>
        <w:widowControl/>
        <w:kinsoku/>
        <w:wordWrap/>
        <w:overflowPunct/>
        <w:topLinePunct w:val="0"/>
        <w:autoSpaceDE/>
        <w:autoSpaceDN/>
        <w:bidi w:val="0"/>
        <w:adjustRightInd/>
        <w:spacing w:line="360" w:lineRule="auto"/>
        <w:ind w:firstLine="480" w:firstLineChars="200"/>
        <w:rPr>
          <w:rFonts w:hint="eastAsia" w:ascii="宋体" w:hAnsi="宋体" w:eastAsia="宋体" w:cs="宋体"/>
          <w:color w:val="auto"/>
          <w:sz w:val="24"/>
          <w:szCs w:val="24"/>
          <w:highlight w:val="none"/>
          <w:lang w:val="en-US" w:eastAsia="zh-CN"/>
        </w:rPr>
      </w:pPr>
    </w:p>
    <w:p w14:paraId="01238613">
      <w:pPr>
        <w:spacing w:line="360" w:lineRule="auto"/>
        <w:ind w:firstLine="6328" w:firstLineChars="2637"/>
        <w:rPr>
          <w:rFonts w:hint="eastAsia" w:ascii="宋体" w:hAnsi="宋体" w:eastAsia="宋体" w:cs="宋体"/>
          <w:b/>
          <w:bCs/>
          <w:sz w:val="24"/>
          <w:szCs w:val="24"/>
          <w:highlight w:val="none"/>
        </w:rPr>
      </w:pPr>
    </w:p>
    <w:p w14:paraId="1186D58C">
      <w:pPr>
        <w:pageBreakBefore w:val="0"/>
        <w:shd w:val="clear" w:color="auto" w:fill="auto"/>
        <w:kinsoku/>
        <w:wordWrap/>
        <w:topLinePunct w:val="0"/>
        <w:autoSpaceDE/>
        <w:autoSpaceDN/>
        <w:bidi w:val="0"/>
        <w:jc w:val="center"/>
        <w:rPr>
          <w:rFonts w:hint="eastAsia" w:ascii="宋体" w:hAnsi="宋体" w:eastAsia="宋体" w:cs="宋体"/>
          <w:highlight w:val="none"/>
        </w:rPr>
      </w:pPr>
      <w:r>
        <w:rPr>
          <w:rFonts w:hint="eastAsia" w:ascii="宋体" w:hAnsi="宋体" w:eastAsia="宋体" w:cs="宋体"/>
          <w:b/>
          <w:spacing w:val="-20"/>
          <w:sz w:val="48"/>
          <w:szCs w:val="48"/>
          <w:highlight w:val="none"/>
          <w:lang w:eastAsia="zh-CN"/>
        </w:rPr>
        <w:t>2025-2027管委会机关餐饮服务第三批（金融商务产业园等部门餐厅服务）</w:t>
      </w:r>
      <w:r>
        <w:rPr>
          <w:rFonts w:hint="eastAsia" w:ascii="宋体" w:hAnsi="宋体" w:eastAsia="宋体" w:cs="宋体"/>
          <w:b/>
          <w:spacing w:val="-20"/>
          <w:sz w:val="48"/>
          <w:szCs w:val="48"/>
          <w:highlight w:val="none"/>
        </w:rPr>
        <w:t>（</w:t>
      </w:r>
      <w:r>
        <w:rPr>
          <w:rFonts w:hint="eastAsia" w:ascii="宋体" w:hAnsi="宋体" w:eastAsia="宋体" w:cs="宋体"/>
          <w:b/>
          <w:spacing w:val="-20"/>
          <w:sz w:val="48"/>
          <w:szCs w:val="48"/>
          <w:highlight w:val="none"/>
          <w:lang w:eastAsia="zh-CN"/>
        </w:rPr>
        <w:t>总部创意产业园</w:t>
      </w:r>
      <w:r>
        <w:rPr>
          <w:rFonts w:hint="eastAsia" w:ascii="宋体" w:hAnsi="宋体" w:eastAsia="宋体" w:cs="宋体"/>
          <w:b/>
          <w:spacing w:val="-20"/>
          <w:sz w:val="48"/>
          <w:szCs w:val="48"/>
          <w:highlight w:val="none"/>
        </w:rPr>
        <w:t>）（四包）</w:t>
      </w:r>
    </w:p>
    <w:p w14:paraId="430EFB07">
      <w:pPr>
        <w:pageBreakBefore w:val="0"/>
        <w:shd w:val="clear" w:color="auto" w:fill="auto"/>
        <w:kinsoku/>
        <w:wordWrap/>
        <w:topLinePunct w:val="0"/>
        <w:autoSpaceDE/>
        <w:autoSpaceDN/>
        <w:bidi w:val="0"/>
        <w:jc w:val="center"/>
        <w:rPr>
          <w:rFonts w:hint="eastAsia" w:ascii="宋体" w:hAnsi="宋体" w:eastAsia="宋体" w:cs="宋体"/>
          <w:b/>
          <w:kern w:val="0"/>
          <w:szCs w:val="21"/>
          <w:highlight w:val="none"/>
        </w:rPr>
      </w:pPr>
    </w:p>
    <w:p w14:paraId="19688718">
      <w:pPr>
        <w:pageBreakBefore w:val="0"/>
        <w:shd w:val="clear" w:color="auto" w:fill="auto"/>
        <w:kinsoku/>
        <w:wordWrap/>
        <w:topLinePunct w:val="0"/>
        <w:autoSpaceDE/>
        <w:autoSpaceDN/>
        <w:bidi w:val="0"/>
        <w:spacing w:line="360" w:lineRule="auto"/>
        <w:jc w:val="center"/>
        <w:rPr>
          <w:rFonts w:hint="eastAsia" w:ascii="宋体" w:hAnsi="宋体" w:eastAsia="宋体" w:cs="宋体"/>
          <w:b/>
          <w:spacing w:val="-20"/>
          <w:sz w:val="48"/>
          <w:szCs w:val="48"/>
          <w:highlight w:val="none"/>
        </w:rPr>
      </w:pPr>
      <w:r>
        <w:rPr>
          <w:rFonts w:hint="eastAsia" w:ascii="宋体" w:hAnsi="宋体" w:eastAsia="宋体" w:cs="宋体"/>
          <w:b/>
          <w:spacing w:val="-20"/>
          <w:sz w:val="48"/>
          <w:szCs w:val="48"/>
          <w:highlight w:val="none"/>
        </w:rPr>
        <w:t>合 同 主 要 条 款</w:t>
      </w:r>
    </w:p>
    <w:p w14:paraId="08C06249">
      <w:pPr>
        <w:pageBreakBefore w:val="0"/>
        <w:shd w:val="clear" w:color="auto" w:fill="auto"/>
        <w:kinsoku/>
        <w:wordWrap/>
        <w:topLinePunct w:val="0"/>
        <w:autoSpaceDE/>
        <w:autoSpaceDN/>
        <w:bidi w:val="0"/>
        <w:spacing w:line="540" w:lineRule="exact"/>
        <w:jc w:val="center"/>
        <w:rPr>
          <w:rFonts w:hint="eastAsia" w:ascii="宋体" w:hAnsi="宋体" w:eastAsia="宋体" w:cs="宋体"/>
          <w:b/>
          <w:kern w:val="0"/>
          <w:sz w:val="52"/>
          <w:szCs w:val="52"/>
          <w:highlight w:val="none"/>
        </w:rPr>
      </w:pPr>
      <w:r>
        <w:rPr>
          <w:rFonts w:hint="eastAsia" w:ascii="宋体" w:hAnsi="宋体" w:eastAsia="宋体" w:cs="宋体"/>
          <w:b/>
          <w:kern w:val="0"/>
          <w:szCs w:val="21"/>
          <w:highlight w:val="none"/>
        </w:rPr>
        <w:t>（本格式条款供双方签订合同参考，采购人可根据项目的实际情况增加条款和内容）</w:t>
      </w:r>
    </w:p>
    <w:p w14:paraId="05D6525B">
      <w:pPr>
        <w:pageBreakBefore w:val="0"/>
        <w:shd w:val="clear" w:color="auto" w:fill="auto"/>
        <w:kinsoku/>
        <w:wordWrap/>
        <w:topLinePunct w:val="0"/>
        <w:autoSpaceDE/>
        <w:autoSpaceDN/>
        <w:bidi w:val="0"/>
        <w:spacing w:line="560" w:lineRule="exact"/>
        <w:jc w:val="center"/>
        <w:rPr>
          <w:rFonts w:hint="eastAsia" w:ascii="宋体" w:hAnsi="宋体" w:eastAsia="宋体" w:cs="宋体"/>
          <w:b/>
          <w:kern w:val="0"/>
          <w:sz w:val="36"/>
          <w:szCs w:val="36"/>
          <w:highlight w:val="none"/>
        </w:rPr>
      </w:pPr>
    </w:p>
    <w:p w14:paraId="48991F99">
      <w:pPr>
        <w:pageBreakBefore w:val="0"/>
        <w:shd w:val="clear" w:color="auto" w:fill="auto"/>
        <w:kinsoku/>
        <w:wordWrap/>
        <w:topLinePunct w:val="0"/>
        <w:autoSpaceDE/>
        <w:autoSpaceDN/>
        <w:bidi w:val="0"/>
        <w:spacing w:line="560" w:lineRule="exact"/>
        <w:jc w:val="center"/>
        <w:rPr>
          <w:rFonts w:hint="eastAsia" w:ascii="宋体" w:hAnsi="宋体" w:eastAsia="宋体" w:cs="宋体"/>
          <w:b/>
          <w:kern w:val="0"/>
          <w:sz w:val="36"/>
          <w:szCs w:val="36"/>
          <w:highlight w:val="none"/>
        </w:rPr>
      </w:pPr>
      <w:r>
        <w:rPr>
          <w:rFonts w:hint="eastAsia" w:ascii="宋体" w:hAnsi="宋体" w:eastAsia="宋体" w:cs="宋体"/>
          <w:b/>
          <w:kern w:val="0"/>
          <w:sz w:val="36"/>
          <w:szCs w:val="36"/>
          <w:highlight w:val="none"/>
        </w:rPr>
        <w:t>合同编号：XXXX</w:t>
      </w:r>
    </w:p>
    <w:p w14:paraId="7992B936">
      <w:pPr>
        <w:pageBreakBefore w:val="0"/>
        <w:shd w:val="clear" w:color="auto" w:fill="auto"/>
        <w:kinsoku/>
        <w:wordWrap/>
        <w:topLinePunct w:val="0"/>
        <w:autoSpaceDE/>
        <w:autoSpaceDN/>
        <w:bidi w:val="0"/>
        <w:rPr>
          <w:rFonts w:hint="eastAsia" w:ascii="宋体" w:hAnsi="宋体" w:eastAsia="宋体" w:cs="宋体"/>
          <w:b/>
          <w:sz w:val="48"/>
          <w:szCs w:val="48"/>
          <w:highlight w:val="none"/>
        </w:rPr>
      </w:pPr>
    </w:p>
    <w:p w14:paraId="6B5A151E">
      <w:pPr>
        <w:pageBreakBefore w:val="0"/>
        <w:shd w:val="clear" w:color="auto" w:fill="auto"/>
        <w:kinsoku/>
        <w:wordWrap/>
        <w:topLinePunct w:val="0"/>
        <w:autoSpaceDE/>
        <w:autoSpaceDN/>
        <w:bidi w:val="0"/>
        <w:spacing w:line="240" w:lineRule="auto"/>
        <w:ind w:left="1469" w:hanging="1464" w:hangingChars="400"/>
        <w:rPr>
          <w:rFonts w:hint="eastAsia" w:ascii="宋体" w:hAnsi="宋体" w:eastAsia="宋体" w:cs="宋体"/>
          <w:b/>
          <w:spacing w:val="23"/>
          <w:sz w:val="32"/>
          <w:szCs w:val="32"/>
          <w:highlight w:val="none"/>
        </w:rPr>
      </w:pPr>
    </w:p>
    <w:p w14:paraId="2C97B900">
      <w:pPr>
        <w:pageBreakBefore w:val="0"/>
        <w:shd w:val="clear" w:color="auto" w:fill="auto"/>
        <w:kinsoku/>
        <w:wordWrap/>
        <w:topLinePunct w:val="0"/>
        <w:autoSpaceDE/>
        <w:autoSpaceDN/>
        <w:bidi w:val="0"/>
        <w:spacing w:line="240" w:lineRule="auto"/>
        <w:ind w:left="1469" w:hanging="1464" w:hangingChars="400"/>
        <w:jc w:val="center"/>
        <w:rPr>
          <w:rFonts w:hint="eastAsia" w:ascii="宋体" w:hAnsi="宋体" w:eastAsia="宋体" w:cs="宋体"/>
          <w:b/>
          <w:spacing w:val="23"/>
          <w:sz w:val="32"/>
          <w:szCs w:val="32"/>
          <w:highlight w:val="none"/>
        </w:rPr>
      </w:pPr>
      <w:r>
        <w:rPr>
          <w:rFonts w:hint="eastAsia" w:ascii="宋体" w:hAnsi="宋体" w:eastAsia="宋体" w:cs="宋体"/>
          <w:b/>
          <w:spacing w:val="23"/>
          <w:sz w:val="32"/>
          <w:szCs w:val="32"/>
          <w:highlight w:val="none"/>
          <w:lang w:val="en-US" w:eastAsia="zh-CN"/>
        </w:rPr>
        <w:t>本合同为第</w:t>
      </w:r>
      <w:r>
        <w:rPr>
          <w:rFonts w:hint="eastAsia" w:ascii="宋体" w:hAnsi="宋体" w:eastAsia="宋体" w:cs="宋体"/>
          <w:b/>
          <w:spacing w:val="23"/>
          <w:sz w:val="32"/>
          <w:szCs w:val="32"/>
          <w:highlight w:val="none"/>
          <w:u w:val="single"/>
          <w:lang w:val="en-US" w:eastAsia="zh-CN"/>
        </w:rPr>
        <w:t xml:space="preserve">    </w:t>
      </w:r>
      <w:r>
        <w:rPr>
          <w:rFonts w:hint="eastAsia" w:ascii="宋体" w:hAnsi="宋体" w:eastAsia="宋体" w:cs="宋体"/>
          <w:b/>
          <w:spacing w:val="23"/>
          <w:sz w:val="32"/>
          <w:szCs w:val="32"/>
          <w:highlight w:val="none"/>
          <w:lang w:val="en-US" w:eastAsia="zh-CN"/>
        </w:rPr>
        <w:t>包第</w:t>
      </w:r>
      <w:r>
        <w:rPr>
          <w:rFonts w:hint="eastAsia" w:ascii="宋体" w:hAnsi="宋体" w:eastAsia="宋体" w:cs="宋体"/>
          <w:b/>
          <w:spacing w:val="23"/>
          <w:sz w:val="32"/>
          <w:szCs w:val="32"/>
          <w:highlight w:val="none"/>
          <w:u w:val="single"/>
          <w:lang w:val="en-US" w:eastAsia="zh-CN"/>
        </w:rPr>
        <w:t xml:space="preserve">    </w:t>
      </w:r>
      <w:r>
        <w:rPr>
          <w:rFonts w:hint="eastAsia" w:ascii="宋体" w:hAnsi="宋体" w:eastAsia="宋体" w:cs="宋体"/>
          <w:b/>
          <w:spacing w:val="23"/>
          <w:sz w:val="32"/>
          <w:szCs w:val="32"/>
          <w:highlight w:val="none"/>
          <w:lang w:val="en-US" w:eastAsia="zh-CN"/>
        </w:rPr>
        <w:t>阶段合同</w:t>
      </w:r>
    </w:p>
    <w:p w14:paraId="09625B39">
      <w:pPr>
        <w:pageBreakBefore w:val="0"/>
        <w:kinsoku/>
        <w:wordWrap/>
        <w:topLinePunct w:val="0"/>
        <w:autoSpaceDE/>
        <w:autoSpaceDN/>
        <w:bidi w:val="0"/>
        <w:outlineLvl w:val="9"/>
        <w:rPr>
          <w:rFonts w:hint="eastAsia" w:ascii="宋体" w:hAnsi="宋体" w:eastAsia="宋体" w:cs="宋体"/>
          <w:highlight w:val="none"/>
        </w:rPr>
      </w:pPr>
    </w:p>
    <w:p w14:paraId="15CF259D">
      <w:pPr>
        <w:pageBreakBefore w:val="0"/>
        <w:kinsoku/>
        <w:wordWrap/>
        <w:topLinePunct w:val="0"/>
        <w:autoSpaceDE/>
        <w:autoSpaceDN/>
        <w:bidi w:val="0"/>
        <w:rPr>
          <w:rFonts w:hint="eastAsia"/>
          <w:highlight w:val="none"/>
        </w:rPr>
      </w:pPr>
    </w:p>
    <w:p w14:paraId="78883B31">
      <w:pPr>
        <w:pageBreakBefore w:val="0"/>
        <w:kinsoku/>
        <w:wordWrap/>
        <w:topLinePunct w:val="0"/>
        <w:autoSpaceDE/>
        <w:autoSpaceDN/>
        <w:bidi w:val="0"/>
        <w:rPr>
          <w:rFonts w:hint="eastAsia"/>
          <w:highlight w:val="none"/>
        </w:rPr>
      </w:pPr>
    </w:p>
    <w:p w14:paraId="07032DE6">
      <w:pPr>
        <w:pageBreakBefore w:val="0"/>
        <w:shd w:val="clear" w:color="auto" w:fill="auto"/>
        <w:kinsoku/>
        <w:wordWrap/>
        <w:topLinePunct w:val="0"/>
        <w:autoSpaceDE/>
        <w:autoSpaceDN/>
        <w:bidi w:val="0"/>
        <w:rPr>
          <w:rFonts w:hint="eastAsia" w:ascii="宋体" w:hAnsi="宋体" w:eastAsia="宋体" w:cs="宋体"/>
          <w:highlight w:val="none"/>
        </w:rPr>
      </w:pPr>
    </w:p>
    <w:p w14:paraId="0F73140B">
      <w:pPr>
        <w:pageBreakBefore w:val="0"/>
        <w:kinsoku/>
        <w:wordWrap/>
        <w:topLinePunct w:val="0"/>
        <w:autoSpaceDE/>
        <w:autoSpaceDN/>
        <w:bidi w:val="0"/>
        <w:rPr>
          <w:rFonts w:hint="eastAsia"/>
          <w:highlight w:val="none"/>
        </w:rPr>
      </w:pPr>
    </w:p>
    <w:p w14:paraId="76919895">
      <w:pPr>
        <w:pageBreakBefore w:val="0"/>
        <w:shd w:val="clear" w:color="auto" w:fill="auto"/>
        <w:kinsoku/>
        <w:wordWrap/>
        <w:topLinePunct w:val="0"/>
        <w:autoSpaceDE/>
        <w:autoSpaceDN/>
        <w:bidi w:val="0"/>
        <w:spacing w:line="240" w:lineRule="auto"/>
        <w:ind w:left="1469" w:hanging="1464" w:hangingChars="400"/>
        <w:rPr>
          <w:rFonts w:hint="eastAsia" w:ascii="宋体" w:hAnsi="宋体" w:eastAsia="宋体" w:cs="宋体"/>
          <w:b/>
          <w:spacing w:val="23"/>
          <w:sz w:val="32"/>
          <w:szCs w:val="32"/>
          <w:highlight w:val="none"/>
        </w:rPr>
      </w:pPr>
      <w:r>
        <w:rPr>
          <w:rFonts w:hint="eastAsia" w:ascii="宋体" w:hAnsi="宋体" w:eastAsia="宋体" w:cs="宋体"/>
          <w:b/>
          <w:spacing w:val="23"/>
          <w:sz w:val="32"/>
          <w:szCs w:val="32"/>
          <w:highlight w:val="none"/>
        </w:rPr>
        <w:t xml:space="preserve">          甲方(</w:t>
      </w:r>
      <w:r>
        <w:rPr>
          <w:rFonts w:hint="eastAsia" w:ascii="宋体" w:hAnsi="宋体" w:eastAsia="宋体" w:cs="宋体"/>
          <w:highlight w:val="none"/>
          <w:u w:val="none"/>
        </w:rPr>
        <w:fldChar w:fldCharType="begin"/>
      </w:r>
      <w:r>
        <w:rPr>
          <w:rFonts w:hint="eastAsia" w:ascii="宋体" w:hAnsi="宋体" w:eastAsia="宋体" w:cs="宋体"/>
          <w:highlight w:val="none"/>
          <w:u w:val="none"/>
        </w:rPr>
        <w:instrText xml:space="preserve"> HYPERLINK "http://set2.mail.qq.com/cgi-bin/mail_spam?action=check_link&amp;spam=0&amp;url=http://www.baidu.com/s?wd=%E9%87%87%E8%B4%AD%E5%8D%95&amp;hl_tag=textlink&amp;tn=SE_hldp01350_v6v6zkg6" </w:instrText>
      </w:r>
      <w:r>
        <w:rPr>
          <w:rFonts w:hint="eastAsia" w:ascii="宋体" w:hAnsi="宋体" w:eastAsia="宋体" w:cs="宋体"/>
          <w:highlight w:val="none"/>
          <w:u w:val="none"/>
        </w:rPr>
        <w:fldChar w:fldCharType="separate"/>
      </w:r>
      <w:r>
        <w:rPr>
          <w:rStyle w:val="35"/>
          <w:rFonts w:hint="eastAsia" w:ascii="宋体" w:hAnsi="宋体" w:eastAsia="宋体" w:cs="宋体"/>
          <w:b/>
          <w:color w:val="auto"/>
          <w:spacing w:val="23"/>
          <w:sz w:val="32"/>
          <w:szCs w:val="32"/>
          <w:highlight w:val="none"/>
          <w:u w:val="none"/>
        </w:rPr>
        <w:t>采购人</w:t>
      </w:r>
      <w:r>
        <w:rPr>
          <w:rFonts w:hint="eastAsia" w:ascii="宋体" w:hAnsi="宋体" w:eastAsia="宋体" w:cs="宋体"/>
          <w:b/>
          <w:spacing w:val="23"/>
          <w:sz w:val="32"/>
          <w:szCs w:val="32"/>
          <w:highlight w:val="none"/>
          <w:u w:val="none"/>
        </w:rPr>
        <w:fldChar w:fldCharType="end"/>
      </w:r>
      <w:r>
        <w:rPr>
          <w:rFonts w:hint="eastAsia" w:ascii="宋体" w:hAnsi="宋体" w:eastAsia="宋体" w:cs="宋体"/>
          <w:b/>
          <w:spacing w:val="23"/>
          <w:sz w:val="32"/>
          <w:szCs w:val="32"/>
          <w:highlight w:val="none"/>
        </w:rPr>
        <w:t>)：</w:t>
      </w:r>
      <w:r>
        <w:rPr>
          <w:rFonts w:hint="eastAsia" w:ascii="宋体" w:hAnsi="宋体" w:eastAsia="宋体" w:cs="宋体"/>
          <w:b/>
          <w:spacing w:val="23"/>
          <w:sz w:val="32"/>
          <w:szCs w:val="32"/>
          <w:highlight w:val="none"/>
          <w:u w:val="single"/>
        </w:rPr>
        <w:t xml:space="preserve">          </w:t>
      </w:r>
    </w:p>
    <w:p w14:paraId="744ECFE8">
      <w:pPr>
        <w:pageBreakBefore w:val="0"/>
        <w:shd w:val="clear" w:color="auto" w:fill="auto"/>
        <w:kinsoku/>
        <w:wordWrap/>
        <w:topLinePunct w:val="0"/>
        <w:autoSpaceDE/>
        <w:autoSpaceDN/>
        <w:bidi w:val="0"/>
        <w:spacing w:line="240" w:lineRule="auto"/>
        <w:ind w:left="1469" w:hanging="1464" w:hangingChars="400"/>
        <w:rPr>
          <w:rFonts w:hint="eastAsia" w:ascii="宋体" w:hAnsi="宋体" w:eastAsia="宋体" w:cs="宋体"/>
          <w:b/>
          <w:spacing w:val="23"/>
          <w:sz w:val="32"/>
          <w:szCs w:val="32"/>
          <w:highlight w:val="none"/>
        </w:rPr>
      </w:pPr>
      <w:r>
        <w:rPr>
          <w:rFonts w:hint="eastAsia" w:ascii="宋体" w:hAnsi="宋体" w:eastAsia="宋体" w:cs="宋体"/>
          <w:b/>
          <w:spacing w:val="23"/>
          <w:sz w:val="32"/>
          <w:szCs w:val="32"/>
          <w:highlight w:val="none"/>
        </w:rPr>
        <w:t xml:space="preserve">          </w:t>
      </w:r>
      <w:r>
        <w:rPr>
          <w:rFonts w:hint="eastAsia" w:ascii="宋体" w:hAnsi="宋体" w:eastAsia="宋体" w:cs="宋体"/>
          <w:highlight w:val="none"/>
          <w:u w:val="none"/>
        </w:rPr>
        <w:fldChar w:fldCharType="begin"/>
      </w:r>
      <w:r>
        <w:rPr>
          <w:rFonts w:hint="eastAsia" w:ascii="宋体" w:hAnsi="宋体" w:eastAsia="宋体" w:cs="宋体"/>
          <w:highlight w:val="none"/>
          <w:u w:val="none"/>
        </w:rPr>
        <w:instrText xml:space="preserve"> HYPERLINK "http://set2.mail.qq.com/cgi-bin/mail_spam?action=check_link&amp;spam=0&amp;url=http://www.baidu.com/s?wd=%E4%B9%99%E6%96%B9&amp;hl_tag=textlink&amp;tn=SE_hldp01350_v6v6zkg6" </w:instrText>
      </w:r>
      <w:r>
        <w:rPr>
          <w:rFonts w:hint="eastAsia" w:ascii="宋体" w:hAnsi="宋体" w:eastAsia="宋体" w:cs="宋体"/>
          <w:highlight w:val="none"/>
          <w:u w:val="none"/>
        </w:rPr>
        <w:fldChar w:fldCharType="separate"/>
      </w:r>
      <w:r>
        <w:rPr>
          <w:rStyle w:val="35"/>
          <w:rFonts w:hint="eastAsia" w:ascii="宋体" w:hAnsi="宋体" w:eastAsia="宋体" w:cs="宋体"/>
          <w:b/>
          <w:color w:val="auto"/>
          <w:spacing w:val="23"/>
          <w:sz w:val="32"/>
          <w:szCs w:val="32"/>
          <w:highlight w:val="none"/>
          <w:u w:val="none"/>
        </w:rPr>
        <w:t>乙方</w:t>
      </w:r>
      <w:r>
        <w:rPr>
          <w:rFonts w:hint="eastAsia" w:ascii="宋体" w:hAnsi="宋体" w:eastAsia="宋体" w:cs="宋体"/>
          <w:b/>
          <w:spacing w:val="23"/>
          <w:sz w:val="32"/>
          <w:szCs w:val="32"/>
          <w:highlight w:val="none"/>
          <w:u w:val="none"/>
        </w:rPr>
        <w:fldChar w:fldCharType="end"/>
      </w:r>
      <w:r>
        <w:rPr>
          <w:rFonts w:hint="eastAsia" w:ascii="宋体" w:hAnsi="宋体" w:eastAsia="宋体" w:cs="宋体"/>
          <w:b/>
          <w:spacing w:val="23"/>
          <w:sz w:val="32"/>
          <w:szCs w:val="32"/>
          <w:highlight w:val="none"/>
        </w:rPr>
        <w:t>(供应商)：</w:t>
      </w:r>
      <w:r>
        <w:rPr>
          <w:rFonts w:hint="eastAsia" w:ascii="宋体" w:hAnsi="宋体" w:eastAsia="宋体" w:cs="宋体"/>
          <w:b/>
          <w:spacing w:val="23"/>
          <w:sz w:val="32"/>
          <w:szCs w:val="32"/>
          <w:highlight w:val="none"/>
          <w:u w:val="single"/>
        </w:rPr>
        <w:t xml:space="preserve">          </w:t>
      </w:r>
    </w:p>
    <w:p w14:paraId="7CC42FEC">
      <w:pPr>
        <w:pStyle w:val="24"/>
        <w:pageBreakBefore w:val="0"/>
        <w:widowControl/>
        <w:shd w:val="clear" w:color="auto" w:fill="auto"/>
        <w:kinsoku/>
        <w:wordWrap/>
        <w:topLinePunct w:val="0"/>
        <w:autoSpaceDE/>
        <w:autoSpaceDN/>
        <w:bidi w:val="0"/>
        <w:adjustRightInd w:val="0"/>
        <w:spacing w:line="240" w:lineRule="auto"/>
        <w:rPr>
          <w:rFonts w:hint="eastAsia" w:ascii="宋体" w:hAnsi="宋体" w:eastAsia="宋体" w:cs="宋体"/>
          <w:b/>
          <w:spacing w:val="23"/>
          <w:kern w:val="0"/>
          <w:sz w:val="32"/>
          <w:szCs w:val="32"/>
          <w:highlight w:val="none"/>
        </w:rPr>
        <w:sectPr>
          <w:footerReference r:id="rId12" w:type="default"/>
          <w:footerReference r:id="rId13" w:type="even"/>
          <w:pgSz w:w="11906" w:h="16838"/>
          <w:pgMar w:top="1417" w:right="1083" w:bottom="1417" w:left="1083" w:header="851" w:footer="992" w:gutter="0"/>
          <w:pgBorders>
            <w:top w:val="none" w:sz="0" w:space="0"/>
            <w:left w:val="none" w:sz="0" w:space="0"/>
            <w:bottom w:val="none" w:sz="0" w:space="0"/>
            <w:right w:val="none" w:sz="0" w:space="0"/>
          </w:pgBorders>
          <w:pgNumType w:fmt="decimal" w:start="54"/>
          <w:cols w:space="720" w:num="1"/>
          <w:docGrid w:type="linesAndChars" w:linePitch="312" w:charSpace="200"/>
        </w:sectPr>
      </w:pPr>
      <w:r>
        <w:rPr>
          <w:rFonts w:hint="eastAsia" w:ascii="宋体" w:hAnsi="宋体" w:eastAsia="宋体" w:cs="宋体"/>
          <w:b/>
          <w:spacing w:val="23"/>
          <w:kern w:val="0"/>
          <w:sz w:val="32"/>
          <w:szCs w:val="32"/>
          <w:highlight w:val="none"/>
        </w:rPr>
        <w:t xml:space="preserve">          签订时间：</w:t>
      </w:r>
      <w:r>
        <w:rPr>
          <w:rFonts w:hint="eastAsia" w:ascii="宋体" w:hAnsi="宋体" w:eastAsia="宋体" w:cs="宋体"/>
          <w:b/>
          <w:spacing w:val="23"/>
          <w:kern w:val="0"/>
          <w:sz w:val="32"/>
          <w:szCs w:val="32"/>
          <w:highlight w:val="none"/>
          <w:u w:val="single"/>
        </w:rPr>
        <w:t xml:space="preserve">     </w:t>
      </w:r>
      <w:r>
        <w:rPr>
          <w:rFonts w:hint="eastAsia" w:ascii="宋体" w:hAnsi="宋体" w:eastAsia="宋体" w:cs="宋体"/>
          <w:b/>
          <w:spacing w:val="23"/>
          <w:kern w:val="0"/>
          <w:sz w:val="32"/>
          <w:szCs w:val="32"/>
          <w:highlight w:val="none"/>
        </w:rPr>
        <w:t>年</w:t>
      </w:r>
      <w:r>
        <w:rPr>
          <w:rFonts w:hint="eastAsia" w:ascii="宋体" w:hAnsi="宋体" w:eastAsia="宋体" w:cs="宋体"/>
          <w:b/>
          <w:spacing w:val="23"/>
          <w:kern w:val="0"/>
          <w:sz w:val="32"/>
          <w:szCs w:val="32"/>
          <w:highlight w:val="none"/>
          <w:u w:val="single"/>
        </w:rPr>
        <w:t xml:space="preserve">  </w:t>
      </w:r>
      <w:r>
        <w:rPr>
          <w:rFonts w:hint="eastAsia" w:ascii="宋体" w:hAnsi="宋体" w:eastAsia="宋体" w:cs="宋体"/>
          <w:b/>
          <w:spacing w:val="23"/>
          <w:kern w:val="0"/>
          <w:sz w:val="32"/>
          <w:szCs w:val="32"/>
          <w:highlight w:val="none"/>
        </w:rPr>
        <w:t>月</w:t>
      </w:r>
      <w:r>
        <w:rPr>
          <w:rFonts w:hint="eastAsia" w:ascii="宋体" w:hAnsi="宋体" w:eastAsia="宋体" w:cs="宋体"/>
          <w:b/>
          <w:spacing w:val="23"/>
          <w:kern w:val="0"/>
          <w:sz w:val="32"/>
          <w:szCs w:val="32"/>
          <w:highlight w:val="none"/>
          <w:u w:val="single"/>
        </w:rPr>
        <w:t xml:space="preserve">   </w:t>
      </w:r>
    </w:p>
    <w:p w14:paraId="594B641F">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rPr>
        <w:t>甲方(</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"http://set2.mail.qq.com/cgi-bin/mail_spam?action=check_link&amp;spam=0&amp;url=http%3A%2F%2Fwww%2Ebaidu%2Ecom%2Fs%3Fwd%3D%25E9%2587%2587%25E8%25B4%25AD%25E5%258D%2595%26hl_tag%3Dtextlink%26tn%3DSE_hldp01350_v6v6zkg6"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采购人</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lang w:val="en-US" w:eastAsia="zh-CN"/>
        </w:rPr>
        <w:t xml:space="preserve">                               </w:t>
      </w:r>
    </w:p>
    <w:p w14:paraId="14839174">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乙</w:t>
      </w:r>
      <w:r>
        <w:rPr>
          <w:rFonts w:hint="eastAsia" w:ascii="宋体" w:hAnsi="宋体" w:eastAsia="宋体" w:cs="宋体"/>
          <w:sz w:val="24"/>
          <w:szCs w:val="24"/>
          <w:highlight w:val="none"/>
        </w:rPr>
        <w:t>方(</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p>
    <w:p w14:paraId="5BEDC3A5">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甲乙双方根据</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年</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月</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日</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政府采购招标项目采购招标结果及相关</w:t>
      </w:r>
      <w:r>
        <w:rPr>
          <w:rFonts w:hint="eastAsia" w:ascii="宋体" w:hAnsi="宋体" w:eastAsia="宋体" w:cs="宋体"/>
          <w:kern w:val="0"/>
          <w:sz w:val="24"/>
          <w:szCs w:val="24"/>
          <w:highlight w:val="none"/>
          <w:lang w:eastAsia="zh-CN"/>
        </w:rPr>
        <w:t>招标文件</w:t>
      </w:r>
      <w:r>
        <w:rPr>
          <w:rFonts w:hint="eastAsia" w:ascii="宋体" w:hAnsi="宋体" w:eastAsia="宋体" w:cs="宋体"/>
          <w:kern w:val="0"/>
          <w:sz w:val="24"/>
          <w:szCs w:val="24"/>
          <w:highlight w:val="none"/>
        </w:rPr>
        <w:t>及</w:t>
      </w:r>
      <w:r>
        <w:rPr>
          <w:rFonts w:hint="eastAsia" w:ascii="宋体" w:hAnsi="宋体" w:eastAsia="宋体" w:cs="宋体"/>
          <w:kern w:val="0"/>
          <w:sz w:val="24"/>
          <w:szCs w:val="24"/>
          <w:highlight w:val="none"/>
          <w:lang w:eastAsia="zh-CN"/>
        </w:rPr>
        <w:t>投标文件</w:t>
      </w:r>
      <w:r>
        <w:rPr>
          <w:rFonts w:hint="eastAsia" w:ascii="宋体" w:hAnsi="宋体" w:eastAsia="宋体" w:cs="宋体"/>
          <w:kern w:val="0"/>
          <w:sz w:val="24"/>
          <w:szCs w:val="24"/>
          <w:highlight w:val="none"/>
        </w:rPr>
        <w:t>，本合同经双方友好协商平等、诚信、协作的原则，按照《中华人民共和国政府采购法》和《中华人民共和国民法典》，经协商一致，订立本合同，供双方共同遵守：</w:t>
      </w:r>
    </w:p>
    <w:p w14:paraId="10865EE6">
      <w:pPr>
        <w:pageBreakBefore w:val="0"/>
        <w:widowControl/>
        <w:shd w:val="clear" w:color="auto" w:fill="auto"/>
        <w:kinsoku/>
        <w:wordWrap/>
        <w:overflowPunct/>
        <w:topLinePunct w:val="0"/>
        <w:autoSpaceDE/>
        <w:autoSpaceDN/>
        <w:bidi w:val="0"/>
        <w:spacing w:line="360" w:lineRule="auto"/>
        <w:ind w:right="-225" w:rightChars="-94"/>
        <w:jc w:val="left"/>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rPr>
        <w:t xml:space="preserve">第一条  </w:t>
      </w:r>
      <w:r>
        <w:rPr>
          <w:rFonts w:hint="eastAsia" w:ascii="宋体" w:hAnsi="宋体" w:eastAsia="宋体" w:cs="宋体"/>
          <w:b/>
          <w:bCs/>
          <w:kern w:val="0"/>
          <w:sz w:val="24"/>
          <w:szCs w:val="24"/>
          <w:highlight w:val="none"/>
          <w:lang w:val="en-US" w:eastAsia="zh-CN"/>
        </w:rPr>
        <w:t>项目概况</w:t>
      </w:r>
    </w:p>
    <w:p w14:paraId="60B0EF1C">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1.项目名称：</w:t>
      </w:r>
      <w:r>
        <w:rPr>
          <w:rFonts w:hint="eastAsia" w:ascii="宋体" w:hAnsi="宋体" w:eastAsia="宋体" w:cs="宋体"/>
          <w:kern w:val="0"/>
          <w:sz w:val="24"/>
          <w:szCs w:val="24"/>
          <w:highlight w:val="none"/>
          <w:u w:val="single"/>
          <w:lang w:val="en-US" w:eastAsia="zh-CN"/>
        </w:rPr>
        <w:t>2025-2027管委会机关餐饮服务第三批（金融商务产业园等部门餐厅服务）（总部创意产业园）第（ ）包</w:t>
      </w:r>
    </w:p>
    <w:p w14:paraId="69FF0250">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2.项目编号：</w:t>
      </w:r>
      <w:r>
        <w:rPr>
          <w:rFonts w:hint="eastAsia" w:ascii="宋体" w:hAnsi="宋体" w:eastAsia="宋体" w:cs="宋体"/>
          <w:kern w:val="0"/>
          <w:sz w:val="24"/>
          <w:szCs w:val="24"/>
          <w:highlight w:val="none"/>
          <w:u w:val="single"/>
          <w:lang w:val="en-US" w:eastAsia="zh-CN"/>
        </w:rPr>
        <w:t xml:space="preserve">                                              </w:t>
      </w:r>
    </w:p>
    <w:p w14:paraId="3FF55D83">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u w:val="single"/>
          <w:lang w:val="en-US" w:eastAsia="zh-CN"/>
        </w:rPr>
      </w:pPr>
      <w:r>
        <w:rPr>
          <w:rFonts w:hint="eastAsia" w:ascii="宋体" w:hAnsi="宋体" w:eastAsia="宋体" w:cs="宋体"/>
          <w:kern w:val="0"/>
          <w:sz w:val="24"/>
          <w:szCs w:val="24"/>
          <w:highlight w:val="none"/>
          <w:lang w:val="en-US" w:eastAsia="zh-CN"/>
        </w:rPr>
        <w:t>3.项目地点：</w:t>
      </w:r>
      <w:r>
        <w:rPr>
          <w:rFonts w:hint="eastAsia" w:ascii="宋体" w:hAnsi="宋体" w:eastAsia="宋体" w:cs="宋体"/>
          <w:kern w:val="0"/>
          <w:sz w:val="24"/>
          <w:szCs w:val="24"/>
          <w:highlight w:val="none"/>
          <w:u w:val="single"/>
          <w:lang w:val="en-US" w:eastAsia="zh-CN"/>
        </w:rPr>
        <w:t xml:space="preserve">                                              </w:t>
      </w:r>
    </w:p>
    <w:p w14:paraId="3DABA18D">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kern w:val="0"/>
          <w:sz w:val="24"/>
          <w:szCs w:val="24"/>
          <w:highlight w:val="none"/>
          <w:u w:val="none"/>
          <w:lang w:val="en-US" w:eastAsia="zh-CN"/>
        </w:rPr>
        <w:t>4.服务期：</w:t>
      </w:r>
      <w:r>
        <w:rPr>
          <w:rFonts w:hint="eastAsia" w:ascii="宋体" w:hAnsi="宋体" w:eastAsia="宋体" w:cs="宋体"/>
          <w:b w:val="0"/>
          <w:bCs w:val="0"/>
          <w:kern w:val="0"/>
          <w:sz w:val="24"/>
          <w:szCs w:val="24"/>
          <w:highlight w:val="none"/>
          <w:lang w:val="en-US" w:eastAsia="zh-CN"/>
        </w:rPr>
        <w:t>本项目总服务期共三年，合同分为三个阶段签订。其中每一阶段合同服务期为一年。</w:t>
      </w:r>
    </w:p>
    <w:p w14:paraId="2D9AEF94">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u w:val="none"/>
          <w:lang w:val="en-US" w:eastAsia="zh-CN"/>
        </w:rPr>
      </w:pPr>
      <w:r>
        <w:rPr>
          <w:rFonts w:hint="eastAsia" w:ascii="宋体" w:hAnsi="宋体" w:eastAsia="宋体" w:cs="宋体"/>
          <w:b w:val="0"/>
          <w:bCs w:val="0"/>
          <w:kern w:val="0"/>
          <w:sz w:val="24"/>
          <w:szCs w:val="24"/>
          <w:highlight w:val="none"/>
          <w:lang w:val="en-US" w:eastAsia="zh-CN"/>
        </w:rPr>
        <w:t>本次为第</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阶段（第</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年）合同，自（</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年</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月</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日起至</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年</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月</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日止）</w:t>
      </w:r>
      <w:r>
        <w:rPr>
          <w:rFonts w:hint="eastAsia" w:ascii="宋体" w:hAnsi="宋体" w:eastAsia="宋体" w:cs="宋体"/>
          <w:kern w:val="0"/>
          <w:sz w:val="24"/>
          <w:szCs w:val="24"/>
          <w:highlight w:val="none"/>
          <w:u w:val="none"/>
          <w:lang w:val="en-US" w:eastAsia="zh-CN"/>
        </w:rPr>
        <w:t>。</w:t>
      </w:r>
    </w:p>
    <w:p w14:paraId="1FF2C363">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u w:val="none"/>
          <w:lang w:val="en-US" w:eastAsia="zh-CN"/>
        </w:rPr>
      </w:pPr>
      <w:r>
        <w:rPr>
          <w:rFonts w:hint="eastAsia" w:ascii="宋体" w:hAnsi="宋体" w:eastAsia="宋体" w:cs="宋体"/>
          <w:kern w:val="0"/>
          <w:sz w:val="24"/>
          <w:szCs w:val="24"/>
          <w:highlight w:val="none"/>
          <w:u w:val="none"/>
          <w:lang w:val="en-US" w:eastAsia="zh-CN"/>
        </w:rPr>
        <w:t>合同执行过程中，因就餐人数增减需增减食堂工作人员的，由供应商与采购人协商解决。</w:t>
      </w:r>
    </w:p>
    <w:p w14:paraId="08380164">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bCs/>
          <w:sz w:val="24"/>
          <w:szCs w:val="24"/>
          <w:highlight w:val="none"/>
        </w:rPr>
      </w:pPr>
      <w:r>
        <w:rPr>
          <w:rFonts w:hint="eastAsia" w:ascii="宋体" w:hAnsi="宋体" w:eastAsia="宋体" w:cs="宋体"/>
          <w:kern w:val="0"/>
          <w:sz w:val="24"/>
          <w:szCs w:val="24"/>
          <w:highlight w:val="none"/>
          <w:u w:val="none"/>
          <w:lang w:val="en-US" w:eastAsia="zh-CN"/>
        </w:rPr>
        <w:t>上一阶段合同期满后，双方均无异议，协商后续签下一阶段合同，续签时合同其他内容不予改变。若乙方上一阶段的服务不能满足甲方要求，甲方可拒绝同乙方续签。</w:t>
      </w:r>
    </w:p>
    <w:p w14:paraId="3673E161">
      <w:pPr>
        <w:pageBreakBefore w:val="0"/>
        <w:widowControl/>
        <w:shd w:val="clear" w:color="auto" w:fill="auto"/>
        <w:kinsoku/>
        <w:wordWrap/>
        <w:overflowPunct/>
        <w:topLinePunct w:val="0"/>
        <w:autoSpaceDE/>
        <w:autoSpaceDN/>
        <w:bidi w:val="0"/>
        <w:spacing w:line="360" w:lineRule="auto"/>
        <w:ind w:right="-225" w:rightChars="-94"/>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第二条  合同金额</w:t>
      </w:r>
    </w:p>
    <w:p w14:paraId="11148D89">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1.合同形式：固定总价合同</w:t>
      </w:r>
    </w:p>
    <w:p w14:paraId="40A56D07">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合同总价款人民币（大写）</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元，（小写）</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元。</w:t>
      </w:r>
    </w:p>
    <w:p w14:paraId="1EA05E5B">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本项目计价模式为固定总价，投标报价包括但不限于指项目完成并经验收合格的所有费用，包括项目费用、国家按现行税收政策征收的一切税费等。</w:t>
      </w:r>
    </w:p>
    <w:p w14:paraId="5D3CEB56">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其中：</w:t>
      </w:r>
    </w:p>
    <w:p w14:paraId="2A67806D">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第一阶段（第一年）合同价：人民币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196623AA">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第二阶段（第二年）合同价：人民币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0FB33E98">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第三阶段（第三年）合同价：人民币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6356F442">
      <w:pPr>
        <w:pageBreakBefore w:val="0"/>
        <w:widowControl/>
        <w:shd w:val="clear" w:color="auto" w:fill="auto"/>
        <w:kinsoku/>
        <w:wordWrap/>
        <w:overflowPunct/>
        <w:topLinePunct w:val="0"/>
        <w:autoSpaceDE/>
        <w:autoSpaceDN/>
        <w:bidi w:val="0"/>
        <w:spacing w:line="360" w:lineRule="auto"/>
        <w:ind w:right="-225" w:rightChars="-94"/>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第三条  付款方式及依据</w:t>
      </w:r>
    </w:p>
    <w:p w14:paraId="28A306A5">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1.付款方式</w:t>
      </w:r>
    </w:p>
    <w:p w14:paraId="757CE56A">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default"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（1）预付款支付条款：无</w:t>
      </w:r>
    </w:p>
    <w:p w14:paraId="21B862E7">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（2）剩余款项支付条款：</w:t>
      </w:r>
    </w:p>
    <w:p w14:paraId="7ABC2FE7">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合同签订后，第一季度工作完成支付该年度合同总金额的 25.00%。第二季度工作完成支付该年度合同总金额的 25.00%。第三季度工作完成支付该年度合同总金额的 25.00%。第四季度工作完成支付该年度合同总金额的 25.00%。</w:t>
      </w:r>
    </w:p>
    <w:p w14:paraId="5CD3899F">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rPr>
        <w:t>付款依据：</w:t>
      </w:r>
      <w:r>
        <w:rPr>
          <w:rFonts w:hint="eastAsia" w:ascii="宋体" w:hAnsi="宋体" w:eastAsia="宋体" w:cs="宋体"/>
          <w:bCs/>
          <w:kern w:val="0"/>
          <w:sz w:val="24"/>
          <w:szCs w:val="24"/>
          <w:highlight w:val="none"/>
        </w:rPr>
        <w:t>合同、</w:t>
      </w:r>
      <w:r>
        <w:rPr>
          <w:rFonts w:hint="eastAsia" w:ascii="宋体" w:hAnsi="宋体" w:eastAsia="宋体" w:cs="宋体"/>
          <w:sz w:val="24"/>
          <w:szCs w:val="24"/>
          <w:highlight w:val="none"/>
          <w:lang w:eastAsia="zh-CN"/>
        </w:rPr>
        <w:t>招标</w:t>
      </w:r>
      <w:r>
        <w:rPr>
          <w:rFonts w:hint="eastAsia" w:ascii="宋体" w:hAnsi="宋体" w:eastAsia="宋体" w:cs="宋体"/>
          <w:sz w:val="24"/>
          <w:szCs w:val="24"/>
          <w:highlight w:val="none"/>
        </w:rPr>
        <w:t>文件、</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、发票</w:t>
      </w:r>
      <w:r>
        <w:rPr>
          <w:rFonts w:hint="eastAsia" w:ascii="宋体" w:hAnsi="宋体" w:eastAsia="宋体" w:cs="宋体"/>
          <w:bCs/>
          <w:kern w:val="0"/>
          <w:sz w:val="24"/>
          <w:szCs w:val="24"/>
          <w:highlight w:val="none"/>
        </w:rPr>
        <w:t>。</w:t>
      </w:r>
    </w:p>
    <w:p w14:paraId="2C98A772">
      <w:pPr>
        <w:pStyle w:val="104"/>
        <w:pageBreakBefore w:val="0"/>
        <w:shd w:val="clear" w:color="auto" w:fill="auto"/>
        <w:tabs>
          <w:tab w:val="left" w:pos="7553"/>
        </w:tabs>
        <w:kinsoku/>
        <w:wordWrap/>
        <w:overflowPunct/>
        <w:topLinePunct w:val="0"/>
        <w:autoSpaceDE/>
        <w:autoSpaceDN/>
        <w:bidi w:val="0"/>
        <w:spacing w:line="360" w:lineRule="auto"/>
        <w:ind w:firstLine="0" w:firstLineChars="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第四条</w:t>
      </w:r>
      <w:r>
        <w:rPr>
          <w:rFonts w:hint="eastAsia" w:ascii="宋体" w:hAnsi="宋体" w:eastAsia="宋体" w:cs="宋体"/>
          <w:b/>
          <w:bCs/>
          <w:sz w:val="24"/>
          <w:szCs w:val="24"/>
          <w:highlight w:val="none"/>
          <w:lang w:val="en-US" w:eastAsia="zh-CN"/>
        </w:rPr>
        <w:t xml:space="preserve"> </w:t>
      </w:r>
      <w:r>
        <w:rPr>
          <w:rFonts w:hint="eastAsia" w:ascii="宋体" w:hAnsi="宋体" w:eastAsia="宋体" w:cs="宋体"/>
          <w:b/>
          <w:bCs/>
          <w:sz w:val="24"/>
          <w:szCs w:val="24"/>
          <w:highlight w:val="none"/>
        </w:rPr>
        <w:t xml:space="preserve"> </w:t>
      </w:r>
      <w:r>
        <w:rPr>
          <w:rFonts w:hint="eastAsia" w:ascii="宋体" w:hAnsi="宋体" w:eastAsia="宋体" w:cs="宋体"/>
          <w:b/>
          <w:bCs/>
          <w:sz w:val="24"/>
          <w:szCs w:val="24"/>
          <w:highlight w:val="none"/>
          <w:lang w:val="en-US" w:eastAsia="zh-CN"/>
        </w:rPr>
        <w:t>质量保证</w:t>
      </w:r>
    </w:p>
    <w:p w14:paraId="1D211C16">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1.根据就餐标准，应提前安排相应食谱，且经甲方审议同意后执行； </w:t>
      </w:r>
    </w:p>
    <w:p w14:paraId="56FE1A28">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2.每日应准时足量的提供用餐，应确保餐品优质、健康、安全；</w:t>
      </w:r>
    </w:p>
    <w:p w14:paraId="7FE3CF9F">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3.保持餐厅及后厨环境卫生，目视达到无明显油渍油污，地面无垃圾，无污渍，干净整洁； </w:t>
      </w:r>
    </w:p>
    <w:p w14:paraId="6DEE6081">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4.负责对甲方提供的设施设备的日常清洁及保养； </w:t>
      </w:r>
    </w:p>
    <w:p w14:paraId="4730D026">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5.应在食堂内按需配备餐巾纸、牙签等耗材，可供就餐人员随时使用； </w:t>
      </w:r>
    </w:p>
    <w:p w14:paraId="152EBB0F">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6.杜绝发生食品安全事件，由于管理不善或操作不当等因素引发的食品卫生安全事件，承包人应承担全部责任，并无条件进行善后处理； </w:t>
      </w:r>
    </w:p>
    <w:p w14:paraId="493872B2">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7.应全年按照甲方要求供餐，包括国家法定节假日。积极配合甲方的各项行动及活动安排，如遇临时用餐或需调整用餐时间等情况，应按照甲方要求进行相应调整； </w:t>
      </w:r>
    </w:p>
    <w:p w14:paraId="01C94121">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8.乙方应在相关行业主管部门规定的期限内自行办理餐厅《食品经营许可证》，办理期间甲方有义务提供必要的配合； </w:t>
      </w:r>
    </w:p>
    <w:p w14:paraId="4ECD9232">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9.在合同履约期间，应符合《中华人民共和国食品安全法》、《中华人民共和国安全生产法》、国家食品药品监督管理局《餐饮服务食品安全操作规范》等法律、法规以及甲方的相关要求，确保食品质量，保障甲方就餐人员的合法权益，确保饮食安全卫生，提供优质的饮食服务。 </w:t>
      </w:r>
    </w:p>
    <w:p w14:paraId="24AC6519">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10.在合同履约期间，如有零星添置餐具、维修设备等，乙方须在经甲方同意后进行，保留好发票收据等相关资料，随季度用餐台账一并交由甲方结算； </w:t>
      </w:r>
    </w:p>
    <w:p w14:paraId="1E17F170">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11.乙方应自觉维护甲方设备、厨具、用具等，节约能源，未经甲方同意，任何设备、厨具、用具、餐具和桌椅等不得搬离餐厅范围或提供给第三者使用。</w:t>
      </w:r>
    </w:p>
    <w:p w14:paraId="6CDDB656">
      <w:pPr>
        <w:pageBreakBefore w:val="0"/>
        <w:widowControl/>
        <w:shd w:val="clear" w:color="auto" w:fill="auto"/>
        <w:kinsoku/>
        <w:wordWrap/>
        <w:overflowPunct/>
        <w:topLinePunct w:val="0"/>
        <w:autoSpaceDE/>
        <w:autoSpaceDN/>
        <w:bidi w:val="0"/>
        <w:spacing w:line="360" w:lineRule="auto"/>
        <w:ind w:right="-225" w:rightChars="-94" w:firstLine="240" w:firstLineChars="100"/>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第五条  甲方的权利及义务</w:t>
      </w:r>
    </w:p>
    <w:p w14:paraId="13D050DB">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 xml:space="preserve">1.甲方对乙方的工作进行监督、检查和指导，有权向乙方要求调换服务不合格人员。 </w:t>
      </w:r>
    </w:p>
    <w:p w14:paraId="3AEF538D">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 xml:space="preserve">2.甲方有权对乙方配备的服务人员进行审核，乙方如更换人员，应征得甲方同意后更换。 </w:t>
      </w:r>
    </w:p>
    <w:p w14:paraId="4D8523DF">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 xml:space="preserve">3.甲方应按合同约定及时向乙方支付服务费用。 </w:t>
      </w:r>
    </w:p>
    <w:p w14:paraId="2769883B">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lang w:val="en-US" w:eastAsia="zh-CN"/>
        </w:rPr>
        <w:t>4.甲方应根据管理规定相关要求和条例对乙方进行实时考核，考核内容包含但不限于人员服务情况、培训情况、管理制度、岗位制度、应急处理情况等</w:t>
      </w:r>
      <w:r>
        <w:rPr>
          <w:rFonts w:hint="eastAsia" w:ascii="宋体" w:hAnsi="宋体" w:eastAsia="宋体" w:cs="宋体"/>
          <w:kern w:val="0"/>
          <w:sz w:val="24"/>
          <w:szCs w:val="24"/>
          <w:highlight w:val="none"/>
        </w:rPr>
        <w:t>。</w:t>
      </w:r>
    </w:p>
    <w:p w14:paraId="3659A6F7">
      <w:pPr>
        <w:pageBreakBefore w:val="0"/>
        <w:widowControl/>
        <w:shd w:val="clear" w:color="auto" w:fill="auto"/>
        <w:kinsoku/>
        <w:wordWrap/>
        <w:overflowPunct/>
        <w:topLinePunct w:val="0"/>
        <w:autoSpaceDE/>
        <w:autoSpaceDN/>
        <w:bidi w:val="0"/>
        <w:spacing w:line="360" w:lineRule="auto"/>
        <w:ind w:right="-225" w:rightChars="-94"/>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 xml:space="preserve">第六条   </w:t>
      </w:r>
      <w:r>
        <w:rPr>
          <w:rFonts w:hint="eastAsia" w:ascii="宋体" w:hAnsi="宋体" w:eastAsia="宋体" w:cs="宋体"/>
          <w:b/>
          <w:bCs/>
          <w:sz w:val="24"/>
          <w:szCs w:val="24"/>
          <w:highlight w:val="none"/>
          <w:lang w:val="en-US" w:eastAsia="zh-CN"/>
        </w:rPr>
        <w:t>乙</w:t>
      </w:r>
      <w:r>
        <w:rPr>
          <w:rFonts w:hint="eastAsia" w:ascii="宋体" w:hAnsi="宋体" w:eastAsia="宋体" w:cs="宋体"/>
          <w:b/>
          <w:bCs/>
          <w:sz w:val="24"/>
          <w:szCs w:val="24"/>
          <w:highlight w:val="none"/>
        </w:rPr>
        <w:t>方的权利及义务</w:t>
      </w:r>
    </w:p>
    <w:p w14:paraId="2D671987">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1.乙方有权要求甲方按合同约定及时支付合同款。乙方应及时向甲方提供台账供甲方审核确认。 </w:t>
      </w:r>
    </w:p>
    <w:p w14:paraId="3B267B55">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2.乙方负责甲方员工用餐的加工制作，按时提供膳食服务，具体供餐时间：早饭：07：30-09：00;午饭：11：30-13：30;晚饭：17：30-19：30。甲方周末及节假日均有少量人员值班，乙方需正常供餐。乙方负责餐厅所辖区域的设备、设施安全运行及维护、卫生清洁服务，负责打卡收费，负责餐厅食品卫生、设备安全等工作，负责完成和餐饮有关的其它工作任务。 </w:t>
      </w:r>
    </w:p>
    <w:p w14:paraId="635F1A34">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3.乙方必须遵守国家和地方有关安全、环境和食品卫生的标准。严格执行机关厨房的相关安全管理制度、安全操作规程，并认真执行。同时对所属人员进行经常性的职业道德、食品安全卫生、安全规章等安全知识培训。采取有效措施做好各类事故预防工作。 </w:t>
      </w:r>
    </w:p>
    <w:p w14:paraId="73E37226">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4.乙方从业人员必须定期体检，持有效的健康证上岗操作。对因乙方未组织所属人员体检，携带传染性疾病上岗操作，导致甲方人员发生传染病事件，乙方负责承担全部责任。乙方工作中应厉行节约，杜绝餐饮浪费。 </w:t>
      </w:r>
    </w:p>
    <w:p w14:paraId="4170A700">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5.乙方应认真落实防蚊、蝇、鼠害等安全措施，做好防疫工作，避免疾病，传染病的传播。 </w:t>
      </w:r>
    </w:p>
    <w:p w14:paraId="749630ED">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6.供应商每日食品须留样，食品样品的提取和保存应满足采购人或政府监管部门的要求，供应商应随时配合政府有关部门的管理。 </w:t>
      </w:r>
    </w:p>
    <w:p w14:paraId="3F20013C">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7.乙方需指派一名项目负责人，项目负责人负责与甲方的联系沟通。</w:t>
      </w:r>
    </w:p>
    <w:p w14:paraId="2DA4094C">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u w:val="single"/>
          <w:lang w:val="en-US" w:eastAsia="zh-CN"/>
        </w:rPr>
      </w:pPr>
      <w:r>
        <w:rPr>
          <w:rFonts w:hint="eastAsia" w:ascii="宋体" w:hAnsi="宋体" w:eastAsia="宋体" w:cs="宋体"/>
          <w:kern w:val="0"/>
          <w:sz w:val="24"/>
          <w:szCs w:val="24"/>
          <w:highlight w:val="none"/>
          <w:lang w:val="en-US" w:eastAsia="zh-CN"/>
        </w:rPr>
        <w:t>乙方项目负责人：</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lang w:val="en-US" w:eastAsia="zh-CN"/>
        </w:rPr>
        <w:t xml:space="preserve">  身份证号：</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none"/>
          <w:lang w:val="en-US" w:eastAsia="zh-CN"/>
        </w:rPr>
        <w:t xml:space="preserve">   </w:t>
      </w:r>
      <w:r>
        <w:rPr>
          <w:rFonts w:hint="eastAsia" w:ascii="宋体" w:hAnsi="宋体" w:eastAsia="宋体" w:cs="宋体"/>
          <w:kern w:val="0"/>
          <w:sz w:val="24"/>
          <w:szCs w:val="24"/>
          <w:highlight w:val="none"/>
          <w:lang w:val="en-US" w:eastAsia="zh-CN"/>
        </w:rPr>
        <w:t>联系电话：</w:t>
      </w:r>
      <w:r>
        <w:rPr>
          <w:rFonts w:hint="eastAsia" w:ascii="宋体" w:hAnsi="宋体" w:eastAsia="宋体" w:cs="宋体"/>
          <w:kern w:val="0"/>
          <w:sz w:val="24"/>
          <w:szCs w:val="24"/>
          <w:highlight w:val="none"/>
          <w:u w:val="single"/>
          <w:lang w:val="en-US" w:eastAsia="zh-CN"/>
        </w:rPr>
        <w:t xml:space="preserve">            </w:t>
      </w:r>
    </w:p>
    <w:p w14:paraId="02A12815">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8.乙方按照管理制度对人员进行管理，若出现人员不遵守管理制度，乙方应按制度处罚并及时更换人员。 </w:t>
      </w:r>
    </w:p>
    <w:p w14:paraId="76011377">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9.乙方应按时向员工支付薪资福利、缴纳社保费用和购买商业保险等。乙方未及时向员工支付相关费用产生的责任由乙方自行负责，甲方均不承担责任。 </w:t>
      </w:r>
    </w:p>
    <w:p w14:paraId="48A23E0C">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10.乙方负责处理相关人员的劳动争议事宜。 </w:t>
      </w:r>
    </w:p>
    <w:p w14:paraId="192603BE">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11.因乙方操作不规范产生的不良影响，由乙方自行负责。</w:t>
      </w:r>
    </w:p>
    <w:p w14:paraId="4D29A1BA">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12.乙方应承担工作现场的责任和风险以及期间发生的一切费用，乙方若因工作现场而发生的人身伤亡、财产或其他损失，不论何种原因所造成，甲方均不承担责任。 </w:t>
      </w:r>
    </w:p>
    <w:p w14:paraId="1F7A31BF">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13.接受甲方的管理、监督、检查和考核，对甲方发出的整改通知，应及时按甲方的要求进行整改。</w:t>
      </w:r>
    </w:p>
    <w:p w14:paraId="2A88B76A">
      <w:pPr>
        <w:pageBreakBefore w:val="0"/>
        <w:widowControl/>
        <w:shd w:val="clear" w:color="auto" w:fill="auto"/>
        <w:kinsoku/>
        <w:wordWrap/>
        <w:overflowPunct/>
        <w:topLinePunct w:val="0"/>
        <w:autoSpaceDE/>
        <w:autoSpaceDN/>
        <w:bidi w:val="0"/>
        <w:spacing w:line="360" w:lineRule="auto"/>
        <w:ind w:right="-225" w:rightChars="-94"/>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 xml:space="preserve">第七条 </w:t>
      </w:r>
      <w:r>
        <w:rPr>
          <w:rFonts w:hint="eastAsia" w:ascii="宋体" w:hAnsi="宋体" w:eastAsia="宋体" w:cs="宋体"/>
          <w:b/>
          <w:bCs/>
          <w:sz w:val="24"/>
          <w:szCs w:val="24"/>
          <w:highlight w:val="none"/>
        </w:rPr>
        <w:t>违约责任</w:t>
      </w:r>
    </w:p>
    <w:p w14:paraId="6561265C">
      <w:pPr>
        <w:pStyle w:val="76"/>
        <w:keepNext w:val="0"/>
        <w:keepLines w:val="0"/>
        <w:pageBreakBefore w:val="0"/>
        <w:widowControl w:val="0"/>
        <w:tabs>
          <w:tab w:val="left" w:pos="1134"/>
          <w:tab w:val="left" w:pos="1418"/>
        </w:tabs>
        <w:kinsoku/>
        <w:wordWrap/>
        <w:topLinePunct w:val="0"/>
        <w:autoSpaceDE/>
        <w:autoSpaceDN/>
        <w:bidi w:val="0"/>
        <w:adjustRightInd w:val="0"/>
        <w:snapToGrid/>
        <w:spacing w:line="360" w:lineRule="auto"/>
        <w:ind w:lef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1.按《中华人民共和国民法典》中的相关条款执行。</w:t>
      </w:r>
    </w:p>
    <w:p w14:paraId="43473FBA">
      <w:pPr>
        <w:pStyle w:val="76"/>
        <w:keepNext w:val="0"/>
        <w:keepLines w:val="0"/>
        <w:pageBreakBefore w:val="0"/>
        <w:widowControl w:val="0"/>
        <w:tabs>
          <w:tab w:val="left" w:pos="1134"/>
          <w:tab w:val="left" w:pos="1418"/>
        </w:tabs>
        <w:kinsoku/>
        <w:wordWrap/>
        <w:topLinePunct w:val="0"/>
        <w:autoSpaceDE/>
        <w:autoSpaceDN/>
        <w:bidi w:val="0"/>
        <w:adjustRightInd w:val="0"/>
        <w:snapToGrid/>
        <w:spacing w:line="360" w:lineRule="auto"/>
        <w:ind w:lef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2.未按合同或</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lang w:eastAsia="zh-CN"/>
        </w:rPr>
        <w:t>文件要求提供服务，质量不能满足甲方技术要求，采购单位有权终止合同，甚至对供方违约行为进行追究。</w:t>
      </w:r>
    </w:p>
    <w:p w14:paraId="4277903E">
      <w:pPr>
        <w:pStyle w:val="76"/>
        <w:keepNext w:val="0"/>
        <w:keepLines w:val="0"/>
        <w:pageBreakBefore w:val="0"/>
        <w:widowControl w:val="0"/>
        <w:tabs>
          <w:tab w:val="left" w:pos="1134"/>
          <w:tab w:val="left" w:pos="1418"/>
        </w:tabs>
        <w:kinsoku/>
        <w:wordWrap/>
        <w:topLinePunct w:val="0"/>
        <w:autoSpaceDE/>
        <w:autoSpaceDN/>
        <w:bidi w:val="0"/>
        <w:adjustRightInd w:val="0"/>
        <w:snapToGrid/>
        <w:spacing w:line="360" w:lineRule="auto"/>
        <w:ind w:lef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3.乙方由于自身过错，延误按本合同规定的时间</w:t>
      </w:r>
      <w:r>
        <w:rPr>
          <w:rFonts w:hint="eastAsia" w:ascii="宋体" w:hAnsi="宋体" w:eastAsia="宋体" w:cs="宋体"/>
          <w:color w:val="auto"/>
          <w:sz w:val="24"/>
          <w:szCs w:val="24"/>
          <w:highlight w:val="none"/>
          <w:lang w:val="en-US" w:eastAsia="zh-CN"/>
        </w:rPr>
        <w:t>完成服务</w:t>
      </w:r>
      <w:r>
        <w:rPr>
          <w:rFonts w:hint="eastAsia" w:ascii="宋体" w:hAnsi="宋体" w:eastAsia="宋体" w:cs="宋体"/>
          <w:color w:val="auto"/>
          <w:sz w:val="24"/>
          <w:szCs w:val="24"/>
          <w:highlight w:val="none"/>
          <w:lang w:eastAsia="zh-CN"/>
        </w:rPr>
        <w:t>，每延误一天，应减收本合同总额的2‰作为延误违约金。</w:t>
      </w:r>
    </w:p>
    <w:p w14:paraId="3CD7D6B6">
      <w:pPr>
        <w:pStyle w:val="76"/>
        <w:keepNext w:val="0"/>
        <w:keepLines w:val="0"/>
        <w:pageBreakBefore w:val="0"/>
        <w:widowControl w:val="0"/>
        <w:tabs>
          <w:tab w:val="left" w:pos="1134"/>
          <w:tab w:val="left" w:pos="1418"/>
        </w:tabs>
        <w:kinsoku/>
        <w:wordWrap/>
        <w:topLinePunct w:val="0"/>
        <w:autoSpaceDE/>
        <w:autoSpaceDN/>
        <w:bidi w:val="0"/>
        <w:adjustRightInd w:val="0"/>
        <w:snapToGrid/>
        <w:spacing w:line="360" w:lineRule="auto"/>
        <w:ind w:lef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4.本合同所约定的因乙方原因导致甲方单方面解除合同的，乙方应退还甲方全部已付款，并向甲方支付合同总额20%违约金，违约金不足甲方损失的，乙方应全额补足。</w:t>
      </w:r>
    </w:p>
    <w:p w14:paraId="5A1E6388">
      <w:pPr>
        <w:pStyle w:val="104"/>
        <w:pageBreakBefore w:val="0"/>
        <w:widowControl/>
        <w:shd w:val="clear" w:color="auto" w:fill="auto"/>
        <w:kinsoku/>
        <w:wordWrap/>
        <w:overflowPunct/>
        <w:topLinePunct w:val="0"/>
        <w:autoSpaceDE/>
        <w:autoSpaceDN/>
        <w:bidi w:val="0"/>
        <w:spacing w:line="360" w:lineRule="auto"/>
        <w:ind w:firstLine="240" w:firstLineChars="1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w:t>
      </w:r>
      <w:r>
        <w:rPr>
          <w:rFonts w:hint="eastAsia" w:ascii="宋体" w:hAnsi="宋体" w:eastAsia="宋体" w:cs="宋体"/>
          <w:b/>
          <w:bCs/>
          <w:sz w:val="24"/>
          <w:szCs w:val="24"/>
          <w:highlight w:val="none"/>
          <w:lang w:val="en-US" w:eastAsia="zh-CN"/>
        </w:rPr>
        <w:t>八</w:t>
      </w:r>
      <w:r>
        <w:rPr>
          <w:rFonts w:hint="eastAsia" w:ascii="宋体" w:hAnsi="宋体" w:eastAsia="宋体" w:cs="宋体"/>
          <w:b/>
          <w:bCs/>
          <w:sz w:val="24"/>
          <w:szCs w:val="24"/>
          <w:highlight w:val="none"/>
        </w:rPr>
        <w:t>条  合同终止</w:t>
      </w:r>
    </w:p>
    <w:p w14:paraId="0866F52A">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1.合同期间任何一方不得随意终止合同。 </w:t>
      </w:r>
    </w:p>
    <w:p w14:paraId="77B8DCE0">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2.本合同规定的履行期限届满，合同自动终止。 </w:t>
      </w:r>
    </w:p>
    <w:p w14:paraId="403AA7E2">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3.因双方机构撤并、职能调整等原因，确需终止合同的，双方可协商终止合同。 </w:t>
      </w:r>
    </w:p>
    <w:p w14:paraId="31C73428">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4.乙方应自觉遵守甲方工作纪律、规章制度，服从甲方管理。因乙方原因给甲方造成严重后果，甲方可以单方面解除合同。</w:t>
      </w:r>
    </w:p>
    <w:p w14:paraId="64CFC9B7">
      <w:pPr>
        <w:pageBreakBefore w:val="0"/>
        <w:widowControl/>
        <w:shd w:val="clear" w:color="auto" w:fill="auto"/>
        <w:kinsoku/>
        <w:wordWrap/>
        <w:overflowPunct/>
        <w:topLinePunct w:val="0"/>
        <w:autoSpaceDE/>
        <w:autoSpaceDN/>
        <w:bidi w:val="0"/>
        <w:spacing w:line="360" w:lineRule="auto"/>
        <w:ind w:right="-225" w:rightChars="-94" w:firstLine="240" w:firstLineChars="100"/>
        <w:jc w:val="left"/>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rPr>
        <w:t>第</w:t>
      </w:r>
      <w:r>
        <w:rPr>
          <w:rFonts w:hint="eastAsia" w:ascii="宋体" w:hAnsi="宋体" w:eastAsia="宋体" w:cs="宋体"/>
          <w:b/>
          <w:bCs/>
          <w:kern w:val="0"/>
          <w:sz w:val="24"/>
          <w:szCs w:val="24"/>
          <w:highlight w:val="none"/>
          <w:lang w:val="en-US" w:eastAsia="zh-CN"/>
        </w:rPr>
        <w:t>九</w:t>
      </w:r>
      <w:r>
        <w:rPr>
          <w:rFonts w:hint="eastAsia" w:ascii="宋体" w:hAnsi="宋体" w:eastAsia="宋体" w:cs="宋体"/>
          <w:b/>
          <w:bCs/>
          <w:kern w:val="0"/>
          <w:sz w:val="24"/>
          <w:szCs w:val="24"/>
          <w:highlight w:val="none"/>
        </w:rPr>
        <w:t xml:space="preserve">条  </w:t>
      </w:r>
      <w:r>
        <w:rPr>
          <w:rFonts w:hint="eastAsia" w:ascii="宋体" w:hAnsi="宋体" w:eastAsia="宋体" w:cs="宋体"/>
          <w:b/>
          <w:bCs/>
          <w:kern w:val="0"/>
          <w:sz w:val="24"/>
          <w:szCs w:val="24"/>
          <w:highlight w:val="none"/>
          <w:lang w:val="en-US" w:eastAsia="zh-CN"/>
        </w:rPr>
        <w:t>保密协议</w:t>
      </w:r>
    </w:p>
    <w:p w14:paraId="72B68BEE">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甲乙双方对本合同的内容，以及在本合同履行过程中获得的对方的信息，均负有保密义务。除甲乙双方另有约定外，保密义务是指在未经对方书面同意前，一方不得将保密信息用于任何与履行本合同无关的情况；或以任何形式向任何第三方泄露。双方均有义务尽其一切努力防止任何第三方窃取秘密信息。由于任何一方违反以上保密义务给对方造成损失，违约方对受损失方负有停止侵害、消除影响、赔偿损失的责任。</w:t>
      </w:r>
    </w:p>
    <w:p w14:paraId="5ECC766B">
      <w:pPr>
        <w:pageBreakBefore w:val="0"/>
        <w:widowControl/>
        <w:shd w:val="clear" w:color="auto" w:fill="auto"/>
        <w:kinsoku/>
        <w:wordWrap/>
        <w:overflowPunct/>
        <w:topLinePunct w:val="0"/>
        <w:autoSpaceDE/>
        <w:autoSpaceDN/>
        <w:bidi w:val="0"/>
        <w:spacing w:line="360" w:lineRule="auto"/>
        <w:ind w:right="-225" w:rightChars="-94" w:firstLine="240"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lang w:val="en-US" w:eastAsia="zh-CN"/>
        </w:rPr>
        <w:t xml:space="preserve">第十条 </w:t>
      </w:r>
      <w:r>
        <w:rPr>
          <w:rFonts w:hint="eastAsia" w:ascii="宋体" w:hAnsi="宋体" w:eastAsia="宋体" w:cs="宋体"/>
          <w:b/>
          <w:bCs/>
          <w:kern w:val="0"/>
          <w:sz w:val="24"/>
          <w:szCs w:val="24"/>
          <w:highlight w:val="none"/>
        </w:rPr>
        <w:fldChar w:fldCharType="begin"/>
      </w:r>
      <w:r>
        <w:rPr>
          <w:rFonts w:hint="eastAsia" w:ascii="宋体" w:hAnsi="宋体" w:eastAsia="宋体" w:cs="宋体"/>
          <w:b/>
          <w:bCs/>
          <w:kern w:val="0"/>
          <w:sz w:val="24"/>
          <w:szCs w:val="24"/>
          <w:highlight w:val="none"/>
        </w:rPr>
        <w:instrText xml:space="preserve"> HYPERLINK "http://set2.mail.qq.com/cgi-bin/mail_spam?action=check_link&amp;spam=0&amp;url=http%3A%2F%2Fwww%2Ebaidu%2Ecom%2Fs%3Fwd%3D%25E4%25B8%258D%25E5%258F%25AF%25E6%258A%2597%25E5%258A%259B%26hl_tag%3Dtextlink%26tn%3DSE_hldp01350_v6v6zkg6" </w:instrText>
      </w:r>
      <w:r>
        <w:rPr>
          <w:rFonts w:hint="eastAsia" w:ascii="宋体" w:hAnsi="宋体" w:eastAsia="宋体" w:cs="宋体"/>
          <w:b/>
          <w:bCs/>
          <w:kern w:val="0"/>
          <w:sz w:val="24"/>
          <w:szCs w:val="24"/>
          <w:highlight w:val="none"/>
        </w:rPr>
        <w:fldChar w:fldCharType="separate"/>
      </w:r>
      <w:r>
        <w:rPr>
          <w:rFonts w:hint="eastAsia" w:ascii="宋体" w:hAnsi="宋体" w:eastAsia="宋体" w:cs="宋体"/>
          <w:b/>
          <w:bCs/>
          <w:kern w:val="0"/>
          <w:sz w:val="24"/>
          <w:szCs w:val="24"/>
          <w:highlight w:val="none"/>
        </w:rPr>
        <w:t>不可抗力</w:t>
      </w:r>
      <w:r>
        <w:rPr>
          <w:rFonts w:hint="eastAsia" w:ascii="宋体" w:hAnsi="宋体" w:eastAsia="宋体" w:cs="宋体"/>
          <w:b/>
          <w:bCs/>
          <w:kern w:val="0"/>
          <w:sz w:val="24"/>
          <w:szCs w:val="24"/>
          <w:highlight w:val="none"/>
        </w:rPr>
        <w:fldChar w:fldCharType="end"/>
      </w:r>
    </w:p>
    <w:p w14:paraId="1E249FE7">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甲乙双方任何一方由于不可抗力原因不能履行合同时，应及时向对方通报不能履行或不能完全履行的理由，以减轻可能给对方造成的损失，在取得有关机构证明后，允许延期履行、部分履行或不履行合同，并根据情况可部分或全部免予承担违约责任。</w:t>
      </w:r>
    </w:p>
    <w:p w14:paraId="6585E47F">
      <w:pPr>
        <w:pageBreakBefore w:val="0"/>
        <w:widowControl/>
        <w:shd w:val="clear" w:color="auto" w:fill="auto"/>
        <w:kinsoku/>
        <w:wordWrap/>
        <w:overflowPunct/>
        <w:topLinePunct w:val="0"/>
        <w:autoSpaceDE/>
        <w:autoSpaceDN/>
        <w:bidi w:val="0"/>
        <w:spacing w:line="360" w:lineRule="auto"/>
        <w:ind w:right="-225" w:rightChars="-94" w:firstLine="240"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w:t>
      </w:r>
      <w:r>
        <w:rPr>
          <w:rFonts w:hint="eastAsia" w:ascii="宋体" w:hAnsi="宋体" w:eastAsia="宋体" w:cs="宋体"/>
          <w:b/>
          <w:bCs/>
          <w:kern w:val="0"/>
          <w:sz w:val="24"/>
          <w:szCs w:val="24"/>
          <w:highlight w:val="none"/>
          <w:lang w:val="en-US" w:eastAsia="zh-CN"/>
        </w:rPr>
        <w:t>十一</w:t>
      </w:r>
      <w:r>
        <w:rPr>
          <w:rFonts w:hint="eastAsia" w:ascii="宋体" w:hAnsi="宋体" w:eastAsia="宋体" w:cs="宋体"/>
          <w:b/>
          <w:bCs/>
          <w:kern w:val="0"/>
          <w:sz w:val="24"/>
          <w:szCs w:val="24"/>
          <w:highlight w:val="none"/>
        </w:rPr>
        <w:t>条  争议解决</w:t>
      </w:r>
    </w:p>
    <w:p w14:paraId="667852E8">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双方本着友好合作的态度,对合同履行过程中发生的</w:t>
      </w:r>
      <w:r>
        <w:rPr>
          <w:rFonts w:hint="eastAsia" w:ascii="宋体" w:hAnsi="宋体" w:eastAsia="宋体" w:cs="宋体"/>
          <w:kern w:val="0"/>
          <w:sz w:val="24"/>
          <w:szCs w:val="24"/>
          <w:highlight w:val="none"/>
          <w:lang w:val="en-US" w:eastAsia="zh-CN"/>
        </w:rPr>
        <w:fldChar w:fldCharType="begin"/>
      </w:r>
      <w:r>
        <w:rPr>
          <w:rFonts w:hint="eastAsia" w:ascii="宋体" w:hAnsi="宋体" w:eastAsia="宋体" w:cs="宋体"/>
          <w:kern w:val="0"/>
          <w:sz w:val="24"/>
          <w:szCs w:val="24"/>
          <w:highlight w:val="none"/>
          <w:lang w:val="en-US" w:eastAsia="zh-CN"/>
        </w:rPr>
        <w:instrText xml:space="preserve"> HYPERLINK "http://set2.mail.qq.com/cgi-bin/mail_spam?action=check_link&amp;spam=0&amp;url=http%3A%2F%2Fbaike%2Ebaidu%2Ecom%2Fview%2F322875%2Ehtm" </w:instrText>
      </w:r>
      <w:r>
        <w:rPr>
          <w:rFonts w:hint="eastAsia" w:ascii="宋体" w:hAnsi="宋体" w:eastAsia="宋体" w:cs="宋体"/>
          <w:kern w:val="0"/>
          <w:sz w:val="24"/>
          <w:szCs w:val="24"/>
          <w:highlight w:val="none"/>
          <w:lang w:val="en-US" w:eastAsia="zh-CN"/>
        </w:rPr>
        <w:fldChar w:fldCharType="separate"/>
      </w:r>
      <w:r>
        <w:rPr>
          <w:rFonts w:hint="eastAsia" w:ascii="宋体" w:hAnsi="宋体" w:eastAsia="宋体" w:cs="宋体"/>
          <w:kern w:val="0"/>
          <w:sz w:val="24"/>
          <w:szCs w:val="24"/>
          <w:highlight w:val="none"/>
          <w:lang w:val="en-US" w:eastAsia="zh-CN"/>
        </w:rPr>
        <w:t>纠纷</w:t>
      </w:r>
      <w:r>
        <w:rPr>
          <w:rFonts w:hint="eastAsia" w:ascii="宋体" w:hAnsi="宋体" w:eastAsia="宋体" w:cs="宋体"/>
          <w:kern w:val="0"/>
          <w:sz w:val="24"/>
          <w:szCs w:val="24"/>
          <w:highlight w:val="none"/>
          <w:lang w:val="en-US" w:eastAsia="zh-CN"/>
        </w:rPr>
        <w:fldChar w:fldCharType="end"/>
      </w:r>
      <w:r>
        <w:rPr>
          <w:rFonts w:hint="eastAsia" w:ascii="宋体" w:hAnsi="宋体" w:eastAsia="宋体" w:cs="宋体"/>
          <w:kern w:val="0"/>
          <w:sz w:val="24"/>
          <w:szCs w:val="24"/>
          <w:highlight w:val="none"/>
          <w:lang w:val="en-US" w:eastAsia="zh-CN"/>
        </w:rPr>
        <w:t>应及时协商解决,协商不成，向甲方所在地人民法院诉讼解决。</w:t>
      </w:r>
    </w:p>
    <w:p w14:paraId="0E5B8A29">
      <w:pPr>
        <w:pageBreakBefore w:val="0"/>
        <w:widowControl/>
        <w:shd w:val="clear" w:color="auto" w:fill="auto"/>
        <w:kinsoku/>
        <w:wordWrap/>
        <w:overflowPunct/>
        <w:topLinePunct w:val="0"/>
        <w:autoSpaceDE/>
        <w:autoSpaceDN/>
        <w:bidi w:val="0"/>
        <w:spacing w:line="360" w:lineRule="auto"/>
        <w:ind w:right="-225" w:rightChars="-94" w:firstLine="240"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w:t>
      </w:r>
      <w:r>
        <w:rPr>
          <w:rFonts w:hint="eastAsia" w:ascii="宋体" w:hAnsi="宋体" w:eastAsia="宋体" w:cs="宋体"/>
          <w:b/>
          <w:bCs/>
          <w:kern w:val="0"/>
          <w:sz w:val="24"/>
          <w:szCs w:val="24"/>
          <w:highlight w:val="none"/>
          <w:lang w:val="en-US" w:eastAsia="zh-CN"/>
        </w:rPr>
        <w:t>二</w:t>
      </w:r>
      <w:r>
        <w:rPr>
          <w:rFonts w:hint="eastAsia" w:ascii="宋体" w:hAnsi="宋体" w:eastAsia="宋体" w:cs="宋体"/>
          <w:b/>
          <w:bCs/>
          <w:kern w:val="0"/>
          <w:sz w:val="24"/>
          <w:szCs w:val="24"/>
          <w:highlight w:val="none"/>
        </w:rPr>
        <w:t>条  监督和管理</w:t>
      </w:r>
    </w:p>
    <w:p w14:paraId="49978B0F">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1.政府采购合同履行中，甲方需追加与合同标的相同的货物、工程或者服务的，在不改变合同其他条款的前提下，可以与乙方协商签订补充合同，但所有补充合同的采购金额不得超过原合同采购金额的百分之十。</w:t>
      </w:r>
    </w:p>
    <w:p w14:paraId="163D820A">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2.甲乙双方均应自觉配合有关监督管理部门对合同履行情况的监督检查，如实反映情况，提供有关资料；否则，将对有关单位、当事人按照有关规定予以处罚。</w:t>
      </w:r>
    </w:p>
    <w:p w14:paraId="5B420E3D">
      <w:pPr>
        <w:pageBreakBefore w:val="0"/>
        <w:widowControl/>
        <w:shd w:val="clear" w:color="auto" w:fill="auto"/>
        <w:kinsoku/>
        <w:wordWrap/>
        <w:overflowPunct/>
        <w:topLinePunct w:val="0"/>
        <w:autoSpaceDE/>
        <w:autoSpaceDN/>
        <w:bidi w:val="0"/>
        <w:spacing w:line="360" w:lineRule="auto"/>
        <w:ind w:right="-225" w:rightChars="-94" w:firstLine="240"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w:t>
      </w:r>
      <w:r>
        <w:rPr>
          <w:rFonts w:hint="eastAsia" w:ascii="宋体" w:hAnsi="宋体" w:eastAsia="宋体" w:cs="宋体"/>
          <w:b/>
          <w:bCs/>
          <w:kern w:val="0"/>
          <w:sz w:val="24"/>
          <w:szCs w:val="24"/>
          <w:highlight w:val="none"/>
          <w:lang w:val="en-US" w:eastAsia="zh-CN"/>
        </w:rPr>
        <w:t>三</w:t>
      </w:r>
      <w:r>
        <w:rPr>
          <w:rFonts w:hint="eastAsia" w:ascii="宋体" w:hAnsi="宋体" w:eastAsia="宋体" w:cs="宋体"/>
          <w:b/>
          <w:bCs/>
          <w:kern w:val="0"/>
          <w:sz w:val="24"/>
          <w:szCs w:val="24"/>
          <w:highlight w:val="none"/>
        </w:rPr>
        <w:t xml:space="preserve">条  </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"http://set2.mail.qq.com/cgi-bin/mail_spam?action=check_link&amp;spam=0&amp;url=http%3A%2F%2Fwww%2Ebaidu%2Ecom%2Fs%3Fwd%3D%25E6%2597%25A0%25E6%2595%2588%25E5%2590%2588%25E5%2590%258C%26hl_tag%3Dtextlink%26tn%3DSE_hldp01350_v6v6zkg6" </w:instrText>
      </w:r>
      <w:r>
        <w:rPr>
          <w:rFonts w:hint="eastAsia" w:ascii="宋体" w:hAnsi="宋体" w:eastAsia="宋体" w:cs="宋体"/>
          <w:sz w:val="24"/>
          <w:szCs w:val="24"/>
          <w:highlight w:val="none"/>
        </w:rPr>
        <w:fldChar w:fldCharType="separate"/>
      </w:r>
      <w:r>
        <w:rPr>
          <w:rFonts w:hint="eastAsia" w:ascii="宋体" w:hAnsi="宋体" w:eastAsia="宋体" w:cs="宋体"/>
          <w:b/>
          <w:bCs/>
          <w:kern w:val="0"/>
          <w:sz w:val="24"/>
          <w:szCs w:val="24"/>
          <w:highlight w:val="none"/>
        </w:rPr>
        <w:t>无效合同</w:t>
      </w:r>
      <w:r>
        <w:rPr>
          <w:rFonts w:hint="eastAsia" w:ascii="宋体" w:hAnsi="宋体" w:eastAsia="宋体" w:cs="宋体"/>
          <w:b/>
          <w:bCs/>
          <w:kern w:val="0"/>
          <w:sz w:val="24"/>
          <w:szCs w:val="24"/>
          <w:highlight w:val="none"/>
        </w:rPr>
        <w:fldChar w:fldCharType="end"/>
      </w:r>
    </w:p>
    <w:p w14:paraId="50A485FA">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甲乙双方如因违反政府采购法及相关法律法规的规定，被宣告</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"http://set2.mail.qq.com/cgi-bin/mail_spam?action=check_link&amp;spam=0&amp;url=http%3A%2F%2Fwww%2Ebaidu%2Ecom%2Fs%3Fwd%3D%25E5%2590%2588%25E5%2590%258C%25E6%2597%25A0%25E6%2595%2588%26hl_tag%3Dtextlink%26tn%3DSE_hldp01350_v6v6zkg6" </w:instrText>
      </w:r>
      <w:r>
        <w:rPr>
          <w:rFonts w:hint="eastAsia" w:ascii="宋体" w:hAnsi="宋体" w:eastAsia="宋体" w:cs="宋体"/>
          <w:sz w:val="24"/>
          <w:szCs w:val="24"/>
          <w:highlight w:val="none"/>
        </w:rPr>
        <w:fldChar w:fldCharType="separate"/>
      </w:r>
      <w:r>
        <w:rPr>
          <w:rFonts w:hint="eastAsia" w:ascii="宋体" w:hAnsi="宋体" w:eastAsia="宋体" w:cs="宋体"/>
          <w:kern w:val="0"/>
          <w:sz w:val="24"/>
          <w:szCs w:val="24"/>
          <w:highlight w:val="none"/>
        </w:rPr>
        <w:t>合同无效</w:t>
      </w:r>
      <w:r>
        <w:rPr>
          <w:rFonts w:hint="eastAsia" w:ascii="宋体" w:hAnsi="宋体" w:eastAsia="宋体" w:cs="宋体"/>
          <w:kern w:val="0"/>
          <w:sz w:val="24"/>
          <w:szCs w:val="24"/>
          <w:highlight w:val="none"/>
        </w:rPr>
        <w:fldChar w:fldCharType="end"/>
      </w:r>
      <w:r>
        <w:rPr>
          <w:rFonts w:hint="eastAsia" w:ascii="宋体" w:hAnsi="宋体" w:eastAsia="宋体" w:cs="宋体"/>
          <w:kern w:val="0"/>
          <w:sz w:val="24"/>
          <w:szCs w:val="24"/>
          <w:highlight w:val="none"/>
        </w:rPr>
        <w:t>的，一切责任概由过错方自行承担。</w:t>
      </w:r>
    </w:p>
    <w:p w14:paraId="178456DD">
      <w:pPr>
        <w:pStyle w:val="27"/>
        <w:pageBreakBefore w:val="0"/>
        <w:shd w:val="clear" w:color="auto" w:fill="auto"/>
        <w:tabs>
          <w:tab w:val="left" w:pos="567"/>
        </w:tabs>
        <w:kinsoku/>
        <w:wordWrap/>
        <w:overflowPunct/>
        <w:topLinePunct w:val="0"/>
        <w:autoSpaceDE/>
        <w:autoSpaceDN/>
        <w:bidi w:val="0"/>
        <w:spacing w:line="360" w:lineRule="auto"/>
        <w:ind w:firstLine="281"/>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第十</w:t>
      </w:r>
      <w:r>
        <w:rPr>
          <w:rFonts w:hint="eastAsia" w:ascii="宋体" w:hAnsi="宋体" w:eastAsia="宋体" w:cs="宋体"/>
          <w:b/>
          <w:bCs/>
          <w:color w:val="auto"/>
          <w:kern w:val="0"/>
          <w:sz w:val="24"/>
          <w:szCs w:val="24"/>
          <w:highlight w:val="none"/>
          <w:lang w:val="en-US" w:eastAsia="zh-CN"/>
        </w:rPr>
        <w:t>四</w:t>
      </w:r>
      <w:r>
        <w:rPr>
          <w:rFonts w:hint="eastAsia" w:ascii="宋体" w:hAnsi="宋体" w:eastAsia="宋体" w:cs="宋体"/>
          <w:b/>
          <w:bCs/>
          <w:color w:val="auto"/>
          <w:kern w:val="0"/>
          <w:sz w:val="24"/>
          <w:szCs w:val="24"/>
          <w:highlight w:val="none"/>
        </w:rPr>
        <w:t>条  信用融资（如有）</w:t>
      </w:r>
    </w:p>
    <w:p w14:paraId="4D5C525D">
      <w:pPr>
        <w:pStyle w:val="27"/>
        <w:pageBreakBefore w:val="0"/>
        <w:shd w:val="clear" w:color="auto" w:fill="auto"/>
        <w:tabs>
          <w:tab w:val="left" w:pos="567"/>
        </w:tabs>
        <w:kinsoku/>
        <w:wordWrap/>
        <w:overflowPunct/>
        <w:topLinePunct w:val="0"/>
        <w:autoSpaceDE/>
        <w:autoSpaceDN/>
        <w:bidi w:val="0"/>
        <w:spacing w:line="360" w:lineRule="auto"/>
        <w:ind w:firstLine="28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银行名称：</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，收款账号：</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w:t>
      </w:r>
    </w:p>
    <w:p w14:paraId="3AF1037A">
      <w:pPr>
        <w:pageBreakBefore w:val="0"/>
        <w:widowControl/>
        <w:shd w:val="clear" w:color="auto" w:fill="auto"/>
        <w:kinsoku/>
        <w:wordWrap/>
        <w:overflowPunct/>
        <w:topLinePunct w:val="0"/>
        <w:autoSpaceDE/>
        <w:autoSpaceDN/>
        <w:bidi w:val="0"/>
        <w:spacing w:line="360" w:lineRule="auto"/>
        <w:ind w:right="-225" w:rightChars="-94" w:firstLine="240" w:firstLineChars="100"/>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第十</w:t>
      </w:r>
      <w:r>
        <w:rPr>
          <w:rFonts w:hint="eastAsia" w:ascii="宋体" w:hAnsi="宋体" w:eastAsia="宋体" w:cs="宋体"/>
          <w:b/>
          <w:bCs/>
          <w:color w:val="auto"/>
          <w:kern w:val="0"/>
          <w:sz w:val="24"/>
          <w:szCs w:val="24"/>
          <w:highlight w:val="none"/>
          <w:lang w:val="en-US" w:eastAsia="zh-CN"/>
        </w:rPr>
        <w:t>五</w:t>
      </w:r>
      <w:r>
        <w:rPr>
          <w:rFonts w:hint="eastAsia" w:ascii="宋体" w:hAnsi="宋体" w:eastAsia="宋体" w:cs="宋体"/>
          <w:b/>
          <w:bCs/>
          <w:color w:val="auto"/>
          <w:kern w:val="0"/>
          <w:sz w:val="24"/>
          <w:szCs w:val="24"/>
          <w:highlight w:val="none"/>
        </w:rPr>
        <w:t>条  附则</w:t>
      </w:r>
    </w:p>
    <w:p w14:paraId="39B04BCF">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1.本次采购项目的招标文件、投标文件、中标通知书及</w:t>
      </w:r>
      <w:r>
        <w:rPr>
          <w:rFonts w:hint="eastAsia" w:ascii="宋体" w:hAnsi="宋体" w:eastAsia="宋体" w:cs="宋体"/>
          <w:kern w:val="0"/>
          <w:sz w:val="24"/>
          <w:szCs w:val="24"/>
          <w:highlight w:val="none"/>
          <w:lang w:val="en-US" w:eastAsia="zh-CN"/>
        </w:rPr>
        <w:t>澄清说明文件均为本合同的组成部分，甲、乙双方必须全面遵守，如有违反，应承担违约责任。</w:t>
      </w:r>
    </w:p>
    <w:p w14:paraId="1C6203C2">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2.本合同一式陆份,甲乙双方各执两份,政府采购代理机构两份。</w:t>
      </w:r>
    </w:p>
    <w:p w14:paraId="6940F616">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3.本合同自签订之日起生效。</w:t>
      </w:r>
    </w:p>
    <w:p w14:paraId="3E9BED78">
      <w:pPr>
        <w:numPr>
          <w:ilvl w:val="0"/>
          <w:numId w:val="0"/>
        </w:numPr>
        <w:ind w:leftChars="0"/>
        <w:outlineLvl w:val="9"/>
        <w:rPr>
          <w:rFonts w:hint="eastAsia" w:ascii="宋体" w:hAnsi="宋体" w:eastAsia="宋体" w:cs="宋体"/>
          <w:b w:val="0"/>
          <w:bCs w:val="0"/>
          <w:kern w:val="0"/>
          <w:sz w:val="24"/>
          <w:szCs w:val="24"/>
          <w:highlight w:val="none"/>
          <w:lang w:val="en-US" w:eastAsia="zh-CN" w:bidi="ar-SA"/>
        </w:rPr>
      </w:pPr>
      <w:r>
        <w:rPr>
          <w:rFonts w:hint="eastAsia" w:ascii="宋体" w:hAnsi="宋体" w:eastAsia="宋体" w:cs="宋体"/>
          <w:b w:val="0"/>
          <w:bCs w:val="0"/>
          <w:kern w:val="0"/>
          <w:sz w:val="24"/>
          <w:szCs w:val="24"/>
          <w:highlight w:val="none"/>
          <w:lang w:val="en-US" w:eastAsia="zh-CN" w:bidi="ar-SA"/>
        </w:rPr>
        <w:t>本页无正文。</w:t>
      </w:r>
    </w:p>
    <w:tbl>
      <w:tblPr>
        <w:tblStyle w:val="29"/>
        <w:tblW w:w="970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009"/>
        <w:gridCol w:w="4699"/>
      </w:tblGrid>
      <w:tr w14:paraId="633D5F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09" w:type="dxa"/>
            <w:tcBorders>
              <w:top w:val="nil"/>
              <w:left w:val="nil"/>
              <w:bottom w:val="nil"/>
              <w:right w:val="nil"/>
            </w:tcBorders>
            <w:noWrap w:val="0"/>
            <w:vAlign w:val="center"/>
          </w:tcPr>
          <w:p w14:paraId="364CA73C">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甲方：</w:t>
            </w:r>
          </w:p>
        </w:tc>
        <w:tc>
          <w:tcPr>
            <w:tcW w:w="4699" w:type="dxa"/>
            <w:tcBorders>
              <w:top w:val="nil"/>
              <w:left w:val="nil"/>
              <w:bottom w:val="nil"/>
              <w:right w:val="nil"/>
            </w:tcBorders>
            <w:noWrap w:val="0"/>
            <w:vAlign w:val="center"/>
          </w:tcPr>
          <w:p w14:paraId="6A3827E0">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乙方：</w:t>
            </w:r>
          </w:p>
        </w:tc>
      </w:tr>
      <w:tr w14:paraId="5CD260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exact"/>
          <w:jc w:val="center"/>
        </w:trPr>
        <w:tc>
          <w:tcPr>
            <w:tcW w:w="5009" w:type="dxa"/>
            <w:tcBorders>
              <w:top w:val="nil"/>
              <w:left w:val="nil"/>
              <w:bottom w:val="nil"/>
              <w:right w:val="nil"/>
            </w:tcBorders>
            <w:noWrap w:val="0"/>
            <w:vAlign w:val="center"/>
          </w:tcPr>
          <w:p w14:paraId="64AAA701">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地    址：</w:t>
            </w:r>
          </w:p>
        </w:tc>
        <w:tc>
          <w:tcPr>
            <w:tcW w:w="4699" w:type="dxa"/>
            <w:tcBorders>
              <w:top w:val="nil"/>
              <w:left w:val="nil"/>
              <w:bottom w:val="nil"/>
              <w:right w:val="nil"/>
            </w:tcBorders>
            <w:noWrap w:val="0"/>
            <w:vAlign w:val="center"/>
          </w:tcPr>
          <w:p w14:paraId="746DF6BE">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地    址：</w:t>
            </w:r>
          </w:p>
        </w:tc>
      </w:tr>
      <w:tr w14:paraId="46577E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09" w:type="dxa"/>
            <w:tcBorders>
              <w:top w:val="nil"/>
              <w:left w:val="nil"/>
              <w:bottom w:val="nil"/>
              <w:right w:val="nil"/>
            </w:tcBorders>
            <w:noWrap w:val="0"/>
            <w:vAlign w:val="center"/>
          </w:tcPr>
          <w:p w14:paraId="1B75337D">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邮    编：</w:t>
            </w:r>
          </w:p>
        </w:tc>
        <w:tc>
          <w:tcPr>
            <w:tcW w:w="4699" w:type="dxa"/>
            <w:tcBorders>
              <w:top w:val="nil"/>
              <w:left w:val="nil"/>
              <w:bottom w:val="nil"/>
              <w:right w:val="nil"/>
            </w:tcBorders>
            <w:noWrap w:val="0"/>
            <w:vAlign w:val="center"/>
          </w:tcPr>
          <w:p w14:paraId="496FE40C">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邮    编：</w:t>
            </w:r>
          </w:p>
        </w:tc>
      </w:tr>
      <w:tr w14:paraId="017748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1" w:hRule="exact"/>
          <w:jc w:val="center"/>
        </w:trPr>
        <w:tc>
          <w:tcPr>
            <w:tcW w:w="5009" w:type="dxa"/>
            <w:tcBorders>
              <w:top w:val="nil"/>
              <w:left w:val="nil"/>
              <w:bottom w:val="nil"/>
              <w:right w:val="nil"/>
            </w:tcBorders>
            <w:noWrap w:val="0"/>
            <w:vAlign w:val="center"/>
          </w:tcPr>
          <w:p w14:paraId="1B89EE7B">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法定代表人或其授权的代理人（签字）：</w:t>
            </w:r>
          </w:p>
          <w:p w14:paraId="59E37AD3">
            <w:pPr>
              <w:keepNext/>
              <w:keepLines/>
              <w:pageBreakBefore w:val="0"/>
              <w:widowControl w:val="0"/>
              <w:kinsoku/>
              <w:wordWrap/>
              <w:overflowPunct/>
              <w:topLinePunct w:val="0"/>
              <w:autoSpaceDE/>
              <w:autoSpaceDN/>
              <w:bidi w:val="0"/>
              <w:spacing w:before="280" w:beforeLines="0" w:beforeAutospacing="0" w:after="290" w:afterLines="0" w:afterAutospacing="0" w:line="360" w:lineRule="auto"/>
              <w:jc w:val="both"/>
              <w:outlineLvl w:val="3"/>
              <w:rPr>
                <w:rFonts w:hint="eastAsia" w:ascii="宋体" w:hAnsi="宋体" w:eastAsia="宋体" w:cs="宋体"/>
                <w:b/>
                <w:bCs/>
                <w:kern w:val="2"/>
                <w:sz w:val="24"/>
                <w:szCs w:val="24"/>
                <w:highlight w:val="none"/>
                <w:lang w:val="en-US" w:eastAsia="zh-CN" w:bidi="ar-SA"/>
              </w:rPr>
            </w:pPr>
          </w:p>
          <w:p w14:paraId="1B7F6E5D">
            <w:pPr>
              <w:keepNext/>
              <w:keepLines/>
              <w:pageBreakBefore w:val="0"/>
              <w:widowControl w:val="0"/>
              <w:kinsoku/>
              <w:wordWrap/>
              <w:overflowPunct/>
              <w:topLinePunct w:val="0"/>
              <w:autoSpaceDE/>
              <w:autoSpaceDN/>
              <w:bidi w:val="0"/>
              <w:spacing w:before="280" w:beforeLines="0" w:beforeAutospacing="0" w:after="290" w:afterLines="0" w:afterAutospacing="0" w:line="360" w:lineRule="auto"/>
              <w:jc w:val="both"/>
              <w:outlineLvl w:val="3"/>
              <w:rPr>
                <w:rFonts w:hint="eastAsia" w:ascii="宋体" w:hAnsi="宋体" w:eastAsia="宋体" w:cs="宋体"/>
                <w:b/>
                <w:bCs/>
                <w:kern w:val="2"/>
                <w:sz w:val="24"/>
                <w:szCs w:val="24"/>
                <w:highlight w:val="none"/>
                <w:lang w:val="en-US" w:eastAsia="zh-CN" w:bidi="ar-SA"/>
              </w:rPr>
            </w:pPr>
          </w:p>
        </w:tc>
        <w:tc>
          <w:tcPr>
            <w:tcW w:w="4699" w:type="dxa"/>
            <w:tcBorders>
              <w:top w:val="nil"/>
              <w:left w:val="nil"/>
              <w:bottom w:val="nil"/>
              <w:right w:val="nil"/>
            </w:tcBorders>
            <w:noWrap w:val="0"/>
            <w:vAlign w:val="center"/>
          </w:tcPr>
          <w:p w14:paraId="155AC173">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法定代表人或其授权的代理人（签字）：</w:t>
            </w:r>
          </w:p>
        </w:tc>
      </w:tr>
      <w:tr w14:paraId="47A31F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09" w:type="dxa"/>
            <w:tcBorders>
              <w:top w:val="nil"/>
              <w:left w:val="nil"/>
              <w:bottom w:val="nil"/>
              <w:right w:val="nil"/>
            </w:tcBorders>
            <w:noWrap w:val="0"/>
            <w:vAlign w:val="center"/>
          </w:tcPr>
          <w:p w14:paraId="46B284A8">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fldChar w:fldCharType="begin"/>
            </w:r>
            <w:r>
              <w:rPr>
                <w:rFonts w:hint="eastAsia" w:ascii="宋体" w:hAnsi="宋体" w:eastAsia="宋体" w:cs="宋体"/>
                <w:color w:val="auto"/>
                <w:kern w:val="2"/>
                <w:sz w:val="24"/>
                <w:szCs w:val="24"/>
                <w:highlight w:val="none"/>
                <w:lang w:val="en-US" w:eastAsia="zh-CN" w:bidi="ar-SA"/>
              </w:rPr>
              <w:instrText xml:space="preserve"> 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color w:val="auto"/>
                <w:kern w:val="2"/>
                <w:sz w:val="24"/>
                <w:szCs w:val="24"/>
                <w:highlight w:val="none"/>
                <w:lang w:val="en-US" w:eastAsia="zh-CN" w:bidi="ar-SA"/>
              </w:rPr>
              <w:fldChar w:fldCharType="separate"/>
            </w:r>
            <w:r>
              <w:rPr>
                <w:rFonts w:hint="eastAsia" w:ascii="宋体" w:hAnsi="宋体" w:eastAsia="宋体" w:cs="宋体"/>
                <w:color w:val="auto"/>
                <w:kern w:val="2"/>
                <w:sz w:val="24"/>
                <w:szCs w:val="24"/>
                <w:highlight w:val="none"/>
                <w:lang w:val="en-US" w:eastAsia="zh-CN" w:bidi="ar-SA"/>
              </w:rPr>
              <w:t>开户银行</w:t>
            </w:r>
            <w:r>
              <w:rPr>
                <w:rFonts w:hint="eastAsia" w:ascii="宋体" w:hAnsi="宋体" w:eastAsia="宋体" w:cs="宋体"/>
                <w:color w:val="auto"/>
                <w:kern w:val="2"/>
                <w:sz w:val="24"/>
                <w:szCs w:val="24"/>
                <w:highlight w:val="none"/>
                <w:lang w:val="en-US" w:eastAsia="zh-CN" w:bidi="ar-SA"/>
              </w:rPr>
              <w:fldChar w:fldCharType="end"/>
            </w:r>
            <w:r>
              <w:rPr>
                <w:rFonts w:hint="eastAsia" w:ascii="宋体" w:hAnsi="宋体" w:eastAsia="宋体" w:cs="宋体"/>
                <w:color w:val="auto"/>
                <w:kern w:val="2"/>
                <w:sz w:val="24"/>
                <w:szCs w:val="24"/>
                <w:highlight w:val="none"/>
                <w:lang w:val="en-US" w:eastAsia="zh-CN" w:bidi="ar-SA"/>
              </w:rPr>
              <w:t>：</w:t>
            </w:r>
          </w:p>
        </w:tc>
        <w:tc>
          <w:tcPr>
            <w:tcW w:w="4699" w:type="dxa"/>
            <w:tcBorders>
              <w:top w:val="nil"/>
              <w:left w:val="nil"/>
              <w:bottom w:val="nil"/>
              <w:right w:val="nil"/>
            </w:tcBorders>
            <w:noWrap w:val="0"/>
            <w:vAlign w:val="center"/>
          </w:tcPr>
          <w:p w14:paraId="6B6F3D18">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fldChar w:fldCharType="begin"/>
            </w:r>
            <w:r>
              <w:rPr>
                <w:rFonts w:hint="eastAsia" w:ascii="宋体" w:hAnsi="宋体" w:eastAsia="宋体" w:cs="宋体"/>
                <w:color w:val="auto"/>
                <w:kern w:val="2"/>
                <w:sz w:val="24"/>
                <w:szCs w:val="24"/>
                <w:highlight w:val="none"/>
                <w:lang w:val="en-US" w:eastAsia="zh-CN" w:bidi="ar-SA"/>
              </w:rPr>
              <w:instrText xml:space="preserve"> 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color w:val="auto"/>
                <w:kern w:val="2"/>
                <w:sz w:val="24"/>
                <w:szCs w:val="24"/>
                <w:highlight w:val="none"/>
                <w:lang w:val="en-US" w:eastAsia="zh-CN" w:bidi="ar-SA"/>
              </w:rPr>
              <w:fldChar w:fldCharType="separate"/>
            </w:r>
            <w:r>
              <w:rPr>
                <w:rFonts w:hint="eastAsia" w:ascii="宋体" w:hAnsi="宋体" w:eastAsia="宋体" w:cs="宋体"/>
                <w:color w:val="auto"/>
                <w:kern w:val="2"/>
                <w:sz w:val="24"/>
                <w:szCs w:val="24"/>
                <w:highlight w:val="none"/>
                <w:lang w:val="en-US" w:eastAsia="zh-CN" w:bidi="ar-SA"/>
              </w:rPr>
              <w:t>开户银行</w:t>
            </w:r>
            <w:r>
              <w:rPr>
                <w:rFonts w:hint="eastAsia" w:ascii="宋体" w:hAnsi="宋体" w:eastAsia="宋体" w:cs="宋体"/>
                <w:color w:val="auto"/>
                <w:kern w:val="2"/>
                <w:sz w:val="24"/>
                <w:szCs w:val="24"/>
                <w:highlight w:val="none"/>
                <w:lang w:val="en-US" w:eastAsia="zh-CN" w:bidi="ar-SA"/>
              </w:rPr>
              <w:fldChar w:fldCharType="end"/>
            </w:r>
            <w:r>
              <w:rPr>
                <w:rFonts w:hint="eastAsia" w:ascii="宋体" w:hAnsi="宋体" w:eastAsia="宋体" w:cs="宋体"/>
                <w:color w:val="auto"/>
                <w:kern w:val="2"/>
                <w:sz w:val="24"/>
                <w:szCs w:val="24"/>
                <w:highlight w:val="none"/>
                <w:lang w:val="en-US" w:eastAsia="zh-CN" w:bidi="ar-SA"/>
              </w:rPr>
              <w:t>：</w:t>
            </w:r>
          </w:p>
        </w:tc>
      </w:tr>
      <w:tr w14:paraId="60946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09" w:type="dxa"/>
            <w:tcBorders>
              <w:top w:val="nil"/>
              <w:left w:val="nil"/>
              <w:bottom w:val="nil"/>
              <w:right w:val="nil"/>
            </w:tcBorders>
            <w:noWrap w:val="0"/>
            <w:vAlign w:val="center"/>
          </w:tcPr>
          <w:p w14:paraId="5E95359B">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帐    号：</w:t>
            </w:r>
          </w:p>
        </w:tc>
        <w:tc>
          <w:tcPr>
            <w:tcW w:w="4699" w:type="dxa"/>
            <w:tcBorders>
              <w:top w:val="nil"/>
              <w:left w:val="nil"/>
              <w:bottom w:val="nil"/>
              <w:right w:val="nil"/>
            </w:tcBorders>
            <w:noWrap w:val="0"/>
            <w:vAlign w:val="center"/>
          </w:tcPr>
          <w:p w14:paraId="3EABB43C">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帐    号：</w:t>
            </w:r>
          </w:p>
        </w:tc>
      </w:tr>
      <w:tr w14:paraId="70F081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09" w:type="dxa"/>
            <w:tcBorders>
              <w:top w:val="nil"/>
              <w:left w:val="nil"/>
              <w:bottom w:val="nil"/>
              <w:right w:val="nil"/>
            </w:tcBorders>
            <w:noWrap w:val="0"/>
            <w:vAlign w:val="center"/>
          </w:tcPr>
          <w:p w14:paraId="4AB48308">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    话：</w:t>
            </w:r>
          </w:p>
        </w:tc>
        <w:tc>
          <w:tcPr>
            <w:tcW w:w="4699" w:type="dxa"/>
            <w:tcBorders>
              <w:top w:val="nil"/>
              <w:left w:val="nil"/>
              <w:bottom w:val="nil"/>
              <w:right w:val="nil"/>
            </w:tcBorders>
            <w:noWrap w:val="0"/>
            <w:vAlign w:val="center"/>
          </w:tcPr>
          <w:p w14:paraId="4E6F09CF">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    话：</w:t>
            </w:r>
          </w:p>
        </w:tc>
      </w:tr>
      <w:tr w14:paraId="3FA856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09" w:type="dxa"/>
            <w:tcBorders>
              <w:top w:val="nil"/>
              <w:left w:val="nil"/>
              <w:bottom w:val="nil"/>
              <w:right w:val="nil"/>
            </w:tcBorders>
            <w:noWrap w:val="0"/>
            <w:vAlign w:val="center"/>
          </w:tcPr>
          <w:p w14:paraId="0CD69AB1">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电子邮箱：</w:t>
            </w:r>
          </w:p>
        </w:tc>
        <w:tc>
          <w:tcPr>
            <w:tcW w:w="4699" w:type="dxa"/>
            <w:tcBorders>
              <w:top w:val="nil"/>
              <w:left w:val="nil"/>
              <w:bottom w:val="nil"/>
              <w:right w:val="nil"/>
            </w:tcBorders>
            <w:noWrap w:val="0"/>
            <w:vAlign w:val="center"/>
          </w:tcPr>
          <w:p w14:paraId="379AB211">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电子邮箱：</w:t>
            </w:r>
          </w:p>
        </w:tc>
      </w:tr>
      <w:tr w14:paraId="58380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09" w:type="dxa"/>
            <w:tcBorders>
              <w:top w:val="nil"/>
              <w:left w:val="nil"/>
              <w:bottom w:val="nil"/>
              <w:right w:val="nil"/>
            </w:tcBorders>
            <w:noWrap w:val="0"/>
            <w:vAlign w:val="center"/>
          </w:tcPr>
          <w:p w14:paraId="7CA34E24">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时    间：</w:t>
            </w:r>
          </w:p>
        </w:tc>
        <w:tc>
          <w:tcPr>
            <w:tcW w:w="4699" w:type="dxa"/>
            <w:tcBorders>
              <w:top w:val="nil"/>
              <w:left w:val="nil"/>
              <w:bottom w:val="nil"/>
              <w:right w:val="nil"/>
            </w:tcBorders>
            <w:noWrap w:val="0"/>
            <w:vAlign w:val="center"/>
          </w:tcPr>
          <w:p w14:paraId="0E7E519F">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时    间：</w:t>
            </w:r>
          </w:p>
        </w:tc>
      </w:tr>
    </w:tbl>
    <w:p w14:paraId="79C330F2">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14:paraId="4C8BE554">
      <w:pPr>
        <w:rPr>
          <w:rFonts w:hint="eastAsia"/>
          <w:highlight w:val="none"/>
        </w:rPr>
      </w:pPr>
    </w:p>
    <w:p w14:paraId="1620A40C">
      <w:pPr>
        <w:pStyle w:val="2"/>
        <w:rPr>
          <w:rFonts w:hint="eastAsia" w:ascii="宋体" w:hAnsi="宋体" w:eastAsia="宋体" w:cs="宋体"/>
          <w:b/>
          <w:bCs/>
          <w:sz w:val="32"/>
          <w:szCs w:val="32"/>
          <w:highlight w:val="none"/>
        </w:rPr>
      </w:pPr>
      <w:bookmarkStart w:id="22" w:name="_Toc4063"/>
      <w:r>
        <w:rPr>
          <w:rFonts w:hint="eastAsia" w:ascii="宋体" w:hAnsi="宋体" w:eastAsia="宋体" w:cs="宋体"/>
          <w:b/>
          <w:bCs/>
          <w:sz w:val="32"/>
          <w:szCs w:val="32"/>
          <w:highlight w:val="none"/>
        </w:rPr>
        <w:t>第五章  投标文件构成及格式</w:t>
      </w:r>
      <w:bookmarkEnd w:id="20"/>
      <w:bookmarkEnd w:id="21"/>
      <w:bookmarkEnd w:id="22"/>
    </w:p>
    <w:p w14:paraId="3F7A313D">
      <w:pPr>
        <w:spacing w:line="560" w:lineRule="exact"/>
        <w:ind w:firstLine="640" w:firstLineChars="200"/>
        <w:jc w:val="both"/>
        <w:rPr>
          <w:rFonts w:hint="eastAsia" w:ascii="宋体" w:hAnsi="宋体" w:eastAsia="宋体" w:cs="宋体"/>
          <w:sz w:val="32"/>
          <w:szCs w:val="32"/>
          <w:highlight w:val="none"/>
        </w:rPr>
      </w:pPr>
    </w:p>
    <w:p w14:paraId="78C93721">
      <w:pPr>
        <w:spacing w:line="560" w:lineRule="exact"/>
        <w:ind w:firstLine="640" w:firstLineChars="200"/>
        <w:jc w:val="both"/>
        <w:rPr>
          <w:rFonts w:hint="eastAsia" w:ascii="宋体" w:hAnsi="宋体" w:eastAsia="宋体" w:cs="宋体"/>
          <w:sz w:val="32"/>
          <w:szCs w:val="32"/>
          <w:highlight w:val="none"/>
        </w:rPr>
      </w:pPr>
    </w:p>
    <w:p w14:paraId="68699D22">
      <w:pPr>
        <w:spacing w:line="560" w:lineRule="exact"/>
        <w:jc w:val="both"/>
        <w:rPr>
          <w:rFonts w:hint="eastAsia" w:ascii="宋体" w:hAnsi="宋体" w:eastAsia="宋体" w:cs="宋体"/>
          <w:sz w:val="32"/>
          <w:szCs w:val="32"/>
          <w:highlight w:val="none"/>
        </w:rPr>
      </w:pPr>
    </w:p>
    <w:p w14:paraId="20716E30">
      <w:pPr>
        <w:bidi w:val="0"/>
        <w:jc w:val="center"/>
        <w:rPr>
          <w:rFonts w:hint="eastAsia" w:ascii="宋体" w:hAnsi="宋体" w:eastAsia="宋体" w:cs="宋体"/>
          <w:highlight w:val="none"/>
        </w:rPr>
      </w:pPr>
      <w:r>
        <w:rPr>
          <w:rFonts w:hint="eastAsia" w:ascii="宋体" w:hAnsi="宋体" w:eastAsia="宋体" w:cs="宋体"/>
          <w:b/>
          <w:color w:val="auto"/>
          <w:kern w:val="2"/>
          <w:sz w:val="52"/>
          <w:szCs w:val="52"/>
          <w:highlight w:val="none"/>
          <w:lang w:val="en-US" w:eastAsia="zh-CN" w:bidi="ar-SA"/>
        </w:rPr>
        <w:t>2025-2027管委会机关餐饮服务第三批（金融商务产业园等部门餐厅服务）（总部创意产业园）（四包）</w:t>
      </w:r>
    </w:p>
    <w:p w14:paraId="6687D5BC">
      <w:pPr>
        <w:bidi w:val="0"/>
        <w:rPr>
          <w:rFonts w:hint="eastAsia"/>
          <w:highlight w:val="none"/>
        </w:rPr>
      </w:pPr>
    </w:p>
    <w:p w14:paraId="47F9819B">
      <w:pPr>
        <w:jc w:val="center"/>
        <w:outlineLvl w:val="9"/>
        <w:rPr>
          <w:rFonts w:hint="eastAsia" w:ascii="宋体" w:hAnsi="宋体" w:eastAsia="宋体" w:cs="宋体"/>
          <w:sz w:val="32"/>
          <w:szCs w:val="32"/>
          <w:highlight w:val="none"/>
        </w:rPr>
      </w:pPr>
      <w:r>
        <w:rPr>
          <w:rFonts w:hint="eastAsia" w:ascii="宋体" w:hAnsi="宋体" w:eastAsia="宋体" w:cs="宋体"/>
          <w:b/>
          <w:bCs/>
          <w:sz w:val="72"/>
          <w:szCs w:val="72"/>
          <w:highlight w:val="none"/>
        </w:rPr>
        <w:t>投标文件</w:t>
      </w:r>
    </w:p>
    <w:p w14:paraId="2BEA4869">
      <w:pPr>
        <w:rPr>
          <w:rFonts w:hint="eastAsia" w:ascii="宋体" w:hAnsi="宋体" w:eastAsia="宋体" w:cs="宋体"/>
          <w:highlight w:val="none"/>
        </w:rPr>
      </w:pPr>
    </w:p>
    <w:p w14:paraId="6C0F1194">
      <w:pPr>
        <w:rPr>
          <w:rFonts w:hint="eastAsia" w:ascii="宋体" w:hAnsi="宋体" w:eastAsia="宋体" w:cs="宋体"/>
          <w:highlight w:val="none"/>
        </w:rPr>
      </w:pPr>
    </w:p>
    <w:p w14:paraId="13408FDE">
      <w:pPr>
        <w:rPr>
          <w:rFonts w:hint="eastAsia" w:ascii="宋体" w:hAnsi="宋体" w:eastAsia="宋体" w:cs="宋体"/>
          <w:highlight w:val="none"/>
        </w:rPr>
      </w:pPr>
    </w:p>
    <w:p w14:paraId="195F2130">
      <w:pPr>
        <w:ind w:left="0" w:leftChars="0" w:firstLine="0" w:firstLineChars="0"/>
        <w:jc w:val="center"/>
        <w:outlineLvl w:val="9"/>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（项目编号：</w:t>
      </w:r>
      <w:r>
        <w:rPr>
          <w:rFonts w:hint="eastAsia" w:ascii="宋体" w:hAnsi="宋体" w:eastAsia="宋体" w:cs="宋体"/>
          <w:b/>
          <w:bCs/>
          <w:sz w:val="32"/>
          <w:szCs w:val="32"/>
          <w:highlight w:val="none"/>
          <w:lang w:eastAsia="zh-CN"/>
        </w:rPr>
        <w:t>CGZC-2025-114（HSGJ2025-171）</w:t>
      </w:r>
      <w:r>
        <w:rPr>
          <w:rFonts w:hint="eastAsia" w:ascii="宋体" w:hAnsi="宋体" w:eastAsia="宋体" w:cs="宋体"/>
          <w:b/>
          <w:bCs/>
          <w:sz w:val="32"/>
          <w:szCs w:val="32"/>
          <w:highlight w:val="none"/>
        </w:rPr>
        <w:t>）</w:t>
      </w:r>
    </w:p>
    <w:p w14:paraId="782735E1">
      <w:pPr>
        <w:spacing w:line="560" w:lineRule="exact"/>
        <w:ind w:firstLine="640" w:firstLineChars="200"/>
        <w:jc w:val="both"/>
        <w:rPr>
          <w:rFonts w:hint="eastAsia" w:ascii="宋体" w:hAnsi="宋体" w:eastAsia="宋体" w:cs="宋体"/>
          <w:sz w:val="32"/>
          <w:szCs w:val="32"/>
          <w:highlight w:val="none"/>
        </w:rPr>
      </w:pPr>
    </w:p>
    <w:p w14:paraId="100990B0">
      <w:pPr>
        <w:spacing w:line="560" w:lineRule="exact"/>
        <w:ind w:firstLine="640" w:firstLineChars="200"/>
        <w:jc w:val="both"/>
        <w:rPr>
          <w:rFonts w:hint="eastAsia" w:ascii="宋体" w:hAnsi="宋体" w:eastAsia="宋体" w:cs="宋体"/>
          <w:sz w:val="32"/>
          <w:szCs w:val="32"/>
          <w:highlight w:val="none"/>
        </w:rPr>
      </w:pPr>
    </w:p>
    <w:p w14:paraId="670A59D4">
      <w:pPr>
        <w:spacing w:line="560" w:lineRule="exact"/>
        <w:ind w:firstLine="640" w:firstLineChars="200"/>
        <w:jc w:val="both"/>
        <w:rPr>
          <w:rFonts w:hint="eastAsia" w:ascii="宋体" w:hAnsi="宋体" w:eastAsia="宋体" w:cs="宋体"/>
          <w:sz w:val="32"/>
          <w:szCs w:val="32"/>
          <w:highlight w:val="none"/>
        </w:rPr>
      </w:pPr>
    </w:p>
    <w:p w14:paraId="7C062010">
      <w:pPr>
        <w:spacing w:line="560" w:lineRule="exact"/>
        <w:ind w:firstLine="640" w:firstLineChars="200"/>
        <w:jc w:val="both"/>
        <w:rPr>
          <w:rFonts w:hint="eastAsia" w:ascii="宋体" w:hAnsi="宋体" w:eastAsia="宋体" w:cs="宋体"/>
          <w:sz w:val="32"/>
          <w:szCs w:val="32"/>
          <w:highlight w:val="none"/>
        </w:rPr>
      </w:pPr>
    </w:p>
    <w:p w14:paraId="6A8D7D08">
      <w:pPr>
        <w:spacing w:line="560" w:lineRule="exact"/>
        <w:ind w:firstLine="640" w:firstLineChars="200"/>
        <w:jc w:val="both"/>
        <w:rPr>
          <w:rFonts w:hint="eastAsia" w:ascii="宋体" w:hAnsi="宋体" w:eastAsia="宋体" w:cs="宋体"/>
          <w:sz w:val="32"/>
          <w:szCs w:val="32"/>
          <w:highlight w:val="none"/>
        </w:rPr>
      </w:pPr>
    </w:p>
    <w:p w14:paraId="67CE8B70">
      <w:pPr>
        <w:spacing w:line="360" w:lineRule="auto"/>
        <w:ind w:firstLine="1800" w:firstLineChars="600"/>
        <w:rPr>
          <w:rFonts w:hint="eastAsia" w:ascii="宋体" w:hAnsi="宋体" w:eastAsia="宋体" w:cs="宋体"/>
          <w:b/>
          <w:sz w:val="30"/>
          <w:szCs w:val="30"/>
          <w:highlight w:val="none"/>
        </w:rPr>
      </w:pPr>
      <w:r>
        <w:rPr>
          <w:rFonts w:hint="eastAsia" w:ascii="宋体" w:hAnsi="宋体" w:eastAsia="宋体" w:cs="宋体"/>
          <w:b/>
          <w:sz w:val="30"/>
          <w:szCs w:val="30"/>
          <w:highlight w:val="none"/>
        </w:rPr>
        <w:t>供 应 商：</w:t>
      </w:r>
      <w:r>
        <w:rPr>
          <w:rFonts w:hint="eastAsia" w:ascii="宋体" w:hAnsi="宋体" w:eastAsia="宋体" w:cs="宋体"/>
          <w:b/>
          <w:sz w:val="30"/>
          <w:szCs w:val="30"/>
          <w:highlight w:val="none"/>
          <w:u w:val="single"/>
        </w:rPr>
        <w:t xml:space="preserve">                 （盖章）</w:t>
      </w:r>
    </w:p>
    <w:p w14:paraId="2A5E4AB1">
      <w:pPr>
        <w:spacing w:line="360" w:lineRule="auto"/>
        <w:ind w:firstLine="1800" w:firstLineChars="600"/>
        <w:rPr>
          <w:rFonts w:hint="eastAsia" w:ascii="宋体" w:hAnsi="宋体" w:eastAsia="宋体" w:cs="宋体"/>
          <w:b/>
          <w:sz w:val="30"/>
          <w:szCs w:val="30"/>
          <w:highlight w:val="none"/>
        </w:rPr>
      </w:pPr>
      <w:r>
        <w:rPr>
          <w:rFonts w:hint="eastAsia" w:ascii="宋体" w:hAnsi="宋体" w:eastAsia="宋体" w:cs="宋体"/>
          <w:b/>
          <w:sz w:val="30"/>
          <w:szCs w:val="30"/>
          <w:highlight w:val="none"/>
        </w:rPr>
        <w:t>日    期：     年  月  日</w:t>
      </w:r>
    </w:p>
    <w:p w14:paraId="144BD1CE">
      <w:pPr>
        <w:spacing w:line="560" w:lineRule="exact"/>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br w:type="page"/>
      </w:r>
    </w:p>
    <w:p w14:paraId="69269A7A">
      <w:pPr>
        <w:spacing w:line="560" w:lineRule="exact"/>
        <w:ind w:firstLine="880" w:firstLineChars="200"/>
        <w:jc w:val="center"/>
        <w:rPr>
          <w:rFonts w:hint="eastAsia" w:ascii="宋体" w:hAnsi="宋体" w:eastAsia="宋体" w:cs="宋体"/>
          <w:sz w:val="44"/>
          <w:szCs w:val="44"/>
          <w:highlight w:val="none"/>
        </w:rPr>
      </w:pPr>
    </w:p>
    <w:p w14:paraId="4A616727">
      <w:pPr>
        <w:spacing w:line="560" w:lineRule="exact"/>
        <w:ind w:firstLine="880" w:firstLineChars="200"/>
        <w:jc w:val="center"/>
        <w:rPr>
          <w:rFonts w:hint="eastAsia" w:ascii="宋体" w:hAnsi="宋体" w:eastAsia="宋体" w:cs="宋体"/>
          <w:sz w:val="44"/>
          <w:szCs w:val="44"/>
          <w:highlight w:val="none"/>
        </w:rPr>
      </w:pPr>
      <w:r>
        <w:rPr>
          <w:rFonts w:hint="eastAsia" w:ascii="宋体" w:hAnsi="宋体" w:eastAsia="宋体" w:cs="宋体"/>
          <w:sz w:val="44"/>
          <w:szCs w:val="44"/>
          <w:highlight w:val="none"/>
        </w:rPr>
        <w:t>目    录</w:t>
      </w:r>
    </w:p>
    <w:p w14:paraId="41D7BE94">
      <w:pPr>
        <w:spacing w:line="560" w:lineRule="exact"/>
        <w:ind w:firstLine="640" w:firstLineChars="200"/>
        <w:jc w:val="both"/>
        <w:rPr>
          <w:rFonts w:hint="eastAsia" w:ascii="宋体" w:hAnsi="宋体" w:eastAsia="宋体" w:cs="宋体"/>
          <w:sz w:val="32"/>
          <w:szCs w:val="32"/>
          <w:highlight w:val="none"/>
        </w:rPr>
      </w:pPr>
    </w:p>
    <w:p w14:paraId="54805104">
      <w:pPr>
        <w:spacing w:line="480" w:lineRule="auto"/>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第一部分  投标函</w:t>
      </w:r>
    </w:p>
    <w:p w14:paraId="51C29183">
      <w:pPr>
        <w:spacing w:line="480" w:lineRule="auto"/>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第二部分  开标一览表</w:t>
      </w:r>
    </w:p>
    <w:p w14:paraId="5BD071A0">
      <w:pPr>
        <w:spacing w:line="480" w:lineRule="auto"/>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第三部分  资格证明文件</w:t>
      </w:r>
    </w:p>
    <w:p w14:paraId="2602C1E0">
      <w:pPr>
        <w:spacing w:line="480" w:lineRule="auto"/>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第四部分  供应商概况</w:t>
      </w:r>
    </w:p>
    <w:p w14:paraId="215ED967">
      <w:pPr>
        <w:spacing w:line="480" w:lineRule="auto"/>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第五部分  供应商参加政府采购活动承诺书</w:t>
      </w:r>
    </w:p>
    <w:p w14:paraId="681754A1">
      <w:pPr>
        <w:spacing w:line="480" w:lineRule="auto"/>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第六部分  投标方案</w:t>
      </w:r>
    </w:p>
    <w:p w14:paraId="51F80B2E">
      <w:pPr>
        <w:pStyle w:val="3"/>
        <w:numPr>
          <w:ilvl w:val="0"/>
          <w:numId w:val="0"/>
        </w:numPr>
        <w:ind w:firstLine="640" w:firstLineChars="200"/>
        <w:jc w:val="center"/>
        <w:rPr>
          <w:rFonts w:hint="eastAsia" w:ascii="宋体" w:hAnsi="宋体" w:eastAsia="宋体" w:cs="宋体"/>
          <w:b/>
          <w:bCs/>
          <w:highlight w:val="none"/>
        </w:rPr>
      </w:pPr>
      <w:r>
        <w:rPr>
          <w:rFonts w:hint="eastAsia" w:ascii="宋体" w:hAnsi="宋体" w:eastAsia="宋体" w:cs="宋体"/>
          <w:highlight w:val="none"/>
        </w:rPr>
        <w:br w:type="page"/>
      </w:r>
      <w:r>
        <w:rPr>
          <w:rFonts w:hint="eastAsia" w:ascii="宋体" w:hAnsi="宋体" w:eastAsia="宋体" w:cs="宋体"/>
          <w:b/>
          <w:bCs/>
          <w:sz w:val="32"/>
          <w:szCs w:val="32"/>
          <w:highlight w:val="none"/>
          <w:lang w:val="en-US" w:eastAsia="zh-CN" w:bidi="ar-SA"/>
        </w:rPr>
        <w:t>第一部分  投标函</w:t>
      </w:r>
    </w:p>
    <w:p w14:paraId="6039EDC5">
      <w:pPr>
        <w:keepNext w:val="0"/>
        <w:keepLines w:val="0"/>
        <w:pageBreakBefore w:val="0"/>
        <w:widowControl w:val="0"/>
        <w:tabs>
          <w:tab w:val="left" w:pos="1809"/>
        </w:tabs>
        <w:kinsoku/>
        <w:wordWrap/>
        <w:overflowPunct/>
        <w:topLinePunct w:val="0"/>
        <w:autoSpaceDE/>
        <w:autoSpaceDN/>
        <w:bidi w:val="0"/>
        <w:adjustRightInd/>
        <w:snapToGrid/>
        <w:spacing w:line="348" w:lineRule="auto"/>
        <w:ind w:left="0" w:leftChars="0" w:right="0" w:firstLine="0" w:firstLineChars="0"/>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致</w:t>
      </w:r>
      <w:r>
        <w:rPr>
          <w:rFonts w:hint="eastAsia" w:ascii="宋体" w:hAnsi="宋体" w:eastAsia="宋体" w:cs="宋体"/>
          <w:sz w:val="24"/>
          <w:szCs w:val="24"/>
          <w:highlight w:val="none"/>
          <w:u w:val="single" w:color="000000"/>
          <w:lang w:val="en-US" w:eastAsia="zh-CN" w:bidi="ar-SA"/>
        </w:rPr>
        <w:t xml:space="preserve">           </w:t>
      </w:r>
      <w:r>
        <w:rPr>
          <w:rFonts w:hint="eastAsia" w:ascii="宋体" w:hAnsi="宋体" w:eastAsia="宋体" w:cs="宋体"/>
          <w:sz w:val="24"/>
          <w:szCs w:val="24"/>
          <w:highlight w:val="none"/>
          <w:lang w:val="en-US" w:eastAsia="zh-CN" w:bidi="ar-SA"/>
        </w:rPr>
        <w:t>(采购人或采购代理机构)：</w:t>
      </w:r>
    </w:p>
    <w:p w14:paraId="1FE028F5">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我公司收到贵单位</w:t>
      </w:r>
      <w:r>
        <w:rPr>
          <w:rFonts w:hint="eastAsia" w:ascii="宋体" w:hAnsi="宋体" w:eastAsia="宋体" w:cs="宋体"/>
          <w:color w:val="000000"/>
          <w:highlight w:val="none"/>
          <w:u w:val="single"/>
        </w:rPr>
        <w:t>〈项目名称〉</w:t>
      </w:r>
      <w:r>
        <w:rPr>
          <w:rFonts w:hint="eastAsia" w:ascii="宋体" w:hAnsi="宋体" w:eastAsia="宋体" w:cs="宋体"/>
          <w:color w:val="000000"/>
          <w:highlight w:val="none"/>
        </w:rPr>
        <w:t>（项目编号：</w:t>
      </w:r>
      <w:r>
        <w:rPr>
          <w:rFonts w:hint="eastAsia" w:ascii="宋体" w:hAnsi="宋体" w:eastAsia="宋体" w:cs="宋体"/>
          <w:color w:val="000000"/>
          <w:highlight w:val="none"/>
          <w:u w:val="single"/>
        </w:rPr>
        <w:t>〈项目编号〉</w:t>
      </w:r>
      <w:r>
        <w:rPr>
          <w:rFonts w:hint="eastAsia" w:ascii="宋体" w:hAnsi="宋体" w:eastAsia="宋体" w:cs="宋体"/>
          <w:color w:val="000000"/>
          <w:highlight w:val="none"/>
        </w:rPr>
        <w:t>）招标文件，经详细研究，我方决定参加该项目</w:t>
      </w:r>
      <w:r>
        <w:rPr>
          <w:rFonts w:hint="eastAsia" w:ascii="宋体" w:hAnsi="宋体" w:eastAsia="宋体" w:cs="宋体"/>
          <w:highlight w:val="none"/>
        </w:rPr>
        <w:t>的</w:t>
      </w:r>
      <w:r>
        <w:rPr>
          <w:rFonts w:hint="eastAsia" w:ascii="宋体" w:hAnsi="宋体" w:eastAsia="宋体" w:cs="宋体"/>
          <w:color w:val="000000"/>
          <w:highlight w:val="none"/>
        </w:rPr>
        <w:t>招标活动。为此，我方郑重声明以下诸点，并负法律责任。</w:t>
      </w:r>
    </w:p>
    <w:p w14:paraId="5C3D7379">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1．我方已详细阅读了招标文件，完全理解并同意招标文件的所有事项及内容。</w:t>
      </w:r>
    </w:p>
    <w:p w14:paraId="745747FD">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2．我方已悉知并及时关注了贵中心在陕西省政府采购网、全国公共资源交易平台（陕西省·西安市）上发布的关于本项目的有关变更公告（包括但不限于对招标文件做出的修改或澄清、答疑纪要，以及项目暂停、重启、延期、终止等）。</w:t>
      </w:r>
    </w:p>
    <w:p w14:paraId="6EE2F5E3">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3．我方同意向贵中心提供与本次招标有关的全部证明材料，并保证所提交的证明材料真实、合法、有效。</w:t>
      </w:r>
    </w:p>
    <w:p w14:paraId="0495C224">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4．我方理解最低价不是成交的唯一条件，并尊重评标委员会的评审结果。</w:t>
      </w:r>
    </w:p>
    <w:p w14:paraId="34DF7A6E">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5．我方投标文件在开启之日起</w:t>
      </w:r>
      <w:r>
        <w:rPr>
          <w:rFonts w:hint="eastAsia" w:ascii="宋体" w:hAnsi="宋体" w:eastAsia="宋体" w:cs="宋体"/>
          <w:color w:val="000000"/>
          <w:highlight w:val="none"/>
          <w:u w:val="single"/>
          <w:lang w:val="en-US" w:eastAsia="zh-CN"/>
        </w:rPr>
        <w:t xml:space="preserve">     </w:t>
      </w:r>
      <w:r>
        <w:rPr>
          <w:rFonts w:hint="eastAsia" w:ascii="宋体" w:hAnsi="宋体" w:eastAsia="宋体" w:cs="宋体"/>
          <w:color w:val="000000"/>
          <w:highlight w:val="none"/>
        </w:rPr>
        <w:t>个日历日（应不少于90个日历日）内有效。</w:t>
      </w:r>
    </w:p>
    <w:p w14:paraId="441FFBC4">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6．若我方成交，我方承诺：（1）将投标文件有效期延长至合同执行完毕；（2）收到</w:t>
      </w:r>
      <w:r>
        <w:rPr>
          <w:rFonts w:hint="eastAsia" w:ascii="宋体" w:hAnsi="宋体" w:eastAsia="宋体" w:cs="宋体"/>
          <w:color w:val="000000"/>
          <w:highlight w:val="none"/>
          <w:lang w:eastAsia="zh-CN"/>
        </w:rPr>
        <w:t>中标</w:t>
      </w:r>
      <w:r>
        <w:rPr>
          <w:rFonts w:hint="eastAsia" w:ascii="宋体" w:hAnsi="宋体" w:eastAsia="宋体" w:cs="宋体"/>
          <w:color w:val="000000"/>
          <w:highlight w:val="none"/>
        </w:rPr>
        <w:t>通知书后提交纸质投标文件一正两副；（3）遵照招标文件中的要求，完成本项目的合同责任和义务。</w:t>
      </w:r>
    </w:p>
    <w:p w14:paraId="27CFEF68">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7．所有关于此次招标活动的函电，请按下列方式联系：</w:t>
      </w:r>
    </w:p>
    <w:p w14:paraId="35587F75">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spacing w:val="60"/>
          <w:kern w:val="0"/>
          <w:highlight w:val="none"/>
          <w:fitText w:val="960" w:id="1740457068"/>
        </w:rPr>
        <w:t>供应</w:t>
      </w:r>
      <w:r>
        <w:rPr>
          <w:rFonts w:hint="eastAsia" w:ascii="宋体" w:hAnsi="宋体" w:eastAsia="宋体" w:cs="宋体"/>
          <w:color w:val="000000"/>
          <w:spacing w:val="0"/>
          <w:kern w:val="0"/>
          <w:highlight w:val="none"/>
          <w:fitText w:val="960" w:id="1740457068"/>
        </w:rPr>
        <w:t>商</w:t>
      </w:r>
      <w:r>
        <w:rPr>
          <w:rFonts w:hint="eastAsia" w:ascii="宋体" w:hAnsi="宋体" w:eastAsia="宋体" w:cs="宋体"/>
          <w:color w:val="000000"/>
          <w:highlight w:val="none"/>
        </w:rPr>
        <w:t>：（供应商全称并加盖公章）</w:t>
      </w:r>
    </w:p>
    <w:p w14:paraId="77D30942">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法定代表人或委托代理人：（签字或盖章）</w:t>
      </w:r>
    </w:p>
    <w:p w14:paraId="76D0C537">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联系电话：</w:t>
      </w:r>
    </w:p>
    <w:p w14:paraId="2F988BDF">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通讯地址：</w:t>
      </w:r>
    </w:p>
    <w:p w14:paraId="3F2E8726">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邮</w:t>
      </w:r>
      <w:r>
        <w:rPr>
          <w:rFonts w:hint="eastAsia" w:ascii="宋体" w:hAnsi="宋体" w:eastAsia="宋体" w:cs="宋体"/>
          <w:color w:val="000000"/>
          <w:highlight w:val="none"/>
          <w:lang w:val="en-US" w:eastAsia="zh-CN"/>
        </w:rPr>
        <w:t xml:space="preserve">    </w:t>
      </w:r>
      <w:r>
        <w:rPr>
          <w:rFonts w:hint="eastAsia" w:ascii="宋体" w:hAnsi="宋体" w:eastAsia="宋体" w:cs="宋体"/>
          <w:color w:val="000000"/>
          <w:highlight w:val="none"/>
        </w:rPr>
        <w:t>编：</w:t>
      </w:r>
    </w:p>
    <w:p w14:paraId="393B53DB">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highlight w:val="none"/>
        </w:rPr>
      </w:pPr>
      <w:r>
        <w:rPr>
          <w:rFonts w:hint="eastAsia" w:ascii="宋体" w:hAnsi="宋体" w:eastAsia="宋体" w:cs="宋体"/>
          <w:highlight w:val="none"/>
        </w:rPr>
        <w:t>电子邮箱：</w:t>
      </w:r>
    </w:p>
    <w:p w14:paraId="463D4474">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highlight w:val="none"/>
        </w:rPr>
      </w:pPr>
      <w:r>
        <w:rPr>
          <w:rFonts w:hint="eastAsia" w:ascii="宋体" w:hAnsi="宋体" w:eastAsia="宋体" w:cs="宋体"/>
          <w:highlight w:val="none"/>
        </w:rPr>
        <w:t>日</w:t>
      </w:r>
      <w:r>
        <w:rPr>
          <w:rFonts w:hint="eastAsia" w:ascii="宋体" w:hAnsi="宋体" w:eastAsia="宋体" w:cs="宋体"/>
          <w:highlight w:val="none"/>
          <w:lang w:val="en-US" w:eastAsia="zh-CN"/>
        </w:rPr>
        <w:t xml:space="preserve">    </w:t>
      </w:r>
      <w:r>
        <w:rPr>
          <w:rFonts w:hint="eastAsia" w:ascii="宋体" w:hAnsi="宋体" w:eastAsia="宋体" w:cs="宋体"/>
          <w:highlight w:val="none"/>
        </w:rPr>
        <w:t>期：</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年</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月</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日</w:t>
      </w:r>
    </w:p>
    <w:p w14:paraId="67B129A0">
      <w:pPr>
        <w:pStyle w:val="3"/>
        <w:numPr>
          <w:ilvl w:val="0"/>
          <w:numId w:val="0"/>
        </w:numPr>
        <w:ind w:firstLine="640" w:firstLineChars="200"/>
        <w:jc w:val="center"/>
        <w:rPr>
          <w:rFonts w:hint="eastAsia" w:ascii="宋体" w:hAnsi="宋体" w:eastAsia="宋体" w:cs="宋体"/>
          <w:b/>
          <w:bCs/>
          <w:highlight w:val="none"/>
        </w:rPr>
      </w:pPr>
      <w:r>
        <w:rPr>
          <w:rFonts w:hint="eastAsia" w:ascii="宋体" w:hAnsi="宋体" w:eastAsia="宋体" w:cs="宋体"/>
          <w:highlight w:val="none"/>
        </w:rPr>
        <w:br w:type="page"/>
      </w:r>
      <w:r>
        <w:rPr>
          <w:rFonts w:hint="eastAsia" w:ascii="宋体" w:hAnsi="宋体" w:eastAsia="宋体" w:cs="宋体"/>
          <w:b/>
          <w:bCs/>
          <w:sz w:val="32"/>
          <w:szCs w:val="32"/>
          <w:highlight w:val="none"/>
          <w:lang w:val="en-US" w:eastAsia="zh-CN" w:bidi="ar-SA"/>
        </w:rPr>
        <w:t>第二部分  开标一览表</w:t>
      </w:r>
    </w:p>
    <w:p w14:paraId="4782D9CF">
      <w:pPr>
        <w:numPr>
          <w:ilvl w:val="0"/>
          <w:numId w:val="0"/>
        </w:numPr>
        <w:rPr>
          <w:rFonts w:hint="default"/>
          <w:highlight w:val="none"/>
          <w:lang w:val="en-US" w:eastAsia="zh-CN"/>
        </w:rPr>
      </w:pPr>
      <w:r>
        <w:rPr>
          <w:rFonts w:hint="eastAsia"/>
          <w:highlight w:val="none"/>
          <w:lang w:eastAsia="zh-CN"/>
        </w:rPr>
        <w:t>项目名称：</w:t>
      </w:r>
      <w:r>
        <w:rPr>
          <w:rFonts w:hint="eastAsia"/>
          <w:highlight w:val="none"/>
          <w:u w:val="single"/>
          <w:lang w:val="en-US" w:eastAsia="zh-CN"/>
        </w:rPr>
        <w:t xml:space="preserve">                        </w:t>
      </w:r>
    </w:p>
    <w:p w14:paraId="1CBB893F">
      <w:pPr>
        <w:numPr>
          <w:ilvl w:val="0"/>
          <w:numId w:val="0"/>
        </w:numPr>
        <w:rPr>
          <w:rFonts w:hint="default" w:cs="Times New Roman"/>
          <w:highlight w:val="none"/>
          <w:lang w:val="en-US" w:eastAsia="zh-CN"/>
        </w:rPr>
      </w:pPr>
      <w:r>
        <w:rPr>
          <w:rFonts w:hint="eastAsia"/>
          <w:highlight w:val="none"/>
          <w:lang w:eastAsia="zh-CN"/>
        </w:rPr>
        <w:t>项目编号：</w:t>
      </w:r>
      <w:r>
        <w:rPr>
          <w:rFonts w:hint="eastAsia"/>
          <w:highlight w:val="none"/>
          <w:u w:val="single"/>
          <w:lang w:val="en-US" w:eastAsia="zh-CN"/>
        </w:rPr>
        <w:t xml:space="preserve">                        </w:t>
      </w:r>
    </w:p>
    <w:tbl>
      <w:tblPr>
        <w:tblStyle w:val="28"/>
        <w:tblW w:w="4987" w:type="pct"/>
        <w:jc w:val="center"/>
        <w:tblLayout w:type="fixed"/>
        <w:tblCellMar>
          <w:top w:w="0" w:type="dxa"/>
          <w:left w:w="108" w:type="dxa"/>
          <w:bottom w:w="0" w:type="dxa"/>
          <w:right w:w="108" w:type="dxa"/>
        </w:tblCellMar>
      </w:tblPr>
      <w:tblGrid>
        <w:gridCol w:w="2209"/>
        <w:gridCol w:w="7721"/>
      </w:tblGrid>
      <w:tr w14:paraId="3925AAFA">
        <w:tblPrEx>
          <w:tblCellMar>
            <w:top w:w="0" w:type="dxa"/>
            <w:left w:w="108" w:type="dxa"/>
            <w:bottom w:w="0" w:type="dxa"/>
            <w:right w:w="108" w:type="dxa"/>
          </w:tblCellMar>
        </w:tblPrEx>
        <w:trPr>
          <w:trHeight w:val="1020" w:hRule="atLeast"/>
          <w:jc w:val="center"/>
        </w:trPr>
        <w:tc>
          <w:tcPr>
            <w:tcW w:w="1112" w:type="pct"/>
            <w:tcBorders>
              <w:top w:val="single" w:color="000000" w:sz="4" w:space="0"/>
              <w:left w:val="single" w:color="000000" w:sz="4" w:space="0"/>
              <w:bottom w:val="single" w:color="000000" w:sz="4" w:space="0"/>
            </w:tcBorders>
            <w:noWrap w:val="0"/>
            <w:vAlign w:val="center"/>
          </w:tcPr>
          <w:p w14:paraId="1398C9A4">
            <w:pPr>
              <w:pStyle w:val="16"/>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bidi="ar-SA"/>
              </w:rPr>
            </w:pPr>
            <w:r>
              <w:rPr>
                <w:rFonts w:hint="eastAsia" w:hAnsi="宋体" w:eastAsia="宋体" w:cs="宋体"/>
                <w:color w:val="auto"/>
                <w:sz w:val="24"/>
                <w:szCs w:val="24"/>
                <w:highlight w:val="none"/>
                <w:lang w:val="en-US" w:eastAsia="zh-CN"/>
              </w:rPr>
              <w:t>投标报价（元）</w:t>
            </w:r>
          </w:p>
        </w:tc>
        <w:tc>
          <w:tcPr>
            <w:tcW w:w="3887" w:type="pct"/>
            <w:tcBorders>
              <w:top w:val="single" w:color="000000" w:sz="4" w:space="0"/>
              <w:left w:val="single" w:color="000000" w:sz="4" w:space="0"/>
              <w:bottom w:val="single" w:color="000000" w:sz="4" w:space="0"/>
              <w:right w:val="single" w:color="000000" w:sz="4" w:space="0"/>
            </w:tcBorders>
            <w:noWrap w:val="0"/>
            <w:vAlign w:val="center"/>
          </w:tcPr>
          <w:p w14:paraId="15D4166A">
            <w:pPr>
              <w:pStyle w:val="1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hAnsi="宋体" w:eastAsia="宋体" w:cs="宋体"/>
                <w:spacing w:val="-2"/>
                <w:sz w:val="24"/>
                <w:szCs w:val="24"/>
                <w:highlight w:val="none"/>
                <w:lang w:val="en-US" w:eastAsia="zh-CN"/>
              </w:rPr>
            </w:pPr>
            <w:r>
              <w:rPr>
                <w:rFonts w:hint="eastAsia" w:hAnsi="宋体" w:eastAsia="宋体" w:cs="宋体"/>
                <w:spacing w:val="-2"/>
                <w:sz w:val="24"/>
                <w:szCs w:val="24"/>
                <w:highlight w:val="none"/>
                <w:lang w:eastAsia="zh-CN"/>
              </w:rPr>
              <w:t>大写：人民币</w:t>
            </w:r>
            <w:r>
              <w:rPr>
                <w:rFonts w:hint="eastAsia" w:hAnsi="宋体" w:eastAsia="宋体" w:cs="宋体"/>
                <w:spacing w:val="-2"/>
                <w:sz w:val="24"/>
                <w:szCs w:val="24"/>
                <w:highlight w:val="none"/>
                <w:u w:val="single"/>
                <w:lang w:val="en-US" w:eastAsia="zh-CN"/>
              </w:rPr>
              <w:t xml:space="preserve">                            </w:t>
            </w:r>
          </w:p>
          <w:p w14:paraId="709B1C19">
            <w:pPr>
              <w:rPr>
                <w:rFonts w:hint="eastAsia" w:ascii="Calibri" w:hAnsi="Calibri" w:eastAsia="宋体" w:cs="Times New Roman"/>
                <w:sz w:val="24"/>
                <w:szCs w:val="24"/>
                <w:highlight w:val="none"/>
                <w:lang w:val="en-US" w:eastAsia="zh-CN" w:bidi="ar-SA"/>
              </w:rPr>
            </w:pPr>
            <w:r>
              <w:rPr>
                <w:rFonts w:hint="eastAsia" w:hAnsi="宋体" w:eastAsia="宋体" w:cs="宋体"/>
                <w:spacing w:val="-2"/>
                <w:sz w:val="24"/>
                <w:szCs w:val="24"/>
                <w:highlight w:val="none"/>
                <w:lang w:eastAsia="zh-CN"/>
              </w:rPr>
              <w:t>小写：</w:t>
            </w:r>
            <w:r>
              <w:rPr>
                <w:rFonts w:hint="eastAsia" w:hAnsi="宋体" w:eastAsia="宋体" w:cs="宋体"/>
                <w:spacing w:val="-2"/>
                <w:sz w:val="24"/>
                <w:szCs w:val="24"/>
                <w:highlight w:val="none"/>
                <w:u w:val="single"/>
                <w:lang w:val="en-US" w:eastAsia="zh-CN"/>
              </w:rPr>
              <w:t xml:space="preserve">                                  </w:t>
            </w:r>
          </w:p>
        </w:tc>
      </w:tr>
      <w:tr w14:paraId="6D4FF22B">
        <w:tblPrEx>
          <w:tblCellMar>
            <w:top w:w="0" w:type="dxa"/>
            <w:left w:w="108" w:type="dxa"/>
            <w:bottom w:w="0" w:type="dxa"/>
            <w:right w:w="108" w:type="dxa"/>
          </w:tblCellMar>
        </w:tblPrEx>
        <w:trPr>
          <w:trHeight w:val="964" w:hRule="atLeast"/>
          <w:jc w:val="center"/>
        </w:trPr>
        <w:tc>
          <w:tcPr>
            <w:tcW w:w="1112" w:type="pct"/>
            <w:tcBorders>
              <w:top w:val="single" w:color="000000" w:sz="4" w:space="0"/>
              <w:left w:val="single" w:color="000000" w:sz="4" w:space="0"/>
              <w:bottom w:val="single" w:color="000000" w:sz="4" w:space="0"/>
            </w:tcBorders>
            <w:noWrap w:val="0"/>
            <w:vAlign w:val="center"/>
          </w:tcPr>
          <w:p w14:paraId="1C39F35D">
            <w:pPr>
              <w:pStyle w:val="16"/>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服务期</w:t>
            </w:r>
          </w:p>
        </w:tc>
        <w:tc>
          <w:tcPr>
            <w:tcW w:w="3887" w:type="pct"/>
            <w:tcBorders>
              <w:top w:val="single" w:color="000000" w:sz="4" w:space="0"/>
              <w:left w:val="single" w:color="000000" w:sz="4" w:space="0"/>
              <w:bottom w:val="single" w:color="000000" w:sz="4" w:space="0"/>
              <w:right w:val="single" w:color="000000" w:sz="4" w:space="0"/>
            </w:tcBorders>
            <w:noWrap w:val="0"/>
            <w:vAlign w:val="center"/>
          </w:tcPr>
          <w:p w14:paraId="304351F1">
            <w:pPr>
              <w:rPr>
                <w:rFonts w:hint="eastAsia" w:hAnsi="宋体" w:eastAsia="宋体" w:cs="宋体"/>
                <w:spacing w:val="-2"/>
                <w:sz w:val="24"/>
                <w:szCs w:val="24"/>
                <w:highlight w:val="none"/>
                <w:lang w:eastAsia="zh-CN"/>
              </w:rPr>
            </w:pPr>
          </w:p>
        </w:tc>
      </w:tr>
      <w:tr w14:paraId="03AE333C">
        <w:tblPrEx>
          <w:tblCellMar>
            <w:top w:w="0" w:type="dxa"/>
            <w:left w:w="108" w:type="dxa"/>
            <w:bottom w:w="0" w:type="dxa"/>
            <w:right w:w="108" w:type="dxa"/>
          </w:tblCellMar>
        </w:tblPrEx>
        <w:trPr>
          <w:trHeight w:val="964" w:hRule="atLeast"/>
          <w:jc w:val="center"/>
        </w:trPr>
        <w:tc>
          <w:tcPr>
            <w:tcW w:w="1112" w:type="pct"/>
            <w:tcBorders>
              <w:top w:val="single" w:color="000000" w:sz="4" w:space="0"/>
              <w:left w:val="single" w:color="000000" w:sz="4" w:space="0"/>
              <w:bottom w:val="single" w:color="000000" w:sz="4" w:space="0"/>
            </w:tcBorders>
            <w:noWrap w:val="0"/>
            <w:vAlign w:val="center"/>
          </w:tcPr>
          <w:p w14:paraId="7205EB01">
            <w:pPr>
              <w:pStyle w:val="16"/>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highlight w:val="none"/>
                <w:lang w:val="en-US" w:eastAsia="zh-CN"/>
              </w:rPr>
              <w:t>服务地点</w:t>
            </w:r>
          </w:p>
        </w:tc>
        <w:tc>
          <w:tcPr>
            <w:tcW w:w="3887" w:type="pct"/>
            <w:tcBorders>
              <w:top w:val="single" w:color="000000" w:sz="4" w:space="0"/>
              <w:left w:val="single" w:color="000000" w:sz="4" w:space="0"/>
              <w:bottom w:val="single" w:color="000000" w:sz="4" w:space="0"/>
              <w:right w:val="single" w:color="000000" w:sz="4" w:space="0"/>
            </w:tcBorders>
            <w:noWrap w:val="0"/>
            <w:vAlign w:val="center"/>
          </w:tcPr>
          <w:p w14:paraId="437747D3">
            <w:pPr>
              <w:rPr>
                <w:rFonts w:hint="eastAsia" w:hAnsi="宋体" w:eastAsia="宋体" w:cs="宋体"/>
                <w:spacing w:val="-2"/>
                <w:sz w:val="24"/>
                <w:szCs w:val="24"/>
                <w:highlight w:val="none"/>
                <w:lang w:eastAsia="zh-CN"/>
              </w:rPr>
            </w:pPr>
          </w:p>
        </w:tc>
      </w:tr>
      <w:tr w14:paraId="7713C292">
        <w:tblPrEx>
          <w:tblCellMar>
            <w:top w:w="0" w:type="dxa"/>
            <w:left w:w="108" w:type="dxa"/>
            <w:bottom w:w="0" w:type="dxa"/>
            <w:right w:w="108" w:type="dxa"/>
          </w:tblCellMar>
        </w:tblPrEx>
        <w:trPr>
          <w:trHeight w:val="964" w:hRule="atLeast"/>
          <w:jc w:val="center"/>
        </w:trPr>
        <w:tc>
          <w:tcPr>
            <w:tcW w:w="1112" w:type="pct"/>
            <w:tcBorders>
              <w:top w:val="single" w:color="000000" w:sz="4" w:space="0"/>
              <w:left w:val="single" w:color="000000" w:sz="4" w:space="0"/>
            </w:tcBorders>
            <w:noWrap w:val="0"/>
            <w:vAlign w:val="center"/>
          </w:tcPr>
          <w:p w14:paraId="0C8B10C5">
            <w:pPr>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质量要求</w:t>
            </w:r>
          </w:p>
        </w:tc>
        <w:tc>
          <w:tcPr>
            <w:tcW w:w="3887" w:type="pct"/>
            <w:tcBorders>
              <w:top w:val="single" w:color="000000" w:sz="4" w:space="0"/>
              <w:left w:val="single" w:color="000000" w:sz="4" w:space="0"/>
              <w:bottom w:val="single" w:color="000000" w:sz="4" w:space="0"/>
              <w:right w:val="single" w:color="000000" w:sz="4" w:space="0"/>
            </w:tcBorders>
            <w:noWrap w:val="0"/>
            <w:vAlign w:val="center"/>
          </w:tcPr>
          <w:p w14:paraId="2FABEB25">
            <w:pPr>
              <w:rPr>
                <w:rFonts w:hint="eastAsia" w:hAnsi="宋体" w:eastAsia="宋体" w:cs="宋体"/>
                <w:spacing w:val="-2"/>
                <w:sz w:val="24"/>
                <w:szCs w:val="24"/>
                <w:highlight w:val="none"/>
                <w:lang w:eastAsia="zh-CN"/>
              </w:rPr>
            </w:pPr>
          </w:p>
        </w:tc>
      </w:tr>
      <w:tr w14:paraId="0C578BB6">
        <w:tblPrEx>
          <w:tblCellMar>
            <w:top w:w="0" w:type="dxa"/>
            <w:left w:w="108" w:type="dxa"/>
            <w:bottom w:w="0" w:type="dxa"/>
            <w:right w:w="108" w:type="dxa"/>
          </w:tblCellMar>
        </w:tblPrEx>
        <w:trPr>
          <w:trHeight w:val="907" w:hRule="atLeast"/>
          <w:jc w:val="center"/>
        </w:trPr>
        <w:tc>
          <w:tcPr>
            <w:tcW w:w="1112" w:type="pct"/>
            <w:tcBorders>
              <w:top w:val="single" w:color="000000" w:sz="4" w:space="0"/>
              <w:left w:val="single" w:color="000000" w:sz="4" w:space="0"/>
              <w:bottom w:val="single" w:color="000000" w:sz="4" w:space="0"/>
            </w:tcBorders>
            <w:noWrap w:val="0"/>
            <w:vAlign w:val="center"/>
          </w:tcPr>
          <w:p w14:paraId="46D7534D">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3887" w:type="pct"/>
            <w:tcBorders>
              <w:top w:val="single" w:color="000000" w:sz="4" w:space="0"/>
              <w:left w:val="single" w:color="000000" w:sz="4" w:space="0"/>
              <w:bottom w:val="single" w:color="000000" w:sz="4" w:space="0"/>
              <w:right w:val="single" w:color="000000" w:sz="4" w:space="0"/>
            </w:tcBorders>
            <w:noWrap w:val="0"/>
            <w:vAlign w:val="center"/>
          </w:tcPr>
          <w:p w14:paraId="772A3093">
            <w:pPr>
              <w:rPr>
                <w:rFonts w:hint="eastAsia" w:hAnsi="宋体" w:eastAsia="宋体" w:cs="宋体"/>
                <w:spacing w:val="-2"/>
                <w:sz w:val="24"/>
                <w:szCs w:val="24"/>
                <w:highlight w:val="none"/>
                <w:lang w:eastAsia="zh-CN"/>
              </w:rPr>
            </w:pPr>
          </w:p>
        </w:tc>
      </w:tr>
      <w:tr w14:paraId="3276A699">
        <w:tblPrEx>
          <w:tblCellMar>
            <w:top w:w="0" w:type="dxa"/>
            <w:left w:w="108" w:type="dxa"/>
            <w:bottom w:w="0" w:type="dxa"/>
            <w:right w:w="108" w:type="dxa"/>
          </w:tblCellMar>
        </w:tblPrEx>
        <w:trPr>
          <w:trHeight w:val="1020" w:hRule="atLeast"/>
          <w:jc w:val="center"/>
        </w:trPr>
        <w:tc>
          <w:tcPr>
            <w:tcW w:w="5000" w:type="pct"/>
            <w:gridSpan w:val="2"/>
            <w:tcBorders>
              <w:top w:val="single" w:color="000000" w:sz="4" w:space="0"/>
              <w:left w:val="single" w:color="000000" w:sz="4" w:space="0"/>
              <w:bottom w:val="single" w:color="000000" w:sz="4" w:space="0"/>
              <w:right w:val="single" w:color="000000" w:sz="4" w:space="0"/>
            </w:tcBorders>
            <w:noWrap w:val="0"/>
            <w:vAlign w:val="center"/>
          </w:tcPr>
          <w:p w14:paraId="3201CD3A">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highlight w:val="none"/>
                <w:lang w:val="en-US" w:eastAsia="zh-CN"/>
              </w:rPr>
            </w:pPr>
            <w:r>
              <w:rPr>
                <w:rFonts w:hint="eastAsia" w:ascii="宋体" w:hAnsi="宋体" w:eastAsia="宋体" w:cs="宋体"/>
                <w:sz w:val="24"/>
                <w:szCs w:val="24"/>
                <w:highlight w:val="none"/>
                <w:lang w:eastAsia="zh-CN"/>
              </w:rPr>
              <w:t>注：</w:t>
            </w:r>
            <w:r>
              <w:rPr>
                <w:rFonts w:hint="eastAsia" w:ascii="宋体" w:hAnsi="宋体" w:eastAsia="宋体" w:cs="宋体"/>
                <w:color w:val="auto"/>
                <w:sz w:val="24"/>
                <w:szCs w:val="24"/>
                <w:highlight w:val="none"/>
                <w:lang w:val="en-US" w:eastAsia="zh-CN"/>
              </w:rPr>
              <w:t>投标报价不得高于项目最高限价，超过最高限价为无效投标。</w:t>
            </w:r>
          </w:p>
        </w:tc>
      </w:tr>
    </w:tbl>
    <w:p w14:paraId="52102D66">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hint="eastAsia" w:ascii="宋体" w:hAnsi="宋体" w:cs="宋体"/>
          <w:sz w:val="24"/>
          <w:szCs w:val="24"/>
          <w:highlight w:val="none"/>
        </w:rPr>
      </w:pPr>
    </w:p>
    <w:p w14:paraId="64B915E1">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ascii="宋体" w:hAnsi="宋体" w:cs="宋体"/>
          <w:sz w:val="24"/>
          <w:szCs w:val="24"/>
          <w:highlight w:val="none"/>
        </w:rPr>
      </w:pPr>
      <w:r>
        <w:rPr>
          <w:rFonts w:hint="eastAsia" w:ascii="宋体" w:hAnsi="宋体" w:cs="宋体"/>
          <w:sz w:val="24"/>
          <w:szCs w:val="24"/>
          <w:highlight w:val="none"/>
        </w:rPr>
        <w:t>投标供应商名称：（公章）</w:t>
      </w:r>
    </w:p>
    <w:p w14:paraId="0A1E00CC">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ascii="宋体" w:hAnsi="宋体" w:cs="宋体"/>
          <w:sz w:val="24"/>
          <w:szCs w:val="24"/>
          <w:highlight w:val="none"/>
        </w:rPr>
      </w:pPr>
      <w:r>
        <w:rPr>
          <w:rFonts w:hint="eastAsia" w:ascii="宋体" w:hAnsi="宋体" w:cs="宋体"/>
          <w:sz w:val="24"/>
          <w:highlight w:val="none"/>
        </w:rPr>
        <w:t>法定代表人或被授权人：（签字或盖章）</w:t>
      </w:r>
    </w:p>
    <w:p w14:paraId="0B4765B8">
      <w:pPr>
        <w:keepNext w:val="0"/>
        <w:keepLines w:val="0"/>
        <w:pageBreakBefore w:val="0"/>
        <w:widowControl/>
        <w:kinsoku/>
        <w:wordWrap/>
        <w:overflowPunct/>
        <w:topLinePunct w:val="0"/>
        <w:autoSpaceDE/>
        <w:autoSpaceDN/>
        <w:bidi w:val="0"/>
        <w:adjustRightInd/>
        <w:snapToGrid/>
        <w:spacing w:line="360" w:lineRule="auto"/>
        <w:ind w:firstLine="4080" w:firstLineChars="1700"/>
        <w:textAlignment w:val="auto"/>
        <w:rPr>
          <w:rFonts w:hint="eastAsia" w:ascii="宋体" w:hAnsi="宋体" w:cs="宋体"/>
          <w:sz w:val="24"/>
          <w:szCs w:val="24"/>
          <w:highlight w:val="none"/>
        </w:rPr>
      </w:pP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日</w:t>
      </w:r>
    </w:p>
    <w:p w14:paraId="7D5DE8B1">
      <w:pPr>
        <w:rPr>
          <w:rFonts w:hint="eastAsia" w:ascii="宋体" w:hAnsi="宋体" w:eastAsia="宋体" w:cs="宋体"/>
          <w:sz w:val="32"/>
          <w:szCs w:val="32"/>
          <w:highlight w:val="none"/>
        </w:rPr>
      </w:pPr>
      <w:r>
        <w:rPr>
          <w:rFonts w:hint="eastAsia" w:ascii="宋体" w:hAnsi="宋体" w:eastAsia="宋体" w:cs="宋体"/>
          <w:sz w:val="32"/>
          <w:szCs w:val="32"/>
          <w:highlight w:val="none"/>
        </w:rPr>
        <w:br w:type="page"/>
      </w:r>
    </w:p>
    <w:p w14:paraId="45BFE4D9">
      <w:pPr>
        <w:pStyle w:val="15"/>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hint="eastAsia" w:ascii="宋体" w:hAnsi="宋体" w:cs="宋体"/>
          <w:b/>
          <w:bCs/>
          <w:color w:val="000000"/>
          <w:sz w:val="32"/>
          <w:szCs w:val="32"/>
          <w:highlight w:val="none"/>
        </w:rPr>
      </w:pPr>
      <w:r>
        <w:rPr>
          <w:rFonts w:hint="eastAsia" w:ascii="宋体" w:hAnsi="宋体" w:cs="宋体"/>
          <w:b/>
          <w:bCs/>
          <w:color w:val="000000"/>
          <w:sz w:val="32"/>
          <w:szCs w:val="32"/>
          <w:highlight w:val="none"/>
        </w:rPr>
        <w:t>分项报价表</w:t>
      </w:r>
    </w:p>
    <w:p w14:paraId="67C8F19C">
      <w:pPr>
        <w:spacing w:line="500" w:lineRule="exact"/>
        <w:rPr>
          <w:rFonts w:hint="eastAsia" w:ascii="宋体" w:hAnsi="宋体"/>
          <w:color w:val="auto"/>
          <w:sz w:val="24"/>
          <w:highlight w:val="none"/>
        </w:rPr>
      </w:pPr>
      <w:r>
        <w:rPr>
          <w:rFonts w:hint="eastAsia" w:ascii="宋体" w:hAnsi="宋体"/>
          <w:color w:val="auto"/>
          <w:sz w:val="24"/>
          <w:highlight w:val="none"/>
        </w:rPr>
        <w:t xml:space="preserve">项目名称：                                                </w:t>
      </w:r>
    </w:p>
    <w:p w14:paraId="730FF0A9">
      <w:pPr>
        <w:spacing w:line="500" w:lineRule="exact"/>
        <w:rPr>
          <w:rFonts w:hint="eastAsia" w:ascii="宋体" w:hAnsi="宋体"/>
          <w:color w:val="auto"/>
          <w:sz w:val="24"/>
          <w:highlight w:val="none"/>
        </w:rPr>
      </w:pPr>
      <w:r>
        <w:rPr>
          <w:rFonts w:hint="eastAsia" w:ascii="宋体" w:hAnsi="宋体"/>
          <w:color w:val="auto"/>
          <w:sz w:val="24"/>
          <w:highlight w:val="none"/>
        </w:rPr>
        <w:t>项目编号：                                                  共   页，第   页</w:t>
      </w:r>
    </w:p>
    <w:tbl>
      <w:tblPr>
        <w:tblStyle w:val="29"/>
        <w:tblW w:w="499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1230"/>
        <w:gridCol w:w="2019"/>
        <w:gridCol w:w="1010"/>
        <w:gridCol w:w="1020"/>
        <w:gridCol w:w="1550"/>
        <w:gridCol w:w="1441"/>
        <w:gridCol w:w="718"/>
      </w:tblGrid>
      <w:tr w14:paraId="74623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477" w:type="pct"/>
            <w:noWrap w:val="0"/>
            <w:vAlign w:val="center"/>
          </w:tcPr>
          <w:p w14:paraId="72D95D3E">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val="en-US" w:eastAsia="zh-CN"/>
              </w:rPr>
            </w:pPr>
            <w:r>
              <w:rPr>
                <w:rFonts w:hint="eastAsia" w:ascii="宋体" w:hAnsi="宋体" w:eastAsia="宋体" w:cs="宋体"/>
                <w:b/>
                <w:bCs/>
                <w:spacing w:val="0"/>
                <w:position w:val="0"/>
                <w:sz w:val="24"/>
                <w:szCs w:val="24"/>
                <w:highlight w:val="none"/>
                <w:vertAlign w:val="baseline"/>
                <w:lang w:val="en-US" w:eastAsia="zh-CN"/>
              </w:rPr>
              <w:t>序号</w:t>
            </w:r>
          </w:p>
        </w:tc>
        <w:tc>
          <w:tcPr>
            <w:tcW w:w="619" w:type="pct"/>
            <w:noWrap w:val="0"/>
            <w:vAlign w:val="center"/>
          </w:tcPr>
          <w:p w14:paraId="79A49F5D">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val="en-US" w:eastAsia="zh-CN"/>
              </w:rPr>
            </w:pPr>
            <w:r>
              <w:rPr>
                <w:rFonts w:hint="eastAsia" w:ascii="宋体" w:hAnsi="宋体" w:eastAsia="宋体" w:cs="宋体"/>
                <w:b/>
                <w:bCs/>
                <w:spacing w:val="0"/>
                <w:position w:val="0"/>
                <w:sz w:val="24"/>
                <w:szCs w:val="24"/>
                <w:highlight w:val="none"/>
                <w:vertAlign w:val="baseline"/>
                <w:lang w:val="en-US" w:eastAsia="zh-CN"/>
              </w:rPr>
              <w:t>服务名称</w:t>
            </w:r>
          </w:p>
        </w:tc>
        <w:tc>
          <w:tcPr>
            <w:tcW w:w="1016" w:type="pct"/>
            <w:noWrap w:val="0"/>
            <w:vAlign w:val="center"/>
          </w:tcPr>
          <w:p w14:paraId="3E914C35">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eastAsia="zh-CN"/>
              </w:rPr>
            </w:pPr>
            <w:r>
              <w:rPr>
                <w:rFonts w:hint="eastAsia" w:ascii="宋体" w:hAnsi="宋体" w:eastAsia="宋体" w:cs="宋体"/>
                <w:b/>
                <w:bCs/>
                <w:spacing w:val="0"/>
                <w:position w:val="0"/>
                <w:sz w:val="24"/>
                <w:szCs w:val="24"/>
                <w:highlight w:val="none"/>
                <w:vertAlign w:val="baseline"/>
                <w:lang w:eastAsia="zh-CN"/>
              </w:rPr>
              <w:t>服务内容</w:t>
            </w:r>
          </w:p>
        </w:tc>
        <w:tc>
          <w:tcPr>
            <w:tcW w:w="508" w:type="pct"/>
            <w:noWrap w:val="0"/>
            <w:vAlign w:val="center"/>
          </w:tcPr>
          <w:p w14:paraId="7EE2B189">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eastAsia="zh-CN"/>
              </w:rPr>
            </w:pPr>
            <w:r>
              <w:rPr>
                <w:rFonts w:hint="eastAsia" w:ascii="宋体" w:hAnsi="宋体" w:eastAsia="宋体" w:cs="宋体"/>
                <w:b/>
                <w:bCs/>
                <w:spacing w:val="0"/>
                <w:position w:val="0"/>
                <w:sz w:val="24"/>
                <w:szCs w:val="24"/>
                <w:highlight w:val="none"/>
                <w:vertAlign w:val="baseline"/>
                <w:lang w:eastAsia="zh-CN"/>
              </w:rPr>
              <w:t>数量</w:t>
            </w:r>
          </w:p>
        </w:tc>
        <w:tc>
          <w:tcPr>
            <w:tcW w:w="513" w:type="pct"/>
            <w:noWrap w:val="0"/>
            <w:vAlign w:val="center"/>
          </w:tcPr>
          <w:p w14:paraId="6ED1AC72">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eastAsia="zh-CN"/>
              </w:rPr>
            </w:pPr>
            <w:r>
              <w:rPr>
                <w:rFonts w:hint="eastAsia" w:ascii="宋体" w:hAnsi="宋体" w:eastAsia="宋体" w:cs="宋体"/>
                <w:b/>
                <w:bCs/>
                <w:spacing w:val="0"/>
                <w:position w:val="0"/>
                <w:sz w:val="24"/>
                <w:szCs w:val="24"/>
                <w:highlight w:val="none"/>
                <w:vertAlign w:val="baseline"/>
                <w:lang w:eastAsia="zh-CN"/>
              </w:rPr>
              <w:t>单位</w:t>
            </w:r>
          </w:p>
        </w:tc>
        <w:tc>
          <w:tcPr>
            <w:tcW w:w="780" w:type="pct"/>
            <w:noWrap w:val="0"/>
            <w:vAlign w:val="center"/>
          </w:tcPr>
          <w:p w14:paraId="468439AF">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eastAsia="zh-CN"/>
              </w:rPr>
            </w:pPr>
            <w:r>
              <w:rPr>
                <w:rFonts w:hint="eastAsia" w:ascii="宋体" w:hAnsi="宋体" w:eastAsia="宋体" w:cs="宋体"/>
                <w:b/>
                <w:bCs/>
                <w:spacing w:val="0"/>
                <w:position w:val="0"/>
                <w:sz w:val="24"/>
                <w:szCs w:val="24"/>
                <w:highlight w:val="none"/>
                <w:vertAlign w:val="baseline"/>
                <w:lang w:eastAsia="zh-CN"/>
              </w:rPr>
              <w:t>单价（元）</w:t>
            </w:r>
          </w:p>
        </w:tc>
        <w:tc>
          <w:tcPr>
            <w:tcW w:w="725" w:type="pct"/>
            <w:noWrap w:val="0"/>
            <w:vAlign w:val="center"/>
          </w:tcPr>
          <w:p w14:paraId="61B86C79">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eastAsia="zh-CN"/>
              </w:rPr>
            </w:pPr>
            <w:r>
              <w:rPr>
                <w:rFonts w:hint="eastAsia" w:ascii="宋体" w:hAnsi="宋体" w:eastAsia="宋体" w:cs="宋体"/>
                <w:b/>
                <w:bCs/>
                <w:spacing w:val="0"/>
                <w:position w:val="0"/>
                <w:sz w:val="24"/>
                <w:szCs w:val="24"/>
                <w:highlight w:val="none"/>
                <w:vertAlign w:val="baseline"/>
                <w:lang w:eastAsia="zh-CN"/>
              </w:rPr>
              <w:t>合价（元）</w:t>
            </w:r>
          </w:p>
        </w:tc>
        <w:tc>
          <w:tcPr>
            <w:tcW w:w="359" w:type="pct"/>
            <w:noWrap w:val="0"/>
            <w:vAlign w:val="center"/>
          </w:tcPr>
          <w:p w14:paraId="6874E3DE">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eastAsia="zh-CN"/>
              </w:rPr>
            </w:pPr>
            <w:r>
              <w:rPr>
                <w:rFonts w:hint="eastAsia" w:ascii="宋体" w:hAnsi="宋体" w:eastAsia="宋体" w:cs="宋体"/>
                <w:b/>
                <w:bCs/>
                <w:spacing w:val="0"/>
                <w:position w:val="0"/>
                <w:sz w:val="24"/>
                <w:szCs w:val="24"/>
                <w:highlight w:val="none"/>
                <w:vertAlign w:val="baseline"/>
                <w:lang w:eastAsia="zh-CN"/>
              </w:rPr>
              <w:t>备注</w:t>
            </w:r>
          </w:p>
        </w:tc>
      </w:tr>
      <w:tr w14:paraId="0BA1B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77" w:type="pct"/>
            <w:noWrap w:val="0"/>
            <w:vAlign w:val="center"/>
          </w:tcPr>
          <w:p w14:paraId="578922FA">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lang w:val="en-US" w:eastAsia="zh-CN"/>
              </w:rPr>
            </w:pPr>
            <w:r>
              <w:rPr>
                <w:rFonts w:hint="eastAsia" w:ascii="宋体" w:hAnsi="宋体" w:eastAsia="宋体" w:cs="宋体"/>
                <w:b w:val="0"/>
                <w:bCs w:val="0"/>
                <w:spacing w:val="0"/>
                <w:position w:val="0"/>
                <w:sz w:val="24"/>
                <w:szCs w:val="24"/>
                <w:highlight w:val="none"/>
                <w:vertAlign w:val="baseline"/>
                <w:lang w:val="en-US" w:eastAsia="zh-CN"/>
              </w:rPr>
              <w:t>1</w:t>
            </w:r>
          </w:p>
        </w:tc>
        <w:tc>
          <w:tcPr>
            <w:tcW w:w="619" w:type="pct"/>
            <w:noWrap w:val="0"/>
            <w:vAlign w:val="center"/>
          </w:tcPr>
          <w:p w14:paraId="2AA3692F">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1"/>
                <w:szCs w:val="21"/>
                <w:highlight w:val="none"/>
                <w:vertAlign w:val="baseline"/>
              </w:rPr>
            </w:pPr>
          </w:p>
        </w:tc>
        <w:tc>
          <w:tcPr>
            <w:tcW w:w="1016" w:type="pct"/>
            <w:noWrap w:val="0"/>
            <w:vAlign w:val="center"/>
          </w:tcPr>
          <w:p w14:paraId="56B11DD1">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08" w:type="pct"/>
            <w:noWrap w:val="0"/>
            <w:vAlign w:val="center"/>
          </w:tcPr>
          <w:p w14:paraId="22A58878">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13" w:type="pct"/>
            <w:noWrap w:val="0"/>
            <w:vAlign w:val="center"/>
          </w:tcPr>
          <w:p w14:paraId="67B01D36">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80" w:type="pct"/>
            <w:noWrap w:val="0"/>
            <w:vAlign w:val="center"/>
          </w:tcPr>
          <w:p w14:paraId="41BEB0A7">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25" w:type="pct"/>
            <w:noWrap w:val="0"/>
            <w:vAlign w:val="center"/>
          </w:tcPr>
          <w:p w14:paraId="67D37C92">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359" w:type="pct"/>
            <w:noWrap w:val="0"/>
            <w:vAlign w:val="center"/>
          </w:tcPr>
          <w:p w14:paraId="56706E76">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r>
      <w:tr w14:paraId="654F3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77" w:type="pct"/>
            <w:noWrap w:val="0"/>
            <w:vAlign w:val="center"/>
          </w:tcPr>
          <w:p w14:paraId="20FC3C8C">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lang w:val="en-US" w:eastAsia="zh-CN"/>
              </w:rPr>
            </w:pPr>
            <w:r>
              <w:rPr>
                <w:rFonts w:hint="eastAsia" w:ascii="宋体" w:hAnsi="宋体" w:eastAsia="宋体" w:cs="宋体"/>
                <w:b w:val="0"/>
                <w:bCs w:val="0"/>
                <w:spacing w:val="0"/>
                <w:position w:val="0"/>
                <w:sz w:val="24"/>
                <w:szCs w:val="24"/>
                <w:highlight w:val="none"/>
                <w:vertAlign w:val="baseline"/>
                <w:lang w:val="en-US" w:eastAsia="zh-CN"/>
              </w:rPr>
              <w:t>2</w:t>
            </w:r>
          </w:p>
        </w:tc>
        <w:tc>
          <w:tcPr>
            <w:tcW w:w="619" w:type="pct"/>
            <w:noWrap w:val="0"/>
            <w:vAlign w:val="center"/>
          </w:tcPr>
          <w:p w14:paraId="28C1742D">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1"/>
                <w:szCs w:val="21"/>
                <w:highlight w:val="none"/>
                <w:vertAlign w:val="baseline"/>
              </w:rPr>
            </w:pPr>
          </w:p>
        </w:tc>
        <w:tc>
          <w:tcPr>
            <w:tcW w:w="1016" w:type="pct"/>
            <w:noWrap w:val="0"/>
            <w:vAlign w:val="center"/>
          </w:tcPr>
          <w:p w14:paraId="09894B3B">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08" w:type="pct"/>
            <w:noWrap w:val="0"/>
            <w:vAlign w:val="center"/>
          </w:tcPr>
          <w:p w14:paraId="5E611995">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13" w:type="pct"/>
            <w:noWrap w:val="0"/>
            <w:vAlign w:val="center"/>
          </w:tcPr>
          <w:p w14:paraId="1535574E">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80" w:type="pct"/>
            <w:noWrap w:val="0"/>
            <w:vAlign w:val="center"/>
          </w:tcPr>
          <w:p w14:paraId="4F7CE07D">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25" w:type="pct"/>
            <w:noWrap w:val="0"/>
            <w:vAlign w:val="center"/>
          </w:tcPr>
          <w:p w14:paraId="47C45900">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359" w:type="pct"/>
            <w:noWrap w:val="0"/>
            <w:vAlign w:val="center"/>
          </w:tcPr>
          <w:p w14:paraId="6A946AE9">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r>
      <w:tr w14:paraId="10413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77" w:type="pct"/>
            <w:noWrap w:val="0"/>
            <w:vAlign w:val="center"/>
          </w:tcPr>
          <w:p w14:paraId="0A3B4E90">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lang w:val="en-US" w:eastAsia="zh-CN"/>
              </w:rPr>
            </w:pPr>
            <w:r>
              <w:rPr>
                <w:rFonts w:hint="eastAsia" w:ascii="宋体" w:hAnsi="宋体" w:eastAsia="宋体" w:cs="宋体"/>
                <w:b w:val="0"/>
                <w:bCs w:val="0"/>
                <w:spacing w:val="0"/>
                <w:position w:val="0"/>
                <w:sz w:val="24"/>
                <w:szCs w:val="24"/>
                <w:highlight w:val="none"/>
                <w:vertAlign w:val="baseline"/>
                <w:lang w:val="en-US" w:eastAsia="zh-CN"/>
              </w:rPr>
              <w:t>3</w:t>
            </w:r>
          </w:p>
        </w:tc>
        <w:tc>
          <w:tcPr>
            <w:tcW w:w="619" w:type="pct"/>
            <w:noWrap w:val="0"/>
            <w:vAlign w:val="center"/>
          </w:tcPr>
          <w:p w14:paraId="18914E25">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1"/>
                <w:szCs w:val="21"/>
                <w:highlight w:val="none"/>
                <w:vertAlign w:val="baseline"/>
              </w:rPr>
            </w:pPr>
          </w:p>
        </w:tc>
        <w:tc>
          <w:tcPr>
            <w:tcW w:w="1016" w:type="pct"/>
            <w:noWrap w:val="0"/>
            <w:vAlign w:val="center"/>
          </w:tcPr>
          <w:p w14:paraId="2329B466">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08" w:type="pct"/>
            <w:noWrap w:val="0"/>
            <w:vAlign w:val="center"/>
          </w:tcPr>
          <w:p w14:paraId="48B11EFD">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13" w:type="pct"/>
            <w:noWrap w:val="0"/>
            <w:vAlign w:val="center"/>
          </w:tcPr>
          <w:p w14:paraId="0A650EC3">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80" w:type="pct"/>
            <w:noWrap w:val="0"/>
            <w:vAlign w:val="center"/>
          </w:tcPr>
          <w:p w14:paraId="7D4BBB12">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25" w:type="pct"/>
            <w:noWrap w:val="0"/>
            <w:vAlign w:val="center"/>
          </w:tcPr>
          <w:p w14:paraId="5AE6215D">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359" w:type="pct"/>
            <w:noWrap w:val="0"/>
            <w:vAlign w:val="center"/>
          </w:tcPr>
          <w:p w14:paraId="6E68264A">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r>
      <w:tr w14:paraId="6DAAC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77" w:type="pct"/>
            <w:noWrap w:val="0"/>
            <w:vAlign w:val="center"/>
          </w:tcPr>
          <w:p w14:paraId="44055563">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lang w:val="en-US" w:eastAsia="zh-CN"/>
              </w:rPr>
            </w:pPr>
            <w:r>
              <w:rPr>
                <w:rFonts w:hint="eastAsia" w:ascii="宋体" w:hAnsi="宋体" w:eastAsia="宋体" w:cs="宋体"/>
                <w:b w:val="0"/>
                <w:bCs w:val="0"/>
                <w:spacing w:val="0"/>
                <w:position w:val="0"/>
                <w:sz w:val="24"/>
                <w:szCs w:val="24"/>
                <w:highlight w:val="none"/>
                <w:vertAlign w:val="baseline"/>
                <w:lang w:val="en-US" w:eastAsia="zh-CN"/>
              </w:rPr>
              <w:t>...</w:t>
            </w:r>
          </w:p>
        </w:tc>
        <w:tc>
          <w:tcPr>
            <w:tcW w:w="619" w:type="pct"/>
            <w:noWrap w:val="0"/>
            <w:vAlign w:val="center"/>
          </w:tcPr>
          <w:p w14:paraId="49529093">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1"/>
                <w:szCs w:val="21"/>
                <w:highlight w:val="none"/>
                <w:vertAlign w:val="baseline"/>
              </w:rPr>
            </w:pPr>
          </w:p>
        </w:tc>
        <w:tc>
          <w:tcPr>
            <w:tcW w:w="1016" w:type="pct"/>
            <w:noWrap w:val="0"/>
            <w:vAlign w:val="center"/>
          </w:tcPr>
          <w:p w14:paraId="4007E083">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08" w:type="pct"/>
            <w:noWrap w:val="0"/>
            <w:vAlign w:val="center"/>
          </w:tcPr>
          <w:p w14:paraId="216ACDF1">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13" w:type="pct"/>
            <w:noWrap w:val="0"/>
            <w:vAlign w:val="center"/>
          </w:tcPr>
          <w:p w14:paraId="3AC2DA18">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80" w:type="pct"/>
            <w:noWrap w:val="0"/>
            <w:vAlign w:val="center"/>
          </w:tcPr>
          <w:p w14:paraId="6B8543A0">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25" w:type="pct"/>
            <w:noWrap w:val="0"/>
            <w:vAlign w:val="center"/>
          </w:tcPr>
          <w:p w14:paraId="5E51F0BA">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359" w:type="pct"/>
            <w:noWrap w:val="0"/>
            <w:vAlign w:val="center"/>
          </w:tcPr>
          <w:p w14:paraId="2864718F">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r>
      <w:tr w14:paraId="06F64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77" w:type="pct"/>
            <w:noWrap w:val="0"/>
            <w:vAlign w:val="center"/>
          </w:tcPr>
          <w:p w14:paraId="523DDDED">
            <w:pPr>
              <w:pageBreakBefore w:val="0"/>
              <w:widowControl w:val="0"/>
              <w:kinsoku/>
              <w:wordWrap/>
              <w:topLinePunct w:val="0"/>
              <w:autoSpaceDE/>
              <w:autoSpaceDN/>
              <w:bidi w:val="0"/>
              <w:jc w:val="center"/>
              <w:rPr>
                <w:rFonts w:hint="default" w:ascii="宋体" w:hAnsi="宋体" w:eastAsia="宋体" w:cs="宋体"/>
                <w:b w:val="0"/>
                <w:bCs w:val="0"/>
                <w:spacing w:val="0"/>
                <w:position w:val="0"/>
                <w:sz w:val="24"/>
                <w:szCs w:val="24"/>
                <w:highlight w:val="none"/>
                <w:vertAlign w:val="baseline"/>
                <w:lang w:val="en-US" w:eastAsia="zh-CN"/>
              </w:rPr>
            </w:pPr>
            <w:r>
              <w:rPr>
                <w:rFonts w:hint="eastAsia" w:ascii="宋体" w:hAnsi="宋体" w:eastAsia="宋体" w:cs="宋体"/>
                <w:b w:val="0"/>
                <w:bCs w:val="0"/>
                <w:spacing w:val="0"/>
                <w:position w:val="0"/>
                <w:sz w:val="24"/>
                <w:szCs w:val="24"/>
                <w:highlight w:val="none"/>
                <w:vertAlign w:val="baseline"/>
                <w:lang w:val="en-US" w:eastAsia="zh-CN"/>
              </w:rPr>
              <w:t>N</w:t>
            </w:r>
          </w:p>
        </w:tc>
        <w:tc>
          <w:tcPr>
            <w:tcW w:w="619" w:type="pct"/>
            <w:noWrap w:val="0"/>
            <w:vAlign w:val="center"/>
          </w:tcPr>
          <w:p w14:paraId="54EFFCD3">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1"/>
                <w:szCs w:val="21"/>
                <w:highlight w:val="none"/>
                <w:vertAlign w:val="baseline"/>
              </w:rPr>
            </w:pPr>
          </w:p>
        </w:tc>
        <w:tc>
          <w:tcPr>
            <w:tcW w:w="1016" w:type="pct"/>
            <w:noWrap w:val="0"/>
            <w:vAlign w:val="center"/>
          </w:tcPr>
          <w:p w14:paraId="5C86B44C">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08" w:type="pct"/>
            <w:noWrap w:val="0"/>
            <w:vAlign w:val="center"/>
          </w:tcPr>
          <w:p w14:paraId="5FD087B0">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13" w:type="pct"/>
            <w:noWrap w:val="0"/>
            <w:vAlign w:val="center"/>
          </w:tcPr>
          <w:p w14:paraId="380DC38D">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80" w:type="pct"/>
            <w:noWrap w:val="0"/>
            <w:vAlign w:val="center"/>
          </w:tcPr>
          <w:p w14:paraId="5C297F94">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25" w:type="pct"/>
            <w:noWrap w:val="0"/>
            <w:vAlign w:val="center"/>
          </w:tcPr>
          <w:p w14:paraId="4DB0E327">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359" w:type="pct"/>
            <w:noWrap w:val="0"/>
            <w:vAlign w:val="center"/>
          </w:tcPr>
          <w:p w14:paraId="129D820B">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r>
      <w:tr w14:paraId="36ABC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477" w:type="pct"/>
            <w:noWrap w:val="0"/>
            <w:vAlign w:val="center"/>
          </w:tcPr>
          <w:p w14:paraId="2FEC5CDC">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eastAsia="zh-CN"/>
              </w:rPr>
            </w:pPr>
            <w:r>
              <w:rPr>
                <w:rFonts w:hint="eastAsia" w:ascii="宋体" w:hAnsi="宋体" w:eastAsia="宋体" w:cs="宋体"/>
                <w:b/>
                <w:bCs/>
                <w:spacing w:val="0"/>
                <w:position w:val="0"/>
                <w:sz w:val="24"/>
                <w:szCs w:val="24"/>
                <w:highlight w:val="none"/>
                <w:vertAlign w:val="baseline"/>
                <w:lang w:eastAsia="zh-CN"/>
              </w:rPr>
              <w:t>合计</w:t>
            </w:r>
          </w:p>
          <w:p w14:paraId="7B0722A0">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eastAsia="zh-CN"/>
              </w:rPr>
            </w:pPr>
            <w:r>
              <w:rPr>
                <w:rFonts w:hint="eastAsia" w:ascii="宋体" w:hAnsi="宋体" w:eastAsia="宋体" w:cs="宋体"/>
                <w:b/>
                <w:bCs/>
                <w:spacing w:val="0"/>
                <w:position w:val="0"/>
                <w:sz w:val="24"/>
                <w:szCs w:val="24"/>
                <w:highlight w:val="none"/>
                <w:vertAlign w:val="baseline"/>
                <w:lang w:eastAsia="zh-CN"/>
              </w:rPr>
              <w:t>（元）</w:t>
            </w:r>
          </w:p>
        </w:tc>
        <w:tc>
          <w:tcPr>
            <w:tcW w:w="4522" w:type="pct"/>
            <w:gridSpan w:val="7"/>
            <w:noWrap w:val="0"/>
            <w:vAlign w:val="center"/>
          </w:tcPr>
          <w:p w14:paraId="005F0841">
            <w:pPr>
              <w:pageBreakBefore w:val="0"/>
              <w:widowControl w:val="0"/>
              <w:kinsoku/>
              <w:wordWrap/>
              <w:topLinePunct w:val="0"/>
              <w:autoSpaceDE/>
              <w:autoSpaceDN/>
              <w:bidi w:val="0"/>
              <w:jc w:val="both"/>
              <w:rPr>
                <w:rFonts w:hint="eastAsia" w:ascii="宋体" w:hAnsi="宋体" w:eastAsia="宋体" w:cs="宋体"/>
                <w:b/>
                <w:bCs/>
                <w:color w:val="auto"/>
                <w:spacing w:val="-6"/>
                <w:sz w:val="24"/>
                <w:szCs w:val="24"/>
                <w:highlight w:val="none"/>
              </w:rPr>
            </w:pPr>
            <w:r>
              <w:rPr>
                <w:rFonts w:hint="eastAsia" w:ascii="宋体" w:hAnsi="宋体" w:eastAsia="宋体" w:cs="宋体"/>
                <w:b/>
                <w:bCs/>
                <w:color w:val="auto"/>
                <w:spacing w:val="-6"/>
                <w:sz w:val="24"/>
                <w:szCs w:val="24"/>
                <w:highlight w:val="none"/>
              </w:rPr>
              <w:t>（人民币大写）：                        （</w:t>
            </w:r>
            <w:r>
              <w:rPr>
                <w:rFonts w:hint="eastAsia" w:ascii="宋体" w:hAnsi="宋体" w:eastAsia="宋体" w:cs="宋体"/>
                <w:b/>
                <w:bCs/>
                <w:color w:val="auto"/>
                <w:sz w:val="24"/>
                <w:szCs w:val="24"/>
                <w:highlight w:val="none"/>
              </w:rPr>
              <w:t>¥</w:t>
            </w:r>
            <w:r>
              <w:rPr>
                <w:rFonts w:hint="eastAsia" w:ascii="宋体" w:hAnsi="宋体" w:eastAsia="宋体" w:cs="宋体"/>
                <w:b/>
                <w:bCs/>
                <w:color w:val="auto"/>
                <w:spacing w:val="-6"/>
                <w:sz w:val="24"/>
                <w:szCs w:val="24"/>
                <w:highlight w:val="none"/>
              </w:rPr>
              <w:t xml:space="preserve">                    元）</w:t>
            </w:r>
          </w:p>
        </w:tc>
      </w:tr>
    </w:tbl>
    <w:p w14:paraId="3B78306E">
      <w:pPr>
        <w:keepNext w:val="0"/>
        <w:keepLines w:val="0"/>
        <w:pageBreakBefore w:val="0"/>
        <w:widowControl/>
        <w:kinsoku/>
        <w:wordWrap/>
        <w:overflowPunct/>
        <w:topLinePunct w:val="0"/>
        <w:autoSpaceDE/>
        <w:autoSpaceDN/>
        <w:bidi w:val="0"/>
        <w:adjustRightInd/>
        <w:snapToGrid/>
        <w:spacing w:line="360" w:lineRule="auto"/>
        <w:ind w:right="0"/>
        <w:textAlignment w:val="auto"/>
        <w:rPr>
          <w:rFonts w:hint="eastAsia" w:ascii="宋体" w:hAnsi="宋体" w:eastAsia="宋体"/>
          <w:color w:val="auto"/>
          <w:sz w:val="24"/>
          <w:highlight w:val="none"/>
          <w:lang w:eastAsia="zh-CN"/>
        </w:rPr>
      </w:pPr>
      <w:r>
        <w:rPr>
          <w:rFonts w:hint="eastAsia" w:ascii="宋体" w:hAnsi="宋体"/>
          <w:color w:val="auto"/>
          <w:sz w:val="24"/>
          <w:highlight w:val="none"/>
        </w:rPr>
        <w:t>注：</w:t>
      </w:r>
      <w:r>
        <w:rPr>
          <w:rFonts w:hint="eastAsia" w:ascii="宋体" w:hAnsi="宋体"/>
          <w:color w:val="auto"/>
          <w:sz w:val="24"/>
          <w:highlight w:val="none"/>
          <w:lang w:val="en-US" w:eastAsia="zh-CN"/>
        </w:rPr>
        <w:t>1.</w:t>
      </w:r>
      <w:r>
        <w:rPr>
          <w:rFonts w:hint="eastAsia" w:ascii="宋体" w:hAnsi="宋体"/>
          <w:color w:val="auto"/>
          <w:sz w:val="24"/>
          <w:highlight w:val="none"/>
        </w:rPr>
        <w:t>本表中的“</w:t>
      </w:r>
      <w:r>
        <w:rPr>
          <w:rFonts w:hint="eastAsia" w:hAnsi="宋体"/>
          <w:color w:val="auto"/>
          <w:spacing w:val="-6"/>
          <w:sz w:val="24"/>
          <w:highlight w:val="none"/>
          <w:lang w:eastAsia="zh-CN"/>
        </w:rPr>
        <w:t>合计</w:t>
      </w:r>
      <w:r>
        <w:rPr>
          <w:rFonts w:hint="eastAsia" w:ascii="宋体" w:hAnsi="宋体"/>
          <w:color w:val="auto"/>
          <w:sz w:val="24"/>
          <w:highlight w:val="none"/>
        </w:rPr>
        <w:t>”与“</w:t>
      </w:r>
      <w:r>
        <w:rPr>
          <w:rFonts w:hint="eastAsia" w:ascii="宋体" w:hAnsi="宋体"/>
          <w:color w:val="auto"/>
          <w:sz w:val="24"/>
          <w:highlight w:val="none"/>
          <w:lang w:eastAsia="zh-CN"/>
        </w:rPr>
        <w:t>开标一览</w:t>
      </w:r>
      <w:r>
        <w:rPr>
          <w:rFonts w:hint="eastAsia" w:ascii="宋体" w:hAnsi="宋体"/>
          <w:color w:val="auto"/>
          <w:sz w:val="24"/>
          <w:highlight w:val="none"/>
        </w:rPr>
        <w:t>表”中的“</w:t>
      </w:r>
      <w:r>
        <w:rPr>
          <w:rFonts w:hint="eastAsia" w:hAnsi="宋体"/>
          <w:color w:val="auto"/>
          <w:spacing w:val="-6"/>
          <w:sz w:val="24"/>
          <w:highlight w:val="none"/>
          <w:lang w:val="en-US" w:eastAsia="zh-CN"/>
        </w:rPr>
        <w:t>投标</w:t>
      </w:r>
      <w:r>
        <w:rPr>
          <w:rFonts w:hint="eastAsia" w:hAnsi="宋体"/>
          <w:color w:val="auto"/>
          <w:spacing w:val="-6"/>
          <w:sz w:val="24"/>
          <w:highlight w:val="none"/>
          <w:lang w:eastAsia="zh-CN"/>
        </w:rPr>
        <w:t>报价</w:t>
      </w:r>
      <w:r>
        <w:rPr>
          <w:rFonts w:hint="eastAsia" w:ascii="宋体" w:hAnsi="宋体"/>
          <w:color w:val="auto"/>
          <w:sz w:val="24"/>
          <w:highlight w:val="none"/>
        </w:rPr>
        <w:t>”一致。各子项分别报价</w:t>
      </w:r>
      <w:r>
        <w:rPr>
          <w:rFonts w:hint="eastAsia" w:ascii="宋体" w:hAnsi="宋体"/>
          <w:color w:val="auto"/>
          <w:sz w:val="24"/>
          <w:highlight w:val="none"/>
          <w:lang w:eastAsia="zh-CN"/>
        </w:rPr>
        <w:t>；</w:t>
      </w:r>
    </w:p>
    <w:p w14:paraId="260FB9BA">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olor w:val="auto"/>
          <w:sz w:val="24"/>
          <w:highlight w:val="none"/>
          <w:lang w:eastAsia="zh-CN"/>
        </w:rPr>
      </w:pPr>
      <w:r>
        <w:rPr>
          <w:rFonts w:hint="eastAsia" w:ascii="宋体" w:hAnsi="宋体"/>
          <w:color w:val="auto"/>
          <w:sz w:val="24"/>
          <w:highlight w:val="none"/>
          <w:lang w:val="en-US" w:eastAsia="zh-CN"/>
        </w:rPr>
        <w:t>2.</w:t>
      </w:r>
      <w:r>
        <w:rPr>
          <w:rFonts w:hint="eastAsia" w:ascii="宋体" w:hAnsi="宋体"/>
          <w:color w:val="auto"/>
          <w:sz w:val="24"/>
          <w:highlight w:val="none"/>
        </w:rPr>
        <w:t>供应商</w:t>
      </w:r>
      <w:r>
        <w:rPr>
          <w:rFonts w:hint="eastAsia" w:ascii="宋体" w:hAnsi="宋体"/>
          <w:color w:val="auto"/>
          <w:sz w:val="24"/>
          <w:highlight w:val="none"/>
          <w:lang w:eastAsia="zh-CN"/>
        </w:rPr>
        <w:t>可</w:t>
      </w:r>
      <w:r>
        <w:rPr>
          <w:rFonts w:hint="eastAsia" w:ascii="宋体" w:hAnsi="宋体"/>
          <w:color w:val="auto"/>
          <w:sz w:val="24"/>
          <w:highlight w:val="none"/>
        </w:rPr>
        <w:t>根据</w:t>
      </w:r>
      <w:r>
        <w:rPr>
          <w:rFonts w:hint="eastAsia" w:ascii="宋体" w:hAnsi="宋体"/>
          <w:color w:val="auto"/>
          <w:sz w:val="24"/>
          <w:highlight w:val="none"/>
          <w:lang w:eastAsia="zh-CN"/>
        </w:rPr>
        <w:t>招标</w:t>
      </w:r>
      <w:r>
        <w:rPr>
          <w:rFonts w:hint="eastAsia" w:ascii="宋体" w:hAnsi="宋体"/>
          <w:color w:val="auto"/>
          <w:sz w:val="24"/>
          <w:highlight w:val="none"/>
        </w:rPr>
        <w:t>内容及要求自行</w:t>
      </w:r>
      <w:r>
        <w:rPr>
          <w:rFonts w:hint="eastAsia" w:ascii="宋体" w:hAnsi="宋体"/>
          <w:color w:val="auto"/>
          <w:sz w:val="24"/>
          <w:highlight w:val="none"/>
          <w:lang w:eastAsia="zh-CN"/>
        </w:rPr>
        <w:t>增加或细化表格内容。</w:t>
      </w:r>
    </w:p>
    <w:p w14:paraId="0F41CF68">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eastAsia" w:ascii="宋体" w:hAnsi="宋体"/>
          <w:color w:val="auto"/>
          <w:sz w:val="24"/>
          <w:highlight w:val="none"/>
          <w:lang w:val="en-US" w:eastAsia="zh-CN"/>
        </w:rPr>
      </w:pPr>
      <w:r>
        <w:rPr>
          <w:rFonts w:hint="eastAsia" w:ascii="宋体" w:hAnsi="宋体"/>
          <w:color w:val="auto"/>
          <w:sz w:val="24"/>
          <w:highlight w:val="none"/>
          <w:lang w:val="en-US" w:eastAsia="zh-CN"/>
        </w:rPr>
        <w:t>3.须明确不同岗位餐厅工作人员每人每月费用（含税）。</w:t>
      </w:r>
    </w:p>
    <w:p w14:paraId="296F95C0">
      <w:pPr>
        <w:pStyle w:val="16"/>
        <w:rPr>
          <w:rFonts w:hint="eastAsia" w:hAnsi="宋体"/>
          <w:color w:val="auto"/>
          <w:sz w:val="24"/>
          <w:szCs w:val="24"/>
          <w:highlight w:val="none"/>
        </w:rPr>
      </w:pPr>
    </w:p>
    <w:p w14:paraId="688293A0">
      <w:pPr>
        <w:pStyle w:val="16"/>
        <w:rPr>
          <w:rFonts w:hint="eastAsia" w:hAnsi="宋体"/>
          <w:color w:val="auto"/>
          <w:sz w:val="24"/>
          <w:szCs w:val="24"/>
          <w:highlight w:val="none"/>
        </w:rPr>
      </w:pPr>
    </w:p>
    <w:p w14:paraId="13C4D3F4">
      <w:pPr>
        <w:rPr>
          <w:rFonts w:ascii="宋体" w:hAnsi="宋体" w:eastAsia="宋体" w:cs="宋体"/>
          <w:color w:val="auto"/>
          <w:sz w:val="24"/>
          <w:szCs w:val="24"/>
          <w:highlight w:val="none"/>
          <w:lang w:eastAsia="zh-CN"/>
        </w:rPr>
      </w:pPr>
    </w:p>
    <w:p w14:paraId="76209804">
      <w:pPr>
        <w:spacing w:line="480" w:lineRule="auto"/>
        <w:ind w:firstLine="3840" w:firstLineChars="1600"/>
        <w:rPr>
          <w:rFonts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投标人名称（</w:t>
      </w:r>
      <w:r>
        <w:rPr>
          <w:rFonts w:hint="eastAsia" w:ascii="宋体" w:hAnsi="宋体" w:cs="宋体"/>
          <w:sz w:val="24"/>
          <w:szCs w:val="24"/>
          <w:highlight w:val="none"/>
        </w:rPr>
        <w:t>公章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eastAsia="zh-CN"/>
        </w:rPr>
        <w:t xml:space="preserve">                            </w:t>
      </w:r>
    </w:p>
    <w:p w14:paraId="23EB8D6E">
      <w:pPr>
        <w:spacing w:line="480" w:lineRule="auto"/>
        <w:ind w:firstLine="3840" w:firstLineChars="1600"/>
        <w:rPr>
          <w:rFonts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法定代表人或被授权人（签字或盖章）：</w:t>
      </w:r>
      <w:r>
        <w:rPr>
          <w:rFonts w:hint="eastAsia" w:ascii="宋体" w:hAnsi="宋体" w:eastAsia="宋体" w:cs="宋体"/>
          <w:color w:val="auto"/>
          <w:sz w:val="24"/>
          <w:szCs w:val="24"/>
          <w:highlight w:val="none"/>
          <w:u w:val="single"/>
          <w:lang w:eastAsia="zh-CN"/>
        </w:rPr>
        <w:t xml:space="preserve">            </w:t>
      </w:r>
    </w:p>
    <w:p w14:paraId="5FB7134A">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日              期：</w:t>
      </w:r>
      <w:r>
        <w:rPr>
          <w:rFonts w:hint="eastAsia" w:ascii="宋体" w:hAnsi="宋体" w:eastAsia="宋体" w:cs="宋体"/>
          <w:color w:val="auto"/>
          <w:sz w:val="24"/>
          <w:szCs w:val="24"/>
          <w:highlight w:val="none"/>
          <w:u w:val="single"/>
          <w:lang w:eastAsia="zh-CN"/>
        </w:rPr>
        <w:t xml:space="preserve">                        </w:t>
      </w:r>
    </w:p>
    <w:p w14:paraId="23EDC06B">
      <w:pPr>
        <w:pStyle w:val="15"/>
        <w:jc w:val="center"/>
        <w:rPr>
          <w:rFonts w:hint="eastAsia"/>
          <w:highlight w:val="none"/>
        </w:rPr>
      </w:pPr>
    </w:p>
    <w:p w14:paraId="4722FD29">
      <w:pPr>
        <w:pStyle w:val="15"/>
        <w:jc w:val="both"/>
        <w:rPr>
          <w:rFonts w:hint="eastAsia"/>
          <w:highlight w:val="none"/>
        </w:rPr>
      </w:pPr>
    </w:p>
    <w:p w14:paraId="4A5DCD20">
      <w:pPr>
        <w:pStyle w:val="3"/>
        <w:jc w:val="center"/>
        <w:rPr>
          <w:rFonts w:hint="eastAsia" w:ascii="宋体" w:hAnsi="宋体" w:eastAsia="宋体" w:cs="宋体"/>
          <w:b/>
          <w:bCs/>
          <w:highlight w:val="none"/>
        </w:rPr>
        <w:sectPr>
          <w:headerReference r:id="rId14" w:type="default"/>
          <w:footerReference r:id="rId15" w:type="default"/>
          <w:footerReference r:id="rId16" w:type="even"/>
          <w:pgSz w:w="11906" w:h="16838"/>
          <w:pgMar w:top="1417" w:right="1083" w:bottom="1417" w:left="1083" w:header="851" w:footer="964" w:gutter="0"/>
          <w:pgNumType w:fmt="decimal"/>
          <w:cols w:space="720" w:num="1"/>
          <w:docGrid w:type="linesAndChars" w:linePitch="420" w:charSpace="0"/>
        </w:sectPr>
      </w:pPr>
    </w:p>
    <w:p w14:paraId="51CCCFD8">
      <w:pPr>
        <w:pStyle w:val="3"/>
        <w:jc w:val="center"/>
        <w:rPr>
          <w:rFonts w:hint="eastAsia" w:ascii="宋体" w:hAnsi="宋体" w:eastAsia="宋体" w:cs="宋体"/>
          <w:b/>
          <w:bCs/>
          <w:highlight w:val="none"/>
        </w:rPr>
      </w:pPr>
      <w:r>
        <w:rPr>
          <w:rFonts w:hint="eastAsia" w:ascii="宋体" w:hAnsi="宋体" w:eastAsia="宋体" w:cs="宋体"/>
          <w:b/>
          <w:bCs/>
          <w:highlight w:val="none"/>
        </w:rPr>
        <w:t>第三部分  资格证明文件</w:t>
      </w:r>
    </w:p>
    <w:p w14:paraId="147C6855">
      <w:pPr>
        <w:numPr>
          <w:ilvl w:val="0"/>
          <w:numId w:val="0"/>
        </w:numPr>
        <w:jc w:val="both"/>
        <w:rPr>
          <w:rFonts w:hint="eastAsia" w:ascii="宋体" w:hAnsi="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t>1.提供合格有效的法人或者其他组织的营业执照等证明文件或自然人的身份证明；</w:t>
      </w:r>
    </w:p>
    <w:p w14:paraId="29DEE7D1">
      <w:pPr>
        <w:numPr>
          <w:ilvl w:val="0"/>
          <w:numId w:val="0"/>
        </w:numPr>
        <w:jc w:val="both"/>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br w:type="page"/>
      </w:r>
      <w:r>
        <w:rPr>
          <w:rFonts w:hint="eastAsia" w:ascii="宋体" w:hAnsi="宋体" w:cs="宋体"/>
          <w:b/>
          <w:bCs/>
          <w:i w:val="0"/>
          <w:iCs w:val="0"/>
          <w:caps w:val="0"/>
          <w:color w:val="auto"/>
          <w:spacing w:val="0"/>
          <w:kern w:val="0"/>
          <w:sz w:val="24"/>
          <w:szCs w:val="24"/>
          <w:highlight w:val="none"/>
          <w:u w:val="none"/>
          <w:lang w:val="en-US" w:eastAsia="zh-CN" w:bidi="ar-SA"/>
        </w:rPr>
        <w:t>2.基本资格条件：</w:t>
      </w:r>
      <w:r>
        <w:rPr>
          <w:rFonts w:hint="eastAsia" w:ascii="宋体" w:hAnsi="宋体" w:eastAsia="宋体" w:cs="宋体"/>
          <w:b/>
          <w:bCs/>
          <w:i w:val="0"/>
          <w:iCs w:val="0"/>
          <w:caps w:val="0"/>
          <w:color w:val="auto"/>
          <w:spacing w:val="0"/>
          <w:kern w:val="0"/>
          <w:sz w:val="24"/>
          <w:szCs w:val="24"/>
          <w:highlight w:val="none"/>
          <w:u w:val="none"/>
          <w:lang w:val="en-US" w:eastAsia="zh-CN" w:bidi="ar-SA"/>
        </w:rPr>
        <w:t>符合《中华人民共和国政府采购法》第二十二条的规定；</w:t>
      </w:r>
    </w:p>
    <w:p w14:paraId="18DEC5BA">
      <w:pPr>
        <w:numPr>
          <w:ilvl w:val="0"/>
          <w:numId w:val="0"/>
        </w:numPr>
        <w:jc w:val="cente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基本资格条件承诺函</w:t>
      </w:r>
    </w:p>
    <w:p w14:paraId="43F3770E">
      <w:pPr>
        <w:keepNext w:val="0"/>
        <w:keepLines w:val="0"/>
        <w:pageBreakBefore w:val="0"/>
        <w:widowControl w:val="0"/>
        <w:kinsoku/>
        <w:wordWrap/>
        <w:overflowPunct/>
        <w:topLinePunct w:val="0"/>
        <w:autoSpaceDE/>
        <w:autoSpaceDN/>
        <w:bidi w:val="0"/>
        <w:adjustRightInd/>
        <w:snapToGrid/>
        <w:spacing w:line="360" w:lineRule="auto"/>
        <w:ind w:left="892" w:leftChars="172" w:hanging="480" w:hangingChars="2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致</w:t>
      </w: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(采购代理机构名称):</w:t>
      </w:r>
    </w:p>
    <w:p w14:paraId="475DB8B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(供应商名称)郑重承诺:</w:t>
      </w:r>
    </w:p>
    <w:p w14:paraId="2EB1217C">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1.我方具有良好的商业信誉和健全的财务会计制度，具有履行合同所必需的设备和专业技术能力，具有依法缴纳税收和社会保障金的良好记录，参加本项目采购活动前三年内无重大违法活动记录。</w:t>
      </w:r>
    </w:p>
    <w:p w14:paraId="377B6C90">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2.我方未列入在信用中国网站(www.creditchina.gov.cn)“失信被执行人”、“重大税收违法案件当事人名单”中，也未列入中国政府采购网(www.ccgp.gov.cn)“政府采购严重违法失信行为记录名单”中。</w:t>
      </w:r>
    </w:p>
    <w:p w14:paraId="3662E2AF">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3.我方在采购项目评审(评标)环节结束后，随时接受采购人、采购代理机构的检查验证，配合提供相关证明材料，证明符合《中华人民共和国政府采购法》规定的投标人基本资格条件。</w:t>
      </w:r>
    </w:p>
    <w:p w14:paraId="59BFC187">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我方对以上承诺负全部法律责任。</w:t>
      </w:r>
    </w:p>
    <w:p w14:paraId="24B27E9D">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特此承诺。</w:t>
      </w:r>
    </w:p>
    <w:p w14:paraId="358E5326">
      <w:pPr>
        <w:keepNext w:val="0"/>
        <w:keepLines w:val="0"/>
        <w:pageBreakBefore w:val="0"/>
        <w:widowControl w:val="0"/>
        <w:kinsoku/>
        <w:wordWrap/>
        <w:overflowPunct/>
        <w:topLinePunct w:val="0"/>
        <w:autoSpaceDE/>
        <w:autoSpaceDN/>
        <w:bidi w:val="0"/>
        <w:adjustRightInd/>
        <w:snapToGrid/>
        <w:spacing w:line="480" w:lineRule="auto"/>
        <w:ind w:left="1440" w:leftChars="600" w:firstLine="3360" w:firstLineChars="1400"/>
        <w:jc w:val="left"/>
        <w:textAlignment w:val="auto"/>
        <w:rPr>
          <w:rFonts w:ascii="宋体" w:hAnsi="宋体" w:cs="宋体"/>
          <w:color w:val="000000"/>
          <w:sz w:val="24"/>
          <w:highlight w:val="none"/>
        </w:rPr>
      </w:pPr>
      <w:r>
        <w:rPr>
          <w:rFonts w:hint="eastAsia" w:ascii="宋体" w:hAnsi="宋体" w:cs="宋体"/>
          <w:color w:val="000000"/>
          <w:sz w:val="24"/>
          <w:highlight w:val="none"/>
        </w:rPr>
        <w:t>供应商名称：</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（公章）</w:t>
      </w:r>
    </w:p>
    <w:p w14:paraId="225E1376">
      <w:pPr>
        <w:keepNext w:val="0"/>
        <w:keepLines w:val="0"/>
        <w:pageBreakBefore w:val="0"/>
        <w:widowControl w:val="0"/>
        <w:kinsoku/>
        <w:wordWrap/>
        <w:overflowPunct/>
        <w:topLinePunct w:val="0"/>
        <w:autoSpaceDE/>
        <w:autoSpaceDN/>
        <w:bidi w:val="0"/>
        <w:adjustRightInd/>
        <w:snapToGrid/>
        <w:spacing w:line="480" w:lineRule="auto"/>
        <w:ind w:left="1440" w:leftChars="600" w:firstLine="3360" w:firstLineChars="1400"/>
        <w:jc w:val="left"/>
        <w:textAlignment w:val="auto"/>
        <w:rPr>
          <w:rFonts w:ascii="宋体" w:hAnsi="宋体" w:cs="宋体"/>
          <w:color w:val="000000"/>
          <w:sz w:val="24"/>
          <w:highlight w:val="none"/>
        </w:rPr>
      </w:pPr>
      <w:r>
        <w:rPr>
          <w:rFonts w:hint="eastAsia" w:ascii="宋体" w:hAnsi="宋体" w:cs="宋体"/>
          <w:color w:val="000000"/>
          <w:sz w:val="24"/>
          <w:highlight w:val="none"/>
        </w:rPr>
        <w:t>法定代表人或</w:t>
      </w:r>
    </w:p>
    <w:p w14:paraId="1BC786D3">
      <w:pPr>
        <w:keepNext w:val="0"/>
        <w:keepLines w:val="0"/>
        <w:pageBreakBefore w:val="0"/>
        <w:widowControl w:val="0"/>
        <w:kinsoku/>
        <w:wordWrap/>
        <w:overflowPunct/>
        <w:topLinePunct w:val="0"/>
        <w:autoSpaceDE/>
        <w:autoSpaceDN/>
        <w:bidi w:val="0"/>
        <w:adjustRightInd/>
        <w:snapToGrid/>
        <w:spacing w:line="480" w:lineRule="auto"/>
        <w:ind w:left="1440" w:leftChars="600" w:firstLine="3360" w:firstLineChars="1400"/>
        <w:jc w:val="left"/>
        <w:textAlignment w:val="auto"/>
        <w:rPr>
          <w:rFonts w:ascii="宋体" w:hAnsi="宋体" w:cs="宋体"/>
          <w:color w:val="000000"/>
          <w:sz w:val="24"/>
          <w:highlight w:val="none"/>
        </w:rPr>
      </w:pPr>
      <w:r>
        <w:rPr>
          <w:rFonts w:hint="eastAsia" w:ascii="宋体" w:hAnsi="宋体" w:cs="宋体"/>
          <w:color w:val="000000"/>
          <w:sz w:val="24"/>
          <w:highlight w:val="none"/>
        </w:rPr>
        <w:t>被授权人：</w:t>
      </w:r>
      <w:r>
        <w:rPr>
          <w:rFonts w:hint="eastAsia" w:ascii="宋体" w:hAnsi="宋体" w:cs="宋体"/>
          <w:color w:val="000000"/>
          <w:sz w:val="24"/>
          <w:highlight w:val="none"/>
          <w:u w:val="single"/>
        </w:rPr>
        <w:t xml:space="preserve">             </w:t>
      </w:r>
      <w:r>
        <w:rPr>
          <w:rFonts w:hint="eastAsia" w:ascii="宋体" w:hAnsi="宋体" w:cs="宋体"/>
          <w:color w:val="000000"/>
          <w:kern w:val="0"/>
          <w:sz w:val="24"/>
          <w:highlight w:val="none"/>
        </w:rPr>
        <w:t>(签字或盖章)</w:t>
      </w:r>
    </w:p>
    <w:p w14:paraId="4C2F003E">
      <w:pPr>
        <w:jc w:val="center"/>
        <w:rPr>
          <w:rFonts w:hint="eastAsia" w:ascii="宋体" w:hAnsi="宋体" w:cs="宋体"/>
          <w:color w:val="000000"/>
          <w:sz w:val="24"/>
          <w:highlight w:val="none"/>
        </w:rPr>
      </w:pPr>
      <w:r>
        <w:rPr>
          <w:rFonts w:hint="eastAsia" w:ascii="宋体" w:hAnsi="宋体" w:cs="宋体"/>
          <w:color w:val="000000"/>
          <w:sz w:val="24"/>
          <w:highlight w:val="none"/>
          <w:lang w:val="en-US" w:eastAsia="zh-CN"/>
        </w:rPr>
        <w:t xml:space="preserve">                                 </w:t>
      </w:r>
      <w:r>
        <w:rPr>
          <w:rFonts w:hint="eastAsia" w:ascii="宋体" w:hAnsi="宋体" w:cs="宋体"/>
          <w:color w:val="000000"/>
          <w:sz w:val="24"/>
          <w:highlight w:val="none"/>
        </w:rPr>
        <w:t>日      期：</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年</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月</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日</w:t>
      </w:r>
    </w:p>
    <w:p w14:paraId="67C89905">
      <w:pPr>
        <w:rPr>
          <w:rFonts w:hint="eastAsia" w:ascii="宋体" w:hAnsi="宋体" w:cs="宋体"/>
          <w:color w:val="000000"/>
          <w:sz w:val="24"/>
          <w:highlight w:val="none"/>
          <w:lang w:val="en-US" w:eastAsia="zh-CN"/>
        </w:rPr>
      </w:pPr>
    </w:p>
    <w:p w14:paraId="37102302">
      <w:pPr>
        <w:rPr>
          <w:rFonts w:hint="eastAsia" w:ascii="宋体" w:hAnsi="宋体" w:eastAsia="宋体" w:cs="宋体"/>
          <w:color w:val="auto"/>
          <w:sz w:val="24"/>
          <w:highlight w:val="none"/>
        </w:rPr>
      </w:pPr>
      <w:r>
        <w:rPr>
          <w:rFonts w:hint="eastAsia" w:ascii="宋体" w:hAnsi="宋体" w:cs="宋体"/>
          <w:color w:val="000000"/>
          <w:sz w:val="24"/>
          <w:highlight w:val="none"/>
          <w:lang w:val="en-US" w:eastAsia="zh-CN"/>
        </w:rPr>
        <w:br w:type="page"/>
      </w:r>
      <w:r>
        <w:rPr>
          <w:rFonts w:hint="eastAsia" w:ascii="宋体" w:hAnsi="宋体" w:eastAsia="宋体" w:cs="宋体"/>
          <w:b/>
          <w:bCs/>
          <w:color w:val="auto"/>
          <w:sz w:val="24"/>
          <w:highlight w:val="none"/>
          <w:lang w:val="en-US" w:eastAsia="zh-CN"/>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09516EBC">
      <w:pPr>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表一  法定代表人身份证明书</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2"/>
        <w:gridCol w:w="2143"/>
        <w:gridCol w:w="2139"/>
        <w:gridCol w:w="181"/>
        <w:gridCol w:w="2139"/>
        <w:gridCol w:w="2272"/>
      </w:tblGrid>
      <w:tr w14:paraId="303AC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5000" w:type="pct"/>
            <w:gridSpan w:val="6"/>
            <w:noWrap w:val="0"/>
            <w:vAlign w:val="center"/>
          </w:tcPr>
          <w:p w14:paraId="42865DB3">
            <w:pPr>
              <w:tabs>
                <w:tab w:val="left" w:pos="210"/>
              </w:tabs>
              <w:spacing w:line="320" w:lineRule="exac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致：华晟国际项目管理有限公司</w:t>
            </w:r>
          </w:p>
        </w:tc>
      </w:tr>
      <w:tr w14:paraId="30A29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1E1795DA">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w:t>
            </w:r>
          </w:p>
          <w:p w14:paraId="5481FCF2">
            <w:pPr>
              <w:tabs>
                <w:tab w:val="left" w:pos="210"/>
              </w:tabs>
              <w:spacing w:line="320" w:lineRule="exact"/>
              <w:jc w:val="center"/>
              <w:rPr>
                <w:rFonts w:hint="eastAsia" w:ascii="宋体" w:hAnsi="宋体" w:eastAsia="宋体" w:cs="宋体"/>
                <w:color w:val="auto"/>
                <w:kern w:val="0"/>
                <w:sz w:val="24"/>
                <w:highlight w:val="none"/>
              </w:rPr>
            </w:pPr>
          </w:p>
          <w:p w14:paraId="20AC7A8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业</w:t>
            </w:r>
          </w:p>
          <w:p w14:paraId="6141A8CD">
            <w:pPr>
              <w:tabs>
                <w:tab w:val="left" w:pos="210"/>
              </w:tabs>
              <w:spacing w:line="320" w:lineRule="exact"/>
              <w:jc w:val="center"/>
              <w:rPr>
                <w:rFonts w:hint="eastAsia" w:ascii="宋体" w:hAnsi="宋体" w:eastAsia="宋体" w:cs="宋体"/>
                <w:color w:val="auto"/>
                <w:kern w:val="0"/>
                <w:sz w:val="24"/>
                <w:highlight w:val="none"/>
              </w:rPr>
            </w:pPr>
          </w:p>
          <w:p w14:paraId="431ED42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w:t>
            </w:r>
          </w:p>
          <w:p w14:paraId="07E55D74">
            <w:pPr>
              <w:tabs>
                <w:tab w:val="left" w:pos="210"/>
              </w:tabs>
              <w:spacing w:line="320" w:lineRule="exact"/>
              <w:jc w:val="center"/>
              <w:rPr>
                <w:rFonts w:hint="eastAsia" w:ascii="宋体" w:hAnsi="宋体" w:eastAsia="宋体" w:cs="宋体"/>
                <w:color w:val="auto"/>
                <w:kern w:val="0"/>
                <w:sz w:val="24"/>
                <w:highlight w:val="none"/>
              </w:rPr>
            </w:pPr>
          </w:p>
          <w:p w14:paraId="7A1A81F8">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076" w:type="pct"/>
            <w:noWrap w:val="0"/>
            <w:vAlign w:val="center"/>
          </w:tcPr>
          <w:p w14:paraId="6C21868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企业名称</w:t>
            </w:r>
          </w:p>
        </w:tc>
        <w:tc>
          <w:tcPr>
            <w:tcW w:w="3378" w:type="pct"/>
            <w:gridSpan w:val="4"/>
            <w:noWrap w:val="0"/>
            <w:vAlign w:val="center"/>
          </w:tcPr>
          <w:p w14:paraId="26FC5E32">
            <w:pPr>
              <w:tabs>
                <w:tab w:val="left" w:pos="210"/>
              </w:tabs>
              <w:spacing w:line="320" w:lineRule="exact"/>
              <w:jc w:val="center"/>
              <w:rPr>
                <w:rFonts w:hint="eastAsia" w:ascii="宋体" w:hAnsi="宋体" w:eastAsia="宋体" w:cs="宋体"/>
                <w:color w:val="auto"/>
                <w:kern w:val="0"/>
                <w:sz w:val="24"/>
                <w:highlight w:val="none"/>
              </w:rPr>
            </w:pPr>
          </w:p>
        </w:tc>
      </w:tr>
      <w:tr w14:paraId="304AC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7A6AC0C6">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24E830BC">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法定地址</w:t>
            </w:r>
          </w:p>
        </w:tc>
        <w:tc>
          <w:tcPr>
            <w:tcW w:w="3378" w:type="pct"/>
            <w:gridSpan w:val="4"/>
            <w:noWrap w:val="0"/>
            <w:vAlign w:val="center"/>
          </w:tcPr>
          <w:p w14:paraId="233773A6">
            <w:pPr>
              <w:tabs>
                <w:tab w:val="left" w:pos="210"/>
              </w:tabs>
              <w:spacing w:line="320" w:lineRule="exact"/>
              <w:jc w:val="center"/>
              <w:rPr>
                <w:rFonts w:hint="eastAsia" w:ascii="宋体" w:hAnsi="宋体" w:eastAsia="宋体" w:cs="宋体"/>
                <w:color w:val="auto"/>
                <w:kern w:val="0"/>
                <w:sz w:val="24"/>
                <w:highlight w:val="none"/>
              </w:rPr>
            </w:pPr>
          </w:p>
        </w:tc>
      </w:tr>
      <w:tr w14:paraId="4B80C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7C16DEA3">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7D9AF7B7">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邮政编码</w:t>
            </w:r>
          </w:p>
        </w:tc>
        <w:tc>
          <w:tcPr>
            <w:tcW w:w="3378" w:type="pct"/>
            <w:gridSpan w:val="4"/>
            <w:noWrap w:val="0"/>
            <w:vAlign w:val="center"/>
          </w:tcPr>
          <w:p w14:paraId="49F5B87D">
            <w:pPr>
              <w:tabs>
                <w:tab w:val="left" w:pos="210"/>
              </w:tabs>
              <w:spacing w:line="320" w:lineRule="exact"/>
              <w:jc w:val="center"/>
              <w:rPr>
                <w:rFonts w:hint="eastAsia" w:ascii="宋体" w:hAnsi="宋体" w:eastAsia="宋体" w:cs="宋体"/>
                <w:color w:val="auto"/>
                <w:kern w:val="0"/>
                <w:sz w:val="24"/>
                <w:highlight w:val="none"/>
              </w:rPr>
            </w:pPr>
          </w:p>
        </w:tc>
      </w:tr>
      <w:tr w14:paraId="260C3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16B107C6">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75007ED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工商登记机关</w:t>
            </w:r>
          </w:p>
        </w:tc>
        <w:tc>
          <w:tcPr>
            <w:tcW w:w="3378" w:type="pct"/>
            <w:gridSpan w:val="4"/>
            <w:noWrap w:val="0"/>
            <w:vAlign w:val="center"/>
          </w:tcPr>
          <w:p w14:paraId="1D4137E0">
            <w:pPr>
              <w:tabs>
                <w:tab w:val="left" w:pos="210"/>
              </w:tabs>
              <w:spacing w:line="320" w:lineRule="exact"/>
              <w:jc w:val="center"/>
              <w:rPr>
                <w:rFonts w:hint="eastAsia" w:ascii="宋体" w:hAnsi="宋体" w:eastAsia="宋体" w:cs="宋体"/>
                <w:color w:val="auto"/>
                <w:kern w:val="0"/>
                <w:sz w:val="24"/>
                <w:highlight w:val="none"/>
              </w:rPr>
            </w:pPr>
          </w:p>
        </w:tc>
      </w:tr>
      <w:tr w14:paraId="7FDF8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544" w:type="pct"/>
            <w:vMerge w:val="continue"/>
            <w:noWrap w:val="0"/>
            <w:vAlign w:val="center"/>
          </w:tcPr>
          <w:p w14:paraId="4197A82F">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1A0B9186">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税务登记机关</w:t>
            </w:r>
          </w:p>
        </w:tc>
        <w:tc>
          <w:tcPr>
            <w:tcW w:w="3378" w:type="pct"/>
            <w:gridSpan w:val="4"/>
            <w:noWrap w:val="0"/>
            <w:vAlign w:val="center"/>
          </w:tcPr>
          <w:p w14:paraId="7D4A0A5B">
            <w:pPr>
              <w:tabs>
                <w:tab w:val="left" w:pos="210"/>
              </w:tabs>
              <w:spacing w:line="320" w:lineRule="exact"/>
              <w:rPr>
                <w:rFonts w:hint="eastAsia" w:ascii="宋体" w:hAnsi="宋体" w:eastAsia="宋体" w:cs="宋体"/>
                <w:color w:val="auto"/>
                <w:kern w:val="0"/>
                <w:sz w:val="24"/>
                <w:highlight w:val="none"/>
              </w:rPr>
            </w:pPr>
          </w:p>
        </w:tc>
      </w:tr>
      <w:tr w14:paraId="474FA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202064B0">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6B35C3A7">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机构代码证号</w:t>
            </w:r>
          </w:p>
        </w:tc>
        <w:tc>
          <w:tcPr>
            <w:tcW w:w="3378" w:type="pct"/>
            <w:gridSpan w:val="4"/>
            <w:noWrap w:val="0"/>
            <w:vAlign w:val="center"/>
          </w:tcPr>
          <w:p w14:paraId="2E5D4474">
            <w:pPr>
              <w:tabs>
                <w:tab w:val="left" w:pos="210"/>
              </w:tabs>
              <w:spacing w:line="320" w:lineRule="exact"/>
              <w:jc w:val="center"/>
              <w:rPr>
                <w:rFonts w:hint="eastAsia" w:ascii="宋体" w:hAnsi="宋体" w:eastAsia="宋体" w:cs="宋体"/>
                <w:color w:val="auto"/>
                <w:kern w:val="0"/>
                <w:sz w:val="24"/>
                <w:highlight w:val="none"/>
              </w:rPr>
            </w:pPr>
          </w:p>
        </w:tc>
      </w:tr>
      <w:tr w14:paraId="33A4F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1D6A188C">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w:t>
            </w:r>
          </w:p>
        </w:tc>
        <w:tc>
          <w:tcPr>
            <w:tcW w:w="1076" w:type="pct"/>
            <w:noWrap w:val="0"/>
            <w:vAlign w:val="center"/>
          </w:tcPr>
          <w:p w14:paraId="2D9A9338">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姓名</w:t>
            </w:r>
          </w:p>
        </w:tc>
        <w:tc>
          <w:tcPr>
            <w:tcW w:w="1165" w:type="pct"/>
            <w:gridSpan w:val="2"/>
            <w:noWrap w:val="0"/>
            <w:vAlign w:val="center"/>
          </w:tcPr>
          <w:p w14:paraId="5311295B">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42EB5925">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性别</w:t>
            </w:r>
          </w:p>
        </w:tc>
        <w:tc>
          <w:tcPr>
            <w:tcW w:w="1138" w:type="pct"/>
            <w:noWrap w:val="0"/>
            <w:vAlign w:val="center"/>
          </w:tcPr>
          <w:p w14:paraId="15D0EAB1">
            <w:pPr>
              <w:tabs>
                <w:tab w:val="left" w:pos="210"/>
              </w:tabs>
              <w:spacing w:line="320" w:lineRule="exact"/>
              <w:jc w:val="center"/>
              <w:rPr>
                <w:rFonts w:hint="eastAsia" w:ascii="宋体" w:hAnsi="宋体" w:eastAsia="宋体" w:cs="宋体"/>
                <w:color w:val="auto"/>
                <w:kern w:val="0"/>
                <w:sz w:val="24"/>
                <w:highlight w:val="none"/>
              </w:rPr>
            </w:pPr>
          </w:p>
        </w:tc>
      </w:tr>
      <w:tr w14:paraId="69F53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2670AB4F">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2DE6225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职务</w:t>
            </w:r>
          </w:p>
        </w:tc>
        <w:tc>
          <w:tcPr>
            <w:tcW w:w="1165" w:type="pct"/>
            <w:gridSpan w:val="2"/>
            <w:noWrap w:val="0"/>
            <w:vAlign w:val="center"/>
          </w:tcPr>
          <w:p w14:paraId="43C9648F">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0678E8F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联系电话</w:t>
            </w:r>
          </w:p>
        </w:tc>
        <w:tc>
          <w:tcPr>
            <w:tcW w:w="1138" w:type="pct"/>
            <w:noWrap w:val="0"/>
            <w:vAlign w:val="center"/>
          </w:tcPr>
          <w:p w14:paraId="202D7434">
            <w:pPr>
              <w:tabs>
                <w:tab w:val="left" w:pos="210"/>
              </w:tabs>
              <w:spacing w:line="320" w:lineRule="exact"/>
              <w:jc w:val="center"/>
              <w:rPr>
                <w:rFonts w:hint="eastAsia" w:ascii="宋体" w:hAnsi="宋体" w:eastAsia="宋体" w:cs="宋体"/>
                <w:color w:val="auto"/>
                <w:kern w:val="0"/>
                <w:sz w:val="24"/>
                <w:highlight w:val="none"/>
              </w:rPr>
            </w:pPr>
          </w:p>
        </w:tc>
      </w:tr>
      <w:tr w14:paraId="10267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4E13E0EE">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5DF8CCFC">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传真</w:t>
            </w:r>
          </w:p>
        </w:tc>
        <w:tc>
          <w:tcPr>
            <w:tcW w:w="3378" w:type="pct"/>
            <w:gridSpan w:val="4"/>
            <w:noWrap w:val="0"/>
            <w:vAlign w:val="center"/>
          </w:tcPr>
          <w:p w14:paraId="4CBF712D">
            <w:pPr>
              <w:tabs>
                <w:tab w:val="left" w:pos="210"/>
              </w:tabs>
              <w:spacing w:line="320" w:lineRule="exact"/>
              <w:jc w:val="center"/>
              <w:rPr>
                <w:rFonts w:hint="eastAsia" w:ascii="宋体" w:hAnsi="宋体" w:eastAsia="宋体" w:cs="宋体"/>
                <w:color w:val="auto"/>
                <w:kern w:val="0"/>
                <w:sz w:val="24"/>
                <w:highlight w:val="none"/>
              </w:rPr>
            </w:pPr>
          </w:p>
        </w:tc>
      </w:tr>
      <w:tr w14:paraId="67364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544" w:type="pct"/>
            <w:vMerge w:val="restart"/>
            <w:noWrap w:val="0"/>
            <w:vAlign w:val="center"/>
          </w:tcPr>
          <w:p w14:paraId="44CE618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法定代表人身份证复印件</w:t>
            </w:r>
          </w:p>
        </w:tc>
        <w:tc>
          <w:tcPr>
            <w:tcW w:w="2150" w:type="pct"/>
            <w:gridSpan w:val="2"/>
            <w:vMerge w:val="restart"/>
            <w:noWrap w:val="0"/>
            <w:vAlign w:val="center"/>
          </w:tcPr>
          <w:p w14:paraId="28B0AFA8">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（粘贴处）</w:t>
            </w:r>
          </w:p>
        </w:tc>
        <w:tc>
          <w:tcPr>
            <w:tcW w:w="2304" w:type="pct"/>
            <w:gridSpan w:val="3"/>
            <w:noWrap w:val="0"/>
            <w:vAlign w:val="center"/>
          </w:tcPr>
          <w:p w14:paraId="07747F19">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法定代表人（签字或盖章）</w:t>
            </w:r>
          </w:p>
        </w:tc>
      </w:tr>
      <w:tr w14:paraId="517CA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jc w:val="center"/>
        </w:trPr>
        <w:tc>
          <w:tcPr>
            <w:tcW w:w="544" w:type="pct"/>
            <w:vMerge w:val="continue"/>
            <w:noWrap w:val="0"/>
            <w:vAlign w:val="center"/>
          </w:tcPr>
          <w:p w14:paraId="3FAF6052">
            <w:pPr>
              <w:tabs>
                <w:tab w:val="left" w:pos="210"/>
              </w:tabs>
              <w:spacing w:line="320" w:lineRule="exact"/>
              <w:jc w:val="center"/>
              <w:rPr>
                <w:rFonts w:hint="eastAsia" w:ascii="宋体" w:hAnsi="宋体" w:eastAsia="宋体" w:cs="宋体"/>
                <w:color w:val="auto"/>
                <w:kern w:val="0"/>
                <w:sz w:val="24"/>
                <w:highlight w:val="none"/>
              </w:rPr>
            </w:pPr>
          </w:p>
        </w:tc>
        <w:tc>
          <w:tcPr>
            <w:tcW w:w="2150" w:type="pct"/>
            <w:gridSpan w:val="2"/>
            <w:vMerge w:val="continue"/>
            <w:noWrap w:val="0"/>
            <w:vAlign w:val="center"/>
          </w:tcPr>
          <w:p w14:paraId="09CAF08C">
            <w:pPr>
              <w:tabs>
                <w:tab w:val="left" w:pos="210"/>
              </w:tabs>
              <w:spacing w:line="320" w:lineRule="exact"/>
              <w:jc w:val="center"/>
              <w:rPr>
                <w:rFonts w:hint="eastAsia" w:ascii="宋体" w:hAnsi="宋体" w:eastAsia="宋体" w:cs="宋体"/>
                <w:color w:val="auto"/>
                <w:kern w:val="0"/>
                <w:sz w:val="24"/>
                <w:highlight w:val="none"/>
              </w:rPr>
            </w:pPr>
          </w:p>
        </w:tc>
        <w:tc>
          <w:tcPr>
            <w:tcW w:w="2304" w:type="pct"/>
            <w:gridSpan w:val="3"/>
            <w:noWrap w:val="0"/>
            <w:vAlign w:val="bottom"/>
          </w:tcPr>
          <w:p w14:paraId="3B141D6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（公章）</w:t>
            </w:r>
          </w:p>
          <w:p w14:paraId="2AB70DB2">
            <w:pPr>
              <w:tabs>
                <w:tab w:val="left" w:pos="210"/>
              </w:tabs>
              <w:spacing w:line="320" w:lineRule="exact"/>
              <w:jc w:val="center"/>
              <w:rPr>
                <w:rFonts w:hint="eastAsia" w:ascii="宋体" w:hAnsi="宋体" w:eastAsia="宋体" w:cs="宋体"/>
                <w:color w:val="auto"/>
                <w:kern w:val="0"/>
                <w:sz w:val="24"/>
                <w:highlight w:val="none"/>
              </w:rPr>
            </w:pPr>
          </w:p>
          <w:p w14:paraId="004D5063">
            <w:pPr>
              <w:tabs>
                <w:tab w:val="left" w:pos="210"/>
              </w:tabs>
              <w:spacing w:line="320" w:lineRule="exact"/>
              <w:jc w:val="center"/>
              <w:rPr>
                <w:rFonts w:hint="eastAsia" w:ascii="宋体" w:hAnsi="宋体" w:eastAsia="宋体" w:cs="宋体"/>
                <w:color w:val="auto"/>
                <w:kern w:val="0"/>
                <w:sz w:val="24"/>
                <w:highlight w:val="none"/>
              </w:rPr>
            </w:pPr>
          </w:p>
          <w:p w14:paraId="598F87F4">
            <w:pPr>
              <w:tabs>
                <w:tab w:val="left" w:pos="210"/>
              </w:tabs>
              <w:spacing w:line="320" w:lineRule="exact"/>
              <w:jc w:val="center"/>
              <w:rPr>
                <w:rFonts w:hint="eastAsia" w:ascii="宋体" w:hAnsi="宋体" w:eastAsia="宋体" w:cs="宋体"/>
                <w:color w:val="auto"/>
                <w:kern w:val="0"/>
                <w:sz w:val="24"/>
                <w:highlight w:val="none"/>
              </w:rPr>
            </w:pPr>
          </w:p>
          <w:p w14:paraId="0DD535D8">
            <w:pPr>
              <w:tabs>
                <w:tab w:val="left" w:pos="210"/>
              </w:tabs>
              <w:spacing w:line="320" w:lineRule="exact"/>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年  月  日 </w:t>
            </w:r>
          </w:p>
        </w:tc>
      </w:tr>
    </w:tbl>
    <w:p w14:paraId="40E4F77B">
      <w:pPr>
        <w:pStyle w:val="16"/>
        <w:spacing w:line="360" w:lineRule="auto"/>
        <w:jc w:val="center"/>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br w:type="page"/>
      </w:r>
      <w:r>
        <w:rPr>
          <w:rFonts w:hint="eastAsia" w:ascii="宋体" w:hAnsi="宋体" w:eastAsia="宋体" w:cs="宋体"/>
          <w:b/>
          <w:color w:val="auto"/>
          <w:sz w:val="24"/>
          <w:highlight w:val="none"/>
        </w:rPr>
        <w:t>表二  法定代表人授权书</w:t>
      </w:r>
    </w:p>
    <w:p w14:paraId="183786DC">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致：华晟国际项目管理有限公司：</w:t>
      </w:r>
    </w:p>
    <w:p w14:paraId="5988FE65">
      <w:pPr>
        <w:pStyle w:val="16"/>
        <w:spacing w:line="500" w:lineRule="exact"/>
        <w:ind w:firstLine="480" w:firstLineChars="200"/>
        <w:jc w:val="left"/>
        <w:rPr>
          <w:rFonts w:hint="eastAsia" w:ascii="宋体" w:hAnsi="宋体" w:eastAsia="宋体" w:cs="宋体"/>
          <w:color w:val="auto"/>
          <w:sz w:val="10"/>
          <w:szCs w:val="24"/>
          <w:highlight w:val="none"/>
        </w:rPr>
      </w:pPr>
      <w:r>
        <w:rPr>
          <w:rFonts w:hint="eastAsia" w:ascii="宋体" w:hAnsi="宋体" w:eastAsia="宋体" w:cs="宋体"/>
          <w:color w:val="auto"/>
          <w:sz w:val="24"/>
          <w:szCs w:val="24"/>
          <w:highlight w:val="none"/>
        </w:rPr>
        <w:t>本授权书声明：注册于（</w:t>
      </w:r>
      <w:r>
        <w:rPr>
          <w:rFonts w:hint="eastAsia" w:ascii="宋体" w:hAnsi="宋体" w:eastAsia="宋体" w:cs="宋体"/>
          <w:color w:val="auto"/>
          <w:sz w:val="24"/>
          <w:szCs w:val="24"/>
          <w:highlight w:val="none"/>
          <w:u w:val="single"/>
        </w:rPr>
        <w:t>工商行政管理局名称）之（委托单位全称）</w:t>
      </w:r>
      <w:r>
        <w:rPr>
          <w:rFonts w:hint="eastAsia" w:ascii="宋体" w:hAnsi="宋体" w:eastAsia="宋体" w:cs="宋体"/>
          <w:color w:val="auto"/>
          <w:sz w:val="24"/>
          <w:szCs w:val="24"/>
          <w:highlight w:val="none"/>
        </w:rPr>
        <w:t>的法定代表人</w:t>
      </w:r>
      <w:r>
        <w:rPr>
          <w:rFonts w:hint="eastAsia" w:ascii="宋体" w:hAnsi="宋体" w:eastAsia="宋体" w:cs="宋体"/>
          <w:color w:val="auto"/>
          <w:sz w:val="24"/>
          <w:szCs w:val="24"/>
          <w:highlight w:val="none"/>
          <w:u w:val="single"/>
        </w:rPr>
        <w:t>（姓名、性别）</w:t>
      </w:r>
      <w:r>
        <w:rPr>
          <w:rFonts w:hint="eastAsia" w:ascii="宋体" w:hAnsi="宋体" w:eastAsia="宋体" w:cs="宋体"/>
          <w:color w:val="auto"/>
          <w:sz w:val="24"/>
          <w:szCs w:val="24"/>
          <w:highlight w:val="none"/>
        </w:rPr>
        <w:t>授权</w:t>
      </w:r>
      <w:r>
        <w:rPr>
          <w:rFonts w:hint="eastAsia" w:ascii="宋体" w:hAnsi="宋体" w:eastAsia="宋体" w:cs="宋体"/>
          <w:color w:val="auto"/>
          <w:sz w:val="24"/>
          <w:szCs w:val="24"/>
          <w:highlight w:val="none"/>
          <w:u w:val="single"/>
        </w:rPr>
        <w:t>（被授权人姓名、性别、职务）</w:t>
      </w:r>
      <w:r>
        <w:rPr>
          <w:rFonts w:hint="eastAsia" w:ascii="宋体" w:hAnsi="宋体" w:eastAsia="宋体" w:cs="宋体"/>
          <w:color w:val="auto"/>
          <w:sz w:val="24"/>
          <w:szCs w:val="24"/>
          <w:highlight w:val="none"/>
        </w:rPr>
        <w:t xml:space="preserve">为本公司合法代理人，就贵方组织的有关 </w:t>
      </w:r>
      <w:r>
        <w:rPr>
          <w:rFonts w:hint="eastAsia" w:ascii="宋体" w:hAnsi="宋体" w:eastAsia="宋体" w:cs="宋体"/>
          <w:color w:val="auto"/>
          <w:sz w:val="24"/>
          <w:szCs w:val="24"/>
          <w:highlight w:val="none"/>
          <w:u w:val="single"/>
        </w:rPr>
        <w:t xml:space="preserve">（项目名称） </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）的开标、洽谈、执行等具体事务，签署全部有关文件、文书、协议、合同，本公司对被授权人在本项目中的签名承担全部法律责任。本授权书自</w:t>
      </w:r>
      <w:r>
        <w:rPr>
          <w:rFonts w:hint="eastAsia" w:hAnsi="宋体" w:eastAsia="宋体" w:cs="宋体"/>
          <w:color w:val="auto"/>
          <w:sz w:val="24"/>
          <w:szCs w:val="24"/>
          <w:highlight w:val="none"/>
          <w:lang w:eastAsia="zh-CN"/>
        </w:rPr>
        <w:t>响应</w:t>
      </w:r>
      <w:r>
        <w:rPr>
          <w:rFonts w:hint="eastAsia" w:ascii="宋体" w:hAnsi="宋体" w:eastAsia="宋体" w:cs="宋体"/>
          <w:color w:val="auto"/>
          <w:sz w:val="24"/>
          <w:szCs w:val="24"/>
          <w:highlight w:val="none"/>
        </w:rPr>
        <w:t>文件递交截止之日起计算有效期为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日历日。</w:t>
      </w:r>
    </w:p>
    <w:p w14:paraId="505DE85F">
      <w:pPr>
        <w:pStyle w:val="16"/>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（公章）</w:t>
      </w:r>
    </w:p>
    <w:p w14:paraId="34E4853E">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8"/>
          <w:szCs w:val="28"/>
          <w:highlight w:val="none"/>
        </w:rPr>
        <w:t>（</w:t>
      </w:r>
      <w:r>
        <w:rPr>
          <w:rFonts w:hint="eastAsia" w:ascii="宋体" w:hAnsi="宋体" w:eastAsia="宋体" w:cs="宋体"/>
          <w:b/>
          <w:bCs/>
          <w:color w:val="auto"/>
          <w:sz w:val="28"/>
          <w:szCs w:val="28"/>
          <w:highlight w:val="none"/>
        </w:rPr>
        <w:t>签字或盖章</w:t>
      </w:r>
      <w:r>
        <w:rPr>
          <w:rFonts w:hint="eastAsia" w:ascii="宋体" w:hAnsi="宋体" w:eastAsia="宋体" w:cs="宋体"/>
          <w:color w:val="auto"/>
          <w:sz w:val="28"/>
          <w:szCs w:val="28"/>
          <w:highlight w:val="none"/>
        </w:rPr>
        <w:t>）</w:t>
      </w:r>
    </w:p>
    <w:p w14:paraId="0DD5BFD6">
      <w:pPr>
        <w:pStyle w:val="16"/>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15FD312D">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附：被授权人姓名：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性别：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职务：</w:t>
      </w:r>
      <w:r>
        <w:rPr>
          <w:rFonts w:hint="eastAsia" w:ascii="宋体" w:hAnsi="宋体" w:eastAsia="宋体" w:cs="宋体"/>
          <w:color w:val="auto"/>
          <w:sz w:val="24"/>
          <w:szCs w:val="24"/>
          <w:highlight w:val="none"/>
          <w:u w:val="single"/>
        </w:rPr>
        <w:t xml:space="preserve">           </w:t>
      </w:r>
    </w:p>
    <w:p w14:paraId="2C88B25C">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66206579">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传真：</w:t>
      </w:r>
      <w:r>
        <w:rPr>
          <w:rFonts w:hint="eastAsia" w:ascii="宋体" w:hAnsi="宋体" w:eastAsia="宋体" w:cs="宋体"/>
          <w:color w:val="auto"/>
          <w:sz w:val="24"/>
          <w:szCs w:val="24"/>
          <w:highlight w:val="none"/>
          <w:u w:val="single"/>
        </w:rPr>
        <w:t xml:space="preserve">                      </w:t>
      </w:r>
    </w:p>
    <w:p w14:paraId="65887EF1">
      <w:pPr>
        <w:pStyle w:val="16"/>
        <w:spacing w:line="5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附法定代表人、被授权人身份证复印件，若位置不够自行调整。</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2"/>
        <w:gridCol w:w="4190"/>
      </w:tblGrid>
      <w:tr w14:paraId="4B841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2" w:hRule="atLeast"/>
          <w:jc w:val="center"/>
        </w:trPr>
        <w:tc>
          <w:tcPr>
            <w:tcW w:w="4672" w:type="dxa"/>
            <w:tcBorders>
              <w:top w:val="single" w:color="auto" w:sz="4" w:space="0"/>
              <w:left w:val="single" w:color="auto" w:sz="4" w:space="0"/>
              <w:right w:val="single" w:color="auto" w:sz="4" w:space="0"/>
            </w:tcBorders>
            <w:shd w:val="clear" w:color="auto" w:fill="D9D9D9"/>
            <w:noWrap w:val="0"/>
            <w:vAlign w:val="center"/>
          </w:tcPr>
          <w:p w14:paraId="254754D9">
            <w:pPr>
              <w:pStyle w:val="16"/>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法定代表人身份证复印件（正、反面）</w:t>
            </w:r>
          </w:p>
        </w:tc>
        <w:tc>
          <w:tcPr>
            <w:tcW w:w="4190" w:type="dxa"/>
            <w:tcBorders>
              <w:top w:val="single" w:color="auto" w:sz="4" w:space="0"/>
              <w:left w:val="single" w:color="auto" w:sz="4" w:space="0"/>
              <w:bottom w:val="single" w:color="auto" w:sz="4" w:space="0"/>
              <w:right w:val="single" w:color="auto" w:sz="4" w:space="0"/>
            </w:tcBorders>
            <w:shd w:val="clear" w:color="auto" w:fill="D9D9D9"/>
            <w:noWrap w:val="0"/>
            <w:vAlign w:val="center"/>
          </w:tcPr>
          <w:p w14:paraId="31E9B69A">
            <w:pPr>
              <w:pStyle w:val="16"/>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被授权人身份证复印件（正、反面）</w:t>
            </w:r>
          </w:p>
        </w:tc>
      </w:tr>
    </w:tbl>
    <w:p w14:paraId="6C40CF93">
      <w:pPr>
        <w:pStyle w:val="16"/>
        <w:spacing w:line="5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r>
        <w:rPr>
          <w:rFonts w:hint="eastAsia" w:ascii="宋体" w:hAnsi="宋体" w:eastAsia="宋体" w:cs="宋体"/>
          <w:color w:val="auto"/>
          <w:sz w:val="24"/>
          <w:szCs w:val="24"/>
          <w:highlight w:val="none"/>
        </w:rPr>
        <w:t>：</w:t>
      </w:r>
      <w:r>
        <w:rPr>
          <w:rFonts w:hint="eastAsia"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、本授权书有效期自</w:t>
      </w:r>
      <w:r>
        <w:rPr>
          <w:rFonts w:hint="eastAsia" w:hAnsi="宋体" w:eastAsia="宋体" w:cs="宋体"/>
          <w:b/>
          <w:bCs/>
          <w:color w:val="auto"/>
          <w:sz w:val="24"/>
          <w:szCs w:val="24"/>
          <w:highlight w:val="none"/>
          <w:lang w:eastAsia="zh-CN"/>
        </w:rPr>
        <w:t>响应</w:t>
      </w:r>
      <w:r>
        <w:rPr>
          <w:rFonts w:hint="eastAsia" w:ascii="宋体" w:hAnsi="宋体" w:eastAsia="宋体" w:cs="宋体"/>
          <w:b/>
          <w:bCs/>
          <w:color w:val="auto"/>
          <w:sz w:val="24"/>
          <w:szCs w:val="24"/>
          <w:highlight w:val="none"/>
        </w:rPr>
        <w:t>文件递交截止之日起计算不得少于90日历日。</w:t>
      </w:r>
    </w:p>
    <w:p w14:paraId="632FFFF6">
      <w:pPr>
        <w:pStyle w:val="16"/>
        <w:spacing w:line="500" w:lineRule="exact"/>
        <w:ind w:firstLine="720" w:firstLineChars="300"/>
        <w:jc w:val="left"/>
        <w:rPr>
          <w:rFonts w:hint="eastAsia" w:ascii="宋体" w:hAnsi="宋体" w:eastAsia="宋体" w:cs="宋体"/>
          <w:b/>
          <w:bCs/>
          <w:color w:val="auto"/>
          <w:sz w:val="24"/>
          <w:szCs w:val="24"/>
          <w:highlight w:val="none"/>
        </w:rPr>
      </w:pPr>
      <w:r>
        <w:rPr>
          <w:rFonts w:hint="eastAsia"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、授权书内容填写要明确，文字要工整清楚，涂改无效。</w:t>
      </w:r>
    </w:p>
    <w:p w14:paraId="41239FCA">
      <w:pPr>
        <w:pStyle w:val="16"/>
        <w:spacing w:line="500" w:lineRule="exact"/>
        <w:ind w:firstLine="720" w:firstLineChars="300"/>
        <w:jc w:val="left"/>
        <w:rPr>
          <w:rFonts w:hint="eastAsia" w:ascii="宋体" w:hAnsi="宋体" w:cs="宋体"/>
          <w:b/>
          <w:bCs/>
          <w:sz w:val="24"/>
          <w:szCs w:val="24"/>
          <w:highlight w:val="none"/>
          <w:lang w:val="en-US" w:eastAsia="zh-CN"/>
        </w:rPr>
      </w:pPr>
      <w:r>
        <w:rPr>
          <w:rFonts w:hint="eastAsia" w:hAnsi="宋体" w:eastAsia="宋体" w:cs="宋体"/>
          <w:b/>
          <w:bCs/>
          <w:color w:val="auto"/>
          <w:sz w:val="24"/>
          <w:szCs w:val="24"/>
          <w:highlight w:val="none"/>
          <w:lang w:val="en-US" w:eastAsia="zh-CN"/>
        </w:rPr>
        <w:t>3、授权代表须提供近六个月中任一个月缴纳社保证明复印件并加盖单位公章。</w:t>
      </w:r>
    </w:p>
    <w:p w14:paraId="2C4BB2EC">
      <w:pPr>
        <w:rPr>
          <w:rFonts w:hint="eastAsia" w:ascii="宋体" w:hAnsi="宋体" w:eastAsia="宋体" w:cs="宋体"/>
          <w:color w:val="auto"/>
          <w:highlight w:val="none"/>
        </w:rPr>
      </w:pPr>
    </w:p>
    <w:p w14:paraId="32D587DA">
      <w:pPr>
        <w:spacing w:line="430" w:lineRule="atLeast"/>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32"/>
          <w:szCs w:val="32"/>
          <w:highlight w:val="none"/>
        </w:rPr>
        <w:br w:type="page"/>
      </w:r>
      <w:bookmarkStart w:id="23" w:name="_Toc494096894"/>
      <w:r>
        <w:rPr>
          <w:rFonts w:hint="eastAsia" w:ascii="宋体" w:hAnsi="宋体" w:eastAsia="宋体" w:cs="宋体"/>
          <w:b/>
          <w:bCs/>
          <w:color w:val="auto"/>
          <w:sz w:val="24"/>
          <w:highlight w:val="none"/>
          <w:lang w:val="en-US" w:eastAsia="zh-CN"/>
        </w:rPr>
        <w:t>4.单位负责人为同一人或者存在直接控股、管理关系的不同供应商，不得参加同一合同项下的政府采购活动。</w:t>
      </w:r>
    </w:p>
    <w:p w14:paraId="2BD699A9">
      <w:pPr>
        <w:bidi w:val="0"/>
        <w:ind w:left="0" w:leftChars="0" w:right="0" w:rightChars="0" w:firstLine="0" w:firstLineChars="0"/>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lang w:val="en-US" w:eastAsia="zh-CN"/>
        </w:rPr>
        <w:t>供应商</w:t>
      </w:r>
      <w:r>
        <w:rPr>
          <w:rFonts w:hint="eastAsia" w:ascii="宋体" w:hAnsi="宋体" w:eastAsia="宋体" w:cs="宋体"/>
          <w:b/>
          <w:bCs/>
          <w:color w:val="auto"/>
          <w:sz w:val="24"/>
          <w:szCs w:val="32"/>
          <w:highlight w:val="none"/>
        </w:rPr>
        <w:t>关联关系</w:t>
      </w:r>
    </w:p>
    <w:p w14:paraId="59EB7F6E">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单位负责人在其他单位任职情况</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val="en-US" w:eastAsia="zh-CN"/>
        </w:rPr>
        <w:t xml:space="preserve">                             </w:t>
      </w:r>
    </w:p>
    <w:p w14:paraId="4213A273">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控股关系说明</w:t>
      </w:r>
    </w:p>
    <w:p w14:paraId="662A730E">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下属控股单位：</w:t>
      </w:r>
      <w:r>
        <w:rPr>
          <w:rFonts w:hint="eastAsia" w:ascii="宋体" w:hAnsi="宋体" w:eastAsia="宋体" w:cs="宋体"/>
          <w:color w:val="auto"/>
          <w:sz w:val="24"/>
          <w:szCs w:val="24"/>
          <w:highlight w:val="none"/>
          <w:u w:val="single"/>
          <w:lang w:val="en-US" w:eastAsia="zh-CN"/>
        </w:rPr>
        <w:t xml:space="preserve">                    </w:t>
      </w:r>
    </w:p>
    <w:p w14:paraId="18DBDC66">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上属被控股单位：</w:t>
      </w:r>
      <w:r>
        <w:rPr>
          <w:rFonts w:hint="eastAsia" w:ascii="宋体" w:hAnsi="宋体" w:eastAsia="宋体" w:cs="宋体"/>
          <w:color w:val="auto"/>
          <w:sz w:val="24"/>
          <w:szCs w:val="24"/>
          <w:highlight w:val="none"/>
          <w:u w:val="single"/>
          <w:lang w:val="en-US" w:eastAsia="zh-CN"/>
        </w:rPr>
        <w:t xml:space="preserve">                  </w:t>
      </w:r>
    </w:p>
    <w:p w14:paraId="03BC1450">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管理关系说明</w:t>
      </w:r>
    </w:p>
    <w:p w14:paraId="3E226E9C">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下属管理单位：</w:t>
      </w:r>
      <w:r>
        <w:rPr>
          <w:rFonts w:hint="eastAsia" w:ascii="宋体" w:hAnsi="宋体" w:eastAsia="宋体" w:cs="宋体"/>
          <w:color w:val="auto"/>
          <w:sz w:val="24"/>
          <w:szCs w:val="24"/>
          <w:highlight w:val="none"/>
          <w:u w:val="single"/>
          <w:lang w:val="en-US" w:eastAsia="zh-CN"/>
        </w:rPr>
        <w:t xml:space="preserve">                    </w:t>
      </w:r>
    </w:p>
    <w:p w14:paraId="134198F2">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5CC3B212">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上属被管理</w:t>
      </w:r>
      <w:r>
        <w:rPr>
          <w:rFonts w:hint="eastAsia" w:ascii="宋体" w:hAnsi="宋体" w:eastAsia="宋体" w:cs="宋体"/>
          <w:color w:val="auto"/>
          <w:sz w:val="24"/>
          <w:szCs w:val="24"/>
          <w:highlight w:val="none"/>
          <w:lang w:val="en-US" w:eastAsia="zh-CN"/>
        </w:rPr>
        <w:t>单位</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val="en-US" w:eastAsia="zh-CN"/>
        </w:rPr>
        <w:t xml:space="preserve">                  </w:t>
      </w:r>
    </w:p>
    <w:p w14:paraId="49A74AD3">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5722A2A5">
      <w:pPr>
        <w:pStyle w:val="19"/>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p>
    <w:p w14:paraId="311D8D34">
      <w:pPr>
        <w:pStyle w:val="19"/>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我单位承诺以上说明真实有效，无虛假内容或隐瞒。</w:t>
      </w:r>
    </w:p>
    <w:p w14:paraId="1FD9CE5B">
      <w:pPr>
        <w:pStyle w:val="19"/>
        <w:rPr>
          <w:rFonts w:hint="eastAsia" w:ascii="宋体" w:hAnsi="宋体" w:eastAsia="宋体" w:cs="宋体"/>
          <w:color w:val="auto"/>
          <w:highlight w:val="none"/>
        </w:rPr>
      </w:pPr>
    </w:p>
    <w:p w14:paraId="027681F9">
      <w:pPr>
        <w:pStyle w:val="19"/>
        <w:rPr>
          <w:rFonts w:hint="eastAsia" w:ascii="宋体" w:hAnsi="宋体" w:eastAsia="宋体" w:cs="宋体"/>
          <w:color w:val="auto"/>
          <w:highlight w:val="none"/>
        </w:rPr>
      </w:pPr>
    </w:p>
    <w:p w14:paraId="05838396">
      <w:pPr>
        <w:spacing w:before="480" w:beforeLines="200" w:line="360" w:lineRule="auto"/>
        <w:ind w:firstLine="3120" w:firstLineChars="1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（公章）</w:t>
      </w:r>
    </w:p>
    <w:p w14:paraId="1F63EA55">
      <w:pPr>
        <w:spacing w:before="480" w:beforeLines="200" w:line="360" w:lineRule="auto"/>
        <w:ind w:firstLine="3120" w:firstLineChars="1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法定代表人或其授权代表：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(签字或盖章)</w:t>
      </w:r>
    </w:p>
    <w:p w14:paraId="39ACC667">
      <w:pPr>
        <w:spacing w:before="480" w:beforeLines="200" w:line="360" w:lineRule="auto"/>
        <w:ind w:firstLine="3120" w:firstLineChars="1300"/>
        <w:jc w:val="left"/>
        <w:rPr>
          <w:rFonts w:hint="eastAsia" w:ascii="宋体" w:hAnsi="宋体" w:eastAsia="宋体" w:cs="宋体"/>
          <w:color w:val="auto"/>
          <w:sz w:val="24"/>
          <w:highlight w:val="none"/>
          <w:u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日</w:t>
      </w:r>
    </w:p>
    <w:p w14:paraId="3FF0422A">
      <w:pPr>
        <w:bidi w:val="0"/>
        <w:rPr>
          <w:rFonts w:hint="eastAsia" w:ascii="宋体" w:hAnsi="宋体" w:eastAsia="宋体" w:cs="宋体"/>
          <w:color w:val="auto"/>
          <w:highlight w:val="none"/>
          <w:lang w:eastAsia="zh-CN"/>
        </w:rPr>
      </w:pPr>
    </w:p>
    <w:p w14:paraId="0CBCB94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b/>
          <w:bCs/>
          <w:color w:val="auto"/>
          <w:sz w:val="24"/>
          <w:szCs w:val="24"/>
          <w:highlight w:val="none"/>
          <w:lang w:eastAsia="zh-CN"/>
        </w:rPr>
        <w:t>注：请如实填写，若未如实填写则视为虚假材料应标，造成的后果由</w:t>
      </w:r>
      <w:r>
        <w:rPr>
          <w:rFonts w:hint="eastAsia" w:ascii="宋体" w:hAnsi="宋体" w:eastAsia="宋体" w:cs="宋体"/>
          <w:b/>
          <w:bCs/>
          <w:color w:val="auto"/>
          <w:sz w:val="24"/>
          <w:szCs w:val="24"/>
          <w:highlight w:val="none"/>
          <w:lang w:val="en-US" w:eastAsia="zh-CN"/>
        </w:rPr>
        <w:t>供应商</w:t>
      </w:r>
      <w:r>
        <w:rPr>
          <w:rFonts w:hint="eastAsia" w:ascii="宋体" w:hAnsi="宋体" w:eastAsia="宋体" w:cs="宋体"/>
          <w:b/>
          <w:bCs/>
          <w:color w:val="auto"/>
          <w:sz w:val="24"/>
          <w:szCs w:val="24"/>
          <w:highlight w:val="none"/>
          <w:lang w:eastAsia="zh-CN"/>
        </w:rPr>
        <w:t>自行承担。</w:t>
      </w:r>
      <w:bookmarkEnd w:id="23"/>
      <w:r>
        <w:rPr>
          <w:rFonts w:hint="eastAsia" w:ascii="宋体" w:hAnsi="宋体" w:eastAsia="宋体" w:cs="宋体"/>
          <w:b/>
          <w:bCs/>
          <w:sz w:val="24"/>
          <w:szCs w:val="24"/>
          <w:highlight w:val="none"/>
          <w:lang w:val="en-US" w:eastAsia="zh-CN"/>
        </w:rPr>
        <w:br w:type="page"/>
      </w:r>
      <w:r>
        <w:rPr>
          <w:rFonts w:hint="eastAsia" w:ascii="宋体" w:hAnsi="宋体" w:eastAsia="宋体" w:cs="宋体"/>
          <w:b/>
          <w:bCs/>
          <w:color w:val="auto"/>
          <w:sz w:val="24"/>
          <w:highlight w:val="none"/>
          <w:lang w:val="en-US" w:eastAsia="zh-CN"/>
        </w:rPr>
        <w:t>5.须提供有效的《食品经营许可证》。</w:t>
      </w:r>
    </w:p>
    <w:p w14:paraId="562E37DA">
      <w:pPr>
        <w:pStyle w:val="2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center"/>
        <w:textAlignment w:val="auto"/>
        <w:outlineLvl w:val="9"/>
        <w:rPr>
          <w:rFonts w:hint="eastAsia" w:ascii="宋体" w:hAnsi="宋体" w:eastAsia="宋体" w:cs="宋体"/>
          <w:b/>
          <w:bCs/>
          <w:sz w:val="24"/>
          <w:szCs w:val="24"/>
          <w:highlight w:val="none"/>
          <w:lang w:val="en-US" w:eastAsia="zh-CN"/>
        </w:rPr>
      </w:pPr>
    </w:p>
    <w:p w14:paraId="7B7BC546">
      <w:pPr>
        <w:pStyle w:val="2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center"/>
        <w:textAlignment w:val="auto"/>
        <w:outlineLvl w:val="9"/>
        <w:rPr>
          <w:rFonts w:hint="eastAsia" w:ascii="宋体" w:hAnsi="宋体" w:eastAsia="宋体" w:cs="宋体"/>
          <w:b/>
          <w:bCs/>
          <w:sz w:val="24"/>
          <w:szCs w:val="24"/>
          <w:highlight w:val="none"/>
          <w:lang w:val="en-US" w:eastAsia="zh-CN"/>
        </w:rPr>
      </w:pPr>
    </w:p>
    <w:p w14:paraId="79D25597">
      <w:pPr>
        <w:numPr>
          <w:ilvl w:val="0"/>
          <w:numId w:val="2"/>
        </w:numPr>
        <w:ind w:firstLine="480" w:firstLineChars="200"/>
        <w:jc w:val="center"/>
        <w:outlineLvl w:val="9"/>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br w:type="page"/>
      </w:r>
      <w:r>
        <w:rPr>
          <w:rFonts w:hint="eastAsia" w:ascii="宋体" w:hAnsi="宋体" w:eastAsia="宋体" w:cs="宋体"/>
          <w:b/>
          <w:bCs/>
          <w:sz w:val="24"/>
          <w:szCs w:val="24"/>
          <w:highlight w:val="none"/>
          <w:lang w:val="en-US" w:eastAsia="zh-CN"/>
        </w:rPr>
        <w:t>本项目专门面向中小微企业采购，须符合《政府采购促进中小企业发展管理办法》（财库〔2020〕46号）规定的中小微企业参加，符合要求的监狱企业或残疾人福利单位视同</w:t>
      </w:r>
    </w:p>
    <w:p w14:paraId="3F95D52D">
      <w:pPr>
        <w:numPr>
          <w:ilvl w:val="0"/>
          <w:numId w:val="0"/>
        </w:numPr>
        <w:jc w:val="both"/>
        <w:outlineLvl w:val="9"/>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小微企业，并按要求提供声明函。</w:t>
      </w:r>
    </w:p>
    <w:p w14:paraId="62411BA4">
      <w:pPr>
        <w:numPr>
          <w:ilvl w:val="0"/>
          <w:numId w:val="0"/>
        </w:numPr>
        <w:jc w:val="both"/>
        <w:outlineLvl w:val="9"/>
        <w:rPr>
          <w:rFonts w:hint="eastAsia" w:ascii="宋体" w:hAnsi="宋体" w:eastAsia="宋体" w:cs="宋体"/>
          <w:b/>
          <w:bCs/>
          <w:sz w:val="24"/>
          <w:szCs w:val="24"/>
          <w:highlight w:val="none"/>
          <w:lang w:val="en-US" w:eastAsia="zh-CN"/>
        </w:rPr>
      </w:pPr>
    </w:p>
    <w:p w14:paraId="71FE21C7">
      <w:pPr>
        <w:numPr>
          <w:ilvl w:val="0"/>
          <w:numId w:val="0"/>
        </w:numPr>
        <w:jc w:val="both"/>
        <w:outlineLvl w:val="9"/>
        <w:rPr>
          <w:rFonts w:hint="eastAsia" w:ascii="宋体" w:hAnsi="宋体" w:eastAsia="宋体" w:cs="宋体"/>
          <w:b/>
          <w:bCs/>
          <w:sz w:val="24"/>
          <w:szCs w:val="24"/>
          <w:highlight w:val="none"/>
          <w:lang w:val="en-US" w:eastAsia="zh-CN"/>
        </w:rPr>
        <w:sectPr>
          <w:pgSz w:w="11906" w:h="16838"/>
          <w:pgMar w:top="1417" w:right="1083" w:bottom="1417" w:left="1083" w:header="851" w:footer="964" w:gutter="0"/>
          <w:pgNumType w:fmt="decimal"/>
          <w:cols w:space="720" w:num="1"/>
          <w:docGrid w:type="linesAndChars" w:linePitch="420" w:charSpace="0"/>
        </w:sectPr>
      </w:pPr>
    </w:p>
    <w:p w14:paraId="74AD4627">
      <w:pPr>
        <w:pStyle w:val="24"/>
        <w:spacing w:before="0" w:beforeAutospacing="0" w:after="0" w:afterAutospacing="0" w:line="360" w:lineRule="auto"/>
        <w:rPr>
          <w:rFonts w:hint="eastAsia" w:ascii="宋体" w:hAnsi="宋体" w:eastAsia="宋体" w:cs="宋体"/>
          <w:b/>
          <w:bCs/>
          <w:sz w:val="28"/>
          <w:szCs w:val="28"/>
          <w:highlight w:val="none"/>
          <w:lang w:val="en-US" w:eastAsia="zh-CN"/>
        </w:rPr>
      </w:pPr>
      <w:r>
        <w:rPr>
          <w:rFonts w:hint="eastAsia" w:ascii="宋体" w:hAnsi="宋体" w:eastAsia="宋体" w:cs="宋体"/>
          <w:b/>
          <w:bCs/>
          <w:color w:val="auto"/>
          <w:kern w:val="2"/>
          <w:sz w:val="28"/>
          <w:szCs w:val="28"/>
          <w:highlight w:val="none"/>
          <w:lang w:val="en-US" w:eastAsia="zh-CN" w:bidi="ar-SA"/>
        </w:rPr>
        <w:t>本项目属于专门面向中小微企业采购</w:t>
      </w:r>
    </w:p>
    <w:p w14:paraId="79B3244D">
      <w:pPr>
        <w:pStyle w:val="16"/>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中小企业声明函（格式）</w:t>
      </w:r>
    </w:p>
    <w:p w14:paraId="5BD1E83C">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本公司（联合体）郑重声明，根据《政府采购促进中小企业发展管理办法》（财库﹝2020﹞46 号）的规定，本公司（联合体）参加</w:t>
      </w:r>
      <w:r>
        <w:rPr>
          <w:rFonts w:hint="eastAsia" w:ascii="宋体" w:hAnsi="宋体" w:eastAsia="宋体" w:cs="宋体"/>
          <w:sz w:val="24"/>
          <w:szCs w:val="24"/>
          <w:highlight w:val="none"/>
          <w:u w:val="single"/>
        </w:rPr>
        <w:t>（单位名称）的（项目名称）</w:t>
      </w:r>
      <w:r>
        <w:rPr>
          <w:rFonts w:hint="eastAsia" w:ascii="宋体" w:hAnsi="宋体" w:eastAsia="宋体" w:cs="宋体"/>
          <w:sz w:val="24"/>
          <w:szCs w:val="24"/>
          <w:highlight w:val="none"/>
        </w:rPr>
        <w:t>采购活动，服务全部由符合政策要求的中小企业承接（或者：工程的施工单位全部为符合政策要求的中小企业）。相关企业（含联合体中的中小企业、签订分包意向协议的中小企业）的具体情况如下：</w:t>
      </w:r>
    </w:p>
    <w:p w14:paraId="520E47CB">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u w:val="single"/>
        </w:rPr>
        <w:t>（标的名称）</w:t>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u w:val="single"/>
          <w:lang w:val="en-US" w:eastAsia="zh-CN"/>
        </w:rPr>
        <w:t>餐饮业</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rPr>
        <w:t>；承接（承建）企业为</w:t>
      </w:r>
      <w:r>
        <w:rPr>
          <w:rFonts w:hint="eastAsia" w:ascii="宋体" w:hAnsi="宋体" w:eastAsia="宋体" w:cs="宋体"/>
          <w:sz w:val="24"/>
          <w:szCs w:val="24"/>
          <w:highlight w:val="none"/>
          <w:u w:val="single"/>
        </w:rPr>
        <w:t>（企业名称）</w:t>
      </w:r>
      <w:r>
        <w:rPr>
          <w:rFonts w:hint="eastAsia" w:ascii="宋体" w:hAnsi="宋体" w:eastAsia="宋体" w:cs="宋体"/>
          <w:sz w:val="24"/>
          <w:szCs w:val="24"/>
          <w:highlight w:val="none"/>
        </w:rPr>
        <w:t>，从业人员</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人，营业收入为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万元，资产总额为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w:t>
      </w:r>
      <w:r>
        <w:rPr>
          <w:rFonts w:hint="eastAsia" w:ascii="宋体" w:hAnsi="宋体" w:eastAsia="宋体" w:cs="宋体"/>
          <w:sz w:val="24"/>
          <w:szCs w:val="24"/>
          <w:highlight w:val="none"/>
          <w:vertAlign w:val="superscript"/>
        </w:rPr>
        <w:fldChar w:fldCharType="begin"/>
      </w:r>
      <w:r>
        <w:rPr>
          <w:rFonts w:hint="eastAsia" w:ascii="宋体" w:hAnsi="宋体" w:eastAsia="宋体" w:cs="宋体"/>
          <w:sz w:val="24"/>
          <w:szCs w:val="24"/>
          <w:highlight w:val="none"/>
          <w:vertAlign w:val="superscript"/>
        </w:rPr>
        <w:instrText xml:space="preserve"> HYPERLINK \l "_bookmark1" </w:instrText>
      </w:r>
      <w:r>
        <w:rPr>
          <w:rFonts w:hint="eastAsia" w:ascii="宋体" w:hAnsi="宋体" w:eastAsia="宋体" w:cs="宋体"/>
          <w:sz w:val="24"/>
          <w:szCs w:val="24"/>
          <w:highlight w:val="none"/>
          <w:vertAlign w:val="superscript"/>
        </w:rPr>
        <w:fldChar w:fldCharType="separate"/>
      </w:r>
      <w:r>
        <w:rPr>
          <w:rFonts w:hint="eastAsia" w:ascii="宋体" w:hAnsi="宋体" w:eastAsia="宋体" w:cs="宋体"/>
          <w:sz w:val="24"/>
          <w:szCs w:val="24"/>
          <w:highlight w:val="none"/>
          <w:vertAlign w:val="superscript"/>
        </w:rPr>
        <w:t>1</w:t>
      </w:r>
      <w:r>
        <w:rPr>
          <w:rFonts w:hint="eastAsia" w:ascii="宋体" w:hAnsi="宋体" w:eastAsia="宋体" w:cs="宋体"/>
          <w:sz w:val="24"/>
          <w:szCs w:val="24"/>
          <w:highlight w:val="none"/>
          <w:vertAlign w:val="superscript"/>
        </w:rPr>
        <w:fldChar w:fldCharType="end"/>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（小型企业、微型企业）</w:t>
      </w:r>
      <w:r>
        <w:rPr>
          <w:rFonts w:hint="eastAsia" w:ascii="宋体" w:hAnsi="宋体" w:eastAsia="宋体" w:cs="宋体"/>
          <w:sz w:val="24"/>
          <w:szCs w:val="24"/>
          <w:highlight w:val="none"/>
        </w:rPr>
        <w:t>；</w:t>
      </w:r>
    </w:p>
    <w:p w14:paraId="2C296ED0">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u w:val="single"/>
        </w:rPr>
        <w:t>（标的名称）</w:t>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u w:val="single"/>
          <w:lang w:val="en-US" w:eastAsia="zh-CN"/>
        </w:rPr>
        <w:t>餐饮业</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rPr>
        <w:t>；承接（承建）企业为</w:t>
      </w:r>
      <w:r>
        <w:rPr>
          <w:rFonts w:hint="eastAsia" w:ascii="宋体" w:hAnsi="宋体" w:eastAsia="宋体" w:cs="宋体"/>
          <w:sz w:val="24"/>
          <w:szCs w:val="24"/>
          <w:highlight w:val="none"/>
          <w:u w:val="single"/>
        </w:rPr>
        <w:t>（企业名称）</w:t>
      </w:r>
      <w:r>
        <w:rPr>
          <w:rFonts w:hint="eastAsia" w:ascii="宋体" w:hAnsi="宋体" w:eastAsia="宋体" w:cs="宋体"/>
          <w:sz w:val="24"/>
          <w:szCs w:val="24"/>
          <w:highlight w:val="none"/>
        </w:rPr>
        <w:t>，从业人员</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人，营业收入为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万元，资产总额为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万元，属于</w:t>
      </w:r>
      <w:r>
        <w:rPr>
          <w:rFonts w:hint="eastAsia" w:ascii="宋体" w:hAnsi="宋体" w:eastAsia="宋体" w:cs="宋体"/>
          <w:sz w:val="24"/>
          <w:szCs w:val="24"/>
          <w:highlight w:val="none"/>
          <w:u w:val="single"/>
        </w:rPr>
        <w:t>（小型企业、微型企业）</w:t>
      </w:r>
      <w:r>
        <w:rPr>
          <w:rFonts w:hint="eastAsia" w:ascii="宋体" w:hAnsi="宋体" w:eastAsia="宋体" w:cs="宋体"/>
          <w:sz w:val="24"/>
          <w:szCs w:val="24"/>
          <w:highlight w:val="none"/>
        </w:rPr>
        <w:t>；</w:t>
      </w:r>
    </w:p>
    <w:p w14:paraId="0A457CD6">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p>
    <w:p w14:paraId="00259919">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以上企业，不属于大企业的分支机构，不存在控股股东为大企业的情形，也不存在与大企业的负责人为同一人的情形。本企业对上述声明内容的真实性负责。如有虚假，将依法承担相应责任。</w:t>
      </w:r>
    </w:p>
    <w:p w14:paraId="0636BD34">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备注：1.填写前请认真阅读《工业和信息化部 国家统计局 国家发展和改革委员会 财政部关于印发中小企业划型标准规定的通知》(工信部联企业〔2011〕300 号)和《财政部、工业和信息化部关于印发〈政府采购促进中小企业发展管理办法〉的通知》(财库〔2020〕46 号)相关规定。</w:t>
      </w:r>
    </w:p>
    <w:p w14:paraId="625A41C8">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2.从业人员、营业收入、资产总额填报上一年度数据；无上一年度数据的新成立企业可不填报相关数据，参照国务院批准的中小企业划分标准，根据企业自身情况如实判断。   </w:t>
      </w:r>
    </w:p>
    <w:p w14:paraId="4287596D">
      <w:pPr>
        <w:keepNext w:val="0"/>
        <w:keepLines w:val="0"/>
        <w:pageBreakBefore w:val="0"/>
        <w:widowControl/>
        <w:kinsoku/>
        <w:wordWrap/>
        <w:overflowPunct/>
        <w:topLinePunct w:val="0"/>
        <w:autoSpaceDE/>
        <w:autoSpaceDN/>
        <w:bidi w:val="0"/>
        <w:adjustRightInd/>
        <w:snapToGrid/>
        <w:spacing w:line="312"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 中小企业声明函》 随成交结果同时公开。</w:t>
      </w:r>
    </w:p>
    <w:p w14:paraId="38D65DEB">
      <w:pPr>
        <w:keepNext w:val="0"/>
        <w:keepLines w:val="0"/>
        <w:pageBreakBefore w:val="0"/>
        <w:widowControl/>
        <w:kinsoku/>
        <w:wordWrap/>
        <w:overflowPunct/>
        <w:topLinePunct w:val="0"/>
        <w:autoSpaceDE/>
        <w:autoSpaceDN/>
        <w:bidi w:val="0"/>
        <w:adjustRightInd/>
        <w:snapToGrid/>
        <w:spacing w:line="312" w:lineRule="auto"/>
        <w:ind w:firstLine="6000" w:firstLineChars="25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企业名称（盖章）：</w:t>
      </w:r>
    </w:p>
    <w:p w14:paraId="2A707C2C">
      <w:pPr>
        <w:keepNext w:val="0"/>
        <w:keepLines w:val="0"/>
        <w:pageBreakBefore w:val="0"/>
        <w:widowControl/>
        <w:kinsoku/>
        <w:wordWrap/>
        <w:overflowPunct/>
        <w:topLinePunct w:val="0"/>
        <w:autoSpaceDE/>
        <w:autoSpaceDN/>
        <w:bidi w:val="0"/>
        <w:adjustRightInd/>
        <w:snapToGrid/>
        <w:spacing w:line="312" w:lineRule="auto"/>
        <w:ind w:firstLine="6000" w:firstLineChars="25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日期：</w:t>
      </w:r>
    </w:p>
    <w:p w14:paraId="27F77A13">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br w:type="page"/>
      </w:r>
      <w:r>
        <w:rPr>
          <w:rFonts w:hint="eastAsia" w:ascii="宋体" w:hAnsi="宋体" w:eastAsia="宋体" w:cs="宋体"/>
          <w:b/>
          <w:bCs/>
          <w:sz w:val="24"/>
          <w:szCs w:val="24"/>
          <w:highlight w:val="none"/>
        </w:rPr>
        <w:t>附件2</w:t>
      </w:r>
    </w:p>
    <w:p w14:paraId="5C7010ED">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监狱企业证明文件</w:t>
      </w:r>
    </w:p>
    <w:p w14:paraId="20089BDA">
      <w:pPr>
        <w:widowControl/>
        <w:spacing w:before="100" w:beforeAutospacing="1" w:after="100" w:afterAutospacing="1"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说明根据《关于政府采购支持监狱企业发展有关问题的通知》(财库[2014]68号)规定，监狱企业参加政府采购活动时，应当提供由省级以上监狱管理局、戒毒管理局(含新疆生产建设兵团)出具的属于监狱企业的证明文件。</w:t>
      </w:r>
    </w:p>
    <w:p w14:paraId="23F1EC4E">
      <w:pPr>
        <w:pStyle w:val="24"/>
        <w:spacing w:line="360" w:lineRule="auto"/>
        <w:ind w:firstLine="480" w:firstLineChars="200"/>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注：非监狱企业不提供此证明文件</w:t>
      </w:r>
    </w:p>
    <w:p w14:paraId="36561A49">
      <w:pPr>
        <w:rPr>
          <w:rFonts w:hint="eastAsia" w:ascii="宋体" w:hAnsi="宋体" w:eastAsia="宋体" w:cs="宋体"/>
          <w:sz w:val="24"/>
          <w:szCs w:val="24"/>
          <w:highlight w:val="none"/>
        </w:rPr>
      </w:pPr>
    </w:p>
    <w:p w14:paraId="09FA6E0C">
      <w:pPr>
        <w:rPr>
          <w:rFonts w:hint="eastAsia" w:ascii="宋体" w:hAnsi="宋体" w:eastAsia="宋体" w:cs="宋体"/>
          <w:sz w:val="24"/>
          <w:szCs w:val="24"/>
          <w:highlight w:val="none"/>
        </w:rPr>
      </w:pPr>
    </w:p>
    <w:p w14:paraId="7DC1CC7D">
      <w:pPr>
        <w:rPr>
          <w:rFonts w:hint="eastAsia" w:ascii="宋体" w:hAnsi="宋体" w:eastAsia="宋体" w:cs="宋体"/>
          <w:sz w:val="24"/>
          <w:szCs w:val="24"/>
          <w:highlight w:val="none"/>
        </w:rPr>
      </w:pPr>
    </w:p>
    <w:p w14:paraId="2B8E8602">
      <w:pP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附件3</w:t>
      </w:r>
    </w:p>
    <w:p w14:paraId="49C16E1D">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残疾人福利性单位声明函</w:t>
      </w:r>
    </w:p>
    <w:p w14:paraId="28BD06E8">
      <w:pPr>
        <w:widowControl/>
        <w:spacing w:before="100" w:beforeAutospacing="1" w:after="100" w:afterAutospacing="1"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本单位郑重声明，根据《财政部 民政部 中国残疾人联合会关于促进残疾人就业政府采购政策的通知》（财库〔2017〕141号）的规定，本单位为符合条件的残疾人福利性单位，应当提供规定中满足条件的相关证明文件及《残疾人福利性单位声明函》。</w:t>
      </w:r>
    </w:p>
    <w:p w14:paraId="47DE71C8">
      <w:pPr>
        <w:pStyle w:val="24"/>
        <w:spacing w:line="360" w:lineRule="auto"/>
        <w:ind w:firstLine="480"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注：非残疾人福利性单位不填写此声明函。</w:t>
      </w:r>
    </w:p>
    <w:p w14:paraId="14C77220">
      <w:pPr>
        <w:numPr>
          <w:ilvl w:val="0"/>
          <w:numId w:val="0"/>
        </w:numPr>
        <w:jc w:val="both"/>
        <w:outlineLvl w:val="9"/>
        <w:rPr>
          <w:rFonts w:hint="eastAsia" w:ascii="宋体" w:hAnsi="宋体" w:eastAsia="宋体" w:cs="宋体"/>
          <w:b/>
          <w:bCs/>
          <w:sz w:val="24"/>
          <w:szCs w:val="24"/>
          <w:highlight w:val="none"/>
          <w:lang w:val="en-US" w:eastAsia="zh-CN"/>
        </w:rPr>
        <w:sectPr>
          <w:pgSz w:w="11906" w:h="16838"/>
          <w:pgMar w:top="1417" w:right="1083" w:bottom="1417" w:left="1083" w:header="851" w:footer="964" w:gutter="0"/>
          <w:pgNumType w:fmt="decimal"/>
          <w:cols w:space="720" w:num="1"/>
          <w:docGrid w:type="linesAndChars" w:linePitch="420" w:charSpace="0"/>
        </w:sectPr>
      </w:pPr>
    </w:p>
    <w:p w14:paraId="23225F09">
      <w:pPr>
        <w:pStyle w:val="3"/>
        <w:numPr>
          <w:ilvl w:val="0"/>
          <w:numId w:val="0"/>
        </w:numPr>
        <w:ind w:firstLine="640" w:firstLineChars="200"/>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lang w:val="en-US" w:eastAsia="zh-CN" w:bidi="ar-SA"/>
        </w:rPr>
        <w:t>第四部分  供应商概况</w:t>
      </w:r>
    </w:p>
    <w:p w14:paraId="51094CC7">
      <w:pPr>
        <w:pStyle w:val="97"/>
        <w:spacing w:before="210" w:after="210"/>
        <w:ind w:left="0" w:leftChars="0" w:firstLine="0" w:firstLineChars="0"/>
        <w:jc w:val="left"/>
        <w:outlineLvl w:val="9"/>
        <w:rPr>
          <w:rFonts w:hint="eastAsia" w:ascii="宋体" w:hAnsi="宋体" w:eastAsia="宋体" w:cs="宋体"/>
          <w:sz w:val="28"/>
          <w:szCs w:val="28"/>
          <w:highlight w:val="none"/>
        </w:rPr>
      </w:pPr>
      <w:r>
        <w:rPr>
          <w:rFonts w:hint="eastAsia" w:ascii="宋体" w:hAnsi="宋体" w:eastAsia="宋体" w:cs="宋体"/>
          <w:sz w:val="28"/>
          <w:szCs w:val="28"/>
          <w:highlight w:val="none"/>
        </w:rPr>
        <w:t>供应商基本信息</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9"/>
        <w:gridCol w:w="1111"/>
        <w:gridCol w:w="1599"/>
        <w:gridCol w:w="1583"/>
        <w:gridCol w:w="1643"/>
        <w:gridCol w:w="1651"/>
      </w:tblGrid>
      <w:tr w14:paraId="2FEEF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top"/>
          </w:tcPr>
          <w:p w14:paraId="129DE5A5">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单位基本情况</w:t>
            </w:r>
          </w:p>
        </w:tc>
      </w:tr>
      <w:tr w14:paraId="0D913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4AD72DB5">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供应商全称</w:t>
            </w:r>
          </w:p>
        </w:tc>
        <w:tc>
          <w:tcPr>
            <w:tcW w:w="3809" w:type="pct"/>
            <w:gridSpan w:val="5"/>
            <w:noWrap w:val="0"/>
            <w:vAlign w:val="top"/>
          </w:tcPr>
          <w:p w14:paraId="7AD1F7C8">
            <w:pPr>
              <w:ind w:firstLine="0"/>
              <w:jc w:val="both"/>
              <w:rPr>
                <w:rFonts w:hint="eastAsia" w:ascii="宋体" w:hAnsi="宋体" w:eastAsia="宋体" w:cs="宋体"/>
                <w:kern w:val="2"/>
                <w:sz w:val="24"/>
                <w:szCs w:val="24"/>
                <w:highlight w:val="none"/>
              </w:rPr>
            </w:pPr>
          </w:p>
        </w:tc>
      </w:tr>
      <w:tr w14:paraId="60F19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45B070A7">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注册地址</w:t>
            </w:r>
          </w:p>
        </w:tc>
        <w:tc>
          <w:tcPr>
            <w:tcW w:w="1361" w:type="pct"/>
            <w:gridSpan w:val="2"/>
            <w:noWrap w:val="0"/>
            <w:vAlign w:val="top"/>
          </w:tcPr>
          <w:p w14:paraId="6E9F26A8">
            <w:pPr>
              <w:ind w:firstLine="0"/>
              <w:jc w:val="both"/>
              <w:rPr>
                <w:rFonts w:hint="eastAsia" w:ascii="宋体" w:hAnsi="宋体" w:eastAsia="宋体" w:cs="宋体"/>
                <w:kern w:val="2"/>
                <w:sz w:val="24"/>
                <w:szCs w:val="24"/>
                <w:highlight w:val="none"/>
              </w:rPr>
            </w:pPr>
          </w:p>
        </w:tc>
        <w:tc>
          <w:tcPr>
            <w:tcW w:w="795" w:type="pct"/>
            <w:noWrap w:val="0"/>
            <w:vAlign w:val="top"/>
          </w:tcPr>
          <w:p w14:paraId="7F4EB417">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成立时间</w:t>
            </w:r>
          </w:p>
        </w:tc>
        <w:tc>
          <w:tcPr>
            <w:tcW w:w="1651" w:type="pct"/>
            <w:gridSpan w:val="2"/>
            <w:noWrap w:val="0"/>
            <w:vAlign w:val="top"/>
          </w:tcPr>
          <w:p w14:paraId="23EB3518">
            <w:pPr>
              <w:ind w:firstLine="0"/>
              <w:jc w:val="both"/>
              <w:rPr>
                <w:rFonts w:hint="eastAsia" w:ascii="宋体" w:hAnsi="宋体" w:eastAsia="宋体" w:cs="宋体"/>
                <w:kern w:val="2"/>
                <w:sz w:val="24"/>
                <w:szCs w:val="24"/>
                <w:highlight w:val="none"/>
              </w:rPr>
            </w:pPr>
          </w:p>
        </w:tc>
      </w:tr>
      <w:tr w14:paraId="0D3EC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7A7BC2BE">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统一社会信用代码</w:t>
            </w:r>
          </w:p>
        </w:tc>
        <w:tc>
          <w:tcPr>
            <w:tcW w:w="1361" w:type="pct"/>
            <w:gridSpan w:val="2"/>
            <w:noWrap w:val="0"/>
            <w:vAlign w:val="top"/>
          </w:tcPr>
          <w:p w14:paraId="2DD66C37">
            <w:pPr>
              <w:ind w:firstLine="0"/>
              <w:jc w:val="both"/>
              <w:rPr>
                <w:rFonts w:hint="eastAsia" w:ascii="宋体" w:hAnsi="宋体" w:eastAsia="宋体" w:cs="宋体"/>
                <w:kern w:val="2"/>
                <w:sz w:val="24"/>
                <w:szCs w:val="24"/>
                <w:highlight w:val="none"/>
              </w:rPr>
            </w:pPr>
          </w:p>
        </w:tc>
        <w:tc>
          <w:tcPr>
            <w:tcW w:w="795" w:type="pct"/>
            <w:noWrap w:val="0"/>
            <w:vAlign w:val="top"/>
          </w:tcPr>
          <w:p w14:paraId="5FD928EA">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单位性质</w:t>
            </w:r>
          </w:p>
        </w:tc>
        <w:tc>
          <w:tcPr>
            <w:tcW w:w="1651" w:type="pct"/>
            <w:gridSpan w:val="2"/>
            <w:noWrap w:val="0"/>
            <w:vAlign w:val="top"/>
          </w:tcPr>
          <w:p w14:paraId="0552211D">
            <w:pPr>
              <w:ind w:firstLine="0"/>
              <w:jc w:val="both"/>
              <w:rPr>
                <w:rFonts w:hint="eastAsia" w:ascii="宋体" w:hAnsi="宋体" w:eastAsia="宋体" w:cs="宋体"/>
                <w:kern w:val="2"/>
                <w:sz w:val="24"/>
                <w:szCs w:val="24"/>
                <w:highlight w:val="none"/>
              </w:rPr>
            </w:pPr>
          </w:p>
        </w:tc>
      </w:tr>
      <w:tr w14:paraId="32F0B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49202EC2">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法定代表人</w:t>
            </w:r>
          </w:p>
        </w:tc>
        <w:tc>
          <w:tcPr>
            <w:tcW w:w="1361" w:type="pct"/>
            <w:gridSpan w:val="2"/>
            <w:noWrap w:val="0"/>
            <w:vAlign w:val="top"/>
          </w:tcPr>
          <w:p w14:paraId="474418ED">
            <w:pPr>
              <w:ind w:firstLine="0"/>
              <w:jc w:val="both"/>
              <w:rPr>
                <w:rFonts w:hint="eastAsia" w:ascii="宋体" w:hAnsi="宋体" w:eastAsia="宋体" w:cs="宋体"/>
                <w:kern w:val="2"/>
                <w:sz w:val="24"/>
                <w:szCs w:val="24"/>
                <w:highlight w:val="none"/>
              </w:rPr>
            </w:pPr>
          </w:p>
        </w:tc>
        <w:tc>
          <w:tcPr>
            <w:tcW w:w="795" w:type="pct"/>
            <w:noWrap w:val="0"/>
            <w:vAlign w:val="top"/>
          </w:tcPr>
          <w:p w14:paraId="26B342B3">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所属行业</w:t>
            </w:r>
          </w:p>
        </w:tc>
        <w:tc>
          <w:tcPr>
            <w:tcW w:w="1651" w:type="pct"/>
            <w:gridSpan w:val="2"/>
            <w:noWrap w:val="0"/>
            <w:vAlign w:val="top"/>
          </w:tcPr>
          <w:p w14:paraId="79515AB2">
            <w:pPr>
              <w:ind w:firstLine="0"/>
              <w:jc w:val="both"/>
              <w:rPr>
                <w:rFonts w:hint="eastAsia" w:ascii="宋体" w:hAnsi="宋体" w:eastAsia="宋体" w:cs="宋体"/>
                <w:kern w:val="2"/>
                <w:sz w:val="24"/>
                <w:szCs w:val="24"/>
                <w:highlight w:val="none"/>
              </w:rPr>
            </w:pPr>
          </w:p>
        </w:tc>
      </w:tr>
      <w:tr w14:paraId="693B2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3C1E9A89">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基本存款账户开户银行</w:t>
            </w:r>
          </w:p>
        </w:tc>
        <w:tc>
          <w:tcPr>
            <w:tcW w:w="1361" w:type="pct"/>
            <w:gridSpan w:val="2"/>
            <w:noWrap w:val="0"/>
            <w:vAlign w:val="top"/>
          </w:tcPr>
          <w:p w14:paraId="4C5CA634">
            <w:pPr>
              <w:ind w:firstLine="0"/>
              <w:jc w:val="both"/>
              <w:rPr>
                <w:rFonts w:hint="eastAsia" w:ascii="宋体" w:hAnsi="宋体" w:eastAsia="宋体" w:cs="宋体"/>
                <w:kern w:val="2"/>
                <w:sz w:val="24"/>
                <w:szCs w:val="24"/>
                <w:highlight w:val="none"/>
              </w:rPr>
            </w:pPr>
          </w:p>
        </w:tc>
        <w:tc>
          <w:tcPr>
            <w:tcW w:w="795" w:type="pct"/>
            <w:noWrap w:val="0"/>
            <w:vAlign w:val="top"/>
          </w:tcPr>
          <w:p w14:paraId="44BC3A51">
            <w:pPr>
              <w:ind w:firstLine="0"/>
              <w:jc w:val="both"/>
              <w:rPr>
                <w:rFonts w:hint="eastAsia" w:ascii="宋体" w:hAnsi="宋体" w:eastAsia="宋体" w:cs="宋体"/>
                <w:kern w:val="2"/>
                <w:sz w:val="24"/>
                <w:szCs w:val="24"/>
                <w:highlight w:val="none"/>
                <w:lang w:eastAsia="zh-CN"/>
              </w:rPr>
            </w:pPr>
            <w:r>
              <w:rPr>
                <w:rFonts w:hint="eastAsia" w:ascii="宋体" w:hAnsi="宋体" w:eastAsia="宋体" w:cs="宋体"/>
                <w:kern w:val="2"/>
                <w:sz w:val="24"/>
                <w:szCs w:val="24"/>
                <w:highlight w:val="none"/>
              </w:rPr>
              <w:t>基本存款</w:t>
            </w:r>
          </w:p>
          <w:p w14:paraId="2008E377">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账户账号</w:t>
            </w:r>
          </w:p>
        </w:tc>
        <w:tc>
          <w:tcPr>
            <w:tcW w:w="1651" w:type="pct"/>
            <w:gridSpan w:val="2"/>
            <w:noWrap w:val="0"/>
            <w:vAlign w:val="top"/>
          </w:tcPr>
          <w:p w14:paraId="0E488ADE">
            <w:pPr>
              <w:ind w:firstLine="0"/>
              <w:jc w:val="both"/>
              <w:rPr>
                <w:rFonts w:hint="eastAsia" w:ascii="宋体" w:hAnsi="宋体" w:eastAsia="宋体" w:cs="宋体"/>
                <w:kern w:val="2"/>
                <w:sz w:val="24"/>
                <w:szCs w:val="24"/>
                <w:highlight w:val="none"/>
              </w:rPr>
            </w:pPr>
          </w:p>
        </w:tc>
      </w:tr>
      <w:tr w14:paraId="1562B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3468B4E0">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上年度营业收入*</w:t>
            </w:r>
          </w:p>
        </w:tc>
        <w:tc>
          <w:tcPr>
            <w:tcW w:w="1361" w:type="pct"/>
            <w:gridSpan w:val="2"/>
            <w:noWrap w:val="0"/>
            <w:vAlign w:val="top"/>
          </w:tcPr>
          <w:p w14:paraId="64428DA7">
            <w:pPr>
              <w:ind w:firstLine="0"/>
              <w:jc w:val="both"/>
              <w:rPr>
                <w:rFonts w:hint="eastAsia" w:ascii="宋体" w:hAnsi="宋体" w:eastAsia="宋体" w:cs="宋体"/>
                <w:kern w:val="2"/>
                <w:sz w:val="24"/>
                <w:szCs w:val="24"/>
                <w:highlight w:val="none"/>
              </w:rPr>
            </w:pPr>
          </w:p>
        </w:tc>
        <w:tc>
          <w:tcPr>
            <w:tcW w:w="795" w:type="pct"/>
            <w:noWrap w:val="0"/>
            <w:vAlign w:val="top"/>
          </w:tcPr>
          <w:p w14:paraId="44651DEF">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资产总额</w:t>
            </w:r>
          </w:p>
        </w:tc>
        <w:tc>
          <w:tcPr>
            <w:tcW w:w="1651" w:type="pct"/>
            <w:gridSpan w:val="2"/>
            <w:noWrap w:val="0"/>
            <w:vAlign w:val="top"/>
          </w:tcPr>
          <w:p w14:paraId="383CC637">
            <w:pPr>
              <w:ind w:firstLine="0"/>
              <w:jc w:val="both"/>
              <w:rPr>
                <w:rFonts w:hint="eastAsia" w:ascii="宋体" w:hAnsi="宋体" w:eastAsia="宋体" w:cs="宋体"/>
                <w:kern w:val="2"/>
                <w:sz w:val="24"/>
                <w:szCs w:val="24"/>
                <w:highlight w:val="none"/>
              </w:rPr>
            </w:pPr>
          </w:p>
        </w:tc>
      </w:tr>
      <w:tr w14:paraId="6839D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5F0F8DF4">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经营范围</w:t>
            </w:r>
          </w:p>
        </w:tc>
        <w:tc>
          <w:tcPr>
            <w:tcW w:w="3809" w:type="pct"/>
            <w:gridSpan w:val="5"/>
            <w:noWrap w:val="0"/>
            <w:vAlign w:val="top"/>
          </w:tcPr>
          <w:p w14:paraId="2897CA67">
            <w:pPr>
              <w:ind w:firstLine="0"/>
              <w:jc w:val="both"/>
              <w:rPr>
                <w:rFonts w:hint="eastAsia" w:ascii="宋体" w:hAnsi="宋体" w:eastAsia="宋体" w:cs="宋体"/>
                <w:kern w:val="2"/>
                <w:sz w:val="24"/>
                <w:szCs w:val="24"/>
                <w:highlight w:val="none"/>
              </w:rPr>
            </w:pPr>
          </w:p>
        </w:tc>
      </w:tr>
      <w:tr w14:paraId="724DB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13F00F4C">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资质证书名称</w:t>
            </w:r>
          </w:p>
        </w:tc>
        <w:tc>
          <w:tcPr>
            <w:tcW w:w="1361" w:type="pct"/>
            <w:gridSpan w:val="2"/>
            <w:noWrap w:val="0"/>
            <w:vAlign w:val="top"/>
          </w:tcPr>
          <w:p w14:paraId="1E328E90">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证书号</w:t>
            </w:r>
          </w:p>
        </w:tc>
        <w:tc>
          <w:tcPr>
            <w:tcW w:w="795" w:type="pct"/>
            <w:noWrap w:val="0"/>
            <w:vAlign w:val="top"/>
          </w:tcPr>
          <w:p w14:paraId="13DD734C">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等级</w:t>
            </w:r>
          </w:p>
        </w:tc>
        <w:tc>
          <w:tcPr>
            <w:tcW w:w="1651" w:type="pct"/>
            <w:gridSpan w:val="2"/>
            <w:noWrap w:val="0"/>
            <w:vAlign w:val="top"/>
          </w:tcPr>
          <w:p w14:paraId="25B24551">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类型</w:t>
            </w:r>
          </w:p>
        </w:tc>
      </w:tr>
      <w:tr w14:paraId="6F15F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55B54F03">
            <w:pPr>
              <w:ind w:firstLine="0"/>
              <w:jc w:val="both"/>
              <w:rPr>
                <w:rFonts w:hint="eastAsia" w:ascii="宋体" w:hAnsi="宋体" w:eastAsia="宋体" w:cs="宋体"/>
                <w:kern w:val="2"/>
                <w:sz w:val="24"/>
                <w:szCs w:val="24"/>
                <w:highlight w:val="none"/>
              </w:rPr>
            </w:pPr>
          </w:p>
        </w:tc>
        <w:tc>
          <w:tcPr>
            <w:tcW w:w="1361" w:type="pct"/>
            <w:gridSpan w:val="2"/>
            <w:noWrap w:val="0"/>
            <w:vAlign w:val="top"/>
          </w:tcPr>
          <w:p w14:paraId="234C67A5">
            <w:pPr>
              <w:ind w:firstLine="0"/>
              <w:jc w:val="both"/>
              <w:rPr>
                <w:rFonts w:hint="eastAsia" w:ascii="宋体" w:hAnsi="宋体" w:eastAsia="宋体" w:cs="宋体"/>
                <w:kern w:val="2"/>
                <w:sz w:val="24"/>
                <w:szCs w:val="24"/>
                <w:highlight w:val="none"/>
              </w:rPr>
            </w:pPr>
          </w:p>
        </w:tc>
        <w:tc>
          <w:tcPr>
            <w:tcW w:w="795" w:type="pct"/>
            <w:noWrap w:val="0"/>
            <w:vAlign w:val="top"/>
          </w:tcPr>
          <w:p w14:paraId="208F7A95">
            <w:pPr>
              <w:ind w:firstLine="0"/>
              <w:jc w:val="both"/>
              <w:rPr>
                <w:rFonts w:hint="eastAsia" w:ascii="宋体" w:hAnsi="宋体" w:eastAsia="宋体" w:cs="宋体"/>
                <w:kern w:val="2"/>
                <w:sz w:val="24"/>
                <w:szCs w:val="24"/>
                <w:highlight w:val="none"/>
              </w:rPr>
            </w:pPr>
          </w:p>
        </w:tc>
        <w:tc>
          <w:tcPr>
            <w:tcW w:w="1651" w:type="pct"/>
            <w:gridSpan w:val="2"/>
            <w:noWrap w:val="0"/>
            <w:vAlign w:val="top"/>
          </w:tcPr>
          <w:p w14:paraId="235FB009">
            <w:pPr>
              <w:ind w:firstLine="0"/>
              <w:jc w:val="both"/>
              <w:rPr>
                <w:rFonts w:hint="eastAsia" w:ascii="宋体" w:hAnsi="宋体" w:eastAsia="宋体" w:cs="宋体"/>
                <w:kern w:val="2"/>
                <w:sz w:val="24"/>
                <w:szCs w:val="24"/>
                <w:highlight w:val="none"/>
              </w:rPr>
            </w:pPr>
          </w:p>
        </w:tc>
      </w:tr>
      <w:tr w14:paraId="4E90C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2E2C12B1">
            <w:pPr>
              <w:ind w:firstLine="0"/>
              <w:jc w:val="both"/>
              <w:rPr>
                <w:rFonts w:hint="eastAsia" w:ascii="宋体" w:hAnsi="宋体" w:eastAsia="宋体" w:cs="宋体"/>
                <w:kern w:val="2"/>
                <w:sz w:val="24"/>
                <w:szCs w:val="24"/>
                <w:highlight w:val="none"/>
              </w:rPr>
            </w:pPr>
          </w:p>
        </w:tc>
        <w:tc>
          <w:tcPr>
            <w:tcW w:w="1361" w:type="pct"/>
            <w:gridSpan w:val="2"/>
            <w:noWrap w:val="0"/>
            <w:vAlign w:val="top"/>
          </w:tcPr>
          <w:p w14:paraId="1BD9EC84">
            <w:pPr>
              <w:ind w:firstLine="0"/>
              <w:jc w:val="both"/>
              <w:rPr>
                <w:rFonts w:hint="eastAsia" w:ascii="宋体" w:hAnsi="宋体" w:eastAsia="宋体" w:cs="宋体"/>
                <w:kern w:val="2"/>
                <w:sz w:val="24"/>
                <w:szCs w:val="24"/>
                <w:highlight w:val="none"/>
              </w:rPr>
            </w:pPr>
          </w:p>
        </w:tc>
        <w:tc>
          <w:tcPr>
            <w:tcW w:w="795" w:type="pct"/>
            <w:noWrap w:val="0"/>
            <w:vAlign w:val="top"/>
          </w:tcPr>
          <w:p w14:paraId="5E4148CB">
            <w:pPr>
              <w:ind w:firstLine="0"/>
              <w:jc w:val="both"/>
              <w:rPr>
                <w:rFonts w:hint="eastAsia" w:ascii="宋体" w:hAnsi="宋体" w:eastAsia="宋体" w:cs="宋体"/>
                <w:kern w:val="2"/>
                <w:sz w:val="24"/>
                <w:szCs w:val="24"/>
                <w:highlight w:val="none"/>
              </w:rPr>
            </w:pPr>
          </w:p>
        </w:tc>
        <w:tc>
          <w:tcPr>
            <w:tcW w:w="1651" w:type="pct"/>
            <w:gridSpan w:val="2"/>
            <w:noWrap w:val="0"/>
            <w:vAlign w:val="top"/>
          </w:tcPr>
          <w:p w14:paraId="01F44DC1">
            <w:pPr>
              <w:ind w:firstLine="0"/>
              <w:jc w:val="both"/>
              <w:rPr>
                <w:rFonts w:hint="eastAsia" w:ascii="宋体" w:hAnsi="宋体" w:eastAsia="宋体" w:cs="宋体"/>
                <w:kern w:val="2"/>
                <w:sz w:val="24"/>
                <w:szCs w:val="24"/>
                <w:highlight w:val="none"/>
              </w:rPr>
            </w:pPr>
          </w:p>
        </w:tc>
      </w:tr>
      <w:tr w14:paraId="1341C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top"/>
          </w:tcPr>
          <w:p w14:paraId="4711EC3F">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从业人员情况</w:t>
            </w:r>
          </w:p>
        </w:tc>
      </w:tr>
      <w:tr w14:paraId="51DF6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restart"/>
            <w:noWrap w:val="0"/>
            <w:vAlign w:val="top"/>
          </w:tcPr>
          <w:p w14:paraId="2F4D37FD">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从业人员总数</w:t>
            </w:r>
          </w:p>
        </w:tc>
        <w:tc>
          <w:tcPr>
            <w:tcW w:w="558" w:type="pct"/>
            <w:vMerge w:val="restart"/>
            <w:noWrap w:val="0"/>
            <w:vAlign w:val="top"/>
          </w:tcPr>
          <w:p w14:paraId="3CF9BC9E">
            <w:pPr>
              <w:ind w:firstLine="0"/>
              <w:jc w:val="both"/>
              <w:rPr>
                <w:rFonts w:hint="eastAsia" w:ascii="宋体" w:hAnsi="宋体" w:eastAsia="宋体" w:cs="宋体"/>
                <w:kern w:val="2"/>
                <w:sz w:val="24"/>
                <w:szCs w:val="24"/>
                <w:highlight w:val="none"/>
              </w:rPr>
            </w:pPr>
          </w:p>
        </w:tc>
        <w:tc>
          <w:tcPr>
            <w:tcW w:w="803" w:type="pct"/>
            <w:noWrap w:val="0"/>
            <w:vAlign w:val="top"/>
          </w:tcPr>
          <w:p w14:paraId="742A20C9">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管理人员数量</w:t>
            </w:r>
          </w:p>
        </w:tc>
        <w:tc>
          <w:tcPr>
            <w:tcW w:w="795" w:type="pct"/>
            <w:noWrap w:val="0"/>
            <w:vAlign w:val="top"/>
          </w:tcPr>
          <w:p w14:paraId="2473FA98">
            <w:pPr>
              <w:ind w:firstLine="0"/>
              <w:jc w:val="both"/>
              <w:rPr>
                <w:rFonts w:hint="eastAsia" w:ascii="宋体" w:hAnsi="宋体" w:eastAsia="宋体" w:cs="宋体"/>
                <w:kern w:val="2"/>
                <w:sz w:val="24"/>
                <w:szCs w:val="24"/>
                <w:highlight w:val="none"/>
              </w:rPr>
            </w:pPr>
          </w:p>
        </w:tc>
        <w:tc>
          <w:tcPr>
            <w:tcW w:w="825" w:type="pct"/>
            <w:noWrap w:val="0"/>
            <w:vAlign w:val="top"/>
          </w:tcPr>
          <w:p w14:paraId="72DA091A">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专业技术人员数量</w:t>
            </w:r>
          </w:p>
        </w:tc>
        <w:tc>
          <w:tcPr>
            <w:tcW w:w="826" w:type="pct"/>
            <w:noWrap w:val="0"/>
            <w:vAlign w:val="top"/>
          </w:tcPr>
          <w:p w14:paraId="078DBE78">
            <w:pPr>
              <w:ind w:firstLine="0"/>
              <w:jc w:val="both"/>
              <w:rPr>
                <w:rFonts w:hint="eastAsia" w:ascii="宋体" w:hAnsi="宋体" w:eastAsia="宋体" w:cs="宋体"/>
                <w:kern w:val="2"/>
                <w:sz w:val="24"/>
                <w:szCs w:val="24"/>
                <w:highlight w:val="none"/>
              </w:rPr>
            </w:pPr>
          </w:p>
        </w:tc>
      </w:tr>
      <w:tr w14:paraId="24B5C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continue"/>
            <w:noWrap w:val="0"/>
            <w:vAlign w:val="top"/>
          </w:tcPr>
          <w:p w14:paraId="47999B96">
            <w:pPr>
              <w:ind w:firstLine="0"/>
              <w:jc w:val="both"/>
              <w:rPr>
                <w:rFonts w:hint="eastAsia" w:ascii="宋体" w:hAnsi="宋体" w:eastAsia="宋体" w:cs="宋体"/>
                <w:kern w:val="2"/>
                <w:sz w:val="24"/>
                <w:szCs w:val="24"/>
                <w:highlight w:val="none"/>
              </w:rPr>
            </w:pPr>
          </w:p>
        </w:tc>
        <w:tc>
          <w:tcPr>
            <w:tcW w:w="558" w:type="pct"/>
            <w:vMerge w:val="continue"/>
            <w:noWrap w:val="0"/>
            <w:vAlign w:val="top"/>
          </w:tcPr>
          <w:p w14:paraId="11C06D08">
            <w:pPr>
              <w:ind w:firstLine="0"/>
              <w:jc w:val="both"/>
              <w:rPr>
                <w:rFonts w:hint="eastAsia" w:ascii="宋体" w:hAnsi="宋体" w:eastAsia="宋体" w:cs="宋体"/>
                <w:kern w:val="2"/>
                <w:sz w:val="24"/>
                <w:szCs w:val="24"/>
                <w:highlight w:val="none"/>
              </w:rPr>
            </w:pPr>
          </w:p>
        </w:tc>
        <w:tc>
          <w:tcPr>
            <w:tcW w:w="803" w:type="pct"/>
            <w:noWrap w:val="0"/>
            <w:vAlign w:val="top"/>
          </w:tcPr>
          <w:p w14:paraId="1AC42FA8">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残疾人数量</w:t>
            </w:r>
          </w:p>
        </w:tc>
        <w:tc>
          <w:tcPr>
            <w:tcW w:w="795" w:type="pct"/>
            <w:noWrap w:val="0"/>
            <w:vAlign w:val="top"/>
          </w:tcPr>
          <w:p w14:paraId="0D6BF61E">
            <w:pPr>
              <w:ind w:firstLine="0"/>
              <w:jc w:val="both"/>
              <w:rPr>
                <w:rFonts w:hint="eastAsia" w:ascii="宋体" w:hAnsi="宋体" w:eastAsia="宋体" w:cs="宋体"/>
                <w:kern w:val="2"/>
                <w:sz w:val="24"/>
                <w:szCs w:val="24"/>
                <w:highlight w:val="none"/>
              </w:rPr>
            </w:pPr>
          </w:p>
        </w:tc>
        <w:tc>
          <w:tcPr>
            <w:tcW w:w="825" w:type="pct"/>
            <w:noWrap w:val="0"/>
            <w:vAlign w:val="top"/>
          </w:tcPr>
          <w:p w14:paraId="405B0DBC">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少数民族数量</w:t>
            </w:r>
          </w:p>
        </w:tc>
        <w:tc>
          <w:tcPr>
            <w:tcW w:w="826" w:type="pct"/>
            <w:noWrap w:val="0"/>
            <w:vAlign w:val="top"/>
          </w:tcPr>
          <w:p w14:paraId="48BB2130">
            <w:pPr>
              <w:ind w:firstLine="0"/>
              <w:jc w:val="both"/>
              <w:rPr>
                <w:rFonts w:hint="eastAsia" w:ascii="宋体" w:hAnsi="宋体" w:eastAsia="宋体" w:cs="宋体"/>
                <w:kern w:val="2"/>
                <w:sz w:val="24"/>
                <w:szCs w:val="24"/>
                <w:highlight w:val="none"/>
              </w:rPr>
            </w:pPr>
          </w:p>
        </w:tc>
      </w:tr>
      <w:tr w14:paraId="4A0F5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top"/>
          </w:tcPr>
          <w:p w14:paraId="776365A8">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存在直接控股、管理关系的相关供应商</w:t>
            </w:r>
          </w:p>
        </w:tc>
      </w:tr>
      <w:tr w14:paraId="3B8C5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186891BA">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关系</w:t>
            </w:r>
          </w:p>
        </w:tc>
        <w:tc>
          <w:tcPr>
            <w:tcW w:w="3809" w:type="pct"/>
            <w:gridSpan w:val="5"/>
            <w:noWrap w:val="0"/>
            <w:vAlign w:val="top"/>
          </w:tcPr>
          <w:p w14:paraId="7917717C">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供应商名称</w:t>
            </w:r>
          </w:p>
        </w:tc>
      </w:tr>
      <w:tr w14:paraId="7DD7F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2D8117F2">
            <w:pPr>
              <w:ind w:firstLine="0"/>
              <w:jc w:val="both"/>
              <w:rPr>
                <w:rFonts w:hint="eastAsia" w:ascii="宋体" w:hAnsi="宋体" w:eastAsia="宋体" w:cs="宋体"/>
                <w:kern w:val="2"/>
                <w:sz w:val="24"/>
                <w:szCs w:val="24"/>
                <w:highlight w:val="none"/>
              </w:rPr>
            </w:pPr>
          </w:p>
        </w:tc>
        <w:tc>
          <w:tcPr>
            <w:tcW w:w="3809" w:type="pct"/>
            <w:gridSpan w:val="5"/>
            <w:noWrap w:val="0"/>
            <w:vAlign w:val="top"/>
          </w:tcPr>
          <w:p w14:paraId="494E683F">
            <w:pPr>
              <w:ind w:firstLine="0"/>
              <w:jc w:val="both"/>
              <w:rPr>
                <w:rFonts w:hint="eastAsia" w:ascii="宋体" w:hAnsi="宋体" w:eastAsia="宋体" w:cs="宋体"/>
                <w:kern w:val="2"/>
                <w:sz w:val="24"/>
                <w:szCs w:val="24"/>
                <w:highlight w:val="none"/>
              </w:rPr>
            </w:pPr>
          </w:p>
        </w:tc>
      </w:tr>
      <w:tr w14:paraId="32DE3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46EC85FA">
            <w:pPr>
              <w:ind w:firstLine="0"/>
              <w:jc w:val="both"/>
              <w:rPr>
                <w:rFonts w:hint="eastAsia" w:ascii="宋体" w:hAnsi="宋体" w:eastAsia="宋体" w:cs="宋体"/>
                <w:kern w:val="2"/>
                <w:sz w:val="24"/>
                <w:szCs w:val="24"/>
                <w:highlight w:val="none"/>
              </w:rPr>
            </w:pPr>
          </w:p>
        </w:tc>
        <w:tc>
          <w:tcPr>
            <w:tcW w:w="3809" w:type="pct"/>
            <w:gridSpan w:val="5"/>
            <w:noWrap w:val="0"/>
            <w:vAlign w:val="top"/>
          </w:tcPr>
          <w:p w14:paraId="59DBB68A">
            <w:pPr>
              <w:ind w:firstLine="0"/>
              <w:jc w:val="both"/>
              <w:rPr>
                <w:rFonts w:hint="eastAsia" w:ascii="宋体" w:hAnsi="宋体" w:eastAsia="宋体" w:cs="宋体"/>
                <w:kern w:val="2"/>
                <w:sz w:val="24"/>
                <w:szCs w:val="24"/>
                <w:highlight w:val="none"/>
              </w:rPr>
            </w:pPr>
          </w:p>
        </w:tc>
      </w:tr>
      <w:tr w14:paraId="2FC08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08BA7F86">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说明</w:t>
            </w:r>
          </w:p>
        </w:tc>
        <w:tc>
          <w:tcPr>
            <w:tcW w:w="3809" w:type="pct"/>
            <w:gridSpan w:val="5"/>
            <w:noWrap w:val="0"/>
            <w:vAlign w:val="top"/>
          </w:tcPr>
          <w:p w14:paraId="3952200A">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1.成立时间至提交投标文件截止时间不足一年的可不填写“上年度营业收入”；</w:t>
            </w:r>
          </w:p>
          <w:p w14:paraId="37E1C7AB">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2.招标文件接受联合体的，联合体各方均应提供；</w:t>
            </w:r>
          </w:p>
          <w:p w14:paraId="41ACD248">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3.表格空间不足时，请自行扩展。</w:t>
            </w:r>
          </w:p>
        </w:tc>
      </w:tr>
    </w:tbl>
    <w:p w14:paraId="4DCC16B3">
      <w:pPr>
        <w:rPr>
          <w:rFonts w:hint="eastAsia" w:ascii="宋体" w:hAnsi="宋体" w:eastAsia="宋体" w:cs="宋体"/>
          <w:sz w:val="32"/>
          <w:szCs w:val="32"/>
          <w:highlight w:val="none"/>
        </w:rPr>
      </w:pPr>
      <w:r>
        <w:rPr>
          <w:rFonts w:hint="eastAsia" w:ascii="宋体" w:hAnsi="宋体" w:eastAsia="宋体" w:cs="宋体"/>
          <w:highlight w:val="none"/>
        </w:rPr>
        <w:br w:type="page"/>
      </w:r>
    </w:p>
    <w:p w14:paraId="3DFF4C9E">
      <w:pPr>
        <w:pStyle w:val="3"/>
        <w:numPr>
          <w:ilvl w:val="0"/>
          <w:numId w:val="0"/>
        </w:numPr>
        <w:ind w:firstLine="640" w:firstLineChars="200"/>
        <w:jc w:val="center"/>
        <w:rPr>
          <w:rFonts w:hint="eastAsia" w:ascii="宋体" w:hAnsi="宋体" w:eastAsia="宋体" w:cs="宋体"/>
          <w:b/>
          <w:bCs/>
          <w:sz w:val="32"/>
          <w:szCs w:val="32"/>
          <w:highlight w:val="none"/>
          <w:lang w:val="en-US" w:eastAsia="zh-CN" w:bidi="ar-SA"/>
        </w:rPr>
      </w:pPr>
      <w:r>
        <w:rPr>
          <w:rFonts w:hint="eastAsia" w:ascii="宋体" w:hAnsi="宋体" w:eastAsia="宋体" w:cs="宋体"/>
          <w:b/>
          <w:bCs/>
          <w:sz w:val="32"/>
          <w:szCs w:val="32"/>
          <w:highlight w:val="none"/>
          <w:lang w:val="en-US" w:eastAsia="zh-CN"/>
        </w:rPr>
        <w:t>第五部分  供应商参加政府采购活动承诺书</w:t>
      </w:r>
    </w:p>
    <w:p w14:paraId="12004D2D">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未签署下列承诺书的，将被视为无效投标，其责任由供应商自行承担。</w:t>
      </w:r>
    </w:p>
    <w:p w14:paraId="69A78CDE">
      <w:pPr>
        <w:pStyle w:val="4"/>
        <w:ind w:left="0" w:leftChars="0" w:right="0" w:rightChars="0" w:firstLine="0" w:firstLineChars="0"/>
        <w:jc w:val="center"/>
        <w:rPr>
          <w:rFonts w:hint="eastAsia" w:ascii="宋体" w:hAnsi="宋体" w:eastAsia="宋体" w:cs="宋体"/>
          <w:b/>
          <w:bCs/>
          <w:sz w:val="32"/>
          <w:szCs w:val="32"/>
          <w:highlight w:val="none"/>
        </w:rPr>
      </w:pPr>
      <w:r>
        <w:rPr>
          <w:rFonts w:hint="eastAsia" w:ascii="宋体" w:hAnsi="宋体" w:eastAsia="宋体" w:cs="宋体"/>
          <w:b/>
          <w:bCs/>
          <w:sz w:val="28"/>
          <w:szCs w:val="28"/>
          <w:highlight w:val="none"/>
        </w:rPr>
        <w:t>（一）质量安全责任承诺书</w:t>
      </w:r>
    </w:p>
    <w:p w14:paraId="6010E1D7">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为保证本采购项目顺利进行，作为投标供应商，现郑重承诺：</w:t>
      </w:r>
    </w:p>
    <w:p w14:paraId="61B30600">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1．我方所投产品的生产（包括设计、制造、安装、改造、维修等）、投入使用的材料等均完全符合国家现行质量、安全、环保标准和要求。</w:t>
      </w:r>
    </w:p>
    <w:p w14:paraId="2B1C8623">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2．我方将严格按照国家现行相关储存、运输、安装调试技术标准及规范、服务标准及规范、施工标准及规范，在规定的时限内，保质、保量完成项目全部内容，并向采购人交付合格产品。</w:t>
      </w:r>
    </w:p>
    <w:p w14:paraId="542EDC23">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3．对于因产品生产质量以及储存、运输、安装调试、服务、施工等过程中产生的任何安全事故，我方承担全部责任。</w:t>
      </w:r>
    </w:p>
    <w:p w14:paraId="42EA5753">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4．我方提供的货物、工程、服务等符合现行的国家、行业、地区、企业标准及要求，标准不一致的，以更为严格的为准，我方对提供的货物、工程、服务等的质量、安全、环保等承担全部责任。</w:t>
      </w:r>
    </w:p>
    <w:p w14:paraId="555A2FA4">
      <w:pPr>
        <w:spacing w:line="560" w:lineRule="exact"/>
        <w:ind w:firstLine="480" w:firstLineChars="200"/>
        <w:jc w:val="both"/>
        <w:rPr>
          <w:rFonts w:hint="eastAsia" w:ascii="宋体" w:hAnsi="宋体" w:eastAsia="宋体" w:cs="宋体"/>
          <w:sz w:val="24"/>
          <w:szCs w:val="24"/>
          <w:highlight w:val="none"/>
        </w:rPr>
      </w:pPr>
    </w:p>
    <w:p w14:paraId="6FF5F62D">
      <w:pPr>
        <w:spacing w:line="560" w:lineRule="exact"/>
        <w:ind w:firstLine="2656" w:firstLineChars="1107"/>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33560769">
      <w:pPr>
        <w:spacing w:line="560" w:lineRule="exact"/>
        <w:ind w:firstLine="2656" w:firstLineChars="1107"/>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27052116">
      <w:pPr>
        <w:spacing w:line="560" w:lineRule="exact"/>
        <w:ind w:firstLine="480" w:firstLineChars="200"/>
        <w:jc w:val="both"/>
        <w:rPr>
          <w:rFonts w:hint="eastAsia" w:ascii="宋体" w:hAnsi="宋体" w:eastAsia="宋体" w:cs="宋体"/>
          <w:sz w:val="24"/>
          <w:szCs w:val="24"/>
          <w:highlight w:val="none"/>
        </w:rPr>
      </w:pPr>
    </w:p>
    <w:p w14:paraId="04547E92">
      <w:pPr>
        <w:rPr>
          <w:rFonts w:hint="eastAsia" w:ascii="宋体" w:hAnsi="宋体" w:eastAsia="宋体" w:cs="宋体"/>
          <w:highlight w:val="none"/>
        </w:rPr>
      </w:pPr>
      <w:r>
        <w:rPr>
          <w:rFonts w:hint="eastAsia" w:ascii="宋体" w:hAnsi="宋体" w:eastAsia="宋体" w:cs="宋体"/>
          <w:highlight w:val="none"/>
        </w:rPr>
        <w:br w:type="page"/>
      </w:r>
    </w:p>
    <w:p w14:paraId="16116C5B">
      <w:pPr>
        <w:pStyle w:val="4"/>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（二）参加政府采购活动行为自律承诺书</w:t>
      </w:r>
    </w:p>
    <w:p w14:paraId="1D4745FA">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作为参加本次政府采购项目的供应商，我方郑重承诺在参与政府采购活动中遵纪守法、公平竞争、诚实守信，如有违反愿承担一切责任及后果：</w:t>
      </w:r>
    </w:p>
    <w:p w14:paraId="5A63D203">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1．不与采购人、采购代理机构、政府采购评审专家恶意串通，不向其行贿或提供其他不正当利益；</w:t>
      </w:r>
    </w:p>
    <w:p w14:paraId="26180F43">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2．不与其他供应商恶意串通，采取“围标、串标、陪标”等商业欺诈手段谋取中标、成交；</w:t>
      </w:r>
    </w:p>
    <w:p w14:paraId="128F9563">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3．不提供虚假或无效证明文件（包括但不限于资格证明文件、合同及验收文件、检验检测报告、从业人员资格证书、机构或所投产品的各类认证证书等）或虚假材料谋取中标、成交；</w:t>
      </w:r>
    </w:p>
    <w:p w14:paraId="0C5FC9B6">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4．不采取不正当手段诋毁、排挤其他供应商；</w:t>
      </w:r>
    </w:p>
    <w:p w14:paraId="1F986425">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5．不以不正当理由拒不与采购人签订政府采购合同，或逾期签订政府采购合同，或不按照采购文件确定的事项签订政府采购合同；</w:t>
      </w:r>
    </w:p>
    <w:p w14:paraId="4B9A67AA">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6．不以不正当理由拒绝履行合同义务，不会擅自变更、中止或者终止政府采购合同或将政府采购合同转包；</w:t>
      </w:r>
    </w:p>
    <w:p w14:paraId="1985A919">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7．不在提供商品、服务或工程施工过程中提供假冒伪劣产品，损害采购人的合法权益或公共利益；</w:t>
      </w:r>
    </w:p>
    <w:p w14:paraId="048855C6">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8．不采取捏造事实、提供虚假材料或者以非法手段取得证明材料进行质疑和投诉；</w:t>
      </w:r>
    </w:p>
    <w:p w14:paraId="6729D4FC">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9．不发生其他有悖于政府采购公开、公平、公正和诚信原则的行为。</w:t>
      </w:r>
    </w:p>
    <w:p w14:paraId="5D9BE6B0">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10．尊重和接受政府采购监督管理部门的监督和采购人、采购代理机构的政府采购工作要求，愿意承担因违约行为给采购人造成的损失。</w:t>
      </w:r>
    </w:p>
    <w:p w14:paraId="43121CCD">
      <w:pPr>
        <w:spacing w:line="560" w:lineRule="exact"/>
        <w:ind w:firstLine="480" w:firstLineChars="200"/>
        <w:jc w:val="both"/>
        <w:rPr>
          <w:rFonts w:hint="eastAsia" w:ascii="宋体" w:hAnsi="宋体" w:eastAsia="宋体" w:cs="宋体"/>
          <w:sz w:val="24"/>
          <w:szCs w:val="24"/>
          <w:highlight w:val="none"/>
        </w:rPr>
      </w:pPr>
    </w:p>
    <w:p w14:paraId="439EE312">
      <w:pPr>
        <w:spacing w:line="560" w:lineRule="exact"/>
        <w:ind w:firstLine="2656" w:firstLineChars="1107"/>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0080B9E9">
      <w:pPr>
        <w:spacing w:line="560" w:lineRule="exact"/>
        <w:ind w:firstLine="2656" w:firstLineChars="1107"/>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7E596A3C">
      <w:pPr>
        <w:pStyle w:val="3"/>
        <w:numPr>
          <w:ilvl w:val="0"/>
          <w:numId w:val="0"/>
        </w:numPr>
        <w:ind w:firstLine="640" w:firstLineChars="200"/>
        <w:jc w:val="center"/>
        <w:rPr>
          <w:rFonts w:hint="eastAsia" w:ascii="宋体" w:hAnsi="宋体" w:eastAsia="宋体" w:cs="宋体"/>
          <w:b/>
          <w:bCs/>
          <w:highlight w:val="none"/>
        </w:rPr>
      </w:pPr>
      <w:r>
        <w:rPr>
          <w:rFonts w:hint="eastAsia" w:ascii="宋体" w:hAnsi="宋体" w:eastAsia="宋体" w:cs="宋体"/>
          <w:highlight w:val="none"/>
        </w:rPr>
        <w:br w:type="page"/>
      </w:r>
      <w:bookmarkStart w:id="24" w:name="_GoBack"/>
      <w:r>
        <w:rPr>
          <w:rFonts w:hint="eastAsia" w:ascii="宋体" w:hAnsi="宋体" w:eastAsia="宋体" w:cs="宋体"/>
          <w:b/>
          <w:bCs/>
          <w:sz w:val="32"/>
          <w:szCs w:val="32"/>
          <w:highlight w:val="none"/>
          <w:lang w:val="en-US" w:eastAsia="zh-CN"/>
        </w:rPr>
        <w:t>第六部分  投标方案</w:t>
      </w:r>
    </w:p>
    <w:p w14:paraId="1407BDAC">
      <w:pPr>
        <w:pStyle w:val="97"/>
        <w:spacing w:before="210" w:after="210"/>
        <w:ind w:firstLine="640"/>
        <w:outlineLvl w:val="2"/>
        <w:rPr>
          <w:rFonts w:hint="eastAsia" w:ascii="宋体" w:hAnsi="宋体" w:eastAsia="宋体" w:cs="宋体"/>
          <w:sz w:val="28"/>
          <w:szCs w:val="28"/>
          <w:highlight w:val="none"/>
        </w:rPr>
      </w:pPr>
      <w:r>
        <w:rPr>
          <w:rFonts w:hint="eastAsia" w:ascii="宋体" w:hAnsi="宋体" w:eastAsia="宋体" w:cs="宋体"/>
          <w:sz w:val="28"/>
          <w:szCs w:val="28"/>
          <w:highlight w:val="none"/>
        </w:rPr>
        <w:t>（一）技术（服务）要求</w:t>
      </w:r>
      <w:r>
        <w:rPr>
          <w:rFonts w:hint="eastAsia" w:ascii="宋体" w:hAnsi="宋体" w:eastAsia="宋体" w:cs="宋体"/>
          <w:sz w:val="28"/>
          <w:szCs w:val="28"/>
          <w:highlight w:val="none"/>
          <w:lang w:eastAsia="zh-CN"/>
        </w:rPr>
        <w:t>偏离表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09"/>
        <w:gridCol w:w="1798"/>
        <w:gridCol w:w="2638"/>
        <w:gridCol w:w="2506"/>
        <w:gridCol w:w="1065"/>
        <w:gridCol w:w="1236"/>
      </w:tblGrid>
      <w:tr w14:paraId="4D99364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noWrap w:val="0"/>
            <w:vAlign w:val="center"/>
          </w:tcPr>
          <w:p w14:paraId="347522B9">
            <w:pPr>
              <w:spacing w:line="56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903" w:type="pct"/>
            <w:tcBorders>
              <w:top w:val="single" w:color="auto" w:sz="12" w:space="0"/>
              <w:bottom w:val="single" w:color="auto" w:sz="2" w:space="0"/>
            </w:tcBorders>
            <w:shd w:val="clear" w:color="auto" w:fill="F1F1F1"/>
            <w:noWrap w:val="0"/>
            <w:vAlign w:val="center"/>
          </w:tcPr>
          <w:p w14:paraId="056814AA">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技术条款</w:t>
            </w:r>
          </w:p>
        </w:tc>
        <w:tc>
          <w:tcPr>
            <w:tcW w:w="1325" w:type="pct"/>
            <w:tcBorders>
              <w:top w:val="single" w:color="auto" w:sz="12" w:space="0"/>
              <w:bottom w:val="single" w:color="auto" w:sz="2" w:space="0"/>
            </w:tcBorders>
            <w:shd w:val="clear" w:color="auto" w:fill="F1F1F1"/>
            <w:noWrap w:val="0"/>
            <w:vAlign w:val="center"/>
          </w:tcPr>
          <w:p w14:paraId="5EBF6F4A">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招标文件技术要求</w:t>
            </w:r>
          </w:p>
        </w:tc>
        <w:tc>
          <w:tcPr>
            <w:tcW w:w="1259" w:type="pct"/>
            <w:tcBorders>
              <w:top w:val="single" w:color="auto" w:sz="12" w:space="0"/>
              <w:bottom w:val="single" w:color="auto" w:sz="2" w:space="0"/>
            </w:tcBorders>
            <w:shd w:val="clear" w:color="auto" w:fill="F1F1F1"/>
            <w:noWrap w:val="0"/>
            <w:vAlign w:val="center"/>
          </w:tcPr>
          <w:p w14:paraId="0C34A1B5">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投标文件技术响应</w:t>
            </w:r>
          </w:p>
        </w:tc>
        <w:tc>
          <w:tcPr>
            <w:tcW w:w="535" w:type="pct"/>
            <w:tcBorders>
              <w:top w:val="single" w:color="auto" w:sz="12" w:space="0"/>
              <w:bottom w:val="single" w:color="auto" w:sz="2" w:space="0"/>
            </w:tcBorders>
            <w:shd w:val="clear" w:color="auto" w:fill="F1F1F1"/>
            <w:noWrap w:val="0"/>
            <w:vAlign w:val="center"/>
          </w:tcPr>
          <w:p w14:paraId="3236B104">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响应说明</w:t>
            </w:r>
          </w:p>
        </w:tc>
        <w:tc>
          <w:tcPr>
            <w:tcW w:w="620" w:type="pct"/>
            <w:tcBorders>
              <w:top w:val="single" w:color="auto" w:sz="12" w:space="0"/>
              <w:bottom w:val="single" w:color="auto" w:sz="2" w:space="0"/>
            </w:tcBorders>
            <w:shd w:val="clear" w:color="auto" w:fill="F1F1F1"/>
            <w:noWrap w:val="0"/>
            <w:vAlign w:val="center"/>
          </w:tcPr>
          <w:p w14:paraId="0248DDB4">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偏离</w:t>
            </w:r>
          </w:p>
        </w:tc>
      </w:tr>
      <w:tr w14:paraId="724602F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noWrap w:val="0"/>
            <w:vAlign w:val="center"/>
          </w:tcPr>
          <w:p w14:paraId="27D1D337">
            <w:pPr>
              <w:spacing w:line="560" w:lineRule="exact"/>
              <w:jc w:val="center"/>
              <w:rPr>
                <w:rFonts w:hint="eastAsia" w:ascii="宋体" w:hAnsi="宋体" w:eastAsia="宋体" w:cs="宋体"/>
                <w:sz w:val="24"/>
                <w:szCs w:val="24"/>
                <w:highlight w:val="none"/>
              </w:rPr>
            </w:pPr>
          </w:p>
        </w:tc>
        <w:tc>
          <w:tcPr>
            <w:tcW w:w="903" w:type="pct"/>
            <w:tcBorders>
              <w:top w:val="single" w:color="auto" w:sz="2" w:space="0"/>
            </w:tcBorders>
            <w:noWrap w:val="0"/>
            <w:vAlign w:val="center"/>
          </w:tcPr>
          <w:p w14:paraId="4A0FD23F">
            <w:pPr>
              <w:spacing w:line="560" w:lineRule="exact"/>
              <w:jc w:val="center"/>
              <w:rPr>
                <w:rFonts w:hint="eastAsia" w:ascii="宋体" w:hAnsi="宋体" w:eastAsia="宋体" w:cs="宋体"/>
                <w:sz w:val="24"/>
                <w:szCs w:val="24"/>
                <w:highlight w:val="none"/>
              </w:rPr>
            </w:pPr>
          </w:p>
        </w:tc>
        <w:tc>
          <w:tcPr>
            <w:tcW w:w="1325" w:type="pct"/>
            <w:tcBorders>
              <w:top w:val="single" w:color="auto" w:sz="2" w:space="0"/>
            </w:tcBorders>
            <w:noWrap w:val="0"/>
            <w:vAlign w:val="center"/>
          </w:tcPr>
          <w:p w14:paraId="53EB5AB6">
            <w:pPr>
              <w:spacing w:line="560" w:lineRule="exact"/>
              <w:jc w:val="center"/>
              <w:rPr>
                <w:rFonts w:hint="eastAsia" w:ascii="宋体" w:hAnsi="宋体" w:eastAsia="宋体" w:cs="宋体"/>
                <w:sz w:val="24"/>
                <w:szCs w:val="24"/>
                <w:highlight w:val="none"/>
              </w:rPr>
            </w:pPr>
          </w:p>
        </w:tc>
        <w:tc>
          <w:tcPr>
            <w:tcW w:w="1259" w:type="pct"/>
            <w:tcBorders>
              <w:top w:val="single" w:color="auto" w:sz="2" w:space="0"/>
            </w:tcBorders>
            <w:noWrap w:val="0"/>
            <w:vAlign w:val="center"/>
          </w:tcPr>
          <w:p w14:paraId="6722C7A7">
            <w:pPr>
              <w:spacing w:line="560" w:lineRule="exact"/>
              <w:jc w:val="center"/>
              <w:rPr>
                <w:rFonts w:hint="eastAsia" w:ascii="宋体" w:hAnsi="宋体" w:eastAsia="宋体" w:cs="宋体"/>
                <w:sz w:val="24"/>
                <w:szCs w:val="24"/>
                <w:highlight w:val="none"/>
              </w:rPr>
            </w:pPr>
          </w:p>
        </w:tc>
        <w:tc>
          <w:tcPr>
            <w:tcW w:w="535" w:type="pct"/>
            <w:tcBorders>
              <w:top w:val="single" w:color="auto" w:sz="2" w:space="0"/>
            </w:tcBorders>
            <w:noWrap w:val="0"/>
            <w:vAlign w:val="center"/>
          </w:tcPr>
          <w:p w14:paraId="48BBE779">
            <w:pPr>
              <w:spacing w:line="560" w:lineRule="exact"/>
              <w:jc w:val="center"/>
              <w:rPr>
                <w:rFonts w:hint="eastAsia" w:ascii="宋体" w:hAnsi="宋体" w:eastAsia="宋体" w:cs="宋体"/>
                <w:sz w:val="24"/>
                <w:szCs w:val="24"/>
                <w:highlight w:val="none"/>
              </w:rPr>
            </w:pPr>
          </w:p>
        </w:tc>
        <w:tc>
          <w:tcPr>
            <w:tcW w:w="620" w:type="pct"/>
            <w:tcBorders>
              <w:top w:val="single" w:color="auto" w:sz="2" w:space="0"/>
            </w:tcBorders>
            <w:noWrap w:val="0"/>
            <w:vAlign w:val="center"/>
          </w:tcPr>
          <w:p w14:paraId="5BBB970E">
            <w:pPr>
              <w:spacing w:line="560" w:lineRule="exact"/>
              <w:jc w:val="center"/>
              <w:rPr>
                <w:rFonts w:hint="eastAsia" w:ascii="宋体" w:hAnsi="宋体" w:eastAsia="宋体" w:cs="宋体"/>
                <w:sz w:val="24"/>
                <w:szCs w:val="24"/>
                <w:highlight w:val="none"/>
              </w:rPr>
            </w:pPr>
          </w:p>
        </w:tc>
      </w:tr>
      <w:tr w14:paraId="216CA0C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5E4589B1">
            <w:pPr>
              <w:spacing w:line="560" w:lineRule="exact"/>
              <w:jc w:val="center"/>
              <w:rPr>
                <w:rFonts w:hint="eastAsia" w:ascii="宋体" w:hAnsi="宋体" w:eastAsia="宋体" w:cs="宋体"/>
                <w:sz w:val="24"/>
                <w:szCs w:val="24"/>
                <w:highlight w:val="none"/>
              </w:rPr>
            </w:pPr>
          </w:p>
        </w:tc>
        <w:tc>
          <w:tcPr>
            <w:tcW w:w="903" w:type="pct"/>
            <w:noWrap w:val="0"/>
            <w:vAlign w:val="center"/>
          </w:tcPr>
          <w:p w14:paraId="35BF798C">
            <w:pPr>
              <w:spacing w:line="560" w:lineRule="exact"/>
              <w:jc w:val="center"/>
              <w:rPr>
                <w:rFonts w:hint="eastAsia" w:ascii="宋体" w:hAnsi="宋体" w:eastAsia="宋体" w:cs="宋体"/>
                <w:sz w:val="24"/>
                <w:szCs w:val="24"/>
                <w:highlight w:val="none"/>
              </w:rPr>
            </w:pPr>
          </w:p>
        </w:tc>
        <w:tc>
          <w:tcPr>
            <w:tcW w:w="1325" w:type="pct"/>
            <w:noWrap w:val="0"/>
            <w:vAlign w:val="center"/>
          </w:tcPr>
          <w:p w14:paraId="0BB4E496">
            <w:pPr>
              <w:spacing w:line="560" w:lineRule="exact"/>
              <w:jc w:val="center"/>
              <w:rPr>
                <w:rFonts w:hint="eastAsia" w:ascii="宋体" w:hAnsi="宋体" w:eastAsia="宋体" w:cs="宋体"/>
                <w:sz w:val="24"/>
                <w:szCs w:val="24"/>
                <w:highlight w:val="none"/>
              </w:rPr>
            </w:pPr>
          </w:p>
        </w:tc>
        <w:tc>
          <w:tcPr>
            <w:tcW w:w="1259" w:type="pct"/>
            <w:noWrap w:val="0"/>
            <w:vAlign w:val="center"/>
          </w:tcPr>
          <w:p w14:paraId="4886DCC3">
            <w:pPr>
              <w:spacing w:line="560" w:lineRule="exact"/>
              <w:jc w:val="center"/>
              <w:rPr>
                <w:rFonts w:hint="eastAsia" w:ascii="宋体" w:hAnsi="宋体" w:eastAsia="宋体" w:cs="宋体"/>
                <w:sz w:val="24"/>
                <w:szCs w:val="24"/>
                <w:highlight w:val="none"/>
              </w:rPr>
            </w:pPr>
          </w:p>
        </w:tc>
        <w:tc>
          <w:tcPr>
            <w:tcW w:w="535" w:type="pct"/>
            <w:noWrap w:val="0"/>
            <w:vAlign w:val="center"/>
          </w:tcPr>
          <w:p w14:paraId="50C9CA99">
            <w:pPr>
              <w:spacing w:line="560" w:lineRule="exact"/>
              <w:jc w:val="center"/>
              <w:rPr>
                <w:rFonts w:hint="eastAsia" w:ascii="宋体" w:hAnsi="宋体" w:eastAsia="宋体" w:cs="宋体"/>
                <w:sz w:val="24"/>
                <w:szCs w:val="24"/>
                <w:highlight w:val="none"/>
              </w:rPr>
            </w:pPr>
          </w:p>
        </w:tc>
        <w:tc>
          <w:tcPr>
            <w:tcW w:w="620" w:type="pct"/>
            <w:noWrap w:val="0"/>
            <w:vAlign w:val="center"/>
          </w:tcPr>
          <w:p w14:paraId="5D99F9CB">
            <w:pPr>
              <w:spacing w:line="560" w:lineRule="exact"/>
              <w:jc w:val="center"/>
              <w:rPr>
                <w:rFonts w:hint="eastAsia" w:ascii="宋体" w:hAnsi="宋体" w:eastAsia="宋体" w:cs="宋体"/>
                <w:sz w:val="24"/>
                <w:szCs w:val="24"/>
                <w:highlight w:val="none"/>
              </w:rPr>
            </w:pPr>
          </w:p>
        </w:tc>
      </w:tr>
      <w:tr w14:paraId="0D67654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301951DD">
            <w:pPr>
              <w:spacing w:line="560" w:lineRule="exact"/>
              <w:jc w:val="center"/>
              <w:rPr>
                <w:rFonts w:hint="eastAsia" w:ascii="宋体" w:hAnsi="宋体" w:eastAsia="宋体" w:cs="宋体"/>
                <w:sz w:val="24"/>
                <w:szCs w:val="24"/>
                <w:highlight w:val="none"/>
              </w:rPr>
            </w:pPr>
          </w:p>
        </w:tc>
        <w:tc>
          <w:tcPr>
            <w:tcW w:w="903" w:type="pct"/>
            <w:noWrap w:val="0"/>
            <w:vAlign w:val="center"/>
          </w:tcPr>
          <w:p w14:paraId="746CE2C0">
            <w:pPr>
              <w:spacing w:line="560" w:lineRule="exact"/>
              <w:jc w:val="center"/>
              <w:rPr>
                <w:rFonts w:hint="eastAsia" w:ascii="宋体" w:hAnsi="宋体" w:eastAsia="宋体" w:cs="宋体"/>
                <w:sz w:val="24"/>
                <w:szCs w:val="24"/>
                <w:highlight w:val="none"/>
              </w:rPr>
            </w:pPr>
          </w:p>
        </w:tc>
        <w:tc>
          <w:tcPr>
            <w:tcW w:w="1325" w:type="pct"/>
            <w:noWrap w:val="0"/>
            <w:vAlign w:val="center"/>
          </w:tcPr>
          <w:p w14:paraId="56BFCD21">
            <w:pPr>
              <w:spacing w:line="560" w:lineRule="exact"/>
              <w:jc w:val="center"/>
              <w:rPr>
                <w:rFonts w:hint="eastAsia" w:ascii="宋体" w:hAnsi="宋体" w:eastAsia="宋体" w:cs="宋体"/>
                <w:sz w:val="24"/>
                <w:szCs w:val="24"/>
                <w:highlight w:val="none"/>
              </w:rPr>
            </w:pPr>
          </w:p>
        </w:tc>
        <w:tc>
          <w:tcPr>
            <w:tcW w:w="1259" w:type="pct"/>
            <w:noWrap w:val="0"/>
            <w:vAlign w:val="center"/>
          </w:tcPr>
          <w:p w14:paraId="28D24292">
            <w:pPr>
              <w:spacing w:line="560" w:lineRule="exact"/>
              <w:jc w:val="center"/>
              <w:rPr>
                <w:rFonts w:hint="eastAsia" w:ascii="宋体" w:hAnsi="宋体" w:eastAsia="宋体" w:cs="宋体"/>
                <w:sz w:val="24"/>
                <w:szCs w:val="24"/>
                <w:highlight w:val="none"/>
              </w:rPr>
            </w:pPr>
          </w:p>
        </w:tc>
        <w:tc>
          <w:tcPr>
            <w:tcW w:w="535" w:type="pct"/>
            <w:noWrap w:val="0"/>
            <w:vAlign w:val="center"/>
          </w:tcPr>
          <w:p w14:paraId="2BE4754A">
            <w:pPr>
              <w:spacing w:line="560" w:lineRule="exact"/>
              <w:jc w:val="center"/>
              <w:rPr>
                <w:rFonts w:hint="eastAsia" w:ascii="宋体" w:hAnsi="宋体" w:eastAsia="宋体" w:cs="宋体"/>
                <w:sz w:val="24"/>
                <w:szCs w:val="24"/>
                <w:highlight w:val="none"/>
              </w:rPr>
            </w:pPr>
          </w:p>
        </w:tc>
        <w:tc>
          <w:tcPr>
            <w:tcW w:w="620" w:type="pct"/>
            <w:noWrap w:val="0"/>
            <w:vAlign w:val="center"/>
          </w:tcPr>
          <w:p w14:paraId="74D4A733">
            <w:pPr>
              <w:spacing w:line="560" w:lineRule="exact"/>
              <w:jc w:val="center"/>
              <w:rPr>
                <w:rFonts w:hint="eastAsia" w:ascii="宋体" w:hAnsi="宋体" w:eastAsia="宋体" w:cs="宋体"/>
                <w:sz w:val="24"/>
                <w:szCs w:val="24"/>
                <w:highlight w:val="none"/>
              </w:rPr>
            </w:pPr>
          </w:p>
        </w:tc>
      </w:tr>
      <w:tr w14:paraId="0C503CF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61EF72CC">
            <w:pPr>
              <w:spacing w:line="560" w:lineRule="exact"/>
              <w:jc w:val="center"/>
              <w:rPr>
                <w:rFonts w:hint="eastAsia" w:ascii="宋体" w:hAnsi="宋体" w:eastAsia="宋体" w:cs="宋体"/>
                <w:sz w:val="24"/>
                <w:szCs w:val="24"/>
                <w:highlight w:val="none"/>
              </w:rPr>
            </w:pPr>
          </w:p>
        </w:tc>
        <w:tc>
          <w:tcPr>
            <w:tcW w:w="903" w:type="pct"/>
            <w:noWrap w:val="0"/>
            <w:vAlign w:val="center"/>
          </w:tcPr>
          <w:p w14:paraId="0C79E5F9">
            <w:pPr>
              <w:spacing w:line="560" w:lineRule="exact"/>
              <w:jc w:val="center"/>
              <w:rPr>
                <w:rFonts w:hint="eastAsia" w:ascii="宋体" w:hAnsi="宋体" w:eastAsia="宋体" w:cs="宋体"/>
                <w:sz w:val="24"/>
                <w:szCs w:val="24"/>
                <w:highlight w:val="none"/>
              </w:rPr>
            </w:pPr>
          </w:p>
        </w:tc>
        <w:tc>
          <w:tcPr>
            <w:tcW w:w="1325" w:type="pct"/>
            <w:noWrap w:val="0"/>
            <w:vAlign w:val="center"/>
          </w:tcPr>
          <w:p w14:paraId="750186BB">
            <w:pPr>
              <w:spacing w:line="560" w:lineRule="exact"/>
              <w:jc w:val="center"/>
              <w:rPr>
                <w:rFonts w:hint="eastAsia" w:ascii="宋体" w:hAnsi="宋体" w:eastAsia="宋体" w:cs="宋体"/>
                <w:sz w:val="24"/>
                <w:szCs w:val="24"/>
                <w:highlight w:val="none"/>
              </w:rPr>
            </w:pPr>
          </w:p>
        </w:tc>
        <w:tc>
          <w:tcPr>
            <w:tcW w:w="1259" w:type="pct"/>
            <w:noWrap w:val="0"/>
            <w:vAlign w:val="center"/>
          </w:tcPr>
          <w:p w14:paraId="5E997988">
            <w:pPr>
              <w:spacing w:line="560" w:lineRule="exact"/>
              <w:jc w:val="center"/>
              <w:rPr>
                <w:rFonts w:hint="eastAsia" w:ascii="宋体" w:hAnsi="宋体" w:eastAsia="宋体" w:cs="宋体"/>
                <w:sz w:val="24"/>
                <w:szCs w:val="24"/>
                <w:highlight w:val="none"/>
              </w:rPr>
            </w:pPr>
          </w:p>
        </w:tc>
        <w:tc>
          <w:tcPr>
            <w:tcW w:w="535" w:type="pct"/>
            <w:noWrap w:val="0"/>
            <w:vAlign w:val="center"/>
          </w:tcPr>
          <w:p w14:paraId="330DE3AF">
            <w:pPr>
              <w:spacing w:line="560" w:lineRule="exact"/>
              <w:jc w:val="center"/>
              <w:rPr>
                <w:rFonts w:hint="eastAsia" w:ascii="宋体" w:hAnsi="宋体" w:eastAsia="宋体" w:cs="宋体"/>
                <w:sz w:val="24"/>
                <w:szCs w:val="24"/>
                <w:highlight w:val="none"/>
              </w:rPr>
            </w:pPr>
          </w:p>
        </w:tc>
        <w:tc>
          <w:tcPr>
            <w:tcW w:w="620" w:type="pct"/>
            <w:noWrap w:val="0"/>
            <w:vAlign w:val="center"/>
          </w:tcPr>
          <w:p w14:paraId="4AC5495C">
            <w:pPr>
              <w:spacing w:line="560" w:lineRule="exact"/>
              <w:jc w:val="center"/>
              <w:rPr>
                <w:rFonts w:hint="eastAsia" w:ascii="宋体" w:hAnsi="宋体" w:eastAsia="宋体" w:cs="宋体"/>
                <w:sz w:val="24"/>
                <w:szCs w:val="24"/>
                <w:highlight w:val="none"/>
              </w:rPr>
            </w:pPr>
          </w:p>
        </w:tc>
      </w:tr>
      <w:tr w14:paraId="50AFA53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105CDF8F">
            <w:pPr>
              <w:spacing w:line="560" w:lineRule="exact"/>
              <w:jc w:val="center"/>
              <w:rPr>
                <w:rFonts w:hint="eastAsia" w:ascii="宋体" w:hAnsi="宋体" w:eastAsia="宋体" w:cs="宋体"/>
                <w:sz w:val="24"/>
                <w:szCs w:val="24"/>
                <w:highlight w:val="none"/>
              </w:rPr>
            </w:pPr>
          </w:p>
        </w:tc>
        <w:tc>
          <w:tcPr>
            <w:tcW w:w="903" w:type="pct"/>
            <w:noWrap w:val="0"/>
            <w:vAlign w:val="center"/>
          </w:tcPr>
          <w:p w14:paraId="1609130E">
            <w:pPr>
              <w:spacing w:line="560" w:lineRule="exact"/>
              <w:jc w:val="center"/>
              <w:rPr>
                <w:rFonts w:hint="eastAsia" w:ascii="宋体" w:hAnsi="宋体" w:eastAsia="宋体" w:cs="宋体"/>
                <w:sz w:val="24"/>
                <w:szCs w:val="24"/>
                <w:highlight w:val="none"/>
              </w:rPr>
            </w:pPr>
          </w:p>
        </w:tc>
        <w:tc>
          <w:tcPr>
            <w:tcW w:w="1325" w:type="pct"/>
            <w:noWrap w:val="0"/>
            <w:vAlign w:val="center"/>
          </w:tcPr>
          <w:p w14:paraId="6265F633">
            <w:pPr>
              <w:spacing w:line="560" w:lineRule="exact"/>
              <w:jc w:val="center"/>
              <w:rPr>
                <w:rFonts w:hint="eastAsia" w:ascii="宋体" w:hAnsi="宋体" w:eastAsia="宋体" w:cs="宋体"/>
                <w:sz w:val="24"/>
                <w:szCs w:val="24"/>
                <w:highlight w:val="none"/>
              </w:rPr>
            </w:pPr>
          </w:p>
        </w:tc>
        <w:tc>
          <w:tcPr>
            <w:tcW w:w="1259" w:type="pct"/>
            <w:noWrap w:val="0"/>
            <w:vAlign w:val="center"/>
          </w:tcPr>
          <w:p w14:paraId="4A82FCF7">
            <w:pPr>
              <w:spacing w:line="560" w:lineRule="exact"/>
              <w:jc w:val="center"/>
              <w:rPr>
                <w:rFonts w:hint="eastAsia" w:ascii="宋体" w:hAnsi="宋体" w:eastAsia="宋体" w:cs="宋体"/>
                <w:sz w:val="24"/>
                <w:szCs w:val="24"/>
                <w:highlight w:val="none"/>
              </w:rPr>
            </w:pPr>
          </w:p>
        </w:tc>
        <w:tc>
          <w:tcPr>
            <w:tcW w:w="535" w:type="pct"/>
            <w:noWrap w:val="0"/>
            <w:vAlign w:val="center"/>
          </w:tcPr>
          <w:p w14:paraId="031E40B9">
            <w:pPr>
              <w:spacing w:line="560" w:lineRule="exact"/>
              <w:jc w:val="center"/>
              <w:rPr>
                <w:rFonts w:hint="eastAsia" w:ascii="宋体" w:hAnsi="宋体" w:eastAsia="宋体" w:cs="宋体"/>
                <w:sz w:val="24"/>
                <w:szCs w:val="24"/>
                <w:highlight w:val="none"/>
              </w:rPr>
            </w:pPr>
          </w:p>
        </w:tc>
        <w:tc>
          <w:tcPr>
            <w:tcW w:w="620" w:type="pct"/>
            <w:noWrap w:val="0"/>
            <w:vAlign w:val="center"/>
          </w:tcPr>
          <w:p w14:paraId="3C07CE12">
            <w:pPr>
              <w:spacing w:line="560" w:lineRule="exact"/>
              <w:jc w:val="center"/>
              <w:rPr>
                <w:rFonts w:hint="eastAsia" w:ascii="宋体" w:hAnsi="宋体" w:eastAsia="宋体" w:cs="宋体"/>
                <w:sz w:val="24"/>
                <w:szCs w:val="24"/>
                <w:highlight w:val="none"/>
              </w:rPr>
            </w:pPr>
          </w:p>
        </w:tc>
      </w:tr>
      <w:tr w14:paraId="3F1A492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397A3FF8">
            <w:pPr>
              <w:spacing w:line="560" w:lineRule="exact"/>
              <w:jc w:val="center"/>
              <w:rPr>
                <w:rFonts w:hint="eastAsia" w:ascii="宋体" w:hAnsi="宋体" w:eastAsia="宋体" w:cs="宋体"/>
                <w:sz w:val="24"/>
                <w:szCs w:val="24"/>
                <w:highlight w:val="none"/>
              </w:rPr>
            </w:pPr>
          </w:p>
        </w:tc>
        <w:tc>
          <w:tcPr>
            <w:tcW w:w="903" w:type="pct"/>
            <w:noWrap w:val="0"/>
            <w:vAlign w:val="center"/>
          </w:tcPr>
          <w:p w14:paraId="1403F177">
            <w:pPr>
              <w:spacing w:line="560" w:lineRule="exact"/>
              <w:jc w:val="center"/>
              <w:rPr>
                <w:rFonts w:hint="eastAsia" w:ascii="宋体" w:hAnsi="宋体" w:eastAsia="宋体" w:cs="宋体"/>
                <w:sz w:val="24"/>
                <w:szCs w:val="24"/>
                <w:highlight w:val="none"/>
              </w:rPr>
            </w:pPr>
          </w:p>
        </w:tc>
        <w:tc>
          <w:tcPr>
            <w:tcW w:w="1325" w:type="pct"/>
            <w:noWrap w:val="0"/>
            <w:vAlign w:val="center"/>
          </w:tcPr>
          <w:p w14:paraId="2AE87035">
            <w:pPr>
              <w:spacing w:line="560" w:lineRule="exact"/>
              <w:jc w:val="center"/>
              <w:rPr>
                <w:rFonts w:hint="eastAsia" w:ascii="宋体" w:hAnsi="宋体" w:eastAsia="宋体" w:cs="宋体"/>
                <w:sz w:val="24"/>
                <w:szCs w:val="24"/>
                <w:highlight w:val="none"/>
              </w:rPr>
            </w:pPr>
          </w:p>
        </w:tc>
        <w:tc>
          <w:tcPr>
            <w:tcW w:w="1259" w:type="pct"/>
            <w:noWrap w:val="0"/>
            <w:vAlign w:val="center"/>
          </w:tcPr>
          <w:p w14:paraId="7935EEF6">
            <w:pPr>
              <w:spacing w:line="560" w:lineRule="exact"/>
              <w:jc w:val="center"/>
              <w:rPr>
                <w:rFonts w:hint="eastAsia" w:ascii="宋体" w:hAnsi="宋体" w:eastAsia="宋体" w:cs="宋体"/>
                <w:sz w:val="24"/>
                <w:szCs w:val="24"/>
                <w:highlight w:val="none"/>
              </w:rPr>
            </w:pPr>
          </w:p>
        </w:tc>
        <w:tc>
          <w:tcPr>
            <w:tcW w:w="535" w:type="pct"/>
            <w:noWrap w:val="0"/>
            <w:vAlign w:val="center"/>
          </w:tcPr>
          <w:p w14:paraId="0B8B8E35">
            <w:pPr>
              <w:spacing w:line="560" w:lineRule="exact"/>
              <w:jc w:val="center"/>
              <w:rPr>
                <w:rFonts w:hint="eastAsia" w:ascii="宋体" w:hAnsi="宋体" w:eastAsia="宋体" w:cs="宋体"/>
                <w:sz w:val="24"/>
                <w:szCs w:val="24"/>
                <w:highlight w:val="none"/>
              </w:rPr>
            </w:pPr>
          </w:p>
        </w:tc>
        <w:tc>
          <w:tcPr>
            <w:tcW w:w="620" w:type="pct"/>
            <w:noWrap w:val="0"/>
            <w:vAlign w:val="center"/>
          </w:tcPr>
          <w:p w14:paraId="352E09BD">
            <w:pPr>
              <w:spacing w:line="560" w:lineRule="exact"/>
              <w:jc w:val="center"/>
              <w:rPr>
                <w:rFonts w:hint="eastAsia" w:ascii="宋体" w:hAnsi="宋体" w:eastAsia="宋体" w:cs="宋体"/>
                <w:sz w:val="24"/>
                <w:szCs w:val="24"/>
                <w:highlight w:val="none"/>
              </w:rPr>
            </w:pPr>
          </w:p>
        </w:tc>
      </w:tr>
      <w:tr w14:paraId="1B248B3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7C463299">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643" w:type="pct"/>
            <w:gridSpan w:val="5"/>
            <w:noWrap w:val="0"/>
            <w:vAlign w:val="center"/>
          </w:tcPr>
          <w:p w14:paraId="559C374B">
            <w:pPr>
              <w:spacing w:line="560" w:lineRule="exact"/>
              <w:jc w:val="both"/>
              <w:rPr>
                <w:rFonts w:hint="eastAsia" w:ascii="宋体" w:hAnsi="宋体" w:eastAsia="宋体" w:cs="宋体"/>
                <w:color w:val="FF0000"/>
                <w:sz w:val="24"/>
                <w:szCs w:val="24"/>
                <w:highlight w:val="none"/>
              </w:rPr>
            </w:pPr>
            <w:r>
              <w:rPr>
                <w:rFonts w:hint="eastAsia" w:ascii="宋体" w:hAnsi="宋体" w:eastAsia="宋体" w:cs="宋体"/>
                <w:sz w:val="24"/>
                <w:szCs w:val="24"/>
                <w:highlight w:val="none"/>
              </w:rPr>
              <w:t>1．</w:t>
            </w:r>
            <w:r>
              <w:rPr>
                <w:rFonts w:hint="eastAsia" w:ascii="宋体" w:hAnsi="宋体" w:eastAsia="宋体" w:cs="宋体"/>
                <w:color w:val="auto"/>
                <w:sz w:val="24"/>
                <w:szCs w:val="24"/>
                <w:highlight w:val="none"/>
              </w:rPr>
              <w:t>对第三章</w:t>
            </w:r>
            <w:r>
              <w:rPr>
                <w:rFonts w:hint="eastAsia" w:ascii="宋体" w:hAnsi="宋体" w:eastAsia="宋体" w:cs="宋体"/>
                <w:color w:val="auto"/>
                <w:sz w:val="24"/>
                <w:szCs w:val="24"/>
                <w:highlight w:val="none"/>
                <w:lang w:eastAsia="zh-CN"/>
              </w:rPr>
              <w:t>招标内容及</w:t>
            </w:r>
            <w:r>
              <w:rPr>
                <w:rFonts w:hint="eastAsia" w:ascii="宋体" w:hAnsi="宋体" w:eastAsia="宋体" w:cs="宋体"/>
                <w:color w:val="auto"/>
                <w:sz w:val="24"/>
                <w:szCs w:val="24"/>
                <w:highlight w:val="none"/>
              </w:rPr>
              <w:t>要求做出响应。</w:t>
            </w:r>
          </w:p>
          <w:p w14:paraId="00687708">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2．响应说明按实际响应情况填写“优于”、“响应”、“不响应”。</w:t>
            </w:r>
          </w:p>
        </w:tc>
      </w:tr>
    </w:tbl>
    <w:p w14:paraId="6EB6865F">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注：</w:t>
      </w:r>
    </w:p>
    <w:p w14:paraId="1B2FA5C7">
      <w:pPr>
        <w:spacing w:line="240" w:lineRule="auto"/>
        <w:ind w:firstLine="480" w:firstLineChars="20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供应商可根据项目情况自行增加内容项完善表格，表格不够用，可按此表复制。如果未完整填写偏离表的各项内容则视作供应商已经对招标文件相关要求和内容完全理解并同意，其报价为在此基础上的完全价格。</w:t>
      </w:r>
    </w:p>
    <w:p w14:paraId="5DBFCEE3">
      <w:pPr>
        <w:spacing w:line="24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在采购人与中标供应商签订合同时，如中标供应商未在投标文件“技术（服务）要求偏离表”中列出偏离说明，无论即将发生或已发生任何情形，均视为完全符合招标文件要求，并写入合同。若中标供应商在合同签订前，以上述事项为借口而不履行合同签订手续及执行合同，则视作拒绝与采购人签订合同。</w:t>
      </w:r>
    </w:p>
    <w:p w14:paraId="5C69BE79">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408CAAEB">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4F5E3809">
      <w:pPr>
        <w:spacing w:line="560" w:lineRule="exact"/>
        <w:ind w:firstLine="600" w:firstLineChars="200"/>
        <w:jc w:val="both"/>
        <w:rPr>
          <w:rFonts w:hint="eastAsia" w:ascii="宋体" w:hAnsi="宋体" w:eastAsia="宋体" w:cs="宋体"/>
          <w:b/>
          <w:bCs/>
          <w:color w:val="auto"/>
          <w:sz w:val="30"/>
          <w:szCs w:val="30"/>
          <w:highlight w:val="none"/>
        </w:rPr>
      </w:pPr>
      <w:r>
        <w:rPr>
          <w:rFonts w:hint="eastAsia" w:ascii="宋体" w:hAnsi="宋体" w:eastAsia="宋体" w:cs="宋体"/>
          <w:b/>
          <w:bCs/>
          <w:sz w:val="30"/>
          <w:szCs w:val="30"/>
          <w:highlight w:val="none"/>
        </w:rPr>
        <w:t>附</w:t>
      </w:r>
      <w:r>
        <w:rPr>
          <w:rFonts w:hint="eastAsia" w:ascii="宋体" w:hAnsi="宋体" w:eastAsia="宋体" w:cs="宋体"/>
          <w:b/>
          <w:bCs/>
          <w:color w:val="auto"/>
          <w:sz w:val="30"/>
          <w:szCs w:val="30"/>
          <w:highlight w:val="none"/>
        </w:rPr>
        <w:t>：技术（服务）响应方案</w:t>
      </w:r>
    </w:p>
    <w:p w14:paraId="4FB63FFF">
      <w:pPr>
        <w:pStyle w:val="15"/>
        <w:keepNext w:val="0"/>
        <w:keepLines w:val="0"/>
        <w:pageBreakBefore w:val="0"/>
        <w:widowControl/>
        <w:kinsoku/>
        <w:wordWrap/>
        <w:overflowPunct/>
        <w:topLinePunct w:val="0"/>
        <w:autoSpaceDE/>
        <w:autoSpaceDN/>
        <w:bidi w:val="0"/>
        <w:adjustRightInd/>
        <w:snapToGrid/>
        <w:ind w:firstLine="600" w:firstLineChars="250"/>
        <w:textAlignment w:val="auto"/>
        <w:rPr>
          <w:rFonts w:hint="eastAsia"/>
          <w:b/>
          <w:bCs/>
          <w:color w:val="auto"/>
          <w:highlight w:val="none"/>
          <w:lang w:eastAsia="zh-CN"/>
        </w:rPr>
      </w:pPr>
      <w:r>
        <w:rPr>
          <w:rFonts w:hint="eastAsia"/>
          <w:b/>
          <w:bCs/>
          <w:color w:val="auto"/>
          <w:highlight w:val="none"/>
          <w:lang w:eastAsia="zh-CN"/>
        </w:rPr>
        <w:t>根据本项目“第二章 供应商须知”中的〖评审要素及分值一览表〗提供。</w:t>
      </w:r>
    </w:p>
    <w:p w14:paraId="6FFBAA39">
      <w:pPr>
        <w:bidi w:val="0"/>
        <w:spacing w:line="240" w:lineRule="auto"/>
        <w:rPr>
          <w:rFonts w:hint="eastAsia"/>
          <w:highlight w:val="none"/>
        </w:rPr>
      </w:pPr>
      <w:r>
        <w:rPr>
          <w:rFonts w:hint="eastAsia"/>
          <w:highlight w:val="none"/>
        </w:rPr>
        <w:br w:type="page"/>
      </w:r>
    </w:p>
    <w:p w14:paraId="12D59E3F">
      <w:pPr>
        <w:pStyle w:val="97"/>
        <w:spacing w:before="210" w:after="210"/>
        <w:ind w:left="0" w:leftChars="0" w:firstLine="0" w:firstLineChars="0"/>
        <w:outlineLvl w:val="2"/>
        <w:rPr>
          <w:rFonts w:hint="eastAsia" w:ascii="宋体" w:hAnsi="宋体" w:eastAsia="宋体" w:cs="宋体"/>
          <w:sz w:val="28"/>
          <w:szCs w:val="28"/>
          <w:highlight w:val="none"/>
          <w:lang w:val="zh-CN" w:eastAsia="zh-CN"/>
        </w:rPr>
      </w:pPr>
      <w:r>
        <w:rPr>
          <w:rFonts w:hint="eastAsia" w:ascii="宋体" w:hAnsi="宋体" w:eastAsia="宋体" w:cs="宋体"/>
          <w:sz w:val="28"/>
          <w:szCs w:val="28"/>
          <w:highlight w:val="none"/>
          <w:lang w:eastAsia="zh-CN"/>
        </w:rPr>
        <w:t>（二）商务要求偏离表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09"/>
        <w:gridCol w:w="1798"/>
        <w:gridCol w:w="2638"/>
        <w:gridCol w:w="2506"/>
        <w:gridCol w:w="1065"/>
        <w:gridCol w:w="1236"/>
      </w:tblGrid>
      <w:tr w14:paraId="20728D0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noWrap w:val="0"/>
            <w:vAlign w:val="center"/>
          </w:tcPr>
          <w:p w14:paraId="5F6D1F49">
            <w:pPr>
              <w:spacing w:line="56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903" w:type="pct"/>
            <w:tcBorders>
              <w:top w:val="single" w:color="auto" w:sz="12" w:space="0"/>
              <w:bottom w:val="single" w:color="auto" w:sz="2" w:space="0"/>
            </w:tcBorders>
            <w:shd w:val="clear" w:color="auto" w:fill="F1F1F1"/>
            <w:noWrap w:val="0"/>
            <w:vAlign w:val="center"/>
          </w:tcPr>
          <w:p w14:paraId="75B7653D">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商务条款</w:t>
            </w:r>
          </w:p>
        </w:tc>
        <w:tc>
          <w:tcPr>
            <w:tcW w:w="1325" w:type="pct"/>
            <w:tcBorders>
              <w:top w:val="single" w:color="auto" w:sz="12" w:space="0"/>
              <w:bottom w:val="single" w:color="auto" w:sz="2" w:space="0"/>
            </w:tcBorders>
            <w:shd w:val="clear" w:color="auto" w:fill="F1F1F1"/>
            <w:noWrap w:val="0"/>
            <w:vAlign w:val="center"/>
          </w:tcPr>
          <w:p w14:paraId="2F1EB916">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招标文件商务要求</w:t>
            </w:r>
          </w:p>
        </w:tc>
        <w:tc>
          <w:tcPr>
            <w:tcW w:w="1259" w:type="pct"/>
            <w:tcBorders>
              <w:top w:val="single" w:color="auto" w:sz="12" w:space="0"/>
              <w:bottom w:val="single" w:color="auto" w:sz="2" w:space="0"/>
            </w:tcBorders>
            <w:shd w:val="clear" w:color="auto" w:fill="F1F1F1"/>
            <w:noWrap w:val="0"/>
            <w:vAlign w:val="center"/>
          </w:tcPr>
          <w:p w14:paraId="2F03E83A">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投标文件商务响应</w:t>
            </w:r>
          </w:p>
        </w:tc>
        <w:tc>
          <w:tcPr>
            <w:tcW w:w="535" w:type="pct"/>
            <w:tcBorders>
              <w:top w:val="single" w:color="auto" w:sz="12" w:space="0"/>
              <w:bottom w:val="single" w:color="auto" w:sz="2" w:space="0"/>
            </w:tcBorders>
            <w:shd w:val="clear" w:color="auto" w:fill="F1F1F1"/>
            <w:noWrap w:val="0"/>
            <w:vAlign w:val="center"/>
          </w:tcPr>
          <w:p w14:paraId="368E180E">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响应说明</w:t>
            </w:r>
          </w:p>
        </w:tc>
        <w:tc>
          <w:tcPr>
            <w:tcW w:w="620" w:type="pct"/>
            <w:tcBorders>
              <w:top w:val="single" w:color="auto" w:sz="12" w:space="0"/>
              <w:bottom w:val="single" w:color="auto" w:sz="2" w:space="0"/>
            </w:tcBorders>
            <w:shd w:val="clear" w:color="auto" w:fill="F1F1F1"/>
            <w:noWrap w:val="0"/>
            <w:vAlign w:val="center"/>
          </w:tcPr>
          <w:p w14:paraId="64D81C3D">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偏离</w:t>
            </w:r>
          </w:p>
        </w:tc>
      </w:tr>
      <w:tr w14:paraId="55A6805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noWrap w:val="0"/>
            <w:vAlign w:val="center"/>
          </w:tcPr>
          <w:p w14:paraId="3889075F">
            <w:pPr>
              <w:spacing w:line="560" w:lineRule="exact"/>
              <w:jc w:val="center"/>
              <w:rPr>
                <w:rFonts w:hint="eastAsia" w:ascii="宋体" w:hAnsi="宋体" w:eastAsia="宋体" w:cs="宋体"/>
                <w:sz w:val="24"/>
                <w:szCs w:val="24"/>
                <w:highlight w:val="none"/>
              </w:rPr>
            </w:pPr>
          </w:p>
        </w:tc>
        <w:tc>
          <w:tcPr>
            <w:tcW w:w="903" w:type="pct"/>
            <w:tcBorders>
              <w:top w:val="single" w:color="auto" w:sz="2" w:space="0"/>
            </w:tcBorders>
            <w:noWrap w:val="0"/>
            <w:vAlign w:val="center"/>
          </w:tcPr>
          <w:p w14:paraId="075D03B0">
            <w:pPr>
              <w:spacing w:line="560" w:lineRule="exact"/>
              <w:jc w:val="center"/>
              <w:rPr>
                <w:rFonts w:hint="eastAsia" w:ascii="宋体" w:hAnsi="宋体" w:eastAsia="宋体" w:cs="宋体"/>
                <w:sz w:val="24"/>
                <w:szCs w:val="24"/>
                <w:highlight w:val="none"/>
              </w:rPr>
            </w:pPr>
          </w:p>
        </w:tc>
        <w:tc>
          <w:tcPr>
            <w:tcW w:w="1325" w:type="pct"/>
            <w:tcBorders>
              <w:top w:val="single" w:color="auto" w:sz="2" w:space="0"/>
            </w:tcBorders>
            <w:noWrap w:val="0"/>
            <w:vAlign w:val="center"/>
          </w:tcPr>
          <w:p w14:paraId="7F89D1ED">
            <w:pPr>
              <w:spacing w:line="560" w:lineRule="exact"/>
              <w:jc w:val="center"/>
              <w:rPr>
                <w:rFonts w:hint="eastAsia" w:ascii="宋体" w:hAnsi="宋体" w:eastAsia="宋体" w:cs="宋体"/>
                <w:sz w:val="24"/>
                <w:szCs w:val="24"/>
                <w:highlight w:val="none"/>
              </w:rPr>
            </w:pPr>
          </w:p>
        </w:tc>
        <w:tc>
          <w:tcPr>
            <w:tcW w:w="1259" w:type="pct"/>
            <w:tcBorders>
              <w:top w:val="single" w:color="auto" w:sz="2" w:space="0"/>
            </w:tcBorders>
            <w:noWrap w:val="0"/>
            <w:vAlign w:val="center"/>
          </w:tcPr>
          <w:p w14:paraId="2B9164B6">
            <w:pPr>
              <w:spacing w:line="560" w:lineRule="exact"/>
              <w:jc w:val="center"/>
              <w:rPr>
                <w:rFonts w:hint="eastAsia" w:ascii="宋体" w:hAnsi="宋体" w:eastAsia="宋体" w:cs="宋体"/>
                <w:sz w:val="24"/>
                <w:szCs w:val="24"/>
                <w:highlight w:val="none"/>
              </w:rPr>
            </w:pPr>
          </w:p>
        </w:tc>
        <w:tc>
          <w:tcPr>
            <w:tcW w:w="535" w:type="pct"/>
            <w:tcBorders>
              <w:top w:val="single" w:color="auto" w:sz="2" w:space="0"/>
            </w:tcBorders>
            <w:noWrap w:val="0"/>
            <w:vAlign w:val="center"/>
          </w:tcPr>
          <w:p w14:paraId="506A1CF7">
            <w:pPr>
              <w:spacing w:line="560" w:lineRule="exact"/>
              <w:jc w:val="center"/>
              <w:rPr>
                <w:rFonts w:hint="eastAsia" w:ascii="宋体" w:hAnsi="宋体" w:eastAsia="宋体" w:cs="宋体"/>
                <w:sz w:val="24"/>
                <w:szCs w:val="24"/>
                <w:highlight w:val="none"/>
              </w:rPr>
            </w:pPr>
          </w:p>
        </w:tc>
        <w:tc>
          <w:tcPr>
            <w:tcW w:w="620" w:type="pct"/>
            <w:tcBorders>
              <w:top w:val="single" w:color="auto" w:sz="2" w:space="0"/>
            </w:tcBorders>
            <w:noWrap w:val="0"/>
            <w:vAlign w:val="center"/>
          </w:tcPr>
          <w:p w14:paraId="6753F757">
            <w:pPr>
              <w:spacing w:line="560" w:lineRule="exact"/>
              <w:jc w:val="center"/>
              <w:rPr>
                <w:rFonts w:hint="eastAsia" w:ascii="宋体" w:hAnsi="宋体" w:eastAsia="宋体" w:cs="宋体"/>
                <w:sz w:val="24"/>
                <w:szCs w:val="24"/>
                <w:highlight w:val="none"/>
              </w:rPr>
            </w:pPr>
          </w:p>
        </w:tc>
      </w:tr>
      <w:tr w14:paraId="5AFC0A6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2AAB14E0">
            <w:pPr>
              <w:spacing w:line="560" w:lineRule="exact"/>
              <w:jc w:val="center"/>
              <w:rPr>
                <w:rFonts w:hint="eastAsia" w:ascii="宋体" w:hAnsi="宋体" w:eastAsia="宋体" w:cs="宋体"/>
                <w:sz w:val="24"/>
                <w:szCs w:val="24"/>
                <w:highlight w:val="none"/>
              </w:rPr>
            </w:pPr>
          </w:p>
        </w:tc>
        <w:tc>
          <w:tcPr>
            <w:tcW w:w="903" w:type="pct"/>
            <w:noWrap w:val="0"/>
            <w:vAlign w:val="center"/>
          </w:tcPr>
          <w:p w14:paraId="424710B6">
            <w:pPr>
              <w:spacing w:line="560" w:lineRule="exact"/>
              <w:jc w:val="center"/>
              <w:rPr>
                <w:rFonts w:hint="eastAsia" w:ascii="宋体" w:hAnsi="宋体" w:eastAsia="宋体" w:cs="宋体"/>
                <w:sz w:val="24"/>
                <w:szCs w:val="24"/>
                <w:highlight w:val="none"/>
              </w:rPr>
            </w:pPr>
          </w:p>
        </w:tc>
        <w:tc>
          <w:tcPr>
            <w:tcW w:w="1325" w:type="pct"/>
            <w:noWrap w:val="0"/>
            <w:vAlign w:val="center"/>
          </w:tcPr>
          <w:p w14:paraId="163918E0">
            <w:pPr>
              <w:spacing w:line="560" w:lineRule="exact"/>
              <w:jc w:val="center"/>
              <w:rPr>
                <w:rFonts w:hint="eastAsia" w:ascii="宋体" w:hAnsi="宋体" w:eastAsia="宋体" w:cs="宋体"/>
                <w:sz w:val="24"/>
                <w:szCs w:val="24"/>
                <w:highlight w:val="none"/>
              </w:rPr>
            </w:pPr>
          </w:p>
        </w:tc>
        <w:tc>
          <w:tcPr>
            <w:tcW w:w="1259" w:type="pct"/>
            <w:noWrap w:val="0"/>
            <w:vAlign w:val="center"/>
          </w:tcPr>
          <w:p w14:paraId="699A96C3">
            <w:pPr>
              <w:spacing w:line="560" w:lineRule="exact"/>
              <w:jc w:val="center"/>
              <w:rPr>
                <w:rFonts w:hint="eastAsia" w:ascii="宋体" w:hAnsi="宋体" w:eastAsia="宋体" w:cs="宋体"/>
                <w:sz w:val="24"/>
                <w:szCs w:val="24"/>
                <w:highlight w:val="none"/>
              </w:rPr>
            </w:pPr>
          </w:p>
        </w:tc>
        <w:tc>
          <w:tcPr>
            <w:tcW w:w="535" w:type="pct"/>
            <w:noWrap w:val="0"/>
            <w:vAlign w:val="center"/>
          </w:tcPr>
          <w:p w14:paraId="181CC0C8">
            <w:pPr>
              <w:spacing w:line="560" w:lineRule="exact"/>
              <w:jc w:val="center"/>
              <w:rPr>
                <w:rFonts w:hint="eastAsia" w:ascii="宋体" w:hAnsi="宋体" w:eastAsia="宋体" w:cs="宋体"/>
                <w:sz w:val="24"/>
                <w:szCs w:val="24"/>
                <w:highlight w:val="none"/>
              </w:rPr>
            </w:pPr>
          </w:p>
        </w:tc>
        <w:tc>
          <w:tcPr>
            <w:tcW w:w="620" w:type="pct"/>
            <w:noWrap w:val="0"/>
            <w:vAlign w:val="center"/>
          </w:tcPr>
          <w:p w14:paraId="2B68CA67">
            <w:pPr>
              <w:spacing w:line="560" w:lineRule="exact"/>
              <w:jc w:val="center"/>
              <w:rPr>
                <w:rFonts w:hint="eastAsia" w:ascii="宋体" w:hAnsi="宋体" w:eastAsia="宋体" w:cs="宋体"/>
                <w:sz w:val="24"/>
                <w:szCs w:val="24"/>
                <w:highlight w:val="none"/>
              </w:rPr>
            </w:pPr>
          </w:p>
        </w:tc>
      </w:tr>
      <w:tr w14:paraId="2D843A4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5E0F3FAF">
            <w:pPr>
              <w:spacing w:line="560" w:lineRule="exact"/>
              <w:jc w:val="center"/>
              <w:rPr>
                <w:rFonts w:hint="eastAsia" w:ascii="宋体" w:hAnsi="宋体" w:eastAsia="宋体" w:cs="宋体"/>
                <w:sz w:val="24"/>
                <w:szCs w:val="24"/>
                <w:highlight w:val="none"/>
              </w:rPr>
            </w:pPr>
          </w:p>
        </w:tc>
        <w:tc>
          <w:tcPr>
            <w:tcW w:w="903" w:type="pct"/>
            <w:noWrap w:val="0"/>
            <w:vAlign w:val="center"/>
          </w:tcPr>
          <w:p w14:paraId="7FCA2BBE">
            <w:pPr>
              <w:spacing w:line="560" w:lineRule="exact"/>
              <w:jc w:val="center"/>
              <w:rPr>
                <w:rFonts w:hint="eastAsia" w:ascii="宋体" w:hAnsi="宋体" w:eastAsia="宋体" w:cs="宋体"/>
                <w:sz w:val="24"/>
                <w:szCs w:val="24"/>
                <w:highlight w:val="none"/>
              </w:rPr>
            </w:pPr>
          </w:p>
        </w:tc>
        <w:tc>
          <w:tcPr>
            <w:tcW w:w="1325" w:type="pct"/>
            <w:noWrap w:val="0"/>
            <w:vAlign w:val="center"/>
          </w:tcPr>
          <w:p w14:paraId="148226B7">
            <w:pPr>
              <w:spacing w:line="560" w:lineRule="exact"/>
              <w:jc w:val="center"/>
              <w:rPr>
                <w:rFonts w:hint="eastAsia" w:ascii="宋体" w:hAnsi="宋体" w:eastAsia="宋体" w:cs="宋体"/>
                <w:sz w:val="24"/>
                <w:szCs w:val="24"/>
                <w:highlight w:val="none"/>
              </w:rPr>
            </w:pPr>
          </w:p>
        </w:tc>
        <w:tc>
          <w:tcPr>
            <w:tcW w:w="1259" w:type="pct"/>
            <w:noWrap w:val="0"/>
            <w:vAlign w:val="center"/>
          </w:tcPr>
          <w:p w14:paraId="4694A437">
            <w:pPr>
              <w:spacing w:line="560" w:lineRule="exact"/>
              <w:jc w:val="center"/>
              <w:rPr>
                <w:rFonts w:hint="eastAsia" w:ascii="宋体" w:hAnsi="宋体" w:eastAsia="宋体" w:cs="宋体"/>
                <w:sz w:val="24"/>
                <w:szCs w:val="24"/>
                <w:highlight w:val="none"/>
              </w:rPr>
            </w:pPr>
          </w:p>
        </w:tc>
        <w:tc>
          <w:tcPr>
            <w:tcW w:w="535" w:type="pct"/>
            <w:noWrap w:val="0"/>
            <w:vAlign w:val="center"/>
          </w:tcPr>
          <w:p w14:paraId="2AA7D9A1">
            <w:pPr>
              <w:spacing w:line="560" w:lineRule="exact"/>
              <w:jc w:val="center"/>
              <w:rPr>
                <w:rFonts w:hint="eastAsia" w:ascii="宋体" w:hAnsi="宋体" w:eastAsia="宋体" w:cs="宋体"/>
                <w:sz w:val="24"/>
                <w:szCs w:val="24"/>
                <w:highlight w:val="none"/>
              </w:rPr>
            </w:pPr>
          </w:p>
        </w:tc>
        <w:tc>
          <w:tcPr>
            <w:tcW w:w="620" w:type="pct"/>
            <w:noWrap w:val="0"/>
            <w:vAlign w:val="center"/>
          </w:tcPr>
          <w:p w14:paraId="15719114">
            <w:pPr>
              <w:spacing w:line="560" w:lineRule="exact"/>
              <w:jc w:val="center"/>
              <w:rPr>
                <w:rFonts w:hint="eastAsia" w:ascii="宋体" w:hAnsi="宋体" w:eastAsia="宋体" w:cs="宋体"/>
                <w:sz w:val="24"/>
                <w:szCs w:val="24"/>
                <w:highlight w:val="none"/>
              </w:rPr>
            </w:pPr>
          </w:p>
        </w:tc>
      </w:tr>
      <w:tr w14:paraId="3C37BDD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0BBD8328">
            <w:pPr>
              <w:spacing w:line="560" w:lineRule="exact"/>
              <w:jc w:val="center"/>
              <w:rPr>
                <w:rFonts w:hint="eastAsia" w:ascii="宋体" w:hAnsi="宋体" w:eastAsia="宋体" w:cs="宋体"/>
                <w:sz w:val="24"/>
                <w:szCs w:val="24"/>
                <w:highlight w:val="none"/>
              </w:rPr>
            </w:pPr>
          </w:p>
        </w:tc>
        <w:tc>
          <w:tcPr>
            <w:tcW w:w="903" w:type="pct"/>
            <w:noWrap w:val="0"/>
            <w:vAlign w:val="center"/>
          </w:tcPr>
          <w:p w14:paraId="3A9C6C93">
            <w:pPr>
              <w:spacing w:line="560" w:lineRule="exact"/>
              <w:jc w:val="center"/>
              <w:rPr>
                <w:rFonts w:hint="eastAsia" w:ascii="宋体" w:hAnsi="宋体" w:eastAsia="宋体" w:cs="宋体"/>
                <w:sz w:val="24"/>
                <w:szCs w:val="24"/>
                <w:highlight w:val="none"/>
              </w:rPr>
            </w:pPr>
          </w:p>
        </w:tc>
        <w:tc>
          <w:tcPr>
            <w:tcW w:w="1325" w:type="pct"/>
            <w:noWrap w:val="0"/>
            <w:vAlign w:val="center"/>
          </w:tcPr>
          <w:p w14:paraId="6003589B">
            <w:pPr>
              <w:spacing w:line="560" w:lineRule="exact"/>
              <w:jc w:val="center"/>
              <w:rPr>
                <w:rFonts w:hint="eastAsia" w:ascii="宋体" w:hAnsi="宋体" w:eastAsia="宋体" w:cs="宋体"/>
                <w:sz w:val="24"/>
                <w:szCs w:val="24"/>
                <w:highlight w:val="none"/>
              </w:rPr>
            </w:pPr>
          </w:p>
        </w:tc>
        <w:tc>
          <w:tcPr>
            <w:tcW w:w="1259" w:type="pct"/>
            <w:noWrap w:val="0"/>
            <w:vAlign w:val="center"/>
          </w:tcPr>
          <w:p w14:paraId="00E3EEEA">
            <w:pPr>
              <w:spacing w:line="560" w:lineRule="exact"/>
              <w:jc w:val="center"/>
              <w:rPr>
                <w:rFonts w:hint="eastAsia" w:ascii="宋体" w:hAnsi="宋体" w:eastAsia="宋体" w:cs="宋体"/>
                <w:sz w:val="24"/>
                <w:szCs w:val="24"/>
                <w:highlight w:val="none"/>
              </w:rPr>
            </w:pPr>
          </w:p>
        </w:tc>
        <w:tc>
          <w:tcPr>
            <w:tcW w:w="535" w:type="pct"/>
            <w:noWrap w:val="0"/>
            <w:vAlign w:val="center"/>
          </w:tcPr>
          <w:p w14:paraId="14FFA54B">
            <w:pPr>
              <w:spacing w:line="560" w:lineRule="exact"/>
              <w:jc w:val="center"/>
              <w:rPr>
                <w:rFonts w:hint="eastAsia" w:ascii="宋体" w:hAnsi="宋体" w:eastAsia="宋体" w:cs="宋体"/>
                <w:sz w:val="24"/>
                <w:szCs w:val="24"/>
                <w:highlight w:val="none"/>
              </w:rPr>
            </w:pPr>
          </w:p>
        </w:tc>
        <w:tc>
          <w:tcPr>
            <w:tcW w:w="620" w:type="pct"/>
            <w:noWrap w:val="0"/>
            <w:vAlign w:val="center"/>
          </w:tcPr>
          <w:p w14:paraId="23A83BA6">
            <w:pPr>
              <w:spacing w:line="560" w:lineRule="exact"/>
              <w:jc w:val="center"/>
              <w:rPr>
                <w:rFonts w:hint="eastAsia" w:ascii="宋体" w:hAnsi="宋体" w:eastAsia="宋体" w:cs="宋体"/>
                <w:sz w:val="24"/>
                <w:szCs w:val="24"/>
                <w:highlight w:val="none"/>
              </w:rPr>
            </w:pPr>
          </w:p>
        </w:tc>
      </w:tr>
      <w:tr w14:paraId="4F7B274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48FEC0AC">
            <w:pPr>
              <w:spacing w:line="560" w:lineRule="exact"/>
              <w:jc w:val="center"/>
              <w:rPr>
                <w:rFonts w:hint="eastAsia" w:ascii="宋体" w:hAnsi="宋体" w:eastAsia="宋体" w:cs="宋体"/>
                <w:sz w:val="24"/>
                <w:szCs w:val="24"/>
                <w:highlight w:val="none"/>
              </w:rPr>
            </w:pPr>
          </w:p>
        </w:tc>
        <w:tc>
          <w:tcPr>
            <w:tcW w:w="903" w:type="pct"/>
            <w:noWrap w:val="0"/>
            <w:vAlign w:val="center"/>
          </w:tcPr>
          <w:p w14:paraId="4367FB35">
            <w:pPr>
              <w:spacing w:line="560" w:lineRule="exact"/>
              <w:jc w:val="center"/>
              <w:rPr>
                <w:rFonts w:hint="eastAsia" w:ascii="宋体" w:hAnsi="宋体" w:eastAsia="宋体" w:cs="宋体"/>
                <w:sz w:val="24"/>
                <w:szCs w:val="24"/>
                <w:highlight w:val="none"/>
              </w:rPr>
            </w:pPr>
          </w:p>
        </w:tc>
        <w:tc>
          <w:tcPr>
            <w:tcW w:w="1325" w:type="pct"/>
            <w:noWrap w:val="0"/>
            <w:vAlign w:val="center"/>
          </w:tcPr>
          <w:p w14:paraId="60F3DEF1">
            <w:pPr>
              <w:spacing w:line="560" w:lineRule="exact"/>
              <w:jc w:val="center"/>
              <w:rPr>
                <w:rFonts w:hint="eastAsia" w:ascii="宋体" w:hAnsi="宋体" w:eastAsia="宋体" w:cs="宋体"/>
                <w:sz w:val="24"/>
                <w:szCs w:val="24"/>
                <w:highlight w:val="none"/>
              </w:rPr>
            </w:pPr>
          </w:p>
        </w:tc>
        <w:tc>
          <w:tcPr>
            <w:tcW w:w="1259" w:type="pct"/>
            <w:noWrap w:val="0"/>
            <w:vAlign w:val="center"/>
          </w:tcPr>
          <w:p w14:paraId="5E08E580">
            <w:pPr>
              <w:spacing w:line="560" w:lineRule="exact"/>
              <w:jc w:val="center"/>
              <w:rPr>
                <w:rFonts w:hint="eastAsia" w:ascii="宋体" w:hAnsi="宋体" w:eastAsia="宋体" w:cs="宋体"/>
                <w:sz w:val="24"/>
                <w:szCs w:val="24"/>
                <w:highlight w:val="none"/>
              </w:rPr>
            </w:pPr>
          </w:p>
        </w:tc>
        <w:tc>
          <w:tcPr>
            <w:tcW w:w="535" w:type="pct"/>
            <w:noWrap w:val="0"/>
            <w:vAlign w:val="center"/>
          </w:tcPr>
          <w:p w14:paraId="13EF6687">
            <w:pPr>
              <w:spacing w:line="560" w:lineRule="exact"/>
              <w:jc w:val="center"/>
              <w:rPr>
                <w:rFonts w:hint="eastAsia" w:ascii="宋体" w:hAnsi="宋体" w:eastAsia="宋体" w:cs="宋体"/>
                <w:sz w:val="24"/>
                <w:szCs w:val="24"/>
                <w:highlight w:val="none"/>
              </w:rPr>
            </w:pPr>
          </w:p>
        </w:tc>
        <w:tc>
          <w:tcPr>
            <w:tcW w:w="620" w:type="pct"/>
            <w:noWrap w:val="0"/>
            <w:vAlign w:val="center"/>
          </w:tcPr>
          <w:p w14:paraId="45FCED22">
            <w:pPr>
              <w:spacing w:line="560" w:lineRule="exact"/>
              <w:jc w:val="center"/>
              <w:rPr>
                <w:rFonts w:hint="eastAsia" w:ascii="宋体" w:hAnsi="宋体" w:eastAsia="宋体" w:cs="宋体"/>
                <w:sz w:val="24"/>
                <w:szCs w:val="24"/>
                <w:highlight w:val="none"/>
              </w:rPr>
            </w:pPr>
          </w:p>
        </w:tc>
      </w:tr>
      <w:tr w14:paraId="47FE0D6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3395F113">
            <w:pPr>
              <w:spacing w:line="560" w:lineRule="exact"/>
              <w:jc w:val="center"/>
              <w:rPr>
                <w:rFonts w:hint="eastAsia" w:ascii="宋体" w:hAnsi="宋体" w:eastAsia="宋体" w:cs="宋体"/>
                <w:sz w:val="24"/>
                <w:szCs w:val="24"/>
                <w:highlight w:val="none"/>
              </w:rPr>
            </w:pPr>
          </w:p>
        </w:tc>
        <w:tc>
          <w:tcPr>
            <w:tcW w:w="903" w:type="pct"/>
            <w:noWrap w:val="0"/>
            <w:vAlign w:val="center"/>
          </w:tcPr>
          <w:p w14:paraId="7E8DB2F3">
            <w:pPr>
              <w:spacing w:line="560" w:lineRule="exact"/>
              <w:jc w:val="center"/>
              <w:rPr>
                <w:rFonts w:hint="eastAsia" w:ascii="宋体" w:hAnsi="宋体" w:eastAsia="宋体" w:cs="宋体"/>
                <w:sz w:val="24"/>
                <w:szCs w:val="24"/>
                <w:highlight w:val="none"/>
              </w:rPr>
            </w:pPr>
          </w:p>
        </w:tc>
        <w:tc>
          <w:tcPr>
            <w:tcW w:w="1325" w:type="pct"/>
            <w:noWrap w:val="0"/>
            <w:vAlign w:val="center"/>
          </w:tcPr>
          <w:p w14:paraId="39AC6BE4">
            <w:pPr>
              <w:spacing w:line="560" w:lineRule="exact"/>
              <w:jc w:val="center"/>
              <w:rPr>
                <w:rFonts w:hint="eastAsia" w:ascii="宋体" w:hAnsi="宋体" w:eastAsia="宋体" w:cs="宋体"/>
                <w:sz w:val="24"/>
                <w:szCs w:val="24"/>
                <w:highlight w:val="none"/>
              </w:rPr>
            </w:pPr>
          </w:p>
        </w:tc>
        <w:tc>
          <w:tcPr>
            <w:tcW w:w="1259" w:type="pct"/>
            <w:noWrap w:val="0"/>
            <w:vAlign w:val="center"/>
          </w:tcPr>
          <w:p w14:paraId="1ECE8BEE">
            <w:pPr>
              <w:spacing w:line="560" w:lineRule="exact"/>
              <w:jc w:val="center"/>
              <w:rPr>
                <w:rFonts w:hint="eastAsia" w:ascii="宋体" w:hAnsi="宋体" w:eastAsia="宋体" w:cs="宋体"/>
                <w:sz w:val="24"/>
                <w:szCs w:val="24"/>
                <w:highlight w:val="none"/>
              </w:rPr>
            </w:pPr>
          </w:p>
        </w:tc>
        <w:tc>
          <w:tcPr>
            <w:tcW w:w="535" w:type="pct"/>
            <w:noWrap w:val="0"/>
            <w:vAlign w:val="center"/>
          </w:tcPr>
          <w:p w14:paraId="0753A368">
            <w:pPr>
              <w:spacing w:line="560" w:lineRule="exact"/>
              <w:jc w:val="center"/>
              <w:rPr>
                <w:rFonts w:hint="eastAsia" w:ascii="宋体" w:hAnsi="宋体" w:eastAsia="宋体" w:cs="宋体"/>
                <w:sz w:val="24"/>
                <w:szCs w:val="24"/>
                <w:highlight w:val="none"/>
              </w:rPr>
            </w:pPr>
          </w:p>
        </w:tc>
        <w:tc>
          <w:tcPr>
            <w:tcW w:w="620" w:type="pct"/>
            <w:noWrap w:val="0"/>
            <w:vAlign w:val="center"/>
          </w:tcPr>
          <w:p w14:paraId="1B4324DE">
            <w:pPr>
              <w:spacing w:line="560" w:lineRule="exact"/>
              <w:jc w:val="center"/>
              <w:rPr>
                <w:rFonts w:hint="eastAsia" w:ascii="宋体" w:hAnsi="宋体" w:eastAsia="宋体" w:cs="宋体"/>
                <w:sz w:val="24"/>
                <w:szCs w:val="24"/>
                <w:highlight w:val="none"/>
              </w:rPr>
            </w:pPr>
          </w:p>
        </w:tc>
      </w:tr>
      <w:tr w14:paraId="57589BC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048D49D6">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643" w:type="pct"/>
            <w:gridSpan w:val="5"/>
            <w:noWrap w:val="0"/>
            <w:vAlign w:val="center"/>
          </w:tcPr>
          <w:p w14:paraId="56EAB835">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1．对</w:t>
            </w:r>
            <w:r>
              <w:rPr>
                <w:rFonts w:hint="eastAsia" w:ascii="宋体" w:hAnsi="宋体" w:eastAsia="宋体" w:cs="宋体"/>
                <w:color w:val="auto"/>
                <w:sz w:val="24"/>
                <w:szCs w:val="24"/>
                <w:highlight w:val="none"/>
                <w:lang w:eastAsia="zh-CN"/>
              </w:rPr>
              <w:t>第四章</w:t>
            </w:r>
            <w:r>
              <w:rPr>
                <w:rFonts w:hint="eastAsia" w:ascii="宋体" w:hAnsi="宋体" w:eastAsia="宋体" w:cs="宋体"/>
                <w:color w:val="auto"/>
                <w:sz w:val="24"/>
                <w:szCs w:val="24"/>
                <w:highlight w:val="none"/>
              </w:rPr>
              <w:t>的商务要求</w:t>
            </w:r>
            <w:r>
              <w:rPr>
                <w:rFonts w:hint="eastAsia" w:ascii="宋体" w:hAnsi="宋体" w:eastAsia="宋体" w:cs="宋体"/>
                <w:sz w:val="24"/>
                <w:szCs w:val="24"/>
                <w:highlight w:val="none"/>
              </w:rPr>
              <w:t>做出响应。</w:t>
            </w:r>
          </w:p>
          <w:p w14:paraId="11BB3E6D">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2．响应说明按实际响应情况填写“优于”、“响应”、“不响应”。</w:t>
            </w:r>
          </w:p>
        </w:tc>
      </w:tr>
    </w:tbl>
    <w:p w14:paraId="6E9D8485">
      <w:pPr>
        <w:pStyle w:val="23"/>
        <w:keepNext w:val="0"/>
        <w:keepLines w:val="0"/>
        <w:pageBreakBefore w:val="0"/>
        <w:widowControl w:val="0"/>
        <w:kinsoku/>
        <w:wordWrap/>
        <w:overflowPunct/>
        <w:topLinePunct w:val="0"/>
        <w:autoSpaceDE/>
        <w:autoSpaceDN/>
        <w:bidi w:val="0"/>
        <w:adjustRightInd/>
        <w:snapToGrid/>
        <w:spacing w:line="500" w:lineRule="exact"/>
        <w:ind w:left="-235" w:leftChars="-98" w:firstLine="720" w:firstLineChars="3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注：1.供应商须完整填写响应表，如果未完整填写本表的各项内容则视作供应商已经对招标文件相关要求和内容完全理解并同意，其报价为在此基础上的完全价格。</w:t>
      </w:r>
    </w:p>
    <w:p w14:paraId="5DDCBE14">
      <w:pPr>
        <w:pStyle w:val="23"/>
        <w:keepNext w:val="0"/>
        <w:keepLines w:val="0"/>
        <w:pageBreakBefore w:val="0"/>
        <w:widowControl w:val="0"/>
        <w:kinsoku/>
        <w:wordWrap/>
        <w:overflowPunct/>
        <w:topLinePunct w:val="0"/>
        <w:autoSpaceDE/>
        <w:autoSpaceDN/>
        <w:bidi w:val="0"/>
        <w:adjustRightInd/>
        <w:snapToGrid/>
        <w:spacing w:line="500" w:lineRule="exact"/>
        <w:ind w:left="-235" w:leftChars="-98" w:firstLine="720" w:firstLineChars="3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2.在采购人与中标供应商签订合同时，如中标供应商未在响应文件“商务要求偏离表”中列出偏离说明，无论已发生或即将发生任何情形，均视为完全符合招标文件要求，并写入合同。若中标供应商在合同签订前，以上述事项为借口而不履行合同签订手续及执行合同，则视作拒绝与采购人签订合同。</w:t>
      </w:r>
    </w:p>
    <w:p w14:paraId="05B5908B">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0AED52FE">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4791DDC3">
      <w:pPr>
        <w:spacing w:line="560" w:lineRule="exact"/>
        <w:ind w:firstLine="480" w:firstLineChars="200"/>
        <w:jc w:val="both"/>
        <w:rPr>
          <w:rFonts w:hint="eastAsia" w:ascii="宋体" w:hAnsi="宋体" w:eastAsia="宋体" w:cs="宋体"/>
          <w:sz w:val="24"/>
          <w:szCs w:val="24"/>
          <w:highlight w:val="none"/>
        </w:rPr>
      </w:pPr>
    </w:p>
    <w:p w14:paraId="08ADDE37">
      <w:pPr>
        <w:pStyle w:val="97"/>
        <w:keepNext/>
        <w:keepLines w:val="0"/>
        <w:pageBreakBefore w:val="0"/>
        <w:widowControl/>
        <w:kinsoku/>
        <w:wordWrap/>
        <w:overflowPunct/>
        <w:topLinePunct w:val="0"/>
        <w:autoSpaceDE/>
        <w:autoSpaceDN/>
        <w:bidi w:val="0"/>
        <w:adjustRightInd/>
        <w:snapToGrid/>
        <w:spacing w:before="0" w:beforeLines="0" w:after="0" w:afterLines="0"/>
        <w:ind w:left="0" w:leftChars="0" w:firstLine="0" w:firstLineChars="0"/>
        <w:textAlignment w:val="auto"/>
        <w:outlineLvl w:val="2"/>
        <w:rPr>
          <w:rFonts w:hint="eastAsia" w:ascii="宋体" w:hAnsi="宋体" w:eastAsia="宋体" w:cs="宋体"/>
          <w:sz w:val="28"/>
          <w:szCs w:val="28"/>
          <w:highlight w:val="none"/>
        </w:rPr>
        <w:sectPr>
          <w:pgSz w:w="11906" w:h="16838"/>
          <w:pgMar w:top="1417" w:right="1083" w:bottom="1417" w:left="1083" w:header="851" w:footer="964" w:gutter="0"/>
          <w:pgNumType w:fmt="decimal"/>
          <w:cols w:space="720" w:num="1"/>
          <w:docGrid w:type="linesAndChars" w:linePitch="420" w:charSpace="0"/>
        </w:sectPr>
      </w:pPr>
    </w:p>
    <w:p w14:paraId="7F333245">
      <w:pPr>
        <w:pStyle w:val="97"/>
        <w:keepNext/>
        <w:keepLines w:val="0"/>
        <w:pageBreakBefore w:val="0"/>
        <w:widowControl/>
        <w:kinsoku/>
        <w:wordWrap/>
        <w:overflowPunct/>
        <w:topLinePunct w:val="0"/>
        <w:autoSpaceDE/>
        <w:autoSpaceDN/>
        <w:bidi w:val="0"/>
        <w:adjustRightInd/>
        <w:snapToGrid/>
        <w:spacing w:before="0" w:beforeLines="0" w:after="0" w:afterLines="0"/>
        <w:ind w:left="0" w:leftChars="0" w:firstLine="0" w:firstLineChars="0"/>
        <w:textAlignment w:val="auto"/>
        <w:outlineLvl w:val="2"/>
        <w:rPr>
          <w:rFonts w:hint="eastAsia" w:ascii="宋体" w:hAnsi="宋体" w:eastAsia="宋体" w:cs="宋体"/>
          <w:sz w:val="28"/>
          <w:szCs w:val="28"/>
          <w:highlight w:val="none"/>
        </w:rPr>
      </w:pPr>
      <w:r>
        <w:rPr>
          <w:rFonts w:hint="eastAsia" w:ascii="宋体" w:hAnsi="宋体" w:eastAsia="宋体" w:cs="宋体"/>
          <w:sz w:val="28"/>
          <w:szCs w:val="28"/>
          <w:highlight w:val="none"/>
        </w:rPr>
        <w:t>（三）合同条款响应</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109"/>
        <w:gridCol w:w="1738"/>
        <w:gridCol w:w="2825"/>
        <w:gridCol w:w="2841"/>
        <w:gridCol w:w="1439"/>
      </w:tblGrid>
      <w:tr w14:paraId="0C05CF7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12" w:space="0"/>
              <w:bottom w:val="single" w:color="auto" w:sz="2" w:space="0"/>
            </w:tcBorders>
            <w:shd w:val="clear" w:color="auto" w:fill="F1F1F1"/>
            <w:noWrap w:val="0"/>
            <w:vAlign w:val="center"/>
          </w:tcPr>
          <w:p w14:paraId="3295700A">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873" w:type="pct"/>
            <w:tcBorders>
              <w:top w:val="single" w:color="auto" w:sz="12" w:space="0"/>
              <w:bottom w:val="single" w:color="auto" w:sz="2" w:space="0"/>
            </w:tcBorders>
            <w:shd w:val="clear" w:color="auto" w:fill="F1F1F1"/>
            <w:noWrap w:val="0"/>
            <w:vAlign w:val="center"/>
          </w:tcPr>
          <w:p w14:paraId="1F3AABDD">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条款名称</w:t>
            </w:r>
          </w:p>
        </w:tc>
        <w:tc>
          <w:tcPr>
            <w:tcW w:w="1419" w:type="pct"/>
            <w:tcBorders>
              <w:top w:val="single" w:color="auto" w:sz="12" w:space="0"/>
              <w:bottom w:val="single" w:color="auto" w:sz="2" w:space="0"/>
            </w:tcBorders>
            <w:shd w:val="clear" w:color="auto" w:fill="F1F1F1"/>
            <w:noWrap w:val="0"/>
            <w:vAlign w:val="center"/>
          </w:tcPr>
          <w:p w14:paraId="383E269F">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招标文件合同条款明细</w:t>
            </w:r>
          </w:p>
        </w:tc>
        <w:tc>
          <w:tcPr>
            <w:tcW w:w="1427" w:type="pct"/>
            <w:tcBorders>
              <w:top w:val="single" w:color="auto" w:sz="12" w:space="0"/>
              <w:bottom w:val="single" w:color="auto" w:sz="2" w:space="0"/>
            </w:tcBorders>
            <w:shd w:val="clear" w:color="auto" w:fill="F1F1F1"/>
            <w:noWrap w:val="0"/>
            <w:vAlign w:val="center"/>
          </w:tcPr>
          <w:p w14:paraId="027666E4">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投标文件合同条款响应</w:t>
            </w:r>
          </w:p>
        </w:tc>
        <w:tc>
          <w:tcPr>
            <w:tcW w:w="722" w:type="pct"/>
            <w:tcBorders>
              <w:top w:val="single" w:color="auto" w:sz="12" w:space="0"/>
              <w:bottom w:val="single" w:color="auto" w:sz="2" w:space="0"/>
            </w:tcBorders>
            <w:shd w:val="clear" w:color="auto" w:fill="F1F1F1"/>
            <w:noWrap w:val="0"/>
            <w:vAlign w:val="center"/>
          </w:tcPr>
          <w:p w14:paraId="0E4C7CAA">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响应说明</w:t>
            </w:r>
          </w:p>
        </w:tc>
      </w:tr>
      <w:tr w14:paraId="5484AE5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2" w:space="0"/>
            </w:tcBorders>
            <w:noWrap w:val="0"/>
            <w:vAlign w:val="center"/>
          </w:tcPr>
          <w:p w14:paraId="121DF579">
            <w:pPr>
              <w:jc w:val="center"/>
              <w:rPr>
                <w:rFonts w:hint="eastAsia" w:ascii="宋体" w:hAnsi="宋体" w:eastAsia="宋体" w:cs="宋体"/>
                <w:sz w:val="24"/>
                <w:szCs w:val="24"/>
                <w:highlight w:val="none"/>
              </w:rPr>
            </w:pPr>
          </w:p>
        </w:tc>
        <w:tc>
          <w:tcPr>
            <w:tcW w:w="873" w:type="pct"/>
            <w:tcBorders>
              <w:top w:val="single" w:color="auto" w:sz="2" w:space="0"/>
            </w:tcBorders>
            <w:noWrap w:val="0"/>
            <w:vAlign w:val="center"/>
          </w:tcPr>
          <w:p w14:paraId="62C30514">
            <w:pPr>
              <w:jc w:val="center"/>
              <w:rPr>
                <w:rFonts w:hint="eastAsia" w:ascii="宋体" w:hAnsi="宋体" w:eastAsia="宋体" w:cs="宋体"/>
                <w:sz w:val="24"/>
                <w:szCs w:val="24"/>
                <w:highlight w:val="none"/>
              </w:rPr>
            </w:pPr>
          </w:p>
        </w:tc>
        <w:tc>
          <w:tcPr>
            <w:tcW w:w="1419" w:type="pct"/>
            <w:tcBorders>
              <w:top w:val="single" w:color="auto" w:sz="2" w:space="0"/>
            </w:tcBorders>
            <w:noWrap w:val="0"/>
            <w:vAlign w:val="center"/>
          </w:tcPr>
          <w:p w14:paraId="56A1D350">
            <w:pPr>
              <w:jc w:val="center"/>
              <w:rPr>
                <w:rFonts w:hint="eastAsia" w:ascii="宋体" w:hAnsi="宋体" w:eastAsia="宋体" w:cs="宋体"/>
                <w:sz w:val="24"/>
                <w:szCs w:val="24"/>
                <w:highlight w:val="none"/>
              </w:rPr>
            </w:pPr>
          </w:p>
        </w:tc>
        <w:tc>
          <w:tcPr>
            <w:tcW w:w="1427" w:type="pct"/>
            <w:tcBorders>
              <w:top w:val="single" w:color="auto" w:sz="2" w:space="0"/>
            </w:tcBorders>
            <w:noWrap w:val="0"/>
            <w:vAlign w:val="center"/>
          </w:tcPr>
          <w:p w14:paraId="37EA3B79">
            <w:pPr>
              <w:jc w:val="center"/>
              <w:rPr>
                <w:rFonts w:hint="eastAsia" w:ascii="宋体" w:hAnsi="宋体" w:eastAsia="宋体" w:cs="宋体"/>
                <w:sz w:val="24"/>
                <w:szCs w:val="24"/>
                <w:highlight w:val="none"/>
              </w:rPr>
            </w:pPr>
          </w:p>
        </w:tc>
        <w:tc>
          <w:tcPr>
            <w:tcW w:w="722" w:type="pct"/>
            <w:tcBorders>
              <w:top w:val="single" w:color="auto" w:sz="2" w:space="0"/>
            </w:tcBorders>
            <w:noWrap w:val="0"/>
            <w:vAlign w:val="center"/>
          </w:tcPr>
          <w:p w14:paraId="04BEDCDB">
            <w:pPr>
              <w:jc w:val="center"/>
              <w:rPr>
                <w:rFonts w:hint="eastAsia" w:ascii="宋体" w:hAnsi="宋体" w:eastAsia="宋体" w:cs="宋体"/>
                <w:sz w:val="24"/>
                <w:szCs w:val="24"/>
                <w:highlight w:val="none"/>
              </w:rPr>
            </w:pPr>
          </w:p>
        </w:tc>
      </w:tr>
      <w:tr w14:paraId="26C8840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5BFD3187">
            <w:pPr>
              <w:jc w:val="center"/>
              <w:rPr>
                <w:rFonts w:hint="eastAsia" w:ascii="宋体" w:hAnsi="宋体" w:eastAsia="宋体" w:cs="宋体"/>
                <w:sz w:val="24"/>
                <w:szCs w:val="24"/>
                <w:highlight w:val="none"/>
              </w:rPr>
            </w:pPr>
          </w:p>
        </w:tc>
        <w:tc>
          <w:tcPr>
            <w:tcW w:w="873" w:type="pct"/>
            <w:noWrap w:val="0"/>
            <w:vAlign w:val="center"/>
          </w:tcPr>
          <w:p w14:paraId="1FB4B66B">
            <w:pPr>
              <w:jc w:val="center"/>
              <w:rPr>
                <w:rFonts w:hint="eastAsia" w:ascii="宋体" w:hAnsi="宋体" w:eastAsia="宋体" w:cs="宋体"/>
                <w:sz w:val="24"/>
                <w:szCs w:val="24"/>
                <w:highlight w:val="none"/>
              </w:rPr>
            </w:pPr>
          </w:p>
        </w:tc>
        <w:tc>
          <w:tcPr>
            <w:tcW w:w="1419" w:type="pct"/>
            <w:noWrap w:val="0"/>
            <w:vAlign w:val="center"/>
          </w:tcPr>
          <w:p w14:paraId="78EC43E9">
            <w:pPr>
              <w:jc w:val="center"/>
              <w:rPr>
                <w:rFonts w:hint="eastAsia" w:ascii="宋体" w:hAnsi="宋体" w:eastAsia="宋体" w:cs="宋体"/>
                <w:sz w:val="24"/>
                <w:szCs w:val="24"/>
                <w:highlight w:val="none"/>
              </w:rPr>
            </w:pPr>
          </w:p>
        </w:tc>
        <w:tc>
          <w:tcPr>
            <w:tcW w:w="1427" w:type="pct"/>
            <w:noWrap w:val="0"/>
            <w:vAlign w:val="center"/>
          </w:tcPr>
          <w:p w14:paraId="456323FE">
            <w:pPr>
              <w:jc w:val="center"/>
              <w:rPr>
                <w:rFonts w:hint="eastAsia" w:ascii="宋体" w:hAnsi="宋体" w:eastAsia="宋体" w:cs="宋体"/>
                <w:sz w:val="24"/>
                <w:szCs w:val="24"/>
                <w:highlight w:val="none"/>
              </w:rPr>
            </w:pPr>
          </w:p>
        </w:tc>
        <w:tc>
          <w:tcPr>
            <w:tcW w:w="722" w:type="pct"/>
            <w:noWrap w:val="0"/>
            <w:vAlign w:val="center"/>
          </w:tcPr>
          <w:p w14:paraId="2EE04475">
            <w:pPr>
              <w:jc w:val="center"/>
              <w:rPr>
                <w:rFonts w:hint="eastAsia" w:ascii="宋体" w:hAnsi="宋体" w:eastAsia="宋体" w:cs="宋体"/>
                <w:sz w:val="24"/>
                <w:szCs w:val="24"/>
                <w:highlight w:val="none"/>
              </w:rPr>
            </w:pPr>
          </w:p>
        </w:tc>
      </w:tr>
      <w:tr w14:paraId="6B4D886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040D6CB4">
            <w:pPr>
              <w:jc w:val="center"/>
              <w:rPr>
                <w:rFonts w:hint="eastAsia" w:ascii="宋体" w:hAnsi="宋体" w:eastAsia="宋体" w:cs="宋体"/>
                <w:sz w:val="24"/>
                <w:szCs w:val="24"/>
                <w:highlight w:val="none"/>
              </w:rPr>
            </w:pPr>
          </w:p>
        </w:tc>
        <w:tc>
          <w:tcPr>
            <w:tcW w:w="873" w:type="pct"/>
            <w:noWrap w:val="0"/>
            <w:vAlign w:val="center"/>
          </w:tcPr>
          <w:p w14:paraId="337A5A8E">
            <w:pPr>
              <w:jc w:val="center"/>
              <w:rPr>
                <w:rFonts w:hint="eastAsia" w:ascii="宋体" w:hAnsi="宋体" w:eastAsia="宋体" w:cs="宋体"/>
                <w:sz w:val="24"/>
                <w:szCs w:val="24"/>
                <w:highlight w:val="none"/>
              </w:rPr>
            </w:pPr>
          </w:p>
        </w:tc>
        <w:tc>
          <w:tcPr>
            <w:tcW w:w="1419" w:type="pct"/>
            <w:noWrap w:val="0"/>
            <w:vAlign w:val="center"/>
          </w:tcPr>
          <w:p w14:paraId="4A396D0A">
            <w:pPr>
              <w:jc w:val="center"/>
              <w:rPr>
                <w:rFonts w:hint="eastAsia" w:ascii="宋体" w:hAnsi="宋体" w:eastAsia="宋体" w:cs="宋体"/>
                <w:sz w:val="24"/>
                <w:szCs w:val="24"/>
                <w:highlight w:val="none"/>
              </w:rPr>
            </w:pPr>
          </w:p>
        </w:tc>
        <w:tc>
          <w:tcPr>
            <w:tcW w:w="1427" w:type="pct"/>
            <w:noWrap w:val="0"/>
            <w:vAlign w:val="center"/>
          </w:tcPr>
          <w:p w14:paraId="48BFE831">
            <w:pPr>
              <w:jc w:val="center"/>
              <w:rPr>
                <w:rFonts w:hint="eastAsia" w:ascii="宋体" w:hAnsi="宋体" w:eastAsia="宋体" w:cs="宋体"/>
                <w:sz w:val="24"/>
                <w:szCs w:val="24"/>
                <w:highlight w:val="none"/>
              </w:rPr>
            </w:pPr>
          </w:p>
        </w:tc>
        <w:tc>
          <w:tcPr>
            <w:tcW w:w="722" w:type="pct"/>
            <w:noWrap w:val="0"/>
            <w:vAlign w:val="center"/>
          </w:tcPr>
          <w:p w14:paraId="01FBC2B5">
            <w:pPr>
              <w:jc w:val="center"/>
              <w:rPr>
                <w:rFonts w:hint="eastAsia" w:ascii="宋体" w:hAnsi="宋体" w:eastAsia="宋体" w:cs="宋体"/>
                <w:sz w:val="24"/>
                <w:szCs w:val="24"/>
                <w:highlight w:val="none"/>
              </w:rPr>
            </w:pPr>
          </w:p>
        </w:tc>
      </w:tr>
      <w:tr w14:paraId="4E62FE7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27E4B05A">
            <w:pPr>
              <w:jc w:val="center"/>
              <w:rPr>
                <w:rFonts w:hint="eastAsia" w:ascii="宋体" w:hAnsi="宋体" w:eastAsia="宋体" w:cs="宋体"/>
                <w:sz w:val="24"/>
                <w:szCs w:val="24"/>
                <w:highlight w:val="none"/>
              </w:rPr>
            </w:pPr>
          </w:p>
        </w:tc>
        <w:tc>
          <w:tcPr>
            <w:tcW w:w="873" w:type="pct"/>
            <w:noWrap w:val="0"/>
            <w:vAlign w:val="center"/>
          </w:tcPr>
          <w:p w14:paraId="7E40A2EB">
            <w:pPr>
              <w:jc w:val="center"/>
              <w:rPr>
                <w:rFonts w:hint="eastAsia" w:ascii="宋体" w:hAnsi="宋体" w:eastAsia="宋体" w:cs="宋体"/>
                <w:sz w:val="24"/>
                <w:szCs w:val="24"/>
                <w:highlight w:val="none"/>
              </w:rPr>
            </w:pPr>
          </w:p>
        </w:tc>
        <w:tc>
          <w:tcPr>
            <w:tcW w:w="1419" w:type="pct"/>
            <w:noWrap w:val="0"/>
            <w:vAlign w:val="center"/>
          </w:tcPr>
          <w:p w14:paraId="1CC48B8C">
            <w:pPr>
              <w:jc w:val="center"/>
              <w:rPr>
                <w:rFonts w:hint="eastAsia" w:ascii="宋体" w:hAnsi="宋体" w:eastAsia="宋体" w:cs="宋体"/>
                <w:sz w:val="24"/>
                <w:szCs w:val="24"/>
                <w:highlight w:val="none"/>
              </w:rPr>
            </w:pPr>
          </w:p>
        </w:tc>
        <w:tc>
          <w:tcPr>
            <w:tcW w:w="1427" w:type="pct"/>
            <w:noWrap w:val="0"/>
            <w:vAlign w:val="center"/>
          </w:tcPr>
          <w:p w14:paraId="105C6F58">
            <w:pPr>
              <w:jc w:val="center"/>
              <w:rPr>
                <w:rFonts w:hint="eastAsia" w:ascii="宋体" w:hAnsi="宋体" w:eastAsia="宋体" w:cs="宋体"/>
                <w:sz w:val="24"/>
                <w:szCs w:val="24"/>
                <w:highlight w:val="none"/>
              </w:rPr>
            </w:pPr>
          </w:p>
        </w:tc>
        <w:tc>
          <w:tcPr>
            <w:tcW w:w="722" w:type="pct"/>
            <w:noWrap w:val="0"/>
            <w:vAlign w:val="center"/>
          </w:tcPr>
          <w:p w14:paraId="511711DF">
            <w:pPr>
              <w:jc w:val="center"/>
              <w:rPr>
                <w:rFonts w:hint="eastAsia" w:ascii="宋体" w:hAnsi="宋体" w:eastAsia="宋体" w:cs="宋体"/>
                <w:sz w:val="24"/>
                <w:szCs w:val="24"/>
                <w:highlight w:val="none"/>
              </w:rPr>
            </w:pPr>
          </w:p>
        </w:tc>
      </w:tr>
      <w:tr w14:paraId="71FDA77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4BA371D6">
            <w:pPr>
              <w:jc w:val="center"/>
              <w:rPr>
                <w:rFonts w:hint="eastAsia" w:ascii="宋体" w:hAnsi="宋体" w:eastAsia="宋体" w:cs="宋体"/>
                <w:sz w:val="24"/>
                <w:szCs w:val="24"/>
                <w:highlight w:val="none"/>
              </w:rPr>
            </w:pPr>
          </w:p>
        </w:tc>
        <w:tc>
          <w:tcPr>
            <w:tcW w:w="873" w:type="pct"/>
            <w:noWrap w:val="0"/>
            <w:vAlign w:val="center"/>
          </w:tcPr>
          <w:p w14:paraId="40F179F5">
            <w:pPr>
              <w:jc w:val="center"/>
              <w:rPr>
                <w:rFonts w:hint="eastAsia" w:ascii="宋体" w:hAnsi="宋体" w:eastAsia="宋体" w:cs="宋体"/>
                <w:sz w:val="24"/>
                <w:szCs w:val="24"/>
                <w:highlight w:val="none"/>
              </w:rPr>
            </w:pPr>
          </w:p>
        </w:tc>
        <w:tc>
          <w:tcPr>
            <w:tcW w:w="1419" w:type="pct"/>
            <w:noWrap w:val="0"/>
            <w:vAlign w:val="center"/>
          </w:tcPr>
          <w:p w14:paraId="6C8738F4">
            <w:pPr>
              <w:jc w:val="center"/>
              <w:rPr>
                <w:rFonts w:hint="eastAsia" w:ascii="宋体" w:hAnsi="宋体" w:eastAsia="宋体" w:cs="宋体"/>
                <w:sz w:val="24"/>
                <w:szCs w:val="24"/>
                <w:highlight w:val="none"/>
              </w:rPr>
            </w:pPr>
          </w:p>
        </w:tc>
        <w:tc>
          <w:tcPr>
            <w:tcW w:w="1427" w:type="pct"/>
            <w:noWrap w:val="0"/>
            <w:vAlign w:val="center"/>
          </w:tcPr>
          <w:p w14:paraId="17D4894A">
            <w:pPr>
              <w:jc w:val="center"/>
              <w:rPr>
                <w:rFonts w:hint="eastAsia" w:ascii="宋体" w:hAnsi="宋体" w:eastAsia="宋体" w:cs="宋体"/>
                <w:sz w:val="24"/>
                <w:szCs w:val="24"/>
                <w:highlight w:val="none"/>
              </w:rPr>
            </w:pPr>
          </w:p>
        </w:tc>
        <w:tc>
          <w:tcPr>
            <w:tcW w:w="722" w:type="pct"/>
            <w:noWrap w:val="0"/>
            <w:vAlign w:val="center"/>
          </w:tcPr>
          <w:p w14:paraId="12CD3AEC">
            <w:pPr>
              <w:jc w:val="center"/>
              <w:rPr>
                <w:rFonts w:hint="eastAsia" w:ascii="宋体" w:hAnsi="宋体" w:eastAsia="宋体" w:cs="宋体"/>
                <w:sz w:val="24"/>
                <w:szCs w:val="24"/>
                <w:highlight w:val="none"/>
              </w:rPr>
            </w:pPr>
          </w:p>
        </w:tc>
      </w:tr>
      <w:tr w14:paraId="25B0852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4FC8C0B9">
            <w:pPr>
              <w:jc w:val="center"/>
              <w:rPr>
                <w:rFonts w:hint="eastAsia" w:ascii="宋体" w:hAnsi="宋体" w:eastAsia="宋体" w:cs="宋体"/>
                <w:sz w:val="24"/>
                <w:szCs w:val="24"/>
                <w:highlight w:val="none"/>
              </w:rPr>
            </w:pPr>
          </w:p>
        </w:tc>
        <w:tc>
          <w:tcPr>
            <w:tcW w:w="873" w:type="pct"/>
            <w:noWrap w:val="0"/>
            <w:vAlign w:val="center"/>
          </w:tcPr>
          <w:p w14:paraId="77C38E77">
            <w:pPr>
              <w:jc w:val="center"/>
              <w:rPr>
                <w:rFonts w:hint="eastAsia" w:ascii="宋体" w:hAnsi="宋体" w:eastAsia="宋体" w:cs="宋体"/>
                <w:sz w:val="24"/>
                <w:szCs w:val="24"/>
                <w:highlight w:val="none"/>
              </w:rPr>
            </w:pPr>
          </w:p>
        </w:tc>
        <w:tc>
          <w:tcPr>
            <w:tcW w:w="1419" w:type="pct"/>
            <w:noWrap w:val="0"/>
            <w:vAlign w:val="center"/>
          </w:tcPr>
          <w:p w14:paraId="2B715D76">
            <w:pPr>
              <w:jc w:val="center"/>
              <w:rPr>
                <w:rFonts w:hint="eastAsia" w:ascii="宋体" w:hAnsi="宋体" w:eastAsia="宋体" w:cs="宋体"/>
                <w:sz w:val="24"/>
                <w:szCs w:val="24"/>
                <w:highlight w:val="none"/>
              </w:rPr>
            </w:pPr>
          </w:p>
        </w:tc>
        <w:tc>
          <w:tcPr>
            <w:tcW w:w="1427" w:type="pct"/>
            <w:noWrap w:val="0"/>
            <w:vAlign w:val="center"/>
          </w:tcPr>
          <w:p w14:paraId="4E56183C">
            <w:pPr>
              <w:jc w:val="center"/>
              <w:rPr>
                <w:rFonts w:hint="eastAsia" w:ascii="宋体" w:hAnsi="宋体" w:eastAsia="宋体" w:cs="宋体"/>
                <w:sz w:val="24"/>
                <w:szCs w:val="24"/>
                <w:highlight w:val="none"/>
              </w:rPr>
            </w:pPr>
          </w:p>
        </w:tc>
        <w:tc>
          <w:tcPr>
            <w:tcW w:w="722" w:type="pct"/>
            <w:noWrap w:val="0"/>
            <w:vAlign w:val="center"/>
          </w:tcPr>
          <w:p w14:paraId="7966BA23">
            <w:pPr>
              <w:jc w:val="center"/>
              <w:rPr>
                <w:rFonts w:hint="eastAsia" w:ascii="宋体" w:hAnsi="宋体" w:eastAsia="宋体" w:cs="宋体"/>
                <w:sz w:val="24"/>
                <w:szCs w:val="24"/>
                <w:highlight w:val="none"/>
              </w:rPr>
            </w:pPr>
          </w:p>
        </w:tc>
      </w:tr>
      <w:tr w14:paraId="79B88A6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45D78DF1">
            <w:pPr>
              <w:jc w:val="center"/>
              <w:rPr>
                <w:rFonts w:hint="eastAsia" w:ascii="宋体" w:hAnsi="宋体" w:eastAsia="宋体" w:cs="宋体"/>
                <w:sz w:val="24"/>
                <w:szCs w:val="24"/>
                <w:highlight w:val="none"/>
              </w:rPr>
            </w:pPr>
          </w:p>
        </w:tc>
        <w:tc>
          <w:tcPr>
            <w:tcW w:w="873" w:type="pct"/>
            <w:noWrap w:val="0"/>
            <w:vAlign w:val="center"/>
          </w:tcPr>
          <w:p w14:paraId="715EB235">
            <w:pPr>
              <w:jc w:val="center"/>
              <w:rPr>
                <w:rFonts w:hint="eastAsia" w:ascii="宋体" w:hAnsi="宋体" w:eastAsia="宋体" w:cs="宋体"/>
                <w:sz w:val="24"/>
                <w:szCs w:val="24"/>
                <w:highlight w:val="none"/>
              </w:rPr>
            </w:pPr>
          </w:p>
        </w:tc>
        <w:tc>
          <w:tcPr>
            <w:tcW w:w="1419" w:type="pct"/>
            <w:noWrap w:val="0"/>
            <w:vAlign w:val="center"/>
          </w:tcPr>
          <w:p w14:paraId="5E4496B4">
            <w:pPr>
              <w:jc w:val="center"/>
              <w:rPr>
                <w:rFonts w:hint="eastAsia" w:ascii="宋体" w:hAnsi="宋体" w:eastAsia="宋体" w:cs="宋体"/>
                <w:sz w:val="24"/>
                <w:szCs w:val="24"/>
                <w:highlight w:val="none"/>
              </w:rPr>
            </w:pPr>
          </w:p>
        </w:tc>
        <w:tc>
          <w:tcPr>
            <w:tcW w:w="1427" w:type="pct"/>
            <w:noWrap w:val="0"/>
            <w:vAlign w:val="center"/>
          </w:tcPr>
          <w:p w14:paraId="73AF3513">
            <w:pPr>
              <w:jc w:val="center"/>
              <w:rPr>
                <w:rFonts w:hint="eastAsia" w:ascii="宋体" w:hAnsi="宋体" w:eastAsia="宋体" w:cs="宋体"/>
                <w:sz w:val="24"/>
                <w:szCs w:val="24"/>
                <w:highlight w:val="none"/>
              </w:rPr>
            </w:pPr>
          </w:p>
        </w:tc>
        <w:tc>
          <w:tcPr>
            <w:tcW w:w="722" w:type="pct"/>
            <w:noWrap w:val="0"/>
            <w:vAlign w:val="center"/>
          </w:tcPr>
          <w:p w14:paraId="347B9EEC">
            <w:pPr>
              <w:jc w:val="center"/>
              <w:rPr>
                <w:rFonts w:hint="eastAsia" w:ascii="宋体" w:hAnsi="宋体" w:eastAsia="宋体" w:cs="宋体"/>
                <w:sz w:val="24"/>
                <w:szCs w:val="24"/>
                <w:highlight w:val="none"/>
              </w:rPr>
            </w:pPr>
          </w:p>
        </w:tc>
      </w:tr>
      <w:tr w14:paraId="592EA9B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54E2F059">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442" w:type="pct"/>
            <w:gridSpan w:val="4"/>
            <w:noWrap w:val="0"/>
            <w:vAlign w:val="center"/>
          </w:tcPr>
          <w:p w14:paraId="2FC0227C">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完全接受”的条款无需在本表中列出，按表下方所做“声明”执行；对于需要供应商填报的内容，以及“不能接受”或“有条件接受”的条款，则应写明该条款名称及条款明细、以及供应商所能接受的条件。</w:t>
            </w:r>
          </w:p>
          <w:p w14:paraId="4CDD692F">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2．因表格空间因有限，不足以容纳响应内容时，允许在表后进行响应，但须在表中注明引用位置，如“见本表下方3.1.1”。</w:t>
            </w:r>
          </w:p>
        </w:tc>
      </w:tr>
    </w:tbl>
    <w:p w14:paraId="3253497F">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声明：除上表所列的合同条款外，招标文件中的其他合同条款我方均完全接受。</w:t>
      </w:r>
    </w:p>
    <w:p w14:paraId="2672452C">
      <w:pPr>
        <w:spacing w:line="560" w:lineRule="exact"/>
        <w:ind w:firstLine="480" w:firstLineChars="200"/>
        <w:jc w:val="both"/>
        <w:rPr>
          <w:rFonts w:hint="eastAsia"/>
          <w:highlight w:val="none"/>
        </w:rPr>
      </w:pPr>
      <w:r>
        <w:rPr>
          <w:rFonts w:hint="eastAsia" w:ascii="宋体" w:hAnsi="宋体" w:eastAsia="宋体" w:cs="宋体"/>
          <w:b/>
          <w:bCs/>
          <w:sz w:val="24"/>
          <w:szCs w:val="24"/>
          <w:highlight w:val="none"/>
        </w:rPr>
        <w:t>注：如无偏差，供应商不需要填表，但应声明：“本投标文件完全响应</w:t>
      </w:r>
      <w:r>
        <w:rPr>
          <w:rFonts w:hint="eastAsia" w:ascii="宋体" w:hAnsi="宋体" w:eastAsia="宋体" w:cs="宋体"/>
          <w:b/>
          <w:bCs/>
          <w:sz w:val="24"/>
          <w:szCs w:val="24"/>
          <w:highlight w:val="none"/>
          <w:lang w:eastAsia="zh-CN"/>
        </w:rPr>
        <w:t>招</w:t>
      </w:r>
      <w:r>
        <w:rPr>
          <w:rFonts w:hint="eastAsia" w:ascii="宋体" w:hAnsi="宋体" w:eastAsia="宋体" w:cs="宋体"/>
          <w:b/>
          <w:bCs/>
          <w:sz w:val="24"/>
          <w:szCs w:val="24"/>
          <w:highlight w:val="none"/>
        </w:rPr>
        <w:t>标文件所有条款的要求，无偏离。</w:t>
      </w:r>
      <w:r>
        <w:rPr>
          <w:rFonts w:hint="eastAsia" w:ascii="宋体" w:hAnsi="宋体" w:eastAsia="宋体" w:cs="宋体"/>
          <w:sz w:val="24"/>
          <w:szCs w:val="24"/>
          <w:highlight w:val="none"/>
        </w:rPr>
        <w:t>”</w:t>
      </w:r>
    </w:p>
    <w:p w14:paraId="2A6E62E9">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3C9B205C">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6DB36BB3">
      <w:pPr>
        <w:pStyle w:val="97"/>
        <w:keepNext/>
        <w:keepLines w:val="0"/>
        <w:pageBreakBefore w:val="0"/>
        <w:widowControl/>
        <w:kinsoku/>
        <w:wordWrap/>
        <w:overflowPunct/>
        <w:topLinePunct w:val="0"/>
        <w:autoSpaceDE/>
        <w:autoSpaceDN/>
        <w:bidi w:val="0"/>
        <w:adjustRightInd/>
        <w:snapToGrid/>
        <w:spacing w:before="0" w:beforeLines="0" w:after="0" w:afterLines="0"/>
        <w:ind w:left="0" w:leftChars="0" w:firstLine="0" w:firstLineChars="0"/>
        <w:textAlignment w:val="auto"/>
        <w:outlineLvl w:val="2"/>
        <w:rPr>
          <w:rFonts w:hint="eastAsia" w:ascii="宋体" w:hAnsi="宋体" w:eastAsia="宋体" w:cs="宋体"/>
          <w:sz w:val="28"/>
          <w:szCs w:val="28"/>
          <w:highlight w:val="none"/>
        </w:rPr>
      </w:pPr>
      <w:r>
        <w:rPr>
          <w:rFonts w:hint="eastAsia" w:ascii="宋体" w:hAnsi="宋体" w:eastAsia="宋体" w:cs="宋体"/>
          <w:sz w:val="24"/>
          <w:szCs w:val="24"/>
          <w:highlight w:val="none"/>
        </w:rPr>
        <w:br w:type="page"/>
      </w:r>
      <w:r>
        <w:rPr>
          <w:rFonts w:hint="eastAsia" w:ascii="宋体" w:hAnsi="宋体" w:eastAsia="宋体" w:cs="宋体"/>
          <w:sz w:val="28"/>
          <w:szCs w:val="28"/>
          <w:highlight w:val="none"/>
        </w:rPr>
        <w:t>（四）其他需要供应商提供的材料</w:t>
      </w:r>
    </w:p>
    <w:p w14:paraId="7D7ACB89">
      <w:pPr>
        <w:spacing w:line="560" w:lineRule="exact"/>
        <w:ind w:firstLine="480" w:firstLineChars="200"/>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1．项目实施人员情况表</w:t>
      </w:r>
    </w:p>
    <w:tbl>
      <w:tblPr>
        <w:tblStyle w:val="28"/>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4"/>
        <w:gridCol w:w="1041"/>
        <w:gridCol w:w="1361"/>
        <w:gridCol w:w="26"/>
        <w:gridCol w:w="1467"/>
        <w:gridCol w:w="18"/>
        <w:gridCol w:w="8"/>
        <w:gridCol w:w="1697"/>
        <w:gridCol w:w="1874"/>
        <w:gridCol w:w="1220"/>
      </w:tblGrid>
      <w:tr w14:paraId="45331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5000" w:type="pct"/>
            <w:gridSpan w:val="10"/>
            <w:tcBorders>
              <w:top w:val="single" w:color="auto" w:sz="12" w:space="0"/>
              <w:left w:val="single" w:color="auto" w:sz="12" w:space="0"/>
              <w:bottom w:val="single" w:color="auto" w:sz="6" w:space="0"/>
              <w:right w:val="single" w:color="auto" w:sz="12" w:space="0"/>
            </w:tcBorders>
            <w:shd w:val="clear" w:color="auto" w:fill="F1F1F1"/>
            <w:noWrap w:val="0"/>
            <w:vAlign w:val="center"/>
          </w:tcPr>
          <w:p w14:paraId="572C4C84">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项目负责人</w:t>
            </w:r>
          </w:p>
        </w:tc>
      </w:tr>
      <w:tr w14:paraId="51F32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17D5B74B">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4" w:type="pct"/>
            <w:tcBorders>
              <w:left w:val="single" w:color="auto" w:sz="6" w:space="0"/>
            </w:tcBorders>
            <w:noWrap w:val="0"/>
            <w:vAlign w:val="center"/>
          </w:tcPr>
          <w:p w14:paraId="6B7247FF">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85" w:type="pct"/>
            <w:noWrap w:val="0"/>
            <w:vAlign w:val="center"/>
          </w:tcPr>
          <w:p w14:paraId="3697B641">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资格</w:t>
            </w:r>
          </w:p>
        </w:tc>
        <w:tc>
          <w:tcPr>
            <w:tcW w:w="751" w:type="pct"/>
            <w:gridSpan w:val="2"/>
            <w:noWrap w:val="0"/>
            <w:vAlign w:val="center"/>
          </w:tcPr>
          <w:p w14:paraId="4E941FC4">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67" w:type="pct"/>
            <w:gridSpan w:val="3"/>
            <w:noWrap w:val="0"/>
            <w:vAlign w:val="center"/>
          </w:tcPr>
          <w:p w14:paraId="7A3F0867">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在本行业从业工作年限</w:t>
            </w:r>
          </w:p>
        </w:tc>
        <w:tc>
          <w:tcPr>
            <w:tcW w:w="943" w:type="pct"/>
            <w:tcBorders>
              <w:right w:val="single" w:color="auto" w:sz="2" w:space="0"/>
            </w:tcBorders>
            <w:noWrap w:val="0"/>
            <w:vAlign w:val="center"/>
          </w:tcPr>
          <w:p w14:paraId="6D3150DF">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0" w:type="pct"/>
            <w:tcBorders>
              <w:left w:val="single" w:color="auto" w:sz="2" w:space="0"/>
              <w:right w:val="single" w:color="auto" w:sz="12" w:space="0"/>
            </w:tcBorders>
            <w:noWrap w:val="0"/>
            <w:vAlign w:val="center"/>
          </w:tcPr>
          <w:p w14:paraId="7D6A84C5">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4C09D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7595FAB3">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3F516286">
            <w:pPr>
              <w:jc w:val="both"/>
              <w:rPr>
                <w:rFonts w:hint="eastAsia" w:ascii="宋体" w:hAnsi="宋体" w:eastAsia="宋体" w:cs="宋体"/>
                <w:sz w:val="24"/>
                <w:szCs w:val="24"/>
                <w:highlight w:val="none"/>
              </w:rPr>
            </w:pPr>
          </w:p>
        </w:tc>
        <w:tc>
          <w:tcPr>
            <w:tcW w:w="685" w:type="pct"/>
            <w:noWrap w:val="0"/>
            <w:vAlign w:val="center"/>
          </w:tcPr>
          <w:p w14:paraId="51C13DA0">
            <w:pPr>
              <w:jc w:val="both"/>
              <w:rPr>
                <w:rFonts w:hint="eastAsia" w:ascii="宋体" w:hAnsi="宋体" w:eastAsia="宋体" w:cs="宋体"/>
                <w:sz w:val="24"/>
                <w:szCs w:val="24"/>
                <w:highlight w:val="none"/>
              </w:rPr>
            </w:pPr>
          </w:p>
        </w:tc>
        <w:tc>
          <w:tcPr>
            <w:tcW w:w="751" w:type="pct"/>
            <w:gridSpan w:val="2"/>
            <w:noWrap w:val="0"/>
            <w:vAlign w:val="center"/>
          </w:tcPr>
          <w:p w14:paraId="3A49D94D">
            <w:pPr>
              <w:jc w:val="both"/>
              <w:rPr>
                <w:rFonts w:hint="eastAsia" w:ascii="宋体" w:hAnsi="宋体" w:eastAsia="宋体" w:cs="宋体"/>
                <w:sz w:val="24"/>
                <w:szCs w:val="24"/>
                <w:highlight w:val="none"/>
              </w:rPr>
            </w:pPr>
          </w:p>
        </w:tc>
        <w:tc>
          <w:tcPr>
            <w:tcW w:w="867" w:type="pct"/>
            <w:gridSpan w:val="3"/>
            <w:noWrap w:val="0"/>
            <w:vAlign w:val="center"/>
          </w:tcPr>
          <w:p w14:paraId="3214C126">
            <w:pPr>
              <w:jc w:val="both"/>
              <w:rPr>
                <w:rFonts w:hint="eastAsia" w:ascii="宋体" w:hAnsi="宋体" w:eastAsia="宋体" w:cs="宋体"/>
                <w:sz w:val="24"/>
                <w:szCs w:val="24"/>
                <w:highlight w:val="none"/>
              </w:rPr>
            </w:pPr>
          </w:p>
        </w:tc>
        <w:tc>
          <w:tcPr>
            <w:tcW w:w="943" w:type="pct"/>
            <w:tcBorders>
              <w:right w:val="single" w:color="auto" w:sz="2" w:space="0"/>
            </w:tcBorders>
            <w:noWrap w:val="0"/>
            <w:vAlign w:val="center"/>
          </w:tcPr>
          <w:p w14:paraId="5136445B">
            <w:pPr>
              <w:jc w:val="both"/>
              <w:rPr>
                <w:rFonts w:hint="eastAsia" w:ascii="宋体" w:hAnsi="宋体" w:eastAsia="宋体" w:cs="宋体"/>
                <w:sz w:val="24"/>
                <w:szCs w:val="24"/>
                <w:highlight w:val="none"/>
              </w:rPr>
            </w:pPr>
          </w:p>
        </w:tc>
        <w:tc>
          <w:tcPr>
            <w:tcW w:w="610" w:type="pct"/>
            <w:tcBorders>
              <w:left w:val="single" w:color="auto" w:sz="2" w:space="0"/>
              <w:right w:val="single" w:color="auto" w:sz="12" w:space="0"/>
            </w:tcBorders>
            <w:noWrap w:val="0"/>
            <w:vAlign w:val="center"/>
          </w:tcPr>
          <w:p w14:paraId="6C2D0532">
            <w:pPr>
              <w:jc w:val="both"/>
              <w:rPr>
                <w:rFonts w:hint="eastAsia" w:ascii="宋体" w:hAnsi="宋体" w:eastAsia="宋体" w:cs="宋体"/>
                <w:sz w:val="24"/>
                <w:szCs w:val="24"/>
                <w:highlight w:val="none"/>
              </w:rPr>
            </w:pPr>
          </w:p>
        </w:tc>
      </w:tr>
      <w:tr w14:paraId="397C7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58422545">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01E11DB7">
            <w:pPr>
              <w:jc w:val="both"/>
              <w:rPr>
                <w:rFonts w:hint="eastAsia" w:ascii="宋体" w:hAnsi="宋体" w:eastAsia="宋体" w:cs="宋体"/>
                <w:sz w:val="24"/>
                <w:szCs w:val="24"/>
                <w:highlight w:val="none"/>
              </w:rPr>
            </w:pPr>
          </w:p>
        </w:tc>
        <w:tc>
          <w:tcPr>
            <w:tcW w:w="685" w:type="pct"/>
            <w:noWrap w:val="0"/>
            <w:vAlign w:val="center"/>
          </w:tcPr>
          <w:p w14:paraId="073C303D">
            <w:pPr>
              <w:jc w:val="both"/>
              <w:rPr>
                <w:rFonts w:hint="eastAsia" w:ascii="宋体" w:hAnsi="宋体" w:eastAsia="宋体" w:cs="宋体"/>
                <w:sz w:val="24"/>
                <w:szCs w:val="24"/>
                <w:highlight w:val="none"/>
              </w:rPr>
            </w:pPr>
          </w:p>
        </w:tc>
        <w:tc>
          <w:tcPr>
            <w:tcW w:w="751" w:type="pct"/>
            <w:gridSpan w:val="2"/>
            <w:noWrap w:val="0"/>
            <w:vAlign w:val="center"/>
          </w:tcPr>
          <w:p w14:paraId="5482349C">
            <w:pPr>
              <w:jc w:val="both"/>
              <w:rPr>
                <w:rFonts w:hint="eastAsia" w:ascii="宋体" w:hAnsi="宋体" w:eastAsia="宋体" w:cs="宋体"/>
                <w:sz w:val="24"/>
                <w:szCs w:val="24"/>
                <w:highlight w:val="none"/>
              </w:rPr>
            </w:pPr>
          </w:p>
        </w:tc>
        <w:tc>
          <w:tcPr>
            <w:tcW w:w="867" w:type="pct"/>
            <w:gridSpan w:val="3"/>
            <w:noWrap w:val="0"/>
            <w:vAlign w:val="center"/>
          </w:tcPr>
          <w:p w14:paraId="799C2A73">
            <w:pPr>
              <w:jc w:val="both"/>
              <w:rPr>
                <w:rFonts w:hint="eastAsia" w:ascii="宋体" w:hAnsi="宋体" w:eastAsia="宋体" w:cs="宋体"/>
                <w:sz w:val="24"/>
                <w:szCs w:val="24"/>
                <w:highlight w:val="none"/>
              </w:rPr>
            </w:pPr>
          </w:p>
        </w:tc>
        <w:tc>
          <w:tcPr>
            <w:tcW w:w="943" w:type="pct"/>
            <w:tcBorders>
              <w:right w:val="single" w:color="auto" w:sz="2" w:space="0"/>
            </w:tcBorders>
            <w:noWrap w:val="0"/>
            <w:vAlign w:val="center"/>
          </w:tcPr>
          <w:p w14:paraId="2F7D0712">
            <w:pPr>
              <w:jc w:val="both"/>
              <w:rPr>
                <w:rFonts w:hint="eastAsia" w:ascii="宋体" w:hAnsi="宋体" w:eastAsia="宋体" w:cs="宋体"/>
                <w:sz w:val="24"/>
                <w:szCs w:val="24"/>
                <w:highlight w:val="none"/>
              </w:rPr>
            </w:pPr>
          </w:p>
        </w:tc>
        <w:tc>
          <w:tcPr>
            <w:tcW w:w="610" w:type="pct"/>
            <w:tcBorders>
              <w:left w:val="single" w:color="auto" w:sz="2" w:space="0"/>
              <w:right w:val="single" w:color="auto" w:sz="12" w:space="0"/>
            </w:tcBorders>
            <w:noWrap w:val="0"/>
            <w:vAlign w:val="center"/>
          </w:tcPr>
          <w:p w14:paraId="00384863">
            <w:pPr>
              <w:jc w:val="both"/>
              <w:rPr>
                <w:rFonts w:hint="eastAsia" w:ascii="宋体" w:hAnsi="宋体" w:eastAsia="宋体" w:cs="宋体"/>
                <w:sz w:val="24"/>
                <w:szCs w:val="24"/>
                <w:highlight w:val="none"/>
              </w:rPr>
            </w:pPr>
          </w:p>
        </w:tc>
      </w:tr>
      <w:tr w14:paraId="3C83C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noWrap w:val="0"/>
            <w:vAlign w:val="center"/>
          </w:tcPr>
          <w:p w14:paraId="08A869A4">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管理人员</w:t>
            </w:r>
          </w:p>
        </w:tc>
      </w:tr>
      <w:tr w14:paraId="036F2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49B4F1D7">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4" w:type="pct"/>
            <w:tcBorders>
              <w:left w:val="single" w:color="auto" w:sz="6" w:space="0"/>
            </w:tcBorders>
            <w:noWrap w:val="0"/>
            <w:vAlign w:val="center"/>
          </w:tcPr>
          <w:p w14:paraId="61F6F151">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85" w:type="pct"/>
            <w:noWrap w:val="0"/>
            <w:vAlign w:val="center"/>
          </w:tcPr>
          <w:p w14:paraId="1C94F6FF">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资格</w:t>
            </w:r>
          </w:p>
        </w:tc>
        <w:tc>
          <w:tcPr>
            <w:tcW w:w="760" w:type="pct"/>
            <w:gridSpan w:val="3"/>
            <w:noWrap w:val="0"/>
            <w:vAlign w:val="center"/>
          </w:tcPr>
          <w:p w14:paraId="07C1AFA4">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58" w:type="pct"/>
            <w:gridSpan w:val="2"/>
            <w:noWrap w:val="0"/>
            <w:vAlign w:val="center"/>
          </w:tcPr>
          <w:p w14:paraId="55901CD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在本行业从业工作年限</w:t>
            </w:r>
          </w:p>
        </w:tc>
        <w:tc>
          <w:tcPr>
            <w:tcW w:w="943" w:type="pct"/>
            <w:noWrap w:val="0"/>
            <w:vAlign w:val="center"/>
          </w:tcPr>
          <w:p w14:paraId="69C483EA">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0" w:type="pct"/>
            <w:tcBorders>
              <w:right w:val="single" w:color="auto" w:sz="12" w:space="0"/>
            </w:tcBorders>
            <w:noWrap w:val="0"/>
            <w:vAlign w:val="center"/>
          </w:tcPr>
          <w:p w14:paraId="454CC34C">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24707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73796D18">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00A036E3">
            <w:pPr>
              <w:jc w:val="both"/>
              <w:rPr>
                <w:rFonts w:hint="eastAsia" w:ascii="宋体" w:hAnsi="宋体" w:eastAsia="宋体" w:cs="宋体"/>
                <w:sz w:val="24"/>
                <w:szCs w:val="24"/>
                <w:highlight w:val="none"/>
              </w:rPr>
            </w:pPr>
          </w:p>
        </w:tc>
        <w:tc>
          <w:tcPr>
            <w:tcW w:w="685" w:type="pct"/>
            <w:noWrap w:val="0"/>
            <w:vAlign w:val="center"/>
          </w:tcPr>
          <w:p w14:paraId="2AB3C5C1">
            <w:pPr>
              <w:jc w:val="both"/>
              <w:rPr>
                <w:rFonts w:hint="eastAsia" w:ascii="宋体" w:hAnsi="宋体" w:eastAsia="宋体" w:cs="宋体"/>
                <w:sz w:val="24"/>
                <w:szCs w:val="24"/>
                <w:highlight w:val="none"/>
              </w:rPr>
            </w:pPr>
          </w:p>
        </w:tc>
        <w:tc>
          <w:tcPr>
            <w:tcW w:w="760" w:type="pct"/>
            <w:gridSpan w:val="3"/>
            <w:noWrap w:val="0"/>
            <w:vAlign w:val="center"/>
          </w:tcPr>
          <w:p w14:paraId="198691CA">
            <w:pPr>
              <w:jc w:val="both"/>
              <w:rPr>
                <w:rFonts w:hint="eastAsia" w:ascii="宋体" w:hAnsi="宋体" w:eastAsia="宋体" w:cs="宋体"/>
                <w:sz w:val="24"/>
                <w:szCs w:val="24"/>
                <w:highlight w:val="none"/>
              </w:rPr>
            </w:pPr>
          </w:p>
        </w:tc>
        <w:tc>
          <w:tcPr>
            <w:tcW w:w="858" w:type="pct"/>
            <w:gridSpan w:val="2"/>
            <w:noWrap w:val="0"/>
            <w:vAlign w:val="center"/>
          </w:tcPr>
          <w:p w14:paraId="586100C0">
            <w:pPr>
              <w:jc w:val="both"/>
              <w:rPr>
                <w:rFonts w:hint="eastAsia" w:ascii="宋体" w:hAnsi="宋体" w:eastAsia="宋体" w:cs="宋体"/>
                <w:sz w:val="24"/>
                <w:szCs w:val="24"/>
                <w:highlight w:val="none"/>
              </w:rPr>
            </w:pPr>
          </w:p>
        </w:tc>
        <w:tc>
          <w:tcPr>
            <w:tcW w:w="943" w:type="pct"/>
            <w:noWrap w:val="0"/>
            <w:vAlign w:val="center"/>
          </w:tcPr>
          <w:p w14:paraId="2D4AB3F4">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1D2BB86E">
            <w:pPr>
              <w:jc w:val="both"/>
              <w:rPr>
                <w:rFonts w:hint="eastAsia" w:ascii="宋体" w:hAnsi="宋体" w:eastAsia="宋体" w:cs="宋体"/>
                <w:sz w:val="24"/>
                <w:szCs w:val="24"/>
                <w:highlight w:val="none"/>
              </w:rPr>
            </w:pPr>
          </w:p>
        </w:tc>
      </w:tr>
      <w:tr w14:paraId="31B8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69FA24D1">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28E20892">
            <w:pPr>
              <w:jc w:val="both"/>
              <w:rPr>
                <w:rFonts w:hint="eastAsia" w:ascii="宋体" w:hAnsi="宋体" w:eastAsia="宋体" w:cs="宋体"/>
                <w:sz w:val="24"/>
                <w:szCs w:val="24"/>
                <w:highlight w:val="none"/>
              </w:rPr>
            </w:pPr>
          </w:p>
        </w:tc>
        <w:tc>
          <w:tcPr>
            <w:tcW w:w="685" w:type="pct"/>
            <w:noWrap w:val="0"/>
            <w:vAlign w:val="center"/>
          </w:tcPr>
          <w:p w14:paraId="7D6EEA3D">
            <w:pPr>
              <w:jc w:val="both"/>
              <w:rPr>
                <w:rFonts w:hint="eastAsia" w:ascii="宋体" w:hAnsi="宋体" w:eastAsia="宋体" w:cs="宋体"/>
                <w:sz w:val="24"/>
                <w:szCs w:val="24"/>
                <w:highlight w:val="none"/>
              </w:rPr>
            </w:pPr>
          </w:p>
        </w:tc>
        <w:tc>
          <w:tcPr>
            <w:tcW w:w="760" w:type="pct"/>
            <w:gridSpan w:val="3"/>
            <w:noWrap w:val="0"/>
            <w:vAlign w:val="center"/>
          </w:tcPr>
          <w:p w14:paraId="7EAD6A70">
            <w:pPr>
              <w:jc w:val="both"/>
              <w:rPr>
                <w:rFonts w:hint="eastAsia" w:ascii="宋体" w:hAnsi="宋体" w:eastAsia="宋体" w:cs="宋体"/>
                <w:sz w:val="24"/>
                <w:szCs w:val="24"/>
                <w:highlight w:val="none"/>
              </w:rPr>
            </w:pPr>
          </w:p>
        </w:tc>
        <w:tc>
          <w:tcPr>
            <w:tcW w:w="858" w:type="pct"/>
            <w:gridSpan w:val="2"/>
            <w:noWrap w:val="0"/>
            <w:vAlign w:val="center"/>
          </w:tcPr>
          <w:p w14:paraId="0A7536B8">
            <w:pPr>
              <w:jc w:val="both"/>
              <w:rPr>
                <w:rFonts w:hint="eastAsia" w:ascii="宋体" w:hAnsi="宋体" w:eastAsia="宋体" w:cs="宋体"/>
                <w:sz w:val="24"/>
                <w:szCs w:val="24"/>
                <w:highlight w:val="none"/>
              </w:rPr>
            </w:pPr>
          </w:p>
        </w:tc>
        <w:tc>
          <w:tcPr>
            <w:tcW w:w="943" w:type="pct"/>
            <w:noWrap w:val="0"/>
            <w:vAlign w:val="center"/>
          </w:tcPr>
          <w:p w14:paraId="63034914">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0F5C0E3A">
            <w:pPr>
              <w:jc w:val="both"/>
              <w:rPr>
                <w:rFonts w:hint="eastAsia" w:ascii="宋体" w:hAnsi="宋体" w:eastAsia="宋体" w:cs="宋体"/>
                <w:sz w:val="24"/>
                <w:szCs w:val="24"/>
                <w:highlight w:val="none"/>
              </w:rPr>
            </w:pPr>
          </w:p>
        </w:tc>
      </w:tr>
      <w:tr w14:paraId="77273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noWrap w:val="0"/>
            <w:vAlign w:val="center"/>
          </w:tcPr>
          <w:p w14:paraId="214183EA">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技术人员/服务人员</w:t>
            </w:r>
          </w:p>
        </w:tc>
      </w:tr>
      <w:tr w14:paraId="62CD0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44FD7CBD">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4" w:type="pct"/>
            <w:tcBorders>
              <w:left w:val="single" w:color="auto" w:sz="6" w:space="0"/>
            </w:tcBorders>
            <w:noWrap w:val="0"/>
            <w:vAlign w:val="center"/>
          </w:tcPr>
          <w:p w14:paraId="5B0FDE5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98" w:type="pct"/>
            <w:gridSpan w:val="2"/>
            <w:tcBorders>
              <w:right w:val="single" w:color="auto" w:sz="2" w:space="0"/>
            </w:tcBorders>
            <w:noWrap w:val="0"/>
            <w:vAlign w:val="center"/>
          </w:tcPr>
          <w:p w14:paraId="52BCA90C">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学历</w:t>
            </w:r>
          </w:p>
        </w:tc>
        <w:tc>
          <w:tcPr>
            <w:tcW w:w="751" w:type="pct"/>
            <w:gridSpan w:val="3"/>
            <w:tcBorders>
              <w:left w:val="single" w:color="auto" w:sz="2" w:space="0"/>
            </w:tcBorders>
            <w:noWrap w:val="0"/>
            <w:vAlign w:val="center"/>
          </w:tcPr>
          <w:p w14:paraId="72E13140">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54" w:type="pct"/>
            <w:noWrap w:val="0"/>
            <w:vAlign w:val="center"/>
          </w:tcPr>
          <w:p w14:paraId="7FF64206">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从事类似项目工作年限</w:t>
            </w:r>
          </w:p>
        </w:tc>
        <w:tc>
          <w:tcPr>
            <w:tcW w:w="943" w:type="pct"/>
            <w:noWrap w:val="0"/>
            <w:vAlign w:val="center"/>
          </w:tcPr>
          <w:p w14:paraId="79F5D32B">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0" w:type="pct"/>
            <w:tcBorders>
              <w:right w:val="single" w:color="auto" w:sz="12" w:space="0"/>
            </w:tcBorders>
            <w:noWrap w:val="0"/>
            <w:vAlign w:val="center"/>
          </w:tcPr>
          <w:p w14:paraId="390A936B">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5CC6A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019C84BE">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32905AA2">
            <w:pPr>
              <w:jc w:val="both"/>
              <w:rPr>
                <w:rFonts w:hint="eastAsia" w:ascii="宋体" w:hAnsi="宋体" w:eastAsia="宋体" w:cs="宋体"/>
                <w:sz w:val="24"/>
                <w:szCs w:val="24"/>
                <w:highlight w:val="none"/>
              </w:rPr>
            </w:pPr>
          </w:p>
        </w:tc>
        <w:tc>
          <w:tcPr>
            <w:tcW w:w="698" w:type="pct"/>
            <w:gridSpan w:val="2"/>
            <w:tcBorders>
              <w:right w:val="single" w:color="auto" w:sz="2" w:space="0"/>
            </w:tcBorders>
            <w:noWrap w:val="0"/>
            <w:vAlign w:val="center"/>
          </w:tcPr>
          <w:p w14:paraId="4B8DD233">
            <w:pPr>
              <w:jc w:val="both"/>
              <w:rPr>
                <w:rFonts w:hint="eastAsia" w:ascii="宋体" w:hAnsi="宋体" w:eastAsia="宋体" w:cs="宋体"/>
                <w:sz w:val="24"/>
                <w:szCs w:val="24"/>
                <w:highlight w:val="none"/>
              </w:rPr>
            </w:pPr>
          </w:p>
        </w:tc>
        <w:tc>
          <w:tcPr>
            <w:tcW w:w="751" w:type="pct"/>
            <w:gridSpan w:val="3"/>
            <w:tcBorders>
              <w:left w:val="single" w:color="auto" w:sz="2" w:space="0"/>
            </w:tcBorders>
            <w:noWrap w:val="0"/>
            <w:vAlign w:val="center"/>
          </w:tcPr>
          <w:p w14:paraId="76A0F5FA">
            <w:pPr>
              <w:jc w:val="both"/>
              <w:rPr>
                <w:rFonts w:hint="eastAsia" w:ascii="宋体" w:hAnsi="宋体" w:eastAsia="宋体" w:cs="宋体"/>
                <w:sz w:val="24"/>
                <w:szCs w:val="24"/>
                <w:highlight w:val="none"/>
              </w:rPr>
            </w:pPr>
          </w:p>
        </w:tc>
        <w:tc>
          <w:tcPr>
            <w:tcW w:w="854" w:type="pct"/>
            <w:noWrap w:val="0"/>
            <w:vAlign w:val="center"/>
          </w:tcPr>
          <w:p w14:paraId="2BB61549">
            <w:pPr>
              <w:jc w:val="both"/>
              <w:rPr>
                <w:rFonts w:hint="eastAsia" w:ascii="宋体" w:hAnsi="宋体" w:eastAsia="宋体" w:cs="宋体"/>
                <w:sz w:val="24"/>
                <w:szCs w:val="24"/>
                <w:highlight w:val="none"/>
              </w:rPr>
            </w:pPr>
          </w:p>
        </w:tc>
        <w:tc>
          <w:tcPr>
            <w:tcW w:w="943" w:type="pct"/>
            <w:noWrap w:val="0"/>
            <w:vAlign w:val="center"/>
          </w:tcPr>
          <w:p w14:paraId="34506567">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54EDEAA1">
            <w:pPr>
              <w:jc w:val="both"/>
              <w:rPr>
                <w:rFonts w:hint="eastAsia" w:ascii="宋体" w:hAnsi="宋体" w:eastAsia="宋体" w:cs="宋体"/>
                <w:sz w:val="24"/>
                <w:szCs w:val="24"/>
                <w:highlight w:val="none"/>
              </w:rPr>
            </w:pPr>
          </w:p>
        </w:tc>
      </w:tr>
      <w:tr w14:paraId="07238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041E1731">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1AA2DCF9">
            <w:pPr>
              <w:jc w:val="both"/>
              <w:rPr>
                <w:rFonts w:hint="eastAsia" w:ascii="宋体" w:hAnsi="宋体" w:eastAsia="宋体" w:cs="宋体"/>
                <w:sz w:val="24"/>
                <w:szCs w:val="24"/>
                <w:highlight w:val="none"/>
              </w:rPr>
            </w:pPr>
          </w:p>
        </w:tc>
        <w:tc>
          <w:tcPr>
            <w:tcW w:w="698" w:type="pct"/>
            <w:gridSpan w:val="2"/>
            <w:tcBorders>
              <w:right w:val="single" w:color="auto" w:sz="2" w:space="0"/>
            </w:tcBorders>
            <w:noWrap w:val="0"/>
            <w:vAlign w:val="center"/>
          </w:tcPr>
          <w:p w14:paraId="2A1FC986">
            <w:pPr>
              <w:jc w:val="both"/>
              <w:rPr>
                <w:rFonts w:hint="eastAsia" w:ascii="宋体" w:hAnsi="宋体" w:eastAsia="宋体" w:cs="宋体"/>
                <w:sz w:val="24"/>
                <w:szCs w:val="24"/>
                <w:highlight w:val="none"/>
              </w:rPr>
            </w:pPr>
          </w:p>
        </w:tc>
        <w:tc>
          <w:tcPr>
            <w:tcW w:w="751" w:type="pct"/>
            <w:gridSpan w:val="3"/>
            <w:tcBorders>
              <w:left w:val="single" w:color="auto" w:sz="2" w:space="0"/>
            </w:tcBorders>
            <w:noWrap w:val="0"/>
            <w:vAlign w:val="center"/>
          </w:tcPr>
          <w:p w14:paraId="7CA7832A">
            <w:pPr>
              <w:jc w:val="both"/>
              <w:rPr>
                <w:rFonts w:hint="eastAsia" w:ascii="宋体" w:hAnsi="宋体" w:eastAsia="宋体" w:cs="宋体"/>
                <w:sz w:val="24"/>
                <w:szCs w:val="24"/>
                <w:highlight w:val="none"/>
              </w:rPr>
            </w:pPr>
          </w:p>
        </w:tc>
        <w:tc>
          <w:tcPr>
            <w:tcW w:w="854" w:type="pct"/>
            <w:noWrap w:val="0"/>
            <w:vAlign w:val="center"/>
          </w:tcPr>
          <w:p w14:paraId="75CA2FE4">
            <w:pPr>
              <w:jc w:val="both"/>
              <w:rPr>
                <w:rFonts w:hint="eastAsia" w:ascii="宋体" w:hAnsi="宋体" w:eastAsia="宋体" w:cs="宋体"/>
                <w:sz w:val="24"/>
                <w:szCs w:val="24"/>
                <w:highlight w:val="none"/>
              </w:rPr>
            </w:pPr>
          </w:p>
        </w:tc>
        <w:tc>
          <w:tcPr>
            <w:tcW w:w="943" w:type="pct"/>
            <w:noWrap w:val="0"/>
            <w:vAlign w:val="center"/>
          </w:tcPr>
          <w:p w14:paraId="437EE9F6">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3FAAD452">
            <w:pPr>
              <w:jc w:val="both"/>
              <w:rPr>
                <w:rFonts w:hint="eastAsia" w:ascii="宋体" w:hAnsi="宋体" w:eastAsia="宋体" w:cs="宋体"/>
                <w:sz w:val="24"/>
                <w:szCs w:val="24"/>
                <w:highlight w:val="none"/>
              </w:rPr>
            </w:pPr>
          </w:p>
        </w:tc>
      </w:tr>
      <w:tr w14:paraId="3E89F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noWrap w:val="0"/>
            <w:vAlign w:val="center"/>
          </w:tcPr>
          <w:p w14:paraId="62BBFBB0">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辅助人员</w:t>
            </w:r>
          </w:p>
        </w:tc>
      </w:tr>
      <w:tr w14:paraId="63D00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71A25CED">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4" w:type="pct"/>
            <w:tcBorders>
              <w:left w:val="single" w:color="auto" w:sz="6" w:space="0"/>
            </w:tcBorders>
            <w:noWrap w:val="0"/>
            <w:vAlign w:val="center"/>
          </w:tcPr>
          <w:p w14:paraId="0DBC9263">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98" w:type="pct"/>
            <w:gridSpan w:val="2"/>
            <w:tcBorders>
              <w:right w:val="single" w:color="auto" w:sz="2" w:space="0"/>
            </w:tcBorders>
            <w:noWrap w:val="0"/>
            <w:vAlign w:val="center"/>
          </w:tcPr>
          <w:p w14:paraId="11AC7812">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学历</w:t>
            </w:r>
          </w:p>
        </w:tc>
        <w:tc>
          <w:tcPr>
            <w:tcW w:w="751" w:type="pct"/>
            <w:gridSpan w:val="3"/>
            <w:tcBorders>
              <w:left w:val="single" w:color="auto" w:sz="2" w:space="0"/>
            </w:tcBorders>
            <w:noWrap w:val="0"/>
            <w:vAlign w:val="center"/>
          </w:tcPr>
          <w:p w14:paraId="50293E25">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54" w:type="pct"/>
            <w:noWrap w:val="0"/>
            <w:vAlign w:val="center"/>
          </w:tcPr>
          <w:p w14:paraId="44D12EFA">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从事类似项目工作年限</w:t>
            </w:r>
          </w:p>
        </w:tc>
        <w:tc>
          <w:tcPr>
            <w:tcW w:w="943" w:type="pct"/>
            <w:noWrap w:val="0"/>
            <w:vAlign w:val="center"/>
          </w:tcPr>
          <w:p w14:paraId="651695D1">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0" w:type="pct"/>
            <w:tcBorders>
              <w:right w:val="single" w:color="auto" w:sz="12" w:space="0"/>
            </w:tcBorders>
            <w:noWrap w:val="0"/>
            <w:vAlign w:val="center"/>
          </w:tcPr>
          <w:p w14:paraId="35BFC9D3">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58D8A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5A88EA40">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6605135E">
            <w:pPr>
              <w:jc w:val="both"/>
              <w:rPr>
                <w:rFonts w:hint="eastAsia" w:ascii="宋体" w:hAnsi="宋体" w:eastAsia="宋体" w:cs="宋体"/>
                <w:sz w:val="24"/>
                <w:szCs w:val="24"/>
                <w:highlight w:val="none"/>
              </w:rPr>
            </w:pPr>
          </w:p>
        </w:tc>
        <w:tc>
          <w:tcPr>
            <w:tcW w:w="698" w:type="pct"/>
            <w:gridSpan w:val="2"/>
            <w:tcBorders>
              <w:right w:val="single" w:color="auto" w:sz="2" w:space="0"/>
            </w:tcBorders>
            <w:noWrap w:val="0"/>
            <w:vAlign w:val="center"/>
          </w:tcPr>
          <w:p w14:paraId="244C0687">
            <w:pPr>
              <w:jc w:val="both"/>
              <w:rPr>
                <w:rFonts w:hint="eastAsia" w:ascii="宋体" w:hAnsi="宋体" w:eastAsia="宋体" w:cs="宋体"/>
                <w:sz w:val="24"/>
                <w:szCs w:val="24"/>
                <w:highlight w:val="none"/>
              </w:rPr>
            </w:pPr>
          </w:p>
        </w:tc>
        <w:tc>
          <w:tcPr>
            <w:tcW w:w="751" w:type="pct"/>
            <w:gridSpan w:val="3"/>
            <w:tcBorders>
              <w:left w:val="single" w:color="auto" w:sz="2" w:space="0"/>
            </w:tcBorders>
            <w:noWrap w:val="0"/>
            <w:vAlign w:val="center"/>
          </w:tcPr>
          <w:p w14:paraId="49E351DA">
            <w:pPr>
              <w:jc w:val="both"/>
              <w:rPr>
                <w:rFonts w:hint="eastAsia" w:ascii="宋体" w:hAnsi="宋体" w:eastAsia="宋体" w:cs="宋体"/>
                <w:sz w:val="24"/>
                <w:szCs w:val="24"/>
                <w:highlight w:val="none"/>
              </w:rPr>
            </w:pPr>
          </w:p>
        </w:tc>
        <w:tc>
          <w:tcPr>
            <w:tcW w:w="854" w:type="pct"/>
            <w:noWrap w:val="0"/>
            <w:vAlign w:val="center"/>
          </w:tcPr>
          <w:p w14:paraId="38D62130">
            <w:pPr>
              <w:jc w:val="both"/>
              <w:rPr>
                <w:rFonts w:hint="eastAsia" w:ascii="宋体" w:hAnsi="宋体" w:eastAsia="宋体" w:cs="宋体"/>
                <w:sz w:val="24"/>
                <w:szCs w:val="24"/>
                <w:highlight w:val="none"/>
              </w:rPr>
            </w:pPr>
          </w:p>
        </w:tc>
        <w:tc>
          <w:tcPr>
            <w:tcW w:w="943" w:type="pct"/>
            <w:noWrap w:val="0"/>
            <w:vAlign w:val="center"/>
          </w:tcPr>
          <w:p w14:paraId="03029AEF">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28BCC994">
            <w:pPr>
              <w:jc w:val="both"/>
              <w:rPr>
                <w:rFonts w:hint="eastAsia" w:ascii="宋体" w:hAnsi="宋体" w:eastAsia="宋体" w:cs="宋体"/>
                <w:sz w:val="24"/>
                <w:szCs w:val="24"/>
                <w:highlight w:val="none"/>
              </w:rPr>
            </w:pPr>
          </w:p>
        </w:tc>
      </w:tr>
      <w:tr w14:paraId="3C58F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314C8478">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509EEA92">
            <w:pPr>
              <w:jc w:val="both"/>
              <w:rPr>
                <w:rFonts w:hint="eastAsia" w:ascii="宋体" w:hAnsi="宋体" w:eastAsia="宋体" w:cs="宋体"/>
                <w:sz w:val="24"/>
                <w:szCs w:val="24"/>
                <w:highlight w:val="none"/>
              </w:rPr>
            </w:pPr>
          </w:p>
        </w:tc>
        <w:tc>
          <w:tcPr>
            <w:tcW w:w="698" w:type="pct"/>
            <w:gridSpan w:val="2"/>
            <w:tcBorders>
              <w:right w:val="single" w:color="auto" w:sz="2" w:space="0"/>
            </w:tcBorders>
            <w:noWrap w:val="0"/>
            <w:vAlign w:val="center"/>
          </w:tcPr>
          <w:p w14:paraId="5EABA201">
            <w:pPr>
              <w:jc w:val="both"/>
              <w:rPr>
                <w:rFonts w:hint="eastAsia" w:ascii="宋体" w:hAnsi="宋体" w:eastAsia="宋体" w:cs="宋体"/>
                <w:sz w:val="24"/>
                <w:szCs w:val="24"/>
                <w:highlight w:val="none"/>
              </w:rPr>
            </w:pPr>
          </w:p>
        </w:tc>
        <w:tc>
          <w:tcPr>
            <w:tcW w:w="751" w:type="pct"/>
            <w:gridSpan w:val="3"/>
            <w:tcBorders>
              <w:left w:val="single" w:color="auto" w:sz="2" w:space="0"/>
            </w:tcBorders>
            <w:noWrap w:val="0"/>
            <w:vAlign w:val="center"/>
          </w:tcPr>
          <w:p w14:paraId="28198354">
            <w:pPr>
              <w:jc w:val="both"/>
              <w:rPr>
                <w:rFonts w:hint="eastAsia" w:ascii="宋体" w:hAnsi="宋体" w:eastAsia="宋体" w:cs="宋体"/>
                <w:sz w:val="24"/>
                <w:szCs w:val="24"/>
                <w:highlight w:val="none"/>
              </w:rPr>
            </w:pPr>
          </w:p>
        </w:tc>
        <w:tc>
          <w:tcPr>
            <w:tcW w:w="854" w:type="pct"/>
            <w:noWrap w:val="0"/>
            <w:vAlign w:val="center"/>
          </w:tcPr>
          <w:p w14:paraId="6CEC1348">
            <w:pPr>
              <w:jc w:val="both"/>
              <w:rPr>
                <w:rFonts w:hint="eastAsia" w:ascii="宋体" w:hAnsi="宋体" w:eastAsia="宋体" w:cs="宋体"/>
                <w:sz w:val="24"/>
                <w:szCs w:val="24"/>
                <w:highlight w:val="none"/>
              </w:rPr>
            </w:pPr>
          </w:p>
        </w:tc>
        <w:tc>
          <w:tcPr>
            <w:tcW w:w="943" w:type="pct"/>
            <w:noWrap w:val="0"/>
            <w:vAlign w:val="center"/>
          </w:tcPr>
          <w:p w14:paraId="05DD640D">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6947B77B">
            <w:pPr>
              <w:jc w:val="both"/>
              <w:rPr>
                <w:rFonts w:hint="eastAsia" w:ascii="宋体" w:hAnsi="宋体" w:eastAsia="宋体" w:cs="宋体"/>
                <w:sz w:val="24"/>
                <w:szCs w:val="24"/>
                <w:highlight w:val="none"/>
              </w:rPr>
            </w:pPr>
          </w:p>
        </w:tc>
      </w:tr>
      <w:tr w14:paraId="487A5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1" w:hRule="atLeast"/>
          <w:jc w:val="center"/>
        </w:trPr>
        <w:tc>
          <w:tcPr>
            <w:tcW w:w="616" w:type="pct"/>
            <w:tcBorders>
              <w:top w:val="single" w:color="auto" w:sz="6" w:space="0"/>
              <w:left w:val="single" w:color="auto" w:sz="12" w:space="0"/>
              <w:bottom w:val="single" w:color="auto" w:sz="12" w:space="0"/>
              <w:right w:val="single" w:color="auto" w:sz="6" w:space="0"/>
            </w:tcBorders>
            <w:noWrap w:val="0"/>
            <w:vAlign w:val="center"/>
          </w:tcPr>
          <w:p w14:paraId="4AEC1870">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383" w:type="pct"/>
            <w:gridSpan w:val="9"/>
            <w:tcBorders>
              <w:left w:val="single" w:color="auto" w:sz="6" w:space="0"/>
              <w:bottom w:val="single" w:color="auto" w:sz="12" w:space="0"/>
              <w:right w:val="single" w:color="auto" w:sz="12" w:space="0"/>
            </w:tcBorders>
            <w:noWrap w:val="0"/>
            <w:vAlign w:val="center"/>
          </w:tcPr>
          <w:p w14:paraId="08C65D84">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1．表格行数不足时请自行扩展。</w:t>
            </w:r>
          </w:p>
          <w:p w14:paraId="08E84B16">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2．表中所列“项目负责人、管理人员、技术人员/服务人员、辅助人员”仅为示例，供应商可根据招标文件要求自行安排人员类别。</w:t>
            </w:r>
          </w:p>
          <w:p w14:paraId="64E0A53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3．招标文件对人员“资格\学历\职称”提出要求的，应在本表下方附相应的“资格证\学历证\职称证”等证明文件。</w:t>
            </w:r>
          </w:p>
        </w:tc>
      </w:tr>
    </w:tbl>
    <w:p w14:paraId="2A137F86">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58B88EFC">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239C7EE6">
      <w:pPr>
        <w:spacing w:line="560" w:lineRule="exact"/>
        <w:ind w:firstLine="480" w:firstLineChars="200"/>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2</w:t>
      </w:r>
      <w:r>
        <w:rPr>
          <w:rFonts w:hint="eastAsia" w:ascii="宋体" w:hAnsi="宋体" w:eastAsia="宋体" w:cs="宋体"/>
          <w:b/>
          <w:bCs/>
          <w:sz w:val="24"/>
          <w:szCs w:val="24"/>
          <w:highlight w:val="none"/>
        </w:rPr>
        <w:t>．业绩</w:t>
      </w:r>
    </w:p>
    <w:p w14:paraId="3C4A6A7C">
      <w:pPr>
        <w:spacing w:line="560" w:lineRule="exact"/>
        <w:ind w:firstLine="480" w:firstLineChars="200"/>
        <w:jc w:val="both"/>
        <w:rPr>
          <w:rFonts w:hint="eastAsia" w:ascii="宋体" w:hAnsi="宋体" w:eastAsia="宋体" w:cs="宋体"/>
          <w:sz w:val="24"/>
          <w:szCs w:val="24"/>
          <w:highlight w:val="none"/>
        </w:rPr>
      </w:pPr>
    </w:p>
    <w:p w14:paraId="154E231D">
      <w:pPr>
        <w:spacing w:line="560" w:lineRule="exact"/>
        <w:ind w:firstLine="480" w:firstLineChars="200"/>
        <w:jc w:val="both"/>
        <w:rPr>
          <w:rFonts w:hint="eastAsia" w:ascii="宋体" w:hAnsi="宋体" w:eastAsia="宋体" w:cs="宋体"/>
          <w:sz w:val="24"/>
          <w:szCs w:val="24"/>
          <w:highlight w:val="none"/>
        </w:rPr>
      </w:pPr>
    </w:p>
    <w:p w14:paraId="76EB3F92">
      <w:pPr>
        <w:spacing w:line="560" w:lineRule="exact"/>
        <w:ind w:firstLine="480" w:firstLineChars="200"/>
        <w:jc w:val="both"/>
        <w:rPr>
          <w:rFonts w:hint="eastAsia" w:ascii="宋体" w:hAnsi="宋体" w:eastAsia="宋体" w:cs="宋体"/>
          <w:sz w:val="24"/>
          <w:szCs w:val="24"/>
          <w:highlight w:val="none"/>
        </w:rPr>
      </w:pPr>
    </w:p>
    <w:p w14:paraId="5FE9FF8F">
      <w:pPr>
        <w:spacing w:line="560" w:lineRule="exact"/>
        <w:ind w:firstLine="480" w:firstLineChars="200"/>
        <w:jc w:val="both"/>
        <w:rPr>
          <w:rFonts w:hint="eastAsia" w:ascii="宋体" w:hAnsi="宋体" w:eastAsia="宋体" w:cs="宋体"/>
          <w:b/>
          <w:bCs/>
          <w:sz w:val="24"/>
          <w:szCs w:val="32"/>
          <w:highlight w:val="none"/>
          <w:lang w:val="en-US" w:eastAsia="zh-CN"/>
        </w:rPr>
      </w:pPr>
      <w:r>
        <w:rPr>
          <w:rFonts w:hint="eastAsia" w:ascii="宋体" w:hAnsi="宋体" w:eastAsia="宋体" w:cs="宋体"/>
          <w:b/>
          <w:bCs/>
          <w:sz w:val="24"/>
          <w:szCs w:val="24"/>
          <w:highlight w:val="none"/>
          <w:lang w:val="en-US" w:eastAsia="zh-CN"/>
        </w:rPr>
        <w:t>3</w:t>
      </w:r>
      <w:r>
        <w:rPr>
          <w:rFonts w:hint="eastAsia" w:ascii="宋体" w:hAnsi="宋体" w:eastAsia="宋体" w:cs="宋体"/>
          <w:b/>
          <w:bCs/>
          <w:sz w:val="24"/>
          <w:szCs w:val="24"/>
          <w:highlight w:val="none"/>
        </w:rPr>
        <w:t>.其他（根据招标文件要求自行补充）</w:t>
      </w:r>
    </w:p>
    <w:p w14:paraId="2522AB11">
      <w:pPr>
        <w:rPr>
          <w:rFonts w:hint="eastAsia" w:ascii="宋体" w:hAnsi="宋体" w:eastAsia="宋体" w:cs="宋体"/>
          <w:highlight w:val="none"/>
        </w:rPr>
      </w:pPr>
    </w:p>
    <w:bookmarkEnd w:id="24"/>
    <w:sectPr>
      <w:pgSz w:w="11906" w:h="16838"/>
      <w:pgMar w:top="1417" w:right="1083" w:bottom="1417" w:left="1083" w:header="851" w:footer="964" w:gutter="0"/>
      <w:pgNumType w:fmt="decimal"/>
      <w:cols w:space="720" w:num="1"/>
      <w:docGrid w:type="linesAndChars" w:linePitch="4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MS Gothic">
    <w:panose1 w:val="020B0609070205080204"/>
    <w:charset w:val="80"/>
    <w:family w:val="auto"/>
    <w:pitch w:val="default"/>
    <w:sig w:usb0="E00002FF" w:usb1="6AC7FDFB" w:usb2="08000012" w:usb3="00000000" w:csb0="4002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F327E">
    <w:pPr>
      <w:pStyle w:val="1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CBCAA7">
    <w:pPr>
      <w:pStyle w:val="1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1758EDE">
                          <w:pPr>
                            <w:pStyle w:val="19"/>
                          </w:pPr>
                          <w:r>
                            <w:fldChar w:fldCharType="begin"/>
                          </w:r>
                          <w:r>
                            <w:instrText xml:space="preserve"> PAGE  \* MERGEFORMAT </w:instrText>
                          </w:r>
                          <w:r>
                            <w:fldChar w:fldCharType="separate"/>
                          </w:r>
                          <w:r>
                            <w:t>52</w:t>
                          </w:r>
                          <w:r>
                            <w:fldChar w:fldCharType="end"/>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s0lY7tAAAAAFAQAADwAA&#10;AAAAAAABACAAAAAiAAAAZHJzL2Rvd25yZXYueG1sUEsBAhQAFAAAAAgAh07iQER1PsblAQAAyAMA&#10;AA4AAAAAAAAAAQAgAAAAHwEAAGRycy9lMm9Eb2MueG1sUEsFBgAAAAAGAAYAWQEAAHYFAAAAAA==&#10;">
              <v:fill on="f" focussize="0,0"/>
              <v:stroke on="f" weight="0.5pt"/>
              <v:imagedata o:title=""/>
              <o:lock v:ext="edit" aspectratio="f"/>
              <v:textbox inset="0mm,0mm,0mm,0mm" style="mso-fit-shape-to-text:t;">
                <w:txbxContent>
                  <w:p w14:paraId="51758EDE">
                    <w:pPr>
                      <w:pStyle w:val="19"/>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0AC31">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487D6">
    <w:pPr>
      <w:pStyle w:val="1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7A3DC03">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wbUFuucBAADH&#10;AwAADgAAAAAAAAABACAAAAAfAQAAZHJzL2Uyb0RvYy54bWxQSwUGAAAAAAYABgBZAQAAeAUAAAAA&#10;">
              <v:fill on="f" focussize="0,0"/>
              <v:stroke on="f" weight="0.5pt"/>
              <v:imagedata o:title=""/>
              <o:lock v:ext="edit" aspectratio="f"/>
              <v:textbox inset="0mm,0mm,0mm,0mm" style="mso-fit-shape-to-text:t;">
                <w:txbxContent>
                  <w:p w14:paraId="17A3DC03">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F49D3">
    <w:pPr>
      <w:pStyle w:val="19"/>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83C0FDB">
                          <w:pPr>
                            <w:pStyle w:val="19"/>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ZJ7pMkBAACb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rFTVhS4rjFiV++f7v8+HX5+ZUs&#10;X2eB+gA15j0EzEzDnR8wefYDOjPvQUWbv8iIYBzlPV/llUMiIj9ar9brCkMCY/MF8dnj8xAhvZXe&#10;kmw0NOL8iqz89B7SmDqn5GrO32tjygyN+8uBmNnDcu9jj9lKw36YCO19e0Y+PY6+oQ43nRLzzqGy&#10;eUtmI87GfjaOIepDV9Yo14Nwe0zYROktVxhhp8I4s8Ju2q+8FH/eS9bjP7X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VknukyQEAAJsDAAAOAAAAAAAAAAEAIAAAAB4BAABkcnMvZTJvRG9j&#10;LnhtbFBLBQYAAAAABgAGAFkBAABZBQAAAAA=&#10;">
              <v:fill on="f" focussize="0,0"/>
              <v:stroke on="f"/>
              <v:imagedata o:title=""/>
              <o:lock v:ext="edit" aspectratio="f"/>
              <v:textbox inset="0mm,0mm,0mm,0mm" style="mso-fit-shape-to-text:t;">
                <w:txbxContent>
                  <w:p w14:paraId="483C0FDB">
                    <w:pPr>
                      <w:pStyle w:val="1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FA034">
    <w:pPr>
      <w:pStyle w:val="19"/>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7B2C4ED">
                          <w:pPr>
                            <w:pStyle w:val="1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zSVju0AAAAAUBAAAPAAAAAAAAAAEAIAAAACIAAABkcnMv&#10;ZG93bnJldi54bWxQSwECFAAUAAAACACHTuJA1E+gxNIBAACjAwAADgAAAAAAAAABACAAAAAfAQAA&#10;ZHJzL2Uyb0RvYy54bWxQSwUGAAAAAAYABgBZAQAAYwUAAAAA&#10;">
              <v:fill on="f" focussize="0,0"/>
              <v:stroke on="f" weight="0.5pt"/>
              <v:imagedata o:title=""/>
              <o:lock v:ext="edit" aspectratio="f"/>
              <v:textbox inset="0mm,0mm,0mm,0mm" style="mso-fit-shape-to-text:t;">
                <w:txbxContent>
                  <w:p w14:paraId="47B2C4ED">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89D1C">
    <w:pPr>
      <w:pStyle w:val="19"/>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E4EF317">
                          <w:pPr>
                            <w:pStyle w:val="19"/>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xCMVckBAACbAwAADgAAAGRycy9lMm9Eb2MueG1srVPNjtMwEL4j8Q6W&#10;79RpJaCK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lvchJeUOG5x4pfv3y4/fl1+fiXL&#10;11mgPkCNeXcBM9Pw1g+YPPsBnZn3oKLNX2REMI7ynq/yyiERkR+tV+t1hSGBsfmC+OzheYiQ3klv&#10;STYaGnF+RVZ++gBpTJ1TcjXnb7UxZYbG/eVAzOxhufexx2ylYT9MhPa+PSOfHkffUIebTol571DZ&#10;vCWzEWdjPxvHEPWhK2uU60F4c0zYROktVxhhp8I4s8Ju2q+8FH/eS9bDP7X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3EIxVyQEAAJsDAAAOAAAAAAAAAAEAIAAAAB4BAABkcnMvZTJvRG9j&#10;LnhtbFBLBQYAAAAABgAGAFkBAABZBQAAAAA=&#10;">
              <v:fill on="f" focussize="0,0"/>
              <v:stroke on="f"/>
              <v:imagedata o:title=""/>
              <o:lock v:ext="edit" aspectratio="f"/>
              <v:textbox inset="0mm,0mm,0mm,0mm" style="mso-fit-shape-to-text:t;">
                <w:txbxContent>
                  <w:p w14:paraId="1E4EF317">
                    <w:pPr>
                      <w:pStyle w:val="1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F3FD0">
    <w:pPr>
      <w:pStyle w:val="19"/>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3074293">
                          <w:pPr>
                            <w:pStyle w:val="1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BLd+070QEAAKMDAAAOAAAAAAAAAAEAIAAAAB8BAABk&#10;cnMvZTJvRG9jLnhtbFBLBQYAAAAABgAGAFkBAABiBQAAAAA=&#10;">
              <v:fill on="f" focussize="0,0"/>
              <v:stroke on="f" weight="0.5pt"/>
              <v:imagedata o:title=""/>
              <o:lock v:ext="edit" aspectratio="f"/>
              <v:textbox inset="0mm,0mm,0mm,0mm" style="mso-fit-shape-to-text:t;">
                <w:txbxContent>
                  <w:p w14:paraId="43074293">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64517">
    <w:pPr>
      <w:pStyle w:val="19"/>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D8ABDAD">
                          <w:pPr>
                            <w:pStyle w:val="19"/>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EfNsckBAACbAwAADgAAAGRycy9lMm9Eb2MueG1srVPNjtMwEL4j8Q6W&#10;79RpE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lvchJeUOG5x4pfv3y4/fl1+fiXL&#10;V1mgPkCNeXcBM9Pw1g+YPPsBnZn3oKLNX2REMI7ynq/yyiERkR+tV+t1hSGBsfmC+OzheYiQ3klv&#10;STYaGnF+RVZ++gBpTJ1TcjXnb7UxZYbG/eVAzOxhufexx2ylYT9MhPa+PSOfHkffUIebTol571DZ&#10;vCWzEWdjPxvHEPWhK2uU60F4c0zYROktVxhhp8I4s8Ju2q+8FH/eS9bDP7X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AR82xyQEAAJsDAAAOAAAAAAAAAAEAIAAAAB4BAABkcnMvZTJvRG9j&#10;LnhtbFBLBQYAAAAABgAGAFkBAABZBQAAAAA=&#10;">
              <v:fill on="f" focussize="0,0"/>
              <v:stroke on="f"/>
              <v:imagedata o:title=""/>
              <o:lock v:ext="edit" aspectratio="f"/>
              <v:textbox inset="0mm,0mm,0mm,0mm" style="mso-fit-shape-to-text:t;">
                <w:txbxContent>
                  <w:p w14:paraId="0D8ABDAD">
                    <w:pPr>
                      <w:pStyle w:val="1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D754C">
    <w:pPr>
      <w:pStyle w:val="1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0FA02E6">
                          <w:pPr>
                            <w:pStyle w:val="19"/>
                          </w:pPr>
                          <w:r>
                            <w:fldChar w:fldCharType="begin"/>
                          </w:r>
                          <w:r>
                            <w:instrText xml:space="preserve"> PAGE  \* MERGEFORMAT </w:instrText>
                          </w:r>
                          <w:r>
                            <w:fldChar w:fldCharType="separate"/>
                          </w:r>
                          <w:r>
                            <w:t>51</w:t>
                          </w:r>
                          <w: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tTKkGucBAADH&#10;AwAADgAAAAAAAAABACAAAAAfAQAAZHJzL2Uyb0RvYy54bWxQSwUGAAAAAAYABgBZAQAAeAUAAAAA&#10;">
              <v:fill on="f" focussize="0,0"/>
              <v:stroke on="f" weight="0.5pt"/>
              <v:imagedata o:title=""/>
              <o:lock v:ext="edit" aspectratio="f"/>
              <v:textbox inset="0mm,0mm,0mm,0mm" style="mso-fit-shape-to-text:t;">
                <w:txbxContent>
                  <w:p w14:paraId="20FA02E6">
                    <w:pPr>
                      <w:pStyle w:val="19"/>
                    </w:pPr>
                    <w:r>
                      <w:fldChar w:fldCharType="begin"/>
                    </w:r>
                    <w:r>
                      <w:instrText xml:space="preserve"> PAGE  \* MERGEFORMAT </w:instrText>
                    </w:r>
                    <w:r>
                      <w:fldChar w:fldCharType="separate"/>
                    </w:r>
                    <w:r>
                      <w:t>51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154DB">
    <w:pPr>
      <w:pStyle w:val="2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B3A07">
    <w:pPr>
      <w:pStyle w:val="20"/>
      <w:pBdr>
        <w:bottom w:val="none" w:color="auto" w:sz="0" w:space="1"/>
      </w:pBdr>
      <w:rPr>
        <w:rFonts w:hint="default"/>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57BC7">
    <w:pPr>
      <w:pStyle w:val="20"/>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EE52C3">
    <w:pPr>
      <w:pStyle w:val="20"/>
      <w:pBdr>
        <w:bottom w:val="none" w:color="auto" w:sz="0" w:space="1"/>
      </w:pBdr>
      <w:rPr>
        <w:rFonts w:hint="default"/>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14101B"/>
    <w:multiLevelType w:val="singleLevel"/>
    <w:tmpl w:val="B414101B"/>
    <w:lvl w:ilvl="0" w:tentative="0">
      <w:start w:val="6"/>
      <w:numFmt w:val="decimal"/>
      <w:lvlText w:val="%1."/>
      <w:lvlJc w:val="left"/>
      <w:pPr>
        <w:tabs>
          <w:tab w:val="left" w:pos="312"/>
        </w:tabs>
      </w:pPr>
    </w:lvl>
  </w:abstractNum>
  <w:abstractNum w:abstractNumId="1">
    <w:nsid w:val="6D4132C2"/>
    <w:multiLevelType w:val="multilevel"/>
    <w:tmpl w:val="6D4132C2"/>
    <w:lvl w:ilvl="0" w:tentative="0">
      <w:start w:val="1"/>
      <w:numFmt w:val="none"/>
      <w:suff w:val="nothing"/>
      <w:lvlText w:val=""/>
      <w:lvlJc w:val="center"/>
      <w:pPr>
        <w:ind w:left="0" w:firstLine="0"/>
      </w:pPr>
      <w:rPr>
        <w:rFonts w:hint="default" w:ascii="Calibri" w:hAnsi="Calibri" w:eastAsia="黑体"/>
        <w:b w:val="0"/>
        <w:i w:val="0"/>
        <w:caps w:val="0"/>
        <w:strike w:val="0"/>
        <w:dstrike w:val="0"/>
        <w:snapToGrid/>
        <w:vanish w:val="0"/>
        <w:spacing w:val="0"/>
        <w:w w:val="100"/>
        <w:kern w:val="44"/>
        <w:position w:val="0"/>
        <w:sz w:val="32"/>
        <w:vertAlign w:val="baseline"/>
      </w:rPr>
    </w:lvl>
    <w:lvl w:ilvl="1" w:tentative="0">
      <w:start w:val="1"/>
      <w:numFmt w:val="none"/>
      <w:suff w:val="nothing"/>
      <w:lvlText w:val=""/>
      <w:lvlJc w:val="left"/>
      <w:pPr>
        <w:ind w:left="0" w:firstLine="0"/>
      </w:pPr>
      <w:rPr>
        <w:rFonts w:hint="default" w:ascii="Calibri" w:hAnsi="Calibri" w:eastAsia="黑体"/>
        <w:b w:val="0"/>
        <w:i w:val="0"/>
        <w:caps w:val="0"/>
        <w:strike w:val="0"/>
        <w:dstrike w:val="0"/>
        <w:snapToGrid/>
        <w:vanish w:val="0"/>
        <w:spacing w:val="0"/>
        <w:w w:val="100"/>
        <w:kern w:val="32"/>
        <w:position w:val="0"/>
        <w:sz w:val="32"/>
        <w:vertAlign w:val="baseline"/>
      </w:rPr>
    </w:lvl>
    <w:lvl w:ilvl="2" w:tentative="0">
      <w:start w:val="1"/>
      <w:numFmt w:val="none"/>
      <w:suff w:val="nothing"/>
      <w:lvlText w:val=""/>
      <w:lvlJc w:val="left"/>
      <w:pPr>
        <w:ind w:left="0" w:firstLine="289"/>
      </w:pPr>
      <w:rPr>
        <w:rFonts w:hint="default" w:ascii="Calibri Light" w:hAnsi="Calibri Light" w:eastAsia="宋体"/>
        <w:b/>
        <w:i w:val="0"/>
        <w:caps w:val="0"/>
        <w:strike w:val="0"/>
        <w:dstrike w:val="0"/>
        <w:snapToGrid/>
        <w:vanish w:val="0"/>
        <w:spacing w:val="0"/>
        <w:w w:val="100"/>
        <w:kern w:val="30"/>
        <w:position w:val="0"/>
        <w:sz w:val="30"/>
        <w:vertAlign w:val="baseline"/>
      </w:rPr>
    </w:lvl>
    <w:lvl w:ilvl="3" w:tentative="0">
      <w:start w:val="1"/>
      <w:numFmt w:val="decimal"/>
      <w:pStyle w:val="5"/>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hyphenationZone w:val="360"/>
  <w:evenAndOddHeaders w:val="1"/>
  <w:drawingGridHorizontalSpacing w:val="120"/>
  <w:drawingGridVerticalSpacing w:val="21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NlMmVkYzlmNjU0NDAyZTE3ZGM0NDQ3YmJmYzk4ZDgifQ=="/>
  </w:docVars>
  <w:rsids>
    <w:rsidRoot w:val="006A6B87"/>
    <w:rsid w:val="0000159C"/>
    <w:rsid w:val="000019FA"/>
    <w:rsid w:val="00002BB3"/>
    <w:rsid w:val="00003F53"/>
    <w:rsid w:val="00004F9A"/>
    <w:rsid w:val="00006A52"/>
    <w:rsid w:val="00012137"/>
    <w:rsid w:val="00012844"/>
    <w:rsid w:val="00012F9B"/>
    <w:rsid w:val="000131C6"/>
    <w:rsid w:val="00013929"/>
    <w:rsid w:val="00014DAF"/>
    <w:rsid w:val="00015802"/>
    <w:rsid w:val="00016042"/>
    <w:rsid w:val="000162A2"/>
    <w:rsid w:val="00021AF9"/>
    <w:rsid w:val="00022A4E"/>
    <w:rsid w:val="00022F41"/>
    <w:rsid w:val="00023261"/>
    <w:rsid w:val="000234CF"/>
    <w:rsid w:val="000235C8"/>
    <w:rsid w:val="000251DF"/>
    <w:rsid w:val="00027E6B"/>
    <w:rsid w:val="0003251F"/>
    <w:rsid w:val="00032BB4"/>
    <w:rsid w:val="00033377"/>
    <w:rsid w:val="00033B5A"/>
    <w:rsid w:val="000353DD"/>
    <w:rsid w:val="00037F2F"/>
    <w:rsid w:val="00037FD3"/>
    <w:rsid w:val="000403A2"/>
    <w:rsid w:val="00040799"/>
    <w:rsid w:val="00040973"/>
    <w:rsid w:val="00043830"/>
    <w:rsid w:val="000440AF"/>
    <w:rsid w:val="00044F32"/>
    <w:rsid w:val="00051EF3"/>
    <w:rsid w:val="000543B4"/>
    <w:rsid w:val="00054879"/>
    <w:rsid w:val="000556F1"/>
    <w:rsid w:val="0005692F"/>
    <w:rsid w:val="00061A13"/>
    <w:rsid w:val="00062D84"/>
    <w:rsid w:val="00063EEF"/>
    <w:rsid w:val="00064071"/>
    <w:rsid w:val="00064386"/>
    <w:rsid w:val="00067A39"/>
    <w:rsid w:val="00067D44"/>
    <w:rsid w:val="0007053B"/>
    <w:rsid w:val="00070AA6"/>
    <w:rsid w:val="0007534F"/>
    <w:rsid w:val="000770B7"/>
    <w:rsid w:val="00077B80"/>
    <w:rsid w:val="000857F2"/>
    <w:rsid w:val="00090002"/>
    <w:rsid w:val="000906B5"/>
    <w:rsid w:val="000911CC"/>
    <w:rsid w:val="00092417"/>
    <w:rsid w:val="00093AD5"/>
    <w:rsid w:val="000951C6"/>
    <w:rsid w:val="000952F2"/>
    <w:rsid w:val="00095A8D"/>
    <w:rsid w:val="00096428"/>
    <w:rsid w:val="00097CDB"/>
    <w:rsid w:val="000A0237"/>
    <w:rsid w:val="000A0EFD"/>
    <w:rsid w:val="000A250B"/>
    <w:rsid w:val="000A2583"/>
    <w:rsid w:val="000A2B11"/>
    <w:rsid w:val="000A7A6A"/>
    <w:rsid w:val="000B5741"/>
    <w:rsid w:val="000B5ACF"/>
    <w:rsid w:val="000B6858"/>
    <w:rsid w:val="000C048C"/>
    <w:rsid w:val="000C078B"/>
    <w:rsid w:val="000C21A4"/>
    <w:rsid w:val="000C4C29"/>
    <w:rsid w:val="000C538D"/>
    <w:rsid w:val="000C59A5"/>
    <w:rsid w:val="000D0AF3"/>
    <w:rsid w:val="000D0DE1"/>
    <w:rsid w:val="000D1277"/>
    <w:rsid w:val="000D12BE"/>
    <w:rsid w:val="000D4097"/>
    <w:rsid w:val="000E3FB5"/>
    <w:rsid w:val="000E5C68"/>
    <w:rsid w:val="000E5DED"/>
    <w:rsid w:val="000E6AE7"/>
    <w:rsid w:val="000F0C8A"/>
    <w:rsid w:val="000F1A9A"/>
    <w:rsid w:val="000F27AD"/>
    <w:rsid w:val="000F2BEC"/>
    <w:rsid w:val="000F35AB"/>
    <w:rsid w:val="000F3645"/>
    <w:rsid w:val="000F4ECB"/>
    <w:rsid w:val="000F66FE"/>
    <w:rsid w:val="000F6831"/>
    <w:rsid w:val="000F6A10"/>
    <w:rsid w:val="000F735B"/>
    <w:rsid w:val="000F7DA6"/>
    <w:rsid w:val="00100C1B"/>
    <w:rsid w:val="00103379"/>
    <w:rsid w:val="00103D6B"/>
    <w:rsid w:val="00104D98"/>
    <w:rsid w:val="001059A0"/>
    <w:rsid w:val="00106530"/>
    <w:rsid w:val="001067F9"/>
    <w:rsid w:val="00107B8A"/>
    <w:rsid w:val="001101BD"/>
    <w:rsid w:val="0011093D"/>
    <w:rsid w:val="00111F0F"/>
    <w:rsid w:val="001131D6"/>
    <w:rsid w:val="00113B9B"/>
    <w:rsid w:val="00121FC0"/>
    <w:rsid w:val="00122D76"/>
    <w:rsid w:val="001232E1"/>
    <w:rsid w:val="001240BB"/>
    <w:rsid w:val="001257D4"/>
    <w:rsid w:val="0013005B"/>
    <w:rsid w:val="0013015E"/>
    <w:rsid w:val="00131904"/>
    <w:rsid w:val="0013342E"/>
    <w:rsid w:val="001338D9"/>
    <w:rsid w:val="00133ADB"/>
    <w:rsid w:val="00134EE2"/>
    <w:rsid w:val="001351E3"/>
    <w:rsid w:val="00135AA2"/>
    <w:rsid w:val="00136D4A"/>
    <w:rsid w:val="00137E7B"/>
    <w:rsid w:val="00142244"/>
    <w:rsid w:val="001454AD"/>
    <w:rsid w:val="001455F6"/>
    <w:rsid w:val="001456C7"/>
    <w:rsid w:val="00152476"/>
    <w:rsid w:val="0015361E"/>
    <w:rsid w:val="00156ED5"/>
    <w:rsid w:val="001630D0"/>
    <w:rsid w:val="00164101"/>
    <w:rsid w:val="00164EE1"/>
    <w:rsid w:val="001664B2"/>
    <w:rsid w:val="00166804"/>
    <w:rsid w:val="00166FD9"/>
    <w:rsid w:val="00167ECE"/>
    <w:rsid w:val="0017054A"/>
    <w:rsid w:val="00171A61"/>
    <w:rsid w:val="00173749"/>
    <w:rsid w:val="00173A35"/>
    <w:rsid w:val="0017410F"/>
    <w:rsid w:val="00174285"/>
    <w:rsid w:val="00175756"/>
    <w:rsid w:val="00176F0E"/>
    <w:rsid w:val="0018316D"/>
    <w:rsid w:val="00184DE0"/>
    <w:rsid w:val="00184F72"/>
    <w:rsid w:val="00187846"/>
    <w:rsid w:val="00191693"/>
    <w:rsid w:val="00191834"/>
    <w:rsid w:val="00191A7E"/>
    <w:rsid w:val="00193B5F"/>
    <w:rsid w:val="001947E8"/>
    <w:rsid w:val="00194890"/>
    <w:rsid w:val="00196A1C"/>
    <w:rsid w:val="001A0C97"/>
    <w:rsid w:val="001A2103"/>
    <w:rsid w:val="001A5309"/>
    <w:rsid w:val="001A5764"/>
    <w:rsid w:val="001B0699"/>
    <w:rsid w:val="001B0C7B"/>
    <w:rsid w:val="001B2019"/>
    <w:rsid w:val="001B49FD"/>
    <w:rsid w:val="001B5302"/>
    <w:rsid w:val="001C0BA3"/>
    <w:rsid w:val="001C0BBD"/>
    <w:rsid w:val="001C1815"/>
    <w:rsid w:val="001C25ED"/>
    <w:rsid w:val="001C5BE5"/>
    <w:rsid w:val="001D1BCB"/>
    <w:rsid w:val="001D22C0"/>
    <w:rsid w:val="001D2CE5"/>
    <w:rsid w:val="001D4171"/>
    <w:rsid w:val="001D576E"/>
    <w:rsid w:val="001D70BC"/>
    <w:rsid w:val="001E0376"/>
    <w:rsid w:val="001E1DFE"/>
    <w:rsid w:val="001E2BB9"/>
    <w:rsid w:val="001E6A70"/>
    <w:rsid w:val="001E7761"/>
    <w:rsid w:val="001E790E"/>
    <w:rsid w:val="001F2059"/>
    <w:rsid w:val="001F23C9"/>
    <w:rsid w:val="001F49A1"/>
    <w:rsid w:val="001F4ACC"/>
    <w:rsid w:val="001F7532"/>
    <w:rsid w:val="001F7B5A"/>
    <w:rsid w:val="00201795"/>
    <w:rsid w:val="0020498C"/>
    <w:rsid w:val="002051A7"/>
    <w:rsid w:val="00207790"/>
    <w:rsid w:val="00210CFC"/>
    <w:rsid w:val="00210FBE"/>
    <w:rsid w:val="00212328"/>
    <w:rsid w:val="002125C8"/>
    <w:rsid w:val="00213205"/>
    <w:rsid w:val="002137AF"/>
    <w:rsid w:val="002174B0"/>
    <w:rsid w:val="00220787"/>
    <w:rsid w:val="002209DE"/>
    <w:rsid w:val="00221727"/>
    <w:rsid w:val="00223EFE"/>
    <w:rsid w:val="00224257"/>
    <w:rsid w:val="0023070C"/>
    <w:rsid w:val="00230C6A"/>
    <w:rsid w:val="00233D53"/>
    <w:rsid w:val="002345B9"/>
    <w:rsid w:val="002378CD"/>
    <w:rsid w:val="00237A3F"/>
    <w:rsid w:val="00237C8C"/>
    <w:rsid w:val="0024210D"/>
    <w:rsid w:val="002434A7"/>
    <w:rsid w:val="00244C29"/>
    <w:rsid w:val="00247B11"/>
    <w:rsid w:val="00250468"/>
    <w:rsid w:val="00250A0D"/>
    <w:rsid w:val="00250B6E"/>
    <w:rsid w:val="002519B6"/>
    <w:rsid w:val="00252050"/>
    <w:rsid w:val="00253B74"/>
    <w:rsid w:val="00254492"/>
    <w:rsid w:val="002547E0"/>
    <w:rsid w:val="00255DBC"/>
    <w:rsid w:val="00256AC1"/>
    <w:rsid w:val="0025777A"/>
    <w:rsid w:val="00257B25"/>
    <w:rsid w:val="00260306"/>
    <w:rsid w:val="00261898"/>
    <w:rsid w:val="00264014"/>
    <w:rsid w:val="0026501F"/>
    <w:rsid w:val="00266611"/>
    <w:rsid w:val="00267AE5"/>
    <w:rsid w:val="00267C8A"/>
    <w:rsid w:val="00267F98"/>
    <w:rsid w:val="00271136"/>
    <w:rsid w:val="00272337"/>
    <w:rsid w:val="00272E7E"/>
    <w:rsid w:val="00273219"/>
    <w:rsid w:val="00273A93"/>
    <w:rsid w:val="002742EA"/>
    <w:rsid w:val="0027449B"/>
    <w:rsid w:val="00275C8F"/>
    <w:rsid w:val="00276641"/>
    <w:rsid w:val="00276C8A"/>
    <w:rsid w:val="002771C6"/>
    <w:rsid w:val="00277949"/>
    <w:rsid w:val="0028033D"/>
    <w:rsid w:val="002827CD"/>
    <w:rsid w:val="00282837"/>
    <w:rsid w:val="00282CF7"/>
    <w:rsid w:val="002848E9"/>
    <w:rsid w:val="00291777"/>
    <w:rsid w:val="0029384E"/>
    <w:rsid w:val="00294428"/>
    <w:rsid w:val="002961E2"/>
    <w:rsid w:val="00296372"/>
    <w:rsid w:val="00297703"/>
    <w:rsid w:val="00297866"/>
    <w:rsid w:val="002A3B25"/>
    <w:rsid w:val="002A62BF"/>
    <w:rsid w:val="002A6815"/>
    <w:rsid w:val="002A703D"/>
    <w:rsid w:val="002A7FF7"/>
    <w:rsid w:val="002B35C4"/>
    <w:rsid w:val="002B36C2"/>
    <w:rsid w:val="002B59BE"/>
    <w:rsid w:val="002B65AB"/>
    <w:rsid w:val="002B696D"/>
    <w:rsid w:val="002B69BA"/>
    <w:rsid w:val="002C05A3"/>
    <w:rsid w:val="002C4511"/>
    <w:rsid w:val="002D2B5F"/>
    <w:rsid w:val="002D327B"/>
    <w:rsid w:val="002D41DD"/>
    <w:rsid w:val="002D65D4"/>
    <w:rsid w:val="002D7418"/>
    <w:rsid w:val="002E1283"/>
    <w:rsid w:val="002E1660"/>
    <w:rsid w:val="002E379C"/>
    <w:rsid w:val="002E43F6"/>
    <w:rsid w:val="002E4813"/>
    <w:rsid w:val="002E7C3E"/>
    <w:rsid w:val="002E7F36"/>
    <w:rsid w:val="002F074B"/>
    <w:rsid w:val="002F1C19"/>
    <w:rsid w:val="002F1C7D"/>
    <w:rsid w:val="002F1EC9"/>
    <w:rsid w:val="002F25EC"/>
    <w:rsid w:val="002F2A10"/>
    <w:rsid w:val="002F2AAA"/>
    <w:rsid w:val="002F2EAB"/>
    <w:rsid w:val="002F30DD"/>
    <w:rsid w:val="002F3224"/>
    <w:rsid w:val="002F3350"/>
    <w:rsid w:val="002F7D7D"/>
    <w:rsid w:val="00300067"/>
    <w:rsid w:val="00300513"/>
    <w:rsid w:val="00300B27"/>
    <w:rsid w:val="0030123B"/>
    <w:rsid w:val="00301E0D"/>
    <w:rsid w:val="00301FAE"/>
    <w:rsid w:val="003024CF"/>
    <w:rsid w:val="00306470"/>
    <w:rsid w:val="00311862"/>
    <w:rsid w:val="00316D60"/>
    <w:rsid w:val="003172BB"/>
    <w:rsid w:val="00322208"/>
    <w:rsid w:val="003245F8"/>
    <w:rsid w:val="00325D47"/>
    <w:rsid w:val="00325EF1"/>
    <w:rsid w:val="00326169"/>
    <w:rsid w:val="00327A6B"/>
    <w:rsid w:val="00330EA4"/>
    <w:rsid w:val="00332A7C"/>
    <w:rsid w:val="00335C58"/>
    <w:rsid w:val="00337CFC"/>
    <w:rsid w:val="0034052E"/>
    <w:rsid w:val="003406B1"/>
    <w:rsid w:val="00343305"/>
    <w:rsid w:val="003443D3"/>
    <w:rsid w:val="003450CD"/>
    <w:rsid w:val="00345F35"/>
    <w:rsid w:val="00346A88"/>
    <w:rsid w:val="003509CA"/>
    <w:rsid w:val="00351734"/>
    <w:rsid w:val="00354FCF"/>
    <w:rsid w:val="003551E0"/>
    <w:rsid w:val="0035572B"/>
    <w:rsid w:val="00357EC3"/>
    <w:rsid w:val="00360830"/>
    <w:rsid w:val="00364896"/>
    <w:rsid w:val="00366A2C"/>
    <w:rsid w:val="003704E3"/>
    <w:rsid w:val="00371456"/>
    <w:rsid w:val="00373AE9"/>
    <w:rsid w:val="00374506"/>
    <w:rsid w:val="0037495D"/>
    <w:rsid w:val="0037531B"/>
    <w:rsid w:val="00375819"/>
    <w:rsid w:val="00375C89"/>
    <w:rsid w:val="00376DAF"/>
    <w:rsid w:val="00377482"/>
    <w:rsid w:val="003833FB"/>
    <w:rsid w:val="00383F8F"/>
    <w:rsid w:val="003872CB"/>
    <w:rsid w:val="00387AFC"/>
    <w:rsid w:val="00390290"/>
    <w:rsid w:val="0039216D"/>
    <w:rsid w:val="00392EBD"/>
    <w:rsid w:val="00393459"/>
    <w:rsid w:val="003943D1"/>
    <w:rsid w:val="0039449C"/>
    <w:rsid w:val="00395695"/>
    <w:rsid w:val="003A0002"/>
    <w:rsid w:val="003A0295"/>
    <w:rsid w:val="003A0D83"/>
    <w:rsid w:val="003A192D"/>
    <w:rsid w:val="003A2A14"/>
    <w:rsid w:val="003B086A"/>
    <w:rsid w:val="003B0D75"/>
    <w:rsid w:val="003B2AF6"/>
    <w:rsid w:val="003B3207"/>
    <w:rsid w:val="003C3325"/>
    <w:rsid w:val="003C61F3"/>
    <w:rsid w:val="003C6AB2"/>
    <w:rsid w:val="003C7C29"/>
    <w:rsid w:val="003D2606"/>
    <w:rsid w:val="003D39C7"/>
    <w:rsid w:val="003D3A50"/>
    <w:rsid w:val="003D45F5"/>
    <w:rsid w:val="003D6B60"/>
    <w:rsid w:val="003E010E"/>
    <w:rsid w:val="003E1D81"/>
    <w:rsid w:val="003E2F34"/>
    <w:rsid w:val="003E5CDB"/>
    <w:rsid w:val="003E7874"/>
    <w:rsid w:val="003F3882"/>
    <w:rsid w:val="003F3B99"/>
    <w:rsid w:val="003F60A3"/>
    <w:rsid w:val="003F7C8E"/>
    <w:rsid w:val="004001BE"/>
    <w:rsid w:val="00400ECF"/>
    <w:rsid w:val="0040124D"/>
    <w:rsid w:val="004017C8"/>
    <w:rsid w:val="0040181A"/>
    <w:rsid w:val="004024C2"/>
    <w:rsid w:val="00405285"/>
    <w:rsid w:val="004068A7"/>
    <w:rsid w:val="00406C11"/>
    <w:rsid w:val="00407BBB"/>
    <w:rsid w:val="004106B2"/>
    <w:rsid w:val="00412CBC"/>
    <w:rsid w:val="00414D38"/>
    <w:rsid w:val="004155E3"/>
    <w:rsid w:val="00415649"/>
    <w:rsid w:val="004156E2"/>
    <w:rsid w:val="00415AB5"/>
    <w:rsid w:val="00416478"/>
    <w:rsid w:val="00420875"/>
    <w:rsid w:val="0042388D"/>
    <w:rsid w:val="00425038"/>
    <w:rsid w:val="0042688F"/>
    <w:rsid w:val="00427ABD"/>
    <w:rsid w:val="004317AB"/>
    <w:rsid w:val="00431DBF"/>
    <w:rsid w:val="00433512"/>
    <w:rsid w:val="0043432D"/>
    <w:rsid w:val="00441423"/>
    <w:rsid w:val="00441D7B"/>
    <w:rsid w:val="00444250"/>
    <w:rsid w:val="00444298"/>
    <w:rsid w:val="004456C5"/>
    <w:rsid w:val="00454666"/>
    <w:rsid w:val="004547F6"/>
    <w:rsid w:val="004574A4"/>
    <w:rsid w:val="00461F1D"/>
    <w:rsid w:val="00463236"/>
    <w:rsid w:val="004657D3"/>
    <w:rsid w:val="0046690A"/>
    <w:rsid w:val="0046782F"/>
    <w:rsid w:val="00471E1E"/>
    <w:rsid w:val="0047278F"/>
    <w:rsid w:val="00473CE1"/>
    <w:rsid w:val="0047590B"/>
    <w:rsid w:val="004846F1"/>
    <w:rsid w:val="00490F98"/>
    <w:rsid w:val="00491349"/>
    <w:rsid w:val="00493684"/>
    <w:rsid w:val="00493E48"/>
    <w:rsid w:val="00496ACE"/>
    <w:rsid w:val="00497530"/>
    <w:rsid w:val="004A00FD"/>
    <w:rsid w:val="004A570C"/>
    <w:rsid w:val="004A5CFF"/>
    <w:rsid w:val="004A61D7"/>
    <w:rsid w:val="004A6B5A"/>
    <w:rsid w:val="004B1026"/>
    <w:rsid w:val="004B13F6"/>
    <w:rsid w:val="004B5992"/>
    <w:rsid w:val="004C093C"/>
    <w:rsid w:val="004C0B7A"/>
    <w:rsid w:val="004C0CA0"/>
    <w:rsid w:val="004C5B48"/>
    <w:rsid w:val="004C6493"/>
    <w:rsid w:val="004C7371"/>
    <w:rsid w:val="004D2147"/>
    <w:rsid w:val="004D2D8E"/>
    <w:rsid w:val="004D2F54"/>
    <w:rsid w:val="004D4879"/>
    <w:rsid w:val="004D7112"/>
    <w:rsid w:val="004D7C23"/>
    <w:rsid w:val="004D7F2C"/>
    <w:rsid w:val="004E07B6"/>
    <w:rsid w:val="004E0B6D"/>
    <w:rsid w:val="004E63AF"/>
    <w:rsid w:val="004F01A5"/>
    <w:rsid w:val="004F04DD"/>
    <w:rsid w:val="004F2CC5"/>
    <w:rsid w:val="004F3159"/>
    <w:rsid w:val="004F411F"/>
    <w:rsid w:val="004F60D3"/>
    <w:rsid w:val="004F7234"/>
    <w:rsid w:val="004F7D8F"/>
    <w:rsid w:val="0050182A"/>
    <w:rsid w:val="00501CED"/>
    <w:rsid w:val="0050264E"/>
    <w:rsid w:val="00502DB5"/>
    <w:rsid w:val="0050431E"/>
    <w:rsid w:val="005053C1"/>
    <w:rsid w:val="00506ECC"/>
    <w:rsid w:val="00510D3F"/>
    <w:rsid w:val="00511E18"/>
    <w:rsid w:val="00512B77"/>
    <w:rsid w:val="00515ADE"/>
    <w:rsid w:val="00515E63"/>
    <w:rsid w:val="005176F4"/>
    <w:rsid w:val="005203BA"/>
    <w:rsid w:val="005220F8"/>
    <w:rsid w:val="00522932"/>
    <w:rsid w:val="0052539A"/>
    <w:rsid w:val="005309DD"/>
    <w:rsid w:val="005330CB"/>
    <w:rsid w:val="0053320F"/>
    <w:rsid w:val="005340C0"/>
    <w:rsid w:val="00534E48"/>
    <w:rsid w:val="0053507D"/>
    <w:rsid w:val="00535F18"/>
    <w:rsid w:val="00537136"/>
    <w:rsid w:val="005406CD"/>
    <w:rsid w:val="00544037"/>
    <w:rsid w:val="00544FDF"/>
    <w:rsid w:val="0054537C"/>
    <w:rsid w:val="00547AD0"/>
    <w:rsid w:val="005509F0"/>
    <w:rsid w:val="00551012"/>
    <w:rsid w:val="00553778"/>
    <w:rsid w:val="00553AC5"/>
    <w:rsid w:val="00554646"/>
    <w:rsid w:val="00554791"/>
    <w:rsid w:val="00555365"/>
    <w:rsid w:val="005555A0"/>
    <w:rsid w:val="0056050F"/>
    <w:rsid w:val="00560BBE"/>
    <w:rsid w:val="005612F2"/>
    <w:rsid w:val="0056216F"/>
    <w:rsid w:val="005627E9"/>
    <w:rsid w:val="005642D3"/>
    <w:rsid w:val="005676F6"/>
    <w:rsid w:val="00572506"/>
    <w:rsid w:val="00573AC9"/>
    <w:rsid w:val="00575980"/>
    <w:rsid w:val="005801CF"/>
    <w:rsid w:val="00581DBA"/>
    <w:rsid w:val="00581F60"/>
    <w:rsid w:val="005829C2"/>
    <w:rsid w:val="00582A46"/>
    <w:rsid w:val="0058322B"/>
    <w:rsid w:val="00583A5C"/>
    <w:rsid w:val="0058471F"/>
    <w:rsid w:val="0058487A"/>
    <w:rsid w:val="00585E3F"/>
    <w:rsid w:val="00592CFD"/>
    <w:rsid w:val="00593C8A"/>
    <w:rsid w:val="00594467"/>
    <w:rsid w:val="00594F66"/>
    <w:rsid w:val="005960B9"/>
    <w:rsid w:val="005A1806"/>
    <w:rsid w:val="005A20E0"/>
    <w:rsid w:val="005A32F2"/>
    <w:rsid w:val="005A3DFC"/>
    <w:rsid w:val="005A43AB"/>
    <w:rsid w:val="005A4B53"/>
    <w:rsid w:val="005A5A7B"/>
    <w:rsid w:val="005A5B0F"/>
    <w:rsid w:val="005A69F8"/>
    <w:rsid w:val="005A6B45"/>
    <w:rsid w:val="005A7B9D"/>
    <w:rsid w:val="005B0579"/>
    <w:rsid w:val="005B1C32"/>
    <w:rsid w:val="005B2863"/>
    <w:rsid w:val="005B314D"/>
    <w:rsid w:val="005B353B"/>
    <w:rsid w:val="005B3CE3"/>
    <w:rsid w:val="005B51A3"/>
    <w:rsid w:val="005B547C"/>
    <w:rsid w:val="005B65A5"/>
    <w:rsid w:val="005B67BE"/>
    <w:rsid w:val="005B7116"/>
    <w:rsid w:val="005C50A4"/>
    <w:rsid w:val="005C6C4F"/>
    <w:rsid w:val="005D000E"/>
    <w:rsid w:val="005D035F"/>
    <w:rsid w:val="005D62E5"/>
    <w:rsid w:val="005D7216"/>
    <w:rsid w:val="005E12F7"/>
    <w:rsid w:val="005E37E1"/>
    <w:rsid w:val="005E548A"/>
    <w:rsid w:val="005E5BCC"/>
    <w:rsid w:val="005E5CCE"/>
    <w:rsid w:val="005E6CCC"/>
    <w:rsid w:val="005F1247"/>
    <w:rsid w:val="005F19BB"/>
    <w:rsid w:val="005F3B5B"/>
    <w:rsid w:val="005F6909"/>
    <w:rsid w:val="005F6C88"/>
    <w:rsid w:val="0060005D"/>
    <w:rsid w:val="006022C0"/>
    <w:rsid w:val="00602E42"/>
    <w:rsid w:val="00603657"/>
    <w:rsid w:val="00603BB4"/>
    <w:rsid w:val="0060479B"/>
    <w:rsid w:val="00606A55"/>
    <w:rsid w:val="00611AC2"/>
    <w:rsid w:val="00611FFE"/>
    <w:rsid w:val="00613BB6"/>
    <w:rsid w:val="0061777B"/>
    <w:rsid w:val="00624066"/>
    <w:rsid w:val="0062454A"/>
    <w:rsid w:val="00624620"/>
    <w:rsid w:val="00624946"/>
    <w:rsid w:val="00625173"/>
    <w:rsid w:val="00630CCB"/>
    <w:rsid w:val="00631E71"/>
    <w:rsid w:val="0063350A"/>
    <w:rsid w:val="006340A0"/>
    <w:rsid w:val="0063581A"/>
    <w:rsid w:val="00635858"/>
    <w:rsid w:val="00636BF4"/>
    <w:rsid w:val="00637FE9"/>
    <w:rsid w:val="00642CB1"/>
    <w:rsid w:val="006431A9"/>
    <w:rsid w:val="006460E3"/>
    <w:rsid w:val="006466DF"/>
    <w:rsid w:val="00646A42"/>
    <w:rsid w:val="006518D0"/>
    <w:rsid w:val="00652393"/>
    <w:rsid w:val="00656003"/>
    <w:rsid w:val="00657150"/>
    <w:rsid w:val="006571DD"/>
    <w:rsid w:val="0065774D"/>
    <w:rsid w:val="0065792C"/>
    <w:rsid w:val="00662E32"/>
    <w:rsid w:val="0066668A"/>
    <w:rsid w:val="00667CAB"/>
    <w:rsid w:val="00675065"/>
    <w:rsid w:val="00675481"/>
    <w:rsid w:val="00675563"/>
    <w:rsid w:val="00675DAD"/>
    <w:rsid w:val="00682389"/>
    <w:rsid w:val="00685346"/>
    <w:rsid w:val="00685390"/>
    <w:rsid w:val="00685B24"/>
    <w:rsid w:val="006870E8"/>
    <w:rsid w:val="00690BC5"/>
    <w:rsid w:val="00690C8E"/>
    <w:rsid w:val="00691341"/>
    <w:rsid w:val="006933DD"/>
    <w:rsid w:val="0069471D"/>
    <w:rsid w:val="00695670"/>
    <w:rsid w:val="00695E20"/>
    <w:rsid w:val="006A2D90"/>
    <w:rsid w:val="006A3BA0"/>
    <w:rsid w:val="006A4EC6"/>
    <w:rsid w:val="006A6B87"/>
    <w:rsid w:val="006A6DF3"/>
    <w:rsid w:val="006A7769"/>
    <w:rsid w:val="006B20D5"/>
    <w:rsid w:val="006B34F6"/>
    <w:rsid w:val="006B4952"/>
    <w:rsid w:val="006B5EA1"/>
    <w:rsid w:val="006B62C2"/>
    <w:rsid w:val="006B6316"/>
    <w:rsid w:val="006B6C2F"/>
    <w:rsid w:val="006B7A21"/>
    <w:rsid w:val="006B7F10"/>
    <w:rsid w:val="006C042B"/>
    <w:rsid w:val="006C2543"/>
    <w:rsid w:val="006C2A45"/>
    <w:rsid w:val="006C4042"/>
    <w:rsid w:val="006C6C85"/>
    <w:rsid w:val="006C6F0B"/>
    <w:rsid w:val="006C700A"/>
    <w:rsid w:val="006C7C59"/>
    <w:rsid w:val="006D0312"/>
    <w:rsid w:val="006D06D5"/>
    <w:rsid w:val="006D214E"/>
    <w:rsid w:val="006D2DEA"/>
    <w:rsid w:val="006D2E9C"/>
    <w:rsid w:val="006D30BC"/>
    <w:rsid w:val="006E1A0E"/>
    <w:rsid w:val="006E6E8B"/>
    <w:rsid w:val="006E7C76"/>
    <w:rsid w:val="006F04CD"/>
    <w:rsid w:val="006F07C9"/>
    <w:rsid w:val="006F0A6B"/>
    <w:rsid w:val="006F0F75"/>
    <w:rsid w:val="006F3496"/>
    <w:rsid w:val="006F4633"/>
    <w:rsid w:val="006F5AC8"/>
    <w:rsid w:val="006F5F50"/>
    <w:rsid w:val="006F721C"/>
    <w:rsid w:val="006F7A75"/>
    <w:rsid w:val="00703F7A"/>
    <w:rsid w:val="00704218"/>
    <w:rsid w:val="00706102"/>
    <w:rsid w:val="00711356"/>
    <w:rsid w:val="00713D33"/>
    <w:rsid w:val="00716375"/>
    <w:rsid w:val="00717B21"/>
    <w:rsid w:val="00721BAC"/>
    <w:rsid w:val="007240F9"/>
    <w:rsid w:val="00724763"/>
    <w:rsid w:val="007303C2"/>
    <w:rsid w:val="0073139F"/>
    <w:rsid w:val="007326D4"/>
    <w:rsid w:val="00733D26"/>
    <w:rsid w:val="00733E96"/>
    <w:rsid w:val="00733F1D"/>
    <w:rsid w:val="00734BE2"/>
    <w:rsid w:val="00734DBA"/>
    <w:rsid w:val="007405AB"/>
    <w:rsid w:val="00740862"/>
    <w:rsid w:val="00740ED2"/>
    <w:rsid w:val="0074169B"/>
    <w:rsid w:val="00742326"/>
    <w:rsid w:val="00743F8B"/>
    <w:rsid w:val="007552A7"/>
    <w:rsid w:val="00757FC1"/>
    <w:rsid w:val="00760265"/>
    <w:rsid w:val="00763522"/>
    <w:rsid w:val="00763B46"/>
    <w:rsid w:val="00767121"/>
    <w:rsid w:val="00770A23"/>
    <w:rsid w:val="00770D89"/>
    <w:rsid w:val="00771FBD"/>
    <w:rsid w:val="00772751"/>
    <w:rsid w:val="00772BFA"/>
    <w:rsid w:val="007732E5"/>
    <w:rsid w:val="00773A1F"/>
    <w:rsid w:val="007750D4"/>
    <w:rsid w:val="00775725"/>
    <w:rsid w:val="00775864"/>
    <w:rsid w:val="00780950"/>
    <w:rsid w:val="00781A2A"/>
    <w:rsid w:val="0079003B"/>
    <w:rsid w:val="00797959"/>
    <w:rsid w:val="007A0298"/>
    <w:rsid w:val="007A0EED"/>
    <w:rsid w:val="007A1F61"/>
    <w:rsid w:val="007A2D00"/>
    <w:rsid w:val="007A3433"/>
    <w:rsid w:val="007A5B38"/>
    <w:rsid w:val="007A7AC5"/>
    <w:rsid w:val="007B1707"/>
    <w:rsid w:val="007B1F48"/>
    <w:rsid w:val="007B4190"/>
    <w:rsid w:val="007B5A22"/>
    <w:rsid w:val="007B7795"/>
    <w:rsid w:val="007C1E2E"/>
    <w:rsid w:val="007C32E6"/>
    <w:rsid w:val="007C551E"/>
    <w:rsid w:val="007C6103"/>
    <w:rsid w:val="007C7079"/>
    <w:rsid w:val="007C745E"/>
    <w:rsid w:val="007C7E4A"/>
    <w:rsid w:val="007D20D8"/>
    <w:rsid w:val="007D249E"/>
    <w:rsid w:val="007D2EE8"/>
    <w:rsid w:val="007D4745"/>
    <w:rsid w:val="007D5763"/>
    <w:rsid w:val="007D596E"/>
    <w:rsid w:val="007D6288"/>
    <w:rsid w:val="007D7193"/>
    <w:rsid w:val="007D7958"/>
    <w:rsid w:val="007D7D00"/>
    <w:rsid w:val="007E051D"/>
    <w:rsid w:val="007E1576"/>
    <w:rsid w:val="007E2BD2"/>
    <w:rsid w:val="007E5F41"/>
    <w:rsid w:val="007E6CF2"/>
    <w:rsid w:val="007F0B94"/>
    <w:rsid w:val="007F0BE0"/>
    <w:rsid w:val="007F1EB4"/>
    <w:rsid w:val="007F5493"/>
    <w:rsid w:val="007F5B53"/>
    <w:rsid w:val="007F60D5"/>
    <w:rsid w:val="007F6DC7"/>
    <w:rsid w:val="0080075E"/>
    <w:rsid w:val="00802948"/>
    <w:rsid w:val="00802AAC"/>
    <w:rsid w:val="00806FED"/>
    <w:rsid w:val="00811115"/>
    <w:rsid w:val="008122DE"/>
    <w:rsid w:val="008134C7"/>
    <w:rsid w:val="008139EB"/>
    <w:rsid w:val="00813D5F"/>
    <w:rsid w:val="008150A6"/>
    <w:rsid w:val="008151E2"/>
    <w:rsid w:val="00816091"/>
    <w:rsid w:val="00816182"/>
    <w:rsid w:val="00821BA2"/>
    <w:rsid w:val="00822824"/>
    <w:rsid w:val="008228B9"/>
    <w:rsid w:val="00824639"/>
    <w:rsid w:val="00826C95"/>
    <w:rsid w:val="00830FB7"/>
    <w:rsid w:val="00832985"/>
    <w:rsid w:val="008332CE"/>
    <w:rsid w:val="008345B9"/>
    <w:rsid w:val="008354ED"/>
    <w:rsid w:val="00835DAD"/>
    <w:rsid w:val="00836FBF"/>
    <w:rsid w:val="008376EF"/>
    <w:rsid w:val="00837760"/>
    <w:rsid w:val="00837F02"/>
    <w:rsid w:val="00840EF2"/>
    <w:rsid w:val="00842D6E"/>
    <w:rsid w:val="00843A87"/>
    <w:rsid w:val="00843C41"/>
    <w:rsid w:val="0084500E"/>
    <w:rsid w:val="00845138"/>
    <w:rsid w:val="008455FB"/>
    <w:rsid w:val="0084584F"/>
    <w:rsid w:val="00847DB4"/>
    <w:rsid w:val="00850BC8"/>
    <w:rsid w:val="00850E33"/>
    <w:rsid w:val="0085172A"/>
    <w:rsid w:val="00856715"/>
    <w:rsid w:val="00856DC0"/>
    <w:rsid w:val="008607CA"/>
    <w:rsid w:val="00861CE7"/>
    <w:rsid w:val="00862E46"/>
    <w:rsid w:val="00864D01"/>
    <w:rsid w:val="00865BFC"/>
    <w:rsid w:val="00870585"/>
    <w:rsid w:val="0087394A"/>
    <w:rsid w:val="00873EAC"/>
    <w:rsid w:val="00874D32"/>
    <w:rsid w:val="00880D1C"/>
    <w:rsid w:val="00880EB6"/>
    <w:rsid w:val="00881B84"/>
    <w:rsid w:val="00885CC3"/>
    <w:rsid w:val="00886362"/>
    <w:rsid w:val="008876A3"/>
    <w:rsid w:val="00887DFB"/>
    <w:rsid w:val="0089283A"/>
    <w:rsid w:val="00892ADC"/>
    <w:rsid w:val="00893813"/>
    <w:rsid w:val="0089658C"/>
    <w:rsid w:val="00897000"/>
    <w:rsid w:val="008A0739"/>
    <w:rsid w:val="008A2458"/>
    <w:rsid w:val="008A66B8"/>
    <w:rsid w:val="008A7EED"/>
    <w:rsid w:val="008B25E6"/>
    <w:rsid w:val="008B2B1D"/>
    <w:rsid w:val="008B2FDF"/>
    <w:rsid w:val="008B5009"/>
    <w:rsid w:val="008B7E45"/>
    <w:rsid w:val="008C1237"/>
    <w:rsid w:val="008C64FB"/>
    <w:rsid w:val="008C6F63"/>
    <w:rsid w:val="008C771B"/>
    <w:rsid w:val="008C77A4"/>
    <w:rsid w:val="008D0DB7"/>
    <w:rsid w:val="008D2DAF"/>
    <w:rsid w:val="008D4EEC"/>
    <w:rsid w:val="008D5BFC"/>
    <w:rsid w:val="008E1C91"/>
    <w:rsid w:val="008E2EFF"/>
    <w:rsid w:val="008E3B9E"/>
    <w:rsid w:val="008E4E0F"/>
    <w:rsid w:val="008E5935"/>
    <w:rsid w:val="008E738E"/>
    <w:rsid w:val="008F0A84"/>
    <w:rsid w:val="008F0CC3"/>
    <w:rsid w:val="008F44C7"/>
    <w:rsid w:val="008F5035"/>
    <w:rsid w:val="008F5056"/>
    <w:rsid w:val="00900C2F"/>
    <w:rsid w:val="0090408F"/>
    <w:rsid w:val="00906F8A"/>
    <w:rsid w:val="009104E4"/>
    <w:rsid w:val="00910A37"/>
    <w:rsid w:val="00915570"/>
    <w:rsid w:val="0091611D"/>
    <w:rsid w:val="00916267"/>
    <w:rsid w:val="009173A3"/>
    <w:rsid w:val="0092016A"/>
    <w:rsid w:val="00920CEB"/>
    <w:rsid w:val="00921082"/>
    <w:rsid w:val="00922A3C"/>
    <w:rsid w:val="00922DE7"/>
    <w:rsid w:val="00922EFB"/>
    <w:rsid w:val="00923A6C"/>
    <w:rsid w:val="009249C8"/>
    <w:rsid w:val="0093115A"/>
    <w:rsid w:val="00931671"/>
    <w:rsid w:val="00932C0E"/>
    <w:rsid w:val="00933F00"/>
    <w:rsid w:val="00935401"/>
    <w:rsid w:val="0094003A"/>
    <w:rsid w:val="0094004A"/>
    <w:rsid w:val="0094638E"/>
    <w:rsid w:val="00946A82"/>
    <w:rsid w:val="00951071"/>
    <w:rsid w:val="0095333C"/>
    <w:rsid w:val="009544D9"/>
    <w:rsid w:val="00955186"/>
    <w:rsid w:val="00955282"/>
    <w:rsid w:val="00956990"/>
    <w:rsid w:val="00956EE8"/>
    <w:rsid w:val="009570F6"/>
    <w:rsid w:val="00965C09"/>
    <w:rsid w:val="00966B6A"/>
    <w:rsid w:val="0097057C"/>
    <w:rsid w:val="009715C5"/>
    <w:rsid w:val="00971AF2"/>
    <w:rsid w:val="009723B8"/>
    <w:rsid w:val="00976197"/>
    <w:rsid w:val="009817A0"/>
    <w:rsid w:val="0098281C"/>
    <w:rsid w:val="009833A0"/>
    <w:rsid w:val="0098423D"/>
    <w:rsid w:val="009850E9"/>
    <w:rsid w:val="00985DFA"/>
    <w:rsid w:val="00986315"/>
    <w:rsid w:val="00986617"/>
    <w:rsid w:val="009911E3"/>
    <w:rsid w:val="00994B4C"/>
    <w:rsid w:val="00994E42"/>
    <w:rsid w:val="00995178"/>
    <w:rsid w:val="009960E6"/>
    <w:rsid w:val="009A1C33"/>
    <w:rsid w:val="009A2439"/>
    <w:rsid w:val="009A2BFF"/>
    <w:rsid w:val="009A6D30"/>
    <w:rsid w:val="009B206F"/>
    <w:rsid w:val="009B5F6F"/>
    <w:rsid w:val="009B7A7F"/>
    <w:rsid w:val="009B7A90"/>
    <w:rsid w:val="009B7BA4"/>
    <w:rsid w:val="009C1007"/>
    <w:rsid w:val="009C1F6E"/>
    <w:rsid w:val="009C2514"/>
    <w:rsid w:val="009C3C03"/>
    <w:rsid w:val="009C3C6C"/>
    <w:rsid w:val="009C3EBA"/>
    <w:rsid w:val="009C4C61"/>
    <w:rsid w:val="009C5377"/>
    <w:rsid w:val="009C58A2"/>
    <w:rsid w:val="009C7BA0"/>
    <w:rsid w:val="009D1B51"/>
    <w:rsid w:val="009D426B"/>
    <w:rsid w:val="009D43A5"/>
    <w:rsid w:val="009D52BF"/>
    <w:rsid w:val="009D6255"/>
    <w:rsid w:val="009D6DD3"/>
    <w:rsid w:val="009E3F57"/>
    <w:rsid w:val="009E4F8A"/>
    <w:rsid w:val="009E6471"/>
    <w:rsid w:val="009E6771"/>
    <w:rsid w:val="009E67E4"/>
    <w:rsid w:val="009E754B"/>
    <w:rsid w:val="009F0511"/>
    <w:rsid w:val="009F092A"/>
    <w:rsid w:val="009F1DBD"/>
    <w:rsid w:val="009F22FE"/>
    <w:rsid w:val="009F750B"/>
    <w:rsid w:val="00A00435"/>
    <w:rsid w:val="00A01FCD"/>
    <w:rsid w:val="00A025E8"/>
    <w:rsid w:val="00A03071"/>
    <w:rsid w:val="00A044F0"/>
    <w:rsid w:val="00A0582B"/>
    <w:rsid w:val="00A05B11"/>
    <w:rsid w:val="00A06B7F"/>
    <w:rsid w:val="00A06FBD"/>
    <w:rsid w:val="00A07D9C"/>
    <w:rsid w:val="00A109CC"/>
    <w:rsid w:val="00A13EDB"/>
    <w:rsid w:val="00A14C4D"/>
    <w:rsid w:val="00A15845"/>
    <w:rsid w:val="00A17B52"/>
    <w:rsid w:val="00A2141C"/>
    <w:rsid w:val="00A21B16"/>
    <w:rsid w:val="00A22D76"/>
    <w:rsid w:val="00A2438C"/>
    <w:rsid w:val="00A24D47"/>
    <w:rsid w:val="00A30370"/>
    <w:rsid w:val="00A32017"/>
    <w:rsid w:val="00A3527C"/>
    <w:rsid w:val="00A36E1D"/>
    <w:rsid w:val="00A37E7E"/>
    <w:rsid w:val="00A4098F"/>
    <w:rsid w:val="00A4193A"/>
    <w:rsid w:val="00A42D4A"/>
    <w:rsid w:val="00A45C6F"/>
    <w:rsid w:val="00A46DCC"/>
    <w:rsid w:val="00A5014E"/>
    <w:rsid w:val="00A55DD6"/>
    <w:rsid w:val="00A562E3"/>
    <w:rsid w:val="00A569D3"/>
    <w:rsid w:val="00A6062B"/>
    <w:rsid w:val="00A62089"/>
    <w:rsid w:val="00A63264"/>
    <w:rsid w:val="00A64C2B"/>
    <w:rsid w:val="00A654EF"/>
    <w:rsid w:val="00A658F2"/>
    <w:rsid w:val="00A65AFD"/>
    <w:rsid w:val="00A66B78"/>
    <w:rsid w:val="00A6769B"/>
    <w:rsid w:val="00A677C6"/>
    <w:rsid w:val="00A67E25"/>
    <w:rsid w:val="00A72C38"/>
    <w:rsid w:val="00A72FD2"/>
    <w:rsid w:val="00A7420A"/>
    <w:rsid w:val="00A74D3C"/>
    <w:rsid w:val="00A75DB1"/>
    <w:rsid w:val="00A760CB"/>
    <w:rsid w:val="00A761C2"/>
    <w:rsid w:val="00A76BBD"/>
    <w:rsid w:val="00A76D29"/>
    <w:rsid w:val="00A81335"/>
    <w:rsid w:val="00A816E2"/>
    <w:rsid w:val="00A81ADF"/>
    <w:rsid w:val="00A86383"/>
    <w:rsid w:val="00A86960"/>
    <w:rsid w:val="00A86B01"/>
    <w:rsid w:val="00A91A54"/>
    <w:rsid w:val="00A91B7E"/>
    <w:rsid w:val="00A96F13"/>
    <w:rsid w:val="00AA1080"/>
    <w:rsid w:val="00AA16D3"/>
    <w:rsid w:val="00AA18CA"/>
    <w:rsid w:val="00AA1D98"/>
    <w:rsid w:val="00AA3063"/>
    <w:rsid w:val="00AA3BFA"/>
    <w:rsid w:val="00AA4BCE"/>
    <w:rsid w:val="00AA5A0A"/>
    <w:rsid w:val="00AA5E84"/>
    <w:rsid w:val="00AA725C"/>
    <w:rsid w:val="00AB3274"/>
    <w:rsid w:val="00AB3E05"/>
    <w:rsid w:val="00AB7A0E"/>
    <w:rsid w:val="00AC0409"/>
    <w:rsid w:val="00AC0C60"/>
    <w:rsid w:val="00AC178D"/>
    <w:rsid w:val="00AC1897"/>
    <w:rsid w:val="00AC2E63"/>
    <w:rsid w:val="00AC2EA5"/>
    <w:rsid w:val="00AC3A70"/>
    <w:rsid w:val="00AC63F8"/>
    <w:rsid w:val="00AC7144"/>
    <w:rsid w:val="00AC75AF"/>
    <w:rsid w:val="00AD0634"/>
    <w:rsid w:val="00AD340C"/>
    <w:rsid w:val="00AD3849"/>
    <w:rsid w:val="00AD3D18"/>
    <w:rsid w:val="00AD4D41"/>
    <w:rsid w:val="00AD4DD2"/>
    <w:rsid w:val="00AD6114"/>
    <w:rsid w:val="00AD74EC"/>
    <w:rsid w:val="00AE01B3"/>
    <w:rsid w:val="00AE0CFD"/>
    <w:rsid w:val="00AE1DA8"/>
    <w:rsid w:val="00AE4D94"/>
    <w:rsid w:val="00AE5612"/>
    <w:rsid w:val="00AE6664"/>
    <w:rsid w:val="00AE6EED"/>
    <w:rsid w:val="00AE74AC"/>
    <w:rsid w:val="00B01853"/>
    <w:rsid w:val="00B02758"/>
    <w:rsid w:val="00B02B5A"/>
    <w:rsid w:val="00B0302F"/>
    <w:rsid w:val="00B036CF"/>
    <w:rsid w:val="00B03790"/>
    <w:rsid w:val="00B03CDC"/>
    <w:rsid w:val="00B04B8A"/>
    <w:rsid w:val="00B04BFB"/>
    <w:rsid w:val="00B104AA"/>
    <w:rsid w:val="00B11872"/>
    <w:rsid w:val="00B13758"/>
    <w:rsid w:val="00B13979"/>
    <w:rsid w:val="00B15E4F"/>
    <w:rsid w:val="00B17E7D"/>
    <w:rsid w:val="00B2012B"/>
    <w:rsid w:val="00B20B29"/>
    <w:rsid w:val="00B20CB9"/>
    <w:rsid w:val="00B20D52"/>
    <w:rsid w:val="00B2167C"/>
    <w:rsid w:val="00B22598"/>
    <w:rsid w:val="00B246D3"/>
    <w:rsid w:val="00B262C9"/>
    <w:rsid w:val="00B26A2C"/>
    <w:rsid w:val="00B26BDA"/>
    <w:rsid w:val="00B30526"/>
    <w:rsid w:val="00B3125B"/>
    <w:rsid w:val="00B32F9A"/>
    <w:rsid w:val="00B32FCD"/>
    <w:rsid w:val="00B34577"/>
    <w:rsid w:val="00B34E07"/>
    <w:rsid w:val="00B43464"/>
    <w:rsid w:val="00B45223"/>
    <w:rsid w:val="00B45C7D"/>
    <w:rsid w:val="00B461F3"/>
    <w:rsid w:val="00B46548"/>
    <w:rsid w:val="00B47EFD"/>
    <w:rsid w:val="00B50604"/>
    <w:rsid w:val="00B50C36"/>
    <w:rsid w:val="00B51C5E"/>
    <w:rsid w:val="00B52083"/>
    <w:rsid w:val="00B52525"/>
    <w:rsid w:val="00B52A88"/>
    <w:rsid w:val="00B52B44"/>
    <w:rsid w:val="00B52D72"/>
    <w:rsid w:val="00B56BAC"/>
    <w:rsid w:val="00B56E5B"/>
    <w:rsid w:val="00B571F4"/>
    <w:rsid w:val="00B61F86"/>
    <w:rsid w:val="00B6381E"/>
    <w:rsid w:val="00B64780"/>
    <w:rsid w:val="00B6494B"/>
    <w:rsid w:val="00B64BD5"/>
    <w:rsid w:val="00B64D7D"/>
    <w:rsid w:val="00B658BB"/>
    <w:rsid w:val="00B65E8E"/>
    <w:rsid w:val="00B6622F"/>
    <w:rsid w:val="00B67926"/>
    <w:rsid w:val="00B679FA"/>
    <w:rsid w:val="00B72B4C"/>
    <w:rsid w:val="00B75DE1"/>
    <w:rsid w:val="00B76EAC"/>
    <w:rsid w:val="00B81ECA"/>
    <w:rsid w:val="00B838D7"/>
    <w:rsid w:val="00B83DCC"/>
    <w:rsid w:val="00B86A3E"/>
    <w:rsid w:val="00B903B2"/>
    <w:rsid w:val="00B9113C"/>
    <w:rsid w:val="00B91DE8"/>
    <w:rsid w:val="00B93ECE"/>
    <w:rsid w:val="00B96111"/>
    <w:rsid w:val="00B975ED"/>
    <w:rsid w:val="00B979E2"/>
    <w:rsid w:val="00B97D1F"/>
    <w:rsid w:val="00B97E9D"/>
    <w:rsid w:val="00BA25DB"/>
    <w:rsid w:val="00BA38E0"/>
    <w:rsid w:val="00BA4649"/>
    <w:rsid w:val="00BA51C2"/>
    <w:rsid w:val="00BA619F"/>
    <w:rsid w:val="00BA7D43"/>
    <w:rsid w:val="00BB02EB"/>
    <w:rsid w:val="00BB08FA"/>
    <w:rsid w:val="00BB0940"/>
    <w:rsid w:val="00BB0A6C"/>
    <w:rsid w:val="00BB17F3"/>
    <w:rsid w:val="00BB2DBC"/>
    <w:rsid w:val="00BB4AC7"/>
    <w:rsid w:val="00BB4CD0"/>
    <w:rsid w:val="00BB4F92"/>
    <w:rsid w:val="00BB61C1"/>
    <w:rsid w:val="00BB6B4A"/>
    <w:rsid w:val="00BB7E90"/>
    <w:rsid w:val="00BB7F6A"/>
    <w:rsid w:val="00BC03CC"/>
    <w:rsid w:val="00BC11D7"/>
    <w:rsid w:val="00BC1B9C"/>
    <w:rsid w:val="00BC2C14"/>
    <w:rsid w:val="00BC31EE"/>
    <w:rsid w:val="00BC3C19"/>
    <w:rsid w:val="00BC4B27"/>
    <w:rsid w:val="00BC5C23"/>
    <w:rsid w:val="00BD15BE"/>
    <w:rsid w:val="00BD2E19"/>
    <w:rsid w:val="00BD3BF3"/>
    <w:rsid w:val="00BD5316"/>
    <w:rsid w:val="00BD6613"/>
    <w:rsid w:val="00BE41BE"/>
    <w:rsid w:val="00BE4EBB"/>
    <w:rsid w:val="00BE6F8C"/>
    <w:rsid w:val="00BE735F"/>
    <w:rsid w:val="00BF0B0F"/>
    <w:rsid w:val="00BF150A"/>
    <w:rsid w:val="00BF30A5"/>
    <w:rsid w:val="00BF3210"/>
    <w:rsid w:val="00BF3B09"/>
    <w:rsid w:val="00BF4A06"/>
    <w:rsid w:val="00C00340"/>
    <w:rsid w:val="00C03270"/>
    <w:rsid w:val="00C03937"/>
    <w:rsid w:val="00C048FB"/>
    <w:rsid w:val="00C04CFA"/>
    <w:rsid w:val="00C074A8"/>
    <w:rsid w:val="00C076EF"/>
    <w:rsid w:val="00C15E59"/>
    <w:rsid w:val="00C15E84"/>
    <w:rsid w:val="00C16C84"/>
    <w:rsid w:val="00C21DB4"/>
    <w:rsid w:val="00C224CD"/>
    <w:rsid w:val="00C25539"/>
    <w:rsid w:val="00C25C2B"/>
    <w:rsid w:val="00C2744F"/>
    <w:rsid w:val="00C33D5F"/>
    <w:rsid w:val="00C34648"/>
    <w:rsid w:val="00C34D95"/>
    <w:rsid w:val="00C357EB"/>
    <w:rsid w:val="00C37015"/>
    <w:rsid w:val="00C40072"/>
    <w:rsid w:val="00C408BD"/>
    <w:rsid w:val="00C4213E"/>
    <w:rsid w:val="00C438D5"/>
    <w:rsid w:val="00C45741"/>
    <w:rsid w:val="00C4699F"/>
    <w:rsid w:val="00C472A3"/>
    <w:rsid w:val="00C50C4A"/>
    <w:rsid w:val="00C524B1"/>
    <w:rsid w:val="00C53D6E"/>
    <w:rsid w:val="00C56B9D"/>
    <w:rsid w:val="00C60706"/>
    <w:rsid w:val="00C61A1B"/>
    <w:rsid w:val="00C6464D"/>
    <w:rsid w:val="00C64FE6"/>
    <w:rsid w:val="00C65838"/>
    <w:rsid w:val="00C72DBC"/>
    <w:rsid w:val="00C74041"/>
    <w:rsid w:val="00C76B39"/>
    <w:rsid w:val="00C77891"/>
    <w:rsid w:val="00C80803"/>
    <w:rsid w:val="00C8081E"/>
    <w:rsid w:val="00C8194B"/>
    <w:rsid w:val="00C8510F"/>
    <w:rsid w:val="00C856C4"/>
    <w:rsid w:val="00C8634C"/>
    <w:rsid w:val="00C86F92"/>
    <w:rsid w:val="00C90072"/>
    <w:rsid w:val="00C9533B"/>
    <w:rsid w:val="00CA14A2"/>
    <w:rsid w:val="00CA408B"/>
    <w:rsid w:val="00CA597B"/>
    <w:rsid w:val="00CB0748"/>
    <w:rsid w:val="00CB18BD"/>
    <w:rsid w:val="00CB1B09"/>
    <w:rsid w:val="00CB232C"/>
    <w:rsid w:val="00CB2D79"/>
    <w:rsid w:val="00CB2E90"/>
    <w:rsid w:val="00CB31D0"/>
    <w:rsid w:val="00CB4405"/>
    <w:rsid w:val="00CB4EF4"/>
    <w:rsid w:val="00CB5BD0"/>
    <w:rsid w:val="00CB63F6"/>
    <w:rsid w:val="00CC042F"/>
    <w:rsid w:val="00CC11D6"/>
    <w:rsid w:val="00CC237A"/>
    <w:rsid w:val="00CC2A69"/>
    <w:rsid w:val="00CD2668"/>
    <w:rsid w:val="00CD2B6F"/>
    <w:rsid w:val="00CD2FAC"/>
    <w:rsid w:val="00CD3879"/>
    <w:rsid w:val="00CD495B"/>
    <w:rsid w:val="00CD5C64"/>
    <w:rsid w:val="00CD69A5"/>
    <w:rsid w:val="00CD7C0B"/>
    <w:rsid w:val="00CD7C6C"/>
    <w:rsid w:val="00CE3BDB"/>
    <w:rsid w:val="00CE4305"/>
    <w:rsid w:val="00CE44AB"/>
    <w:rsid w:val="00CE4BC6"/>
    <w:rsid w:val="00CE52BF"/>
    <w:rsid w:val="00CE70DB"/>
    <w:rsid w:val="00CF001E"/>
    <w:rsid w:val="00CF363A"/>
    <w:rsid w:val="00CF50D5"/>
    <w:rsid w:val="00CF5C9B"/>
    <w:rsid w:val="00CF6662"/>
    <w:rsid w:val="00D01058"/>
    <w:rsid w:val="00D01136"/>
    <w:rsid w:val="00D03474"/>
    <w:rsid w:val="00D03476"/>
    <w:rsid w:val="00D03C0F"/>
    <w:rsid w:val="00D06998"/>
    <w:rsid w:val="00D06B71"/>
    <w:rsid w:val="00D06DC1"/>
    <w:rsid w:val="00D105D9"/>
    <w:rsid w:val="00D11FB0"/>
    <w:rsid w:val="00D129B0"/>
    <w:rsid w:val="00D1422B"/>
    <w:rsid w:val="00D1756F"/>
    <w:rsid w:val="00D21893"/>
    <w:rsid w:val="00D21E87"/>
    <w:rsid w:val="00D23DB6"/>
    <w:rsid w:val="00D242FC"/>
    <w:rsid w:val="00D24CEB"/>
    <w:rsid w:val="00D24F90"/>
    <w:rsid w:val="00D26400"/>
    <w:rsid w:val="00D264F9"/>
    <w:rsid w:val="00D31768"/>
    <w:rsid w:val="00D33471"/>
    <w:rsid w:val="00D35E6A"/>
    <w:rsid w:val="00D361F7"/>
    <w:rsid w:val="00D37A4D"/>
    <w:rsid w:val="00D37BDA"/>
    <w:rsid w:val="00D41D8D"/>
    <w:rsid w:val="00D475DD"/>
    <w:rsid w:val="00D50781"/>
    <w:rsid w:val="00D51C08"/>
    <w:rsid w:val="00D51F3E"/>
    <w:rsid w:val="00D55D74"/>
    <w:rsid w:val="00D568D6"/>
    <w:rsid w:val="00D613B2"/>
    <w:rsid w:val="00D61D4F"/>
    <w:rsid w:val="00D62526"/>
    <w:rsid w:val="00D65B3B"/>
    <w:rsid w:val="00D6655A"/>
    <w:rsid w:val="00D73BEF"/>
    <w:rsid w:val="00D75DD7"/>
    <w:rsid w:val="00D8461E"/>
    <w:rsid w:val="00D848AF"/>
    <w:rsid w:val="00D84D41"/>
    <w:rsid w:val="00D85867"/>
    <w:rsid w:val="00D90438"/>
    <w:rsid w:val="00D90F7C"/>
    <w:rsid w:val="00D91BBB"/>
    <w:rsid w:val="00D93BBB"/>
    <w:rsid w:val="00D9483F"/>
    <w:rsid w:val="00D957E5"/>
    <w:rsid w:val="00D9612C"/>
    <w:rsid w:val="00D96B41"/>
    <w:rsid w:val="00DA02CE"/>
    <w:rsid w:val="00DA0DFD"/>
    <w:rsid w:val="00DA26D1"/>
    <w:rsid w:val="00DA7EC9"/>
    <w:rsid w:val="00DB18FC"/>
    <w:rsid w:val="00DB2769"/>
    <w:rsid w:val="00DB4762"/>
    <w:rsid w:val="00DB630A"/>
    <w:rsid w:val="00DB6473"/>
    <w:rsid w:val="00DC3ED2"/>
    <w:rsid w:val="00DC4AE1"/>
    <w:rsid w:val="00DC6B38"/>
    <w:rsid w:val="00DC767D"/>
    <w:rsid w:val="00DC7A15"/>
    <w:rsid w:val="00DD0CDD"/>
    <w:rsid w:val="00DD26EA"/>
    <w:rsid w:val="00DD35BB"/>
    <w:rsid w:val="00DD5EDD"/>
    <w:rsid w:val="00DD6B34"/>
    <w:rsid w:val="00DD7198"/>
    <w:rsid w:val="00DE3B48"/>
    <w:rsid w:val="00DF0FF1"/>
    <w:rsid w:val="00DF1557"/>
    <w:rsid w:val="00DF49C5"/>
    <w:rsid w:val="00DF6B72"/>
    <w:rsid w:val="00DF7223"/>
    <w:rsid w:val="00DF749E"/>
    <w:rsid w:val="00DF7988"/>
    <w:rsid w:val="00E0112E"/>
    <w:rsid w:val="00E02056"/>
    <w:rsid w:val="00E037D5"/>
    <w:rsid w:val="00E07564"/>
    <w:rsid w:val="00E07EB9"/>
    <w:rsid w:val="00E10A87"/>
    <w:rsid w:val="00E114BC"/>
    <w:rsid w:val="00E11D50"/>
    <w:rsid w:val="00E13609"/>
    <w:rsid w:val="00E14B3C"/>
    <w:rsid w:val="00E16067"/>
    <w:rsid w:val="00E212E3"/>
    <w:rsid w:val="00E22505"/>
    <w:rsid w:val="00E226B6"/>
    <w:rsid w:val="00E227F4"/>
    <w:rsid w:val="00E23903"/>
    <w:rsid w:val="00E2465F"/>
    <w:rsid w:val="00E2575E"/>
    <w:rsid w:val="00E25E0D"/>
    <w:rsid w:val="00E27DAA"/>
    <w:rsid w:val="00E27FDC"/>
    <w:rsid w:val="00E303C9"/>
    <w:rsid w:val="00E30E7D"/>
    <w:rsid w:val="00E31BA9"/>
    <w:rsid w:val="00E332F8"/>
    <w:rsid w:val="00E33659"/>
    <w:rsid w:val="00E33734"/>
    <w:rsid w:val="00E4021E"/>
    <w:rsid w:val="00E40872"/>
    <w:rsid w:val="00E41594"/>
    <w:rsid w:val="00E4296F"/>
    <w:rsid w:val="00E46A08"/>
    <w:rsid w:val="00E47BE1"/>
    <w:rsid w:val="00E518FB"/>
    <w:rsid w:val="00E56FE8"/>
    <w:rsid w:val="00E57945"/>
    <w:rsid w:val="00E57C5E"/>
    <w:rsid w:val="00E6057C"/>
    <w:rsid w:val="00E607A7"/>
    <w:rsid w:val="00E60C5E"/>
    <w:rsid w:val="00E63BD1"/>
    <w:rsid w:val="00E6467D"/>
    <w:rsid w:val="00E66BCF"/>
    <w:rsid w:val="00E71342"/>
    <w:rsid w:val="00E728E4"/>
    <w:rsid w:val="00E77471"/>
    <w:rsid w:val="00E777FC"/>
    <w:rsid w:val="00E83DB2"/>
    <w:rsid w:val="00E840FB"/>
    <w:rsid w:val="00E8555A"/>
    <w:rsid w:val="00E85DAF"/>
    <w:rsid w:val="00E86A39"/>
    <w:rsid w:val="00E8703F"/>
    <w:rsid w:val="00E87864"/>
    <w:rsid w:val="00E9170D"/>
    <w:rsid w:val="00E9198A"/>
    <w:rsid w:val="00E92C29"/>
    <w:rsid w:val="00E931C1"/>
    <w:rsid w:val="00E93D73"/>
    <w:rsid w:val="00E94BE1"/>
    <w:rsid w:val="00E94BFD"/>
    <w:rsid w:val="00E94E0E"/>
    <w:rsid w:val="00E97186"/>
    <w:rsid w:val="00E97F6C"/>
    <w:rsid w:val="00EA04D2"/>
    <w:rsid w:val="00EA6401"/>
    <w:rsid w:val="00EA68DB"/>
    <w:rsid w:val="00EB0764"/>
    <w:rsid w:val="00EB1322"/>
    <w:rsid w:val="00EB1A62"/>
    <w:rsid w:val="00EB4FC8"/>
    <w:rsid w:val="00EB6E57"/>
    <w:rsid w:val="00EB7A4C"/>
    <w:rsid w:val="00EC0DD8"/>
    <w:rsid w:val="00EC2A66"/>
    <w:rsid w:val="00EC3672"/>
    <w:rsid w:val="00EC44FF"/>
    <w:rsid w:val="00ED0960"/>
    <w:rsid w:val="00ED3782"/>
    <w:rsid w:val="00ED56C1"/>
    <w:rsid w:val="00ED7D80"/>
    <w:rsid w:val="00EE1F49"/>
    <w:rsid w:val="00EE1F87"/>
    <w:rsid w:val="00EE3720"/>
    <w:rsid w:val="00EE3F92"/>
    <w:rsid w:val="00EE7634"/>
    <w:rsid w:val="00EF271D"/>
    <w:rsid w:val="00EF4228"/>
    <w:rsid w:val="00EF473E"/>
    <w:rsid w:val="00EF4DC8"/>
    <w:rsid w:val="00EF659E"/>
    <w:rsid w:val="00EF6A13"/>
    <w:rsid w:val="00EF6F24"/>
    <w:rsid w:val="00EF7950"/>
    <w:rsid w:val="00F00971"/>
    <w:rsid w:val="00F01751"/>
    <w:rsid w:val="00F02CF2"/>
    <w:rsid w:val="00F0385A"/>
    <w:rsid w:val="00F053D3"/>
    <w:rsid w:val="00F1070F"/>
    <w:rsid w:val="00F10CEC"/>
    <w:rsid w:val="00F13BB5"/>
    <w:rsid w:val="00F14992"/>
    <w:rsid w:val="00F16A50"/>
    <w:rsid w:val="00F21D20"/>
    <w:rsid w:val="00F22674"/>
    <w:rsid w:val="00F22B78"/>
    <w:rsid w:val="00F244F9"/>
    <w:rsid w:val="00F25220"/>
    <w:rsid w:val="00F25309"/>
    <w:rsid w:val="00F25320"/>
    <w:rsid w:val="00F26FA6"/>
    <w:rsid w:val="00F306D7"/>
    <w:rsid w:val="00F308B7"/>
    <w:rsid w:val="00F31501"/>
    <w:rsid w:val="00F3188A"/>
    <w:rsid w:val="00F31BE1"/>
    <w:rsid w:val="00F31CAB"/>
    <w:rsid w:val="00F32A46"/>
    <w:rsid w:val="00F34AD2"/>
    <w:rsid w:val="00F37170"/>
    <w:rsid w:val="00F43040"/>
    <w:rsid w:val="00F440E7"/>
    <w:rsid w:val="00F44520"/>
    <w:rsid w:val="00F44E00"/>
    <w:rsid w:val="00F44EC3"/>
    <w:rsid w:val="00F459DC"/>
    <w:rsid w:val="00F46AFA"/>
    <w:rsid w:val="00F46B72"/>
    <w:rsid w:val="00F474AB"/>
    <w:rsid w:val="00F476F6"/>
    <w:rsid w:val="00F47A28"/>
    <w:rsid w:val="00F5050C"/>
    <w:rsid w:val="00F5134E"/>
    <w:rsid w:val="00F528DD"/>
    <w:rsid w:val="00F52A18"/>
    <w:rsid w:val="00F52C68"/>
    <w:rsid w:val="00F53CC6"/>
    <w:rsid w:val="00F564CD"/>
    <w:rsid w:val="00F61702"/>
    <w:rsid w:val="00F62E71"/>
    <w:rsid w:val="00F6306C"/>
    <w:rsid w:val="00F630C8"/>
    <w:rsid w:val="00F64C12"/>
    <w:rsid w:val="00F6552D"/>
    <w:rsid w:val="00F667F5"/>
    <w:rsid w:val="00F67278"/>
    <w:rsid w:val="00F710E9"/>
    <w:rsid w:val="00F733F0"/>
    <w:rsid w:val="00F76A72"/>
    <w:rsid w:val="00F77340"/>
    <w:rsid w:val="00F8042D"/>
    <w:rsid w:val="00F8355F"/>
    <w:rsid w:val="00F85256"/>
    <w:rsid w:val="00F87572"/>
    <w:rsid w:val="00F87CA2"/>
    <w:rsid w:val="00F91976"/>
    <w:rsid w:val="00F92C8D"/>
    <w:rsid w:val="00F931AD"/>
    <w:rsid w:val="00F95FE5"/>
    <w:rsid w:val="00F9741A"/>
    <w:rsid w:val="00FA18B4"/>
    <w:rsid w:val="00FA1F53"/>
    <w:rsid w:val="00FA2095"/>
    <w:rsid w:val="00FA244D"/>
    <w:rsid w:val="00FA7224"/>
    <w:rsid w:val="00FB01BB"/>
    <w:rsid w:val="00FB1215"/>
    <w:rsid w:val="00FB3D8E"/>
    <w:rsid w:val="00FB4CB0"/>
    <w:rsid w:val="00FB608E"/>
    <w:rsid w:val="00FB6392"/>
    <w:rsid w:val="00FC39BA"/>
    <w:rsid w:val="00FC3DAC"/>
    <w:rsid w:val="00FD1428"/>
    <w:rsid w:val="00FD20C5"/>
    <w:rsid w:val="00FD221D"/>
    <w:rsid w:val="00FD2761"/>
    <w:rsid w:val="00FD309E"/>
    <w:rsid w:val="00FD37B5"/>
    <w:rsid w:val="00FD4568"/>
    <w:rsid w:val="00FD5B5E"/>
    <w:rsid w:val="00FD613E"/>
    <w:rsid w:val="00FD6F4D"/>
    <w:rsid w:val="00FE0559"/>
    <w:rsid w:val="00FE05A0"/>
    <w:rsid w:val="00FE3884"/>
    <w:rsid w:val="00FE3FCF"/>
    <w:rsid w:val="00FF2E19"/>
    <w:rsid w:val="00FF756F"/>
    <w:rsid w:val="018345E4"/>
    <w:rsid w:val="01852FBD"/>
    <w:rsid w:val="01A06D45"/>
    <w:rsid w:val="01A808A2"/>
    <w:rsid w:val="01BC0965"/>
    <w:rsid w:val="01DB1C83"/>
    <w:rsid w:val="01EA2131"/>
    <w:rsid w:val="01F42D45"/>
    <w:rsid w:val="01FD3B42"/>
    <w:rsid w:val="021D08C9"/>
    <w:rsid w:val="02380249"/>
    <w:rsid w:val="023E7FCC"/>
    <w:rsid w:val="024912E2"/>
    <w:rsid w:val="025A670A"/>
    <w:rsid w:val="02A15559"/>
    <w:rsid w:val="02B756B9"/>
    <w:rsid w:val="03210B08"/>
    <w:rsid w:val="03211304"/>
    <w:rsid w:val="03640CC9"/>
    <w:rsid w:val="040C7CEC"/>
    <w:rsid w:val="04161DF0"/>
    <w:rsid w:val="04165EFB"/>
    <w:rsid w:val="04AB57AE"/>
    <w:rsid w:val="05104339"/>
    <w:rsid w:val="051412A1"/>
    <w:rsid w:val="051908A9"/>
    <w:rsid w:val="05365943"/>
    <w:rsid w:val="05441904"/>
    <w:rsid w:val="05481BC6"/>
    <w:rsid w:val="05886C0F"/>
    <w:rsid w:val="05EA1433"/>
    <w:rsid w:val="05F4071B"/>
    <w:rsid w:val="06140A88"/>
    <w:rsid w:val="062F73CE"/>
    <w:rsid w:val="06385805"/>
    <w:rsid w:val="064C74E9"/>
    <w:rsid w:val="06724002"/>
    <w:rsid w:val="06A375A9"/>
    <w:rsid w:val="06B42EA7"/>
    <w:rsid w:val="06F22B07"/>
    <w:rsid w:val="070E664D"/>
    <w:rsid w:val="07382B49"/>
    <w:rsid w:val="076A3DAC"/>
    <w:rsid w:val="077961C6"/>
    <w:rsid w:val="07B22C04"/>
    <w:rsid w:val="07BB0737"/>
    <w:rsid w:val="07C46CC8"/>
    <w:rsid w:val="07EA1DFF"/>
    <w:rsid w:val="07F46244"/>
    <w:rsid w:val="080649A5"/>
    <w:rsid w:val="08290A63"/>
    <w:rsid w:val="082C3238"/>
    <w:rsid w:val="08594641"/>
    <w:rsid w:val="08686B00"/>
    <w:rsid w:val="08994C82"/>
    <w:rsid w:val="08F16230"/>
    <w:rsid w:val="09173BE2"/>
    <w:rsid w:val="095C4949"/>
    <w:rsid w:val="097924AD"/>
    <w:rsid w:val="098132AC"/>
    <w:rsid w:val="09C54786"/>
    <w:rsid w:val="09CB306A"/>
    <w:rsid w:val="09F2400E"/>
    <w:rsid w:val="0A0D1961"/>
    <w:rsid w:val="0A5A419D"/>
    <w:rsid w:val="0A826F4F"/>
    <w:rsid w:val="0AB94A33"/>
    <w:rsid w:val="0AC413A1"/>
    <w:rsid w:val="0ACC7409"/>
    <w:rsid w:val="0AEC3153"/>
    <w:rsid w:val="0B147F71"/>
    <w:rsid w:val="0B1549D5"/>
    <w:rsid w:val="0B1A6380"/>
    <w:rsid w:val="0B4340AA"/>
    <w:rsid w:val="0B5E7C7B"/>
    <w:rsid w:val="0B5F4097"/>
    <w:rsid w:val="0B651BC6"/>
    <w:rsid w:val="0B6E5AC7"/>
    <w:rsid w:val="0BD555F6"/>
    <w:rsid w:val="0C6133EF"/>
    <w:rsid w:val="0C68068F"/>
    <w:rsid w:val="0C77413A"/>
    <w:rsid w:val="0C840066"/>
    <w:rsid w:val="0CED3C2C"/>
    <w:rsid w:val="0D0335ED"/>
    <w:rsid w:val="0D4D0739"/>
    <w:rsid w:val="0DE85C35"/>
    <w:rsid w:val="0E4B1BB0"/>
    <w:rsid w:val="0E4B4EB3"/>
    <w:rsid w:val="0E7262FB"/>
    <w:rsid w:val="0EC3241C"/>
    <w:rsid w:val="0ED14613"/>
    <w:rsid w:val="0F052A35"/>
    <w:rsid w:val="0F1C22E2"/>
    <w:rsid w:val="0F2410E0"/>
    <w:rsid w:val="0F91589E"/>
    <w:rsid w:val="0F9359BF"/>
    <w:rsid w:val="0FB32534"/>
    <w:rsid w:val="10037741"/>
    <w:rsid w:val="10097201"/>
    <w:rsid w:val="10152312"/>
    <w:rsid w:val="104C057B"/>
    <w:rsid w:val="104E518D"/>
    <w:rsid w:val="104F742D"/>
    <w:rsid w:val="105A3F0A"/>
    <w:rsid w:val="107101A9"/>
    <w:rsid w:val="107960B1"/>
    <w:rsid w:val="10F0623A"/>
    <w:rsid w:val="10F54AC6"/>
    <w:rsid w:val="11354535"/>
    <w:rsid w:val="114A3B4D"/>
    <w:rsid w:val="11755C50"/>
    <w:rsid w:val="11E31E03"/>
    <w:rsid w:val="12020C04"/>
    <w:rsid w:val="12775458"/>
    <w:rsid w:val="127B5307"/>
    <w:rsid w:val="12BB485E"/>
    <w:rsid w:val="12E36E79"/>
    <w:rsid w:val="12EA2F3A"/>
    <w:rsid w:val="12FB3F33"/>
    <w:rsid w:val="1304734C"/>
    <w:rsid w:val="131858BE"/>
    <w:rsid w:val="13257202"/>
    <w:rsid w:val="13734DAF"/>
    <w:rsid w:val="13E443CD"/>
    <w:rsid w:val="147E55D3"/>
    <w:rsid w:val="1499029D"/>
    <w:rsid w:val="14BF17D8"/>
    <w:rsid w:val="14D721DA"/>
    <w:rsid w:val="15126972"/>
    <w:rsid w:val="151A7746"/>
    <w:rsid w:val="15802E15"/>
    <w:rsid w:val="15E52C78"/>
    <w:rsid w:val="15ED7DB6"/>
    <w:rsid w:val="163730CA"/>
    <w:rsid w:val="16705666"/>
    <w:rsid w:val="16804BD0"/>
    <w:rsid w:val="16995DF6"/>
    <w:rsid w:val="16B0631F"/>
    <w:rsid w:val="16B72867"/>
    <w:rsid w:val="16C50FB2"/>
    <w:rsid w:val="16EE51E3"/>
    <w:rsid w:val="17207642"/>
    <w:rsid w:val="17231A63"/>
    <w:rsid w:val="175E0C74"/>
    <w:rsid w:val="17766966"/>
    <w:rsid w:val="17914195"/>
    <w:rsid w:val="17AE42AD"/>
    <w:rsid w:val="180D3552"/>
    <w:rsid w:val="182201B4"/>
    <w:rsid w:val="182855F1"/>
    <w:rsid w:val="18F35D67"/>
    <w:rsid w:val="19183BAB"/>
    <w:rsid w:val="193C34F7"/>
    <w:rsid w:val="195938BF"/>
    <w:rsid w:val="195A7AFF"/>
    <w:rsid w:val="197B143D"/>
    <w:rsid w:val="1A2F4EE2"/>
    <w:rsid w:val="1A5A1D34"/>
    <w:rsid w:val="1A6F21FC"/>
    <w:rsid w:val="1A7F1D1C"/>
    <w:rsid w:val="1A8B01F5"/>
    <w:rsid w:val="1A980A99"/>
    <w:rsid w:val="1A9E5B80"/>
    <w:rsid w:val="1AC251EA"/>
    <w:rsid w:val="1AC904C5"/>
    <w:rsid w:val="1ACB4B33"/>
    <w:rsid w:val="1AE24E9D"/>
    <w:rsid w:val="1BB37B8D"/>
    <w:rsid w:val="1BD46B71"/>
    <w:rsid w:val="1BF14E41"/>
    <w:rsid w:val="1C1B23C7"/>
    <w:rsid w:val="1C4049E1"/>
    <w:rsid w:val="1C8D2AFB"/>
    <w:rsid w:val="1CB9601D"/>
    <w:rsid w:val="1CE66C3A"/>
    <w:rsid w:val="1D43465E"/>
    <w:rsid w:val="1D450848"/>
    <w:rsid w:val="1D640CB3"/>
    <w:rsid w:val="1DD2622D"/>
    <w:rsid w:val="1E083917"/>
    <w:rsid w:val="1E6278A6"/>
    <w:rsid w:val="1E687389"/>
    <w:rsid w:val="1EEF7FE2"/>
    <w:rsid w:val="1F58202D"/>
    <w:rsid w:val="1F7A0C65"/>
    <w:rsid w:val="1FEB48B1"/>
    <w:rsid w:val="201631A1"/>
    <w:rsid w:val="203A5E3A"/>
    <w:rsid w:val="205611AE"/>
    <w:rsid w:val="205848BD"/>
    <w:rsid w:val="205A5997"/>
    <w:rsid w:val="20C8006E"/>
    <w:rsid w:val="21052421"/>
    <w:rsid w:val="210D2D95"/>
    <w:rsid w:val="21232A10"/>
    <w:rsid w:val="216E1D66"/>
    <w:rsid w:val="21887344"/>
    <w:rsid w:val="21FD7450"/>
    <w:rsid w:val="220E0B27"/>
    <w:rsid w:val="22316C03"/>
    <w:rsid w:val="229C55F7"/>
    <w:rsid w:val="229C744B"/>
    <w:rsid w:val="22AA4043"/>
    <w:rsid w:val="22E0799A"/>
    <w:rsid w:val="23C019F6"/>
    <w:rsid w:val="24370164"/>
    <w:rsid w:val="24D21AAA"/>
    <w:rsid w:val="25164BFC"/>
    <w:rsid w:val="2535428B"/>
    <w:rsid w:val="25363A4E"/>
    <w:rsid w:val="254259F1"/>
    <w:rsid w:val="25695674"/>
    <w:rsid w:val="259971DA"/>
    <w:rsid w:val="25A07695"/>
    <w:rsid w:val="25A54C35"/>
    <w:rsid w:val="25B10E34"/>
    <w:rsid w:val="25B86A75"/>
    <w:rsid w:val="25BA7C7E"/>
    <w:rsid w:val="25C1582D"/>
    <w:rsid w:val="25C85ADE"/>
    <w:rsid w:val="25D03E3D"/>
    <w:rsid w:val="262416A4"/>
    <w:rsid w:val="264653D0"/>
    <w:rsid w:val="26572D4C"/>
    <w:rsid w:val="26E0627B"/>
    <w:rsid w:val="26E47A85"/>
    <w:rsid w:val="26F33B35"/>
    <w:rsid w:val="271B0BF0"/>
    <w:rsid w:val="27384086"/>
    <w:rsid w:val="27452D6D"/>
    <w:rsid w:val="278B30CD"/>
    <w:rsid w:val="27BC3414"/>
    <w:rsid w:val="28173165"/>
    <w:rsid w:val="281F6A3D"/>
    <w:rsid w:val="28BD138E"/>
    <w:rsid w:val="28D62AF2"/>
    <w:rsid w:val="290556B4"/>
    <w:rsid w:val="29257B04"/>
    <w:rsid w:val="29354DAB"/>
    <w:rsid w:val="299D21BC"/>
    <w:rsid w:val="29A547A1"/>
    <w:rsid w:val="29C41A08"/>
    <w:rsid w:val="29C430AC"/>
    <w:rsid w:val="29C50F13"/>
    <w:rsid w:val="29C64887"/>
    <w:rsid w:val="29CC115B"/>
    <w:rsid w:val="29E5070F"/>
    <w:rsid w:val="29EF4215"/>
    <w:rsid w:val="2A231CA8"/>
    <w:rsid w:val="2A273E6F"/>
    <w:rsid w:val="2AAE4D9D"/>
    <w:rsid w:val="2ACF55A8"/>
    <w:rsid w:val="2B164352"/>
    <w:rsid w:val="2B476EFC"/>
    <w:rsid w:val="2BBA1C2C"/>
    <w:rsid w:val="2BC03D34"/>
    <w:rsid w:val="2BC34EC4"/>
    <w:rsid w:val="2C260F85"/>
    <w:rsid w:val="2C772DCB"/>
    <w:rsid w:val="2CF512F3"/>
    <w:rsid w:val="2D067BEC"/>
    <w:rsid w:val="2D363880"/>
    <w:rsid w:val="2D6C3DB8"/>
    <w:rsid w:val="2E1B251B"/>
    <w:rsid w:val="2E23750C"/>
    <w:rsid w:val="2EC76F67"/>
    <w:rsid w:val="2EC92CDF"/>
    <w:rsid w:val="2EF97E15"/>
    <w:rsid w:val="2F68739C"/>
    <w:rsid w:val="2FBF5EF2"/>
    <w:rsid w:val="2FDB1217"/>
    <w:rsid w:val="2FE83EF8"/>
    <w:rsid w:val="2FF344B8"/>
    <w:rsid w:val="30040642"/>
    <w:rsid w:val="3029612C"/>
    <w:rsid w:val="3056529F"/>
    <w:rsid w:val="3082143F"/>
    <w:rsid w:val="309858E6"/>
    <w:rsid w:val="309A26ED"/>
    <w:rsid w:val="30CC19E5"/>
    <w:rsid w:val="30D35E4E"/>
    <w:rsid w:val="30E72BFB"/>
    <w:rsid w:val="30EE414A"/>
    <w:rsid w:val="31275097"/>
    <w:rsid w:val="313D63DB"/>
    <w:rsid w:val="319E0B3E"/>
    <w:rsid w:val="31CE7EC4"/>
    <w:rsid w:val="31E7004C"/>
    <w:rsid w:val="32134D79"/>
    <w:rsid w:val="322C54FD"/>
    <w:rsid w:val="327B2543"/>
    <w:rsid w:val="32C10A18"/>
    <w:rsid w:val="32D92BBC"/>
    <w:rsid w:val="33102F8D"/>
    <w:rsid w:val="331C20F3"/>
    <w:rsid w:val="332205C8"/>
    <w:rsid w:val="335039CF"/>
    <w:rsid w:val="33585F3A"/>
    <w:rsid w:val="33837C6B"/>
    <w:rsid w:val="33D53E1A"/>
    <w:rsid w:val="34034483"/>
    <w:rsid w:val="343C3F54"/>
    <w:rsid w:val="34A3014E"/>
    <w:rsid w:val="34AC1F61"/>
    <w:rsid w:val="34AC650B"/>
    <w:rsid w:val="34C401D1"/>
    <w:rsid w:val="350A3DDD"/>
    <w:rsid w:val="35317453"/>
    <w:rsid w:val="354E4E4E"/>
    <w:rsid w:val="35543992"/>
    <w:rsid w:val="355A4B75"/>
    <w:rsid w:val="355C0AD5"/>
    <w:rsid w:val="359E7435"/>
    <w:rsid w:val="35ED6E95"/>
    <w:rsid w:val="35FC7E3E"/>
    <w:rsid w:val="360A60B7"/>
    <w:rsid w:val="361508C3"/>
    <w:rsid w:val="36323189"/>
    <w:rsid w:val="36586B29"/>
    <w:rsid w:val="36612E47"/>
    <w:rsid w:val="3699568D"/>
    <w:rsid w:val="36DB5CA6"/>
    <w:rsid w:val="36E274F9"/>
    <w:rsid w:val="36F778E7"/>
    <w:rsid w:val="371E578B"/>
    <w:rsid w:val="375A27C9"/>
    <w:rsid w:val="375B2AA3"/>
    <w:rsid w:val="377A66D7"/>
    <w:rsid w:val="377C2FE5"/>
    <w:rsid w:val="37E70466"/>
    <w:rsid w:val="381B7B07"/>
    <w:rsid w:val="38303DCF"/>
    <w:rsid w:val="38E86458"/>
    <w:rsid w:val="38F37552"/>
    <w:rsid w:val="393C05D6"/>
    <w:rsid w:val="39427F44"/>
    <w:rsid w:val="3945087F"/>
    <w:rsid w:val="394C69E7"/>
    <w:rsid w:val="394F0285"/>
    <w:rsid w:val="39505360"/>
    <w:rsid w:val="399432C0"/>
    <w:rsid w:val="39954FDB"/>
    <w:rsid w:val="399670D3"/>
    <w:rsid w:val="39CB3760"/>
    <w:rsid w:val="39CD186A"/>
    <w:rsid w:val="39D3395B"/>
    <w:rsid w:val="39D709A6"/>
    <w:rsid w:val="39DA2903"/>
    <w:rsid w:val="39DE1D35"/>
    <w:rsid w:val="3A461688"/>
    <w:rsid w:val="3A8C21FC"/>
    <w:rsid w:val="3AB46F3A"/>
    <w:rsid w:val="3AD82C28"/>
    <w:rsid w:val="3AD9074E"/>
    <w:rsid w:val="3B2A599F"/>
    <w:rsid w:val="3B660234"/>
    <w:rsid w:val="3B7B4C27"/>
    <w:rsid w:val="3BA54E3E"/>
    <w:rsid w:val="3BB64C1C"/>
    <w:rsid w:val="3C342D9B"/>
    <w:rsid w:val="3D347473"/>
    <w:rsid w:val="3D400FA1"/>
    <w:rsid w:val="3D4A1818"/>
    <w:rsid w:val="3D9559C0"/>
    <w:rsid w:val="3DA57E9B"/>
    <w:rsid w:val="3DEC17B9"/>
    <w:rsid w:val="3E4E220C"/>
    <w:rsid w:val="3E88226F"/>
    <w:rsid w:val="3E9C5D1B"/>
    <w:rsid w:val="3EF95BA7"/>
    <w:rsid w:val="3F586BC5"/>
    <w:rsid w:val="3F5F4CCF"/>
    <w:rsid w:val="3F6F42A9"/>
    <w:rsid w:val="3FDD483D"/>
    <w:rsid w:val="3FF86DBE"/>
    <w:rsid w:val="40141BC7"/>
    <w:rsid w:val="40450345"/>
    <w:rsid w:val="40A26D62"/>
    <w:rsid w:val="40B01F51"/>
    <w:rsid w:val="40EF444E"/>
    <w:rsid w:val="40F36398"/>
    <w:rsid w:val="40FE0F0E"/>
    <w:rsid w:val="41087DA2"/>
    <w:rsid w:val="41607EC4"/>
    <w:rsid w:val="416367FB"/>
    <w:rsid w:val="41BC5B41"/>
    <w:rsid w:val="41C87C39"/>
    <w:rsid w:val="41E57FFA"/>
    <w:rsid w:val="4242307D"/>
    <w:rsid w:val="427664C2"/>
    <w:rsid w:val="42AE7D3A"/>
    <w:rsid w:val="42C05DDB"/>
    <w:rsid w:val="42DE4B54"/>
    <w:rsid w:val="42E25FFF"/>
    <w:rsid w:val="42E94F7C"/>
    <w:rsid w:val="4358220E"/>
    <w:rsid w:val="43E45AF4"/>
    <w:rsid w:val="43F82ECA"/>
    <w:rsid w:val="44623DBC"/>
    <w:rsid w:val="44AB201A"/>
    <w:rsid w:val="44D107B7"/>
    <w:rsid w:val="451330CC"/>
    <w:rsid w:val="4518783B"/>
    <w:rsid w:val="45313106"/>
    <w:rsid w:val="453C5F9E"/>
    <w:rsid w:val="45817B4F"/>
    <w:rsid w:val="45E435CE"/>
    <w:rsid w:val="4642004E"/>
    <w:rsid w:val="4660675D"/>
    <w:rsid w:val="46674E60"/>
    <w:rsid w:val="46683089"/>
    <w:rsid w:val="46770F87"/>
    <w:rsid w:val="46B36752"/>
    <w:rsid w:val="46F45FAF"/>
    <w:rsid w:val="473E5925"/>
    <w:rsid w:val="47530CE0"/>
    <w:rsid w:val="476741EB"/>
    <w:rsid w:val="47F70466"/>
    <w:rsid w:val="48065DB2"/>
    <w:rsid w:val="484B450B"/>
    <w:rsid w:val="48621A93"/>
    <w:rsid w:val="48C5709F"/>
    <w:rsid w:val="49105A7D"/>
    <w:rsid w:val="49514E3C"/>
    <w:rsid w:val="4972319F"/>
    <w:rsid w:val="498A37A7"/>
    <w:rsid w:val="498D150F"/>
    <w:rsid w:val="49F91A85"/>
    <w:rsid w:val="4A4E5109"/>
    <w:rsid w:val="4A4E6A63"/>
    <w:rsid w:val="4A8E048D"/>
    <w:rsid w:val="4AB1135A"/>
    <w:rsid w:val="4AB82869"/>
    <w:rsid w:val="4ACC65DF"/>
    <w:rsid w:val="4B207C5E"/>
    <w:rsid w:val="4B6422B6"/>
    <w:rsid w:val="4B8025FD"/>
    <w:rsid w:val="4B9D1FFC"/>
    <w:rsid w:val="4BA14F5C"/>
    <w:rsid w:val="4BB26B7D"/>
    <w:rsid w:val="4BD0684C"/>
    <w:rsid w:val="4BE83DFC"/>
    <w:rsid w:val="4C625235"/>
    <w:rsid w:val="4C980790"/>
    <w:rsid w:val="4CA02E7A"/>
    <w:rsid w:val="4CB614C5"/>
    <w:rsid w:val="4CF626D0"/>
    <w:rsid w:val="4D2424A4"/>
    <w:rsid w:val="4D7E21EA"/>
    <w:rsid w:val="4D9E4CE9"/>
    <w:rsid w:val="4DF20539"/>
    <w:rsid w:val="4DFC4A28"/>
    <w:rsid w:val="4E0256F8"/>
    <w:rsid w:val="4E4F73B4"/>
    <w:rsid w:val="4E50267E"/>
    <w:rsid w:val="4E5D3049"/>
    <w:rsid w:val="4E8B0864"/>
    <w:rsid w:val="4E8F31A6"/>
    <w:rsid w:val="4E9E4212"/>
    <w:rsid w:val="4ED85325"/>
    <w:rsid w:val="4EEA4880"/>
    <w:rsid w:val="4EEB70E8"/>
    <w:rsid w:val="4F015A34"/>
    <w:rsid w:val="4F2443CB"/>
    <w:rsid w:val="4FC43254"/>
    <w:rsid w:val="50642410"/>
    <w:rsid w:val="50810E9C"/>
    <w:rsid w:val="50B77F3A"/>
    <w:rsid w:val="50E74D02"/>
    <w:rsid w:val="50FB388D"/>
    <w:rsid w:val="5106188B"/>
    <w:rsid w:val="51110C17"/>
    <w:rsid w:val="512429D2"/>
    <w:rsid w:val="5144628D"/>
    <w:rsid w:val="51702591"/>
    <w:rsid w:val="51D32AE5"/>
    <w:rsid w:val="52045C59"/>
    <w:rsid w:val="520A4D17"/>
    <w:rsid w:val="5217598C"/>
    <w:rsid w:val="52373E8F"/>
    <w:rsid w:val="525536BD"/>
    <w:rsid w:val="526C2F32"/>
    <w:rsid w:val="52E52FC3"/>
    <w:rsid w:val="52F14A71"/>
    <w:rsid w:val="5322605D"/>
    <w:rsid w:val="534D2CEE"/>
    <w:rsid w:val="53887714"/>
    <w:rsid w:val="53BC772E"/>
    <w:rsid w:val="53C438F2"/>
    <w:rsid w:val="53FB2F47"/>
    <w:rsid w:val="54017EEF"/>
    <w:rsid w:val="540F7CC5"/>
    <w:rsid w:val="543A5BEB"/>
    <w:rsid w:val="543D1653"/>
    <w:rsid w:val="54506385"/>
    <w:rsid w:val="54913993"/>
    <w:rsid w:val="54B46D2D"/>
    <w:rsid w:val="54EA346C"/>
    <w:rsid w:val="54F40207"/>
    <w:rsid w:val="55550950"/>
    <w:rsid w:val="5555290C"/>
    <w:rsid w:val="55DB3350"/>
    <w:rsid w:val="55E73FD5"/>
    <w:rsid w:val="5621502B"/>
    <w:rsid w:val="5653730A"/>
    <w:rsid w:val="569F0011"/>
    <w:rsid w:val="5705216A"/>
    <w:rsid w:val="570D3D70"/>
    <w:rsid w:val="574B719F"/>
    <w:rsid w:val="575625C6"/>
    <w:rsid w:val="575D053A"/>
    <w:rsid w:val="57753B29"/>
    <w:rsid w:val="57AA1051"/>
    <w:rsid w:val="57BC7823"/>
    <w:rsid w:val="5831358A"/>
    <w:rsid w:val="58350A83"/>
    <w:rsid w:val="585B2F03"/>
    <w:rsid w:val="588D53BE"/>
    <w:rsid w:val="58BD6097"/>
    <w:rsid w:val="592E105D"/>
    <w:rsid w:val="593212FE"/>
    <w:rsid w:val="59481573"/>
    <w:rsid w:val="59867087"/>
    <w:rsid w:val="598915A6"/>
    <w:rsid w:val="59D9354F"/>
    <w:rsid w:val="59FE2A1F"/>
    <w:rsid w:val="5A235F34"/>
    <w:rsid w:val="5A387DC2"/>
    <w:rsid w:val="5A5C770E"/>
    <w:rsid w:val="5A957D82"/>
    <w:rsid w:val="5AA62968"/>
    <w:rsid w:val="5AD54636"/>
    <w:rsid w:val="5B0B1E06"/>
    <w:rsid w:val="5B4F313F"/>
    <w:rsid w:val="5B7D45EA"/>
    <w:rsid w:val="5BD20B76"/>
    <w:rsid w:val="5BD65D63"/>
    <w:rsid w:val="5C2917C9"/>
    <w:rsid w:val="5CB3733F"/>
    <w:rsid w:val="5CBD4BB2"/>
    <w:rsid w:val="5CE90E9E"/>
    <w:rsid w:val="5D3B1851"/>
    <w:rsid w:val="5D860856"/>
    <w:rsid w:val="5D871691"/>
    <w:rsid w:val="5E6E536B"/>
    <w:rsid w:val="5EA31B38"/>
    <w:rsid w:val="5EEB4428"/>
    <w:rsid w:val="5F3C1128"/>
    <w:rsid w:val="5F5E1B86"/>
    <w:rsid w:val="5F816B3B"/>
    <w:rsid w:val="5F91367F"/>
    <w:rsid w:val="5FBA29C5"/>
    <w:rsid w:val="5FEC6D13"/>
    <w:rsid w:val="60190A70"/>
    <w:rsid w:val="601A44AE"/>
    <w:rsid w:val="608F2EE2"/>
    <w:rsid w:val="60C95589"/>
    <w:rsid w:val="612D4D53"/>
    <w:rsid w:val="615F317C"/>
    <w:rsid w:val="617050B9"/>
    <w:rsid w:val="61926DDD"/>
    <w:rsid w:val="62175534"/>
    <w:rsid w:val="621F43E9"/>
    <w:rsid w:val="622D4C8E"/>
    <w:rsid w:val="623507B5"/>
    <w:rsid w:val="623B46F0"/>
    <w:rsid w:val="62540044"/>
    <w:rsid w:val="625B223E"/>
    <w:rsid w:val="625C7814"/>
    <w:rsid w:val="62C76F5B"/>
    <w:rsid w:val="636968FC"/>
    <w:rsid w:val="63CD1056"/>
    <w:rsid w:val="63DC7EBB"/>
    <w:rsid w:val="63F10F9A"/>
    <w:rsid w:val="642E1C76"/>
    <w:rsid w:val="64542A70"/>
    <w:rsid w:val="647146FD"/>
    <w:rsid w:val="64923598"/>
    <w:rsid w:val="64A31301"/>
    <w:rsid w:val="64BE79CE"/>
    <w:rsid w:val="64F27480"/>
    <w:rsid w:val="65072324"/>
    <w:rsid w:val="65423703"/>
    <w:rsid w:val="65601E8C"/>
    <w:rsid w:val="657C5222"/>
    <w:rsid w:val="659C46CE"/>
    <w:rsid w:val="65F8635A"/>
    <w:rsid w:val="66363A30"/>
    <w:rsid w:val="666A0329"/>
    <w:rsid w:val="668F03C9"/>
    <w:rsid w:val="66967370"/>
    <w:rsid w:val="66BB1AFB"/>
    <w:rsid w:val="66E31E89"/>
    <w:rsid w:val="66EF6A80"/>
    <w:rsid w:val="674D3CE9"/>
    <w:rsid w:val="67582877"/>
    <w:rsid w:val="67797A29"/>
    <w:rsid w:val="6792167D"/>
    <w:rsid w:val="67BD350F"/>
    <w:rsid w:val="683C5CF5"/>
    <w:rsid w:val="68534DEC"/>
    <w:rsid w:val="68A74F49"/>
    <w:rsid w:val="68E24AEE"/>
    <w:rsid w:val="68F3424F"/>
    <w:rsid w:val="692C0E45"/>
    <w:rsid w:val="69454812"/>
    <w:rsid w:val="6951757E"/>
    <w:rsid w:val="69586B7B"/>
    <w:rsid w:val="6967075D"/>
    <w:rsid w:val="69C550B4"/>
    <w:rsid w:val="69FA13E7"/>
    <w:rsid w:val="6A2B09DC"/>
    <w:rsid w:val="6A2D5A65"/>
    <w:rsid w:val="6A4B47ED"/>
    <w:rsid w:val="6A6376B8"/>
    <w:rsid w:val="6A7755A9"/>
    <w:rsid w:val="6AC84FD1"/>
    <w:rsid w:val="6B5B689E"/>
    <w:rsid w:val="6B8C3A28"/>
    <w:rsid w:val="6BAE6F51"/>
    <w:rsid w:val="6BED6C60"/>
    <w:rsid w:val="6BEE7306"/>
    <w:rsid w:val="6BFB42D8"/>
    <w:rsid w:val="6C1D7BEB"/>
    <w:rsid w:val="6C28157C"/>
    <w:rsid w:val="6C4611A4"/>
    <w:rsid w:val="6C4B6506"/>
    <w:rsid w:val="6C561B1F"/>
    <w:rsid w:val="6CF43042"/>
    <w:rsid w:val="6CFC73C8"/>
    <w:rsid w:val="6D1E4BE6"/>
    <w:rsid w:val="6D242654"/>
    <w:rsid w:val="6D4F725D"/>
    <w:rsid w:val="6D555865"/>
    <w:rsid w:val="6D70286F"/>
    <w:rsid w:val="6DB93944"/>
    <w:rsid w:val="6DBC675B"/>
    <w:rsid w:val="6DD61BC7"/>
    <w:rsid w:val="6DDC0427"/>
    <w:rsid w:val="6E14078A"/>
    <w:rsid w:val="6E283E10"/>
    <w:rsid w:val="6E3F4BB9"/>
    <w:rsid w:val="6E3F7887"/>
    <w:rsid w:val="6E525EE2"/>
    <w:rsid w:val="6E625D89"/>
    <w:rsid w:val="6E9F3C9F"/>
    <w:rsid w:val="6F101C89"/>
    <w:rsid w:val="6F2B6AD3"/>
    <w:rsid w:val="6F685621"/>
    <w:rsid w:val="6F9C2B61"/>
    <w:rsid w:val="6FEE07C1"/>
    <w:rsid w:val="700510C2"/>
    <w:rsid w:val="700649E3"/>
    <w:rsid w:val="702B672C"/>
    <w:rsid w:val="70765881"/>
    <w:rsid w:val="70D53633"/>
    <w:rsid w:val="70D73178"/>
    <w:rsid w:val="70DC7D22"/>
    <w:rsid w:val="710E3FA6"/>
    <w:rsid w:val="71294435"/>
    <w:rsid w:val="713779A1"/>
    <w:rsid w:val="71912C7F"/>
    <w:rsid w:val="71C650B7"/>
    <w:rsid w:val="71CF1988"/>
    <w:rsid w:val="72190E55"/>
    <w:rsid w:val="72503520"/>
    <w:rsid w:val="72777FE9"/>
    <w:rsid w:val="72E560B4"/>
    <w:rsid w:val="73335CBB"/>
    <w:rsid w:val="73821344"/>
    <w:rsid w:val="73EA5560"/>
    <w:rsid w:val="74161F51"/>
    <w:rsid w:val="744D3038"/>
    <w:rsid w:val="74516218"/>
    <w:rsid w:val="74644DBD"/>
    <w:rsid w:val="74786B86"/>
    <w:rsid w:val="74C36260"/>
    <w:rsid w:val="756107BC"/>
    <w:rsid w:val="75834F63"/>
    <w:rsid w:val="759C7DD3"/>
    <w:rsid w:val="75DF0C59"/>
    <w:rsid w:val="75FD3BFF"/>
    <w:rsid w:val="763D7A3F"/>
    <w:rsid w:val="765A0D7E"/>
    <w:rsid w:val="765F74DF"/>
    <w:rsid w:val="766A4304"/>
    <w:rsid w:val="769A6A08"/>
    <w:rsid w:val="76A943A2"/>
    <w:rsid w:val="76F45FD6"/>
    <w:rsid w:val="77493ED3"/>
    <w:rsid w:val="775B7CD8"/>
    <w:rsid w:val="775C0D72"/>
    <w:rsid w:val="77F05635"/>
    <w:rsid w:val="77F65547"/>
    <w:rsid w:val="780D4FB8"/>
    <w:rsid w:val="785018A3"/>
    <w:rsid w:val="7855420A"/>
    <w:rsid w:val="786E0A50"/>
    <w:rsid w:val="787D49D6"/>
    <w:rsid w:val="78C97718"/>
    <w:rsid w:val="7945759A"/>
    <w:rsid w:val="795D123B"/>
    <w:rsid w:val="7987101F"/>
    <w:rsid w:val="79C93160"/>
    <w:rsid w:val="79CC5C0E"/>
    <w:rsid w:val="79D008FA"/>
    <w:rsid w:val="79E36920"/>
    <w:rsid w:val="7A101AB7"/>
    <w:rsid w:val="7A1840BB"/>
    <w:rsid w:val="7A7E219D"/>
    <w:rsid w:val="7AE02DF1"/>
    <w:rsid w:val="7B0F54EB"/>
    <w:rsid w:val="7B252618"/>
    <w:rsid w:val="7B3E72C4"/>
    <w:rsid w:val="7B64029B"/>
    <w:rsid w:val="7B8B781D"/>
    <w:rsid w:val="7BF0649A"/>
    <w:rsid w:val="7C163879"/>
    <w:rsid w:val="7C581C2C"/>
    <w:rsid w:val="7C921634"/>
    <w:rsid w:val="7CA46A66"/>
    <w:rsid w:val="7CC04412"/>
    <w:rsid w:val="7CF4552D"/>
    <w:rsid w:val="7D07647A"/>
    <w:rsid w:val="7D2D1C58"/>
    <w:rsid w:val="7D43322A"/>
    <w:rsid w:val="7D6C22BD"/>
    <w:rsid w:val="7D6C452F"/>
    <w:rsid w:val="7D90323E"/>
    <w:rsid w:val="7DA74646"/>
    <w:rsid w:val="7DA9357B"/>
    <w:rsid w:val="7DE01D7D"/>
    <w:rsid w:val="7E256D04"/>
    <w:rsid w:val="7E2C609E"/>
    <w:rsid w:val="7ED74932"/>
    <w:rsid w:val="7EE37ECB"/>
    <w:rsid w:val="7EE477AF"/>
    <w:rsid w:val="7F0E3679"/>
    <w:rsid w:val="7F6320EC"/>
    <w:rsid w:val="7FAF165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libri" w:hAnsi="Calibri" w:eastAsia="宋体" w:cs="Times New Roman"/>
      <w:sz w:val="24"/>
      <w:szCs w:val="24"/>
      <w:lang w:val="en-US" w:eastAsia="zh-CN" w:bidi="ar-SA"/>
    </w:rPr>
  </w:style>
  <w:style w:type="paragraph" w:styleId="2">
    <w:name w:val="heading 1"/>
    <w:basedOn w:val="1"/>
    <w:next w:val="1"/>
    <w:link w:val="37"/>
    <w:qFormat/>
    <w:uiPriority w:val="9"/>
    <w:pPr>
      <w:spacing w:line="360" w:lineRule="auto"/>
      <w:jc w:val="center"/>
      <w:outlineLvl w:val="0"/>
    </w:pPr>
    <w:rPr>
      <w:rFonts w:ascii="方正小标宋_GBK" w:hAnsi="仿宋" w:eastAsia="方正小标宋_GBK"/>
      <w:sz w:val="44"/>
      <w:szCs w:val="44"/>
    </w:rPr>
  </w:style>
  <w:style w:type="paragraph" w:styleId="3">
    <w:name w:val="heading 2"/>
    <w:basedOn w:val="1"/>
    <w:next w:val="1"/>
    <w:link w:val="38"/>
    <w:unhideWhenUsed/>
    <w:qFormat/>
    <w:uiPriority w:val="9"/>
    <w:pPr>
      <w:spacing w:line="560" w:lineRule="exact"/>
      <w:ind w:firstLine="640" w:firstLineChars="200"/>
      <w:jc w:val="both"/>
      <w:outlineLvl w:val="1"/>
    </w:pPr>
    <w:rPr>
      <w:rFonts w:ascii="楷体" w:hAnsi="楷体" w:eastAsia="黑体"/>
      <w:sz w:val="32"/>
      <w:szCs w:val="32"/>
    </w:rPr>
  </w:style>
  <w:style w:type="paragraph" w:styleId="4">
    <w:name w:val="heading 3"/>
    <w:basedOn w:val="1"/>
    <w:next w:val="1"/>
    <w:link w:val="39"/>
    <w:unhideWhenUsed/>
    <w:qFormat/>
    <w:uiPriority w:val="9"/>
    <w:pPr>
      <w:spacing w:line="560" w:lineRule="exact"/>
      <w:jc w:val="center"/>
      <w:outlineLvl w:val="2"/>
    </w:pPr>
    <w:rPr>
      <w:rFonts w:ascii="方正小标宋_GBK" w:hAnsi="仿宋" w:eastAsia="方正小标宋_GBK"/>
      <w:sz w:val="36"/>
      <w:szCs w:val="36"/>
    </w:rPr>
  </w:style>
  <w:style w:type="paragraph" w:styleId="5">
    <w:name w:val="heading 4"/>
    <w:basedOn w:val="1"/>
    <w:next w:val="1"/>
    <w:link w:val="40"/>
    <w:unhideWhenUsed/>
    <w:qFormat/>
    <w:uiPriority w:val="9"/>
    <w:pPr>
      <w:keepNext/>
      <w:numPr>
        <w:ilvl w:val="3"/>
        <w:numId w:val="1"/>
      </w:numPr>
      <w:spacing w:before="240" w:after="60"/>
      <w:outlineLvl w:val="3"/>
    </w:pPr>
    <w:rPr>
      <w:rFonts w:cs="Times New Roman"/>
      <w:b/>
      <w:bCs/>
      <w:sz w:val="28"/>
      <w:szCs w:val="28"/>
    </w:rPr>
  </w:style>
  <w:style w:type="paragraph" w:styleId="6">
    <w:name w:val="heading 5"/>
    <w:basedOn w:val="1"/>
    <w:next w:val="1"/>
    <w:link w:val="41"/>
    <w:unhideWhenUsed/>
    <w:qFormat/>
    <w:uiPriority w:val="9"/>
    <w:pPr>
      <w:numPr>
        <w:ilvl w:val="4"/>
        <w:numId w:val="1"/>
      </w:numPr>
      <w:spacing w:before="240" w:after="60"/>
      <w:outlineLvl w:val="4"/>
    </w:pPr>
    <w:rPr>
      <w:b/>
      <w:bCs/>
      <w:i/>
      <w:iCs/>
      <w:sz w:val="26"/>
      <w:szCs w:val="26"/>
    </w:rPr>
  </w:style>
  <w:style w:type="paragraph" w:styleId="7">
    <w:name w:val="heading 6"/>
    <w:basedOn w:val="1"/>
    <w:next w:val="1"/>
    <w:link w:val="42"/>
    <w:unhideWhenUsed/>
    <w:qFormat/>
    <w:uiPriority w:val="9"/>
    <w:pPr>
      <w:numPr>
        <w:ilvl w:val="5"/>
        <w:numId w:val="1"/>
      </w:numPr>
      <w:spacing w:before="240" w:after="60"/>
      <w:outlineLvl w:val="5"/>
    </w:pPr>
    <w:rPr>
      <w:rFonts w:cs="Times New Roman"/>
      <w:b/>
      <w:bCs/>
      <w:sz w:val="22"/>
      <w:szCs w:val="22"/>
    </w:rPr>
  </w:style>
  <w:style w:type="paragraph" w:styleId="8">
    <w:name w:val="heading 7"/>
    <w:basedOn w:val="1"/>
    <w:next w:val="1"/>
    <w:link w:val="43"/>
    <w:unhideWhenUsed/>
    <w:qFormat/>
    <w:uiPriority w:val="9"/>
    <w:pPr>
      <w:numPr>
        <w:ilvl w:val="6"/>
        <w:numId w:val="1"/>
      </w:numPr>
      <w:spacing w:before="240" w:after="60"/>
      <w:outlineLvl w:val="6"/>
    </w:pPr>
  </w:style>
  <w:style w:type="paragraph" w:styleId="9">
    <w:name w:val="heading 8"/>
    <w:basedOn w:val="1"/>
    <w:next w:val="1"/>
    <w:link w:val="44"/>
    <w:unhideWhenUsed/>
    <w:qFormat/>
    <w:uiPriority w:val="9"/>
    <w:pPr>
      <w:numPr>
        <w:ilvl w:val="7"/>
        <w:numId w:val="1"/>
      </w:numPr>
      <w:spacing w:before="240" w:after="60"/>
      <w:outlineLvl w:val="7"/>
    </w:pPr>
    <w:rPr>
      <w:rFonts w:cs="Times New Roman"/>
      <w:i/>
      <w:iCs/>
    </w:rPr>
  </w:style>
  <w:style w:type="paragraph" w:styleId="10">
    <w:name w:val="heading 9"/>
    <w:basedOn w:val="1"/>
    <w:next w:val="1"/>
    <w:link w:val="45"/>
    <w:unhideWhenUsed/>
    <w:qFormat/>
    <w:uiPriority w:val="9"/>
    <w:pPr>
      <w:numPr>
        <w:ilvl w:val="8"/>
        <w:numId w:val="1"/>
      </w:numPr>
      <w:spacing w:before="240" w:after="60"/>
      <w:outlineLvl w:val="8"/>
    </w:pPr>
    <w:rPr>
      <w:rFonts w:ascii="Calibri Light" w:hAnsi="Calibri Light" w:eastAsia="宋体" w:cs="Times New Roman"/>
      <w:sz w:val="22"/>
      <w:szCs w:val="22"/>
    </w:rPr>
  </w:style>
  <w:style w:type="character" w:default="1" w:styleId="30">
    <w:name w:val="Default Paragraph Font"/>
    <w:unhideWhenUsed/>
    <w:qFormat/>
    <w:uiPriority w:val="1"/>
  </w:style>
  <w:style w:type="table" w:default="1" w:styleId="28">
    <w:name w:val="Normal Table"/>
    <w:unhideWhenUsed/>
    <w:qFormat/>
    <w:uiPriority w:val="99"/>
    <w:tblPr>
      <w:tblCellMar>
        <w:top w:w="0" w:type="dxa"/>
        <w:left w:w="108" w:type="dxa"/>
        <w:bottom w:w="0" w:type="dxa"/>
        <w:right w:w="108" w:type="dxa"/>
      </w:tblCellMar>
    </w:tblPr>
  </w:style>
  <w:style w:type="paragraph" w:styleId="11">
    <w:name w:val="Normal Indent"/>
    <w:basedOn w:val="1"/>
    <w:next w:val="1"/>
    <w:qFormat/>
    <w:uiPriority w:val="0"/>
    <w:pPr>
      <w:autoSpaceDE w:val="0"/>
      <w:autoSpaceDN w:val="0"/>
      <w:adjustRightInd w:val="0"/>
      <w:spacing w:line="640" w:lineRule="exact"/>
      <w:ind w:firstLine="585"/>
    </w:pPr>
    <w:rPr>
      <w:rFonts w:ascii="楷体_GB2312" w:hAnsi="Times New Roman" w:eastAsia="楷体_GB2312"/>
      <w:kern w:val="0"/>
      <w:sz w:val="32"/>
      <w:szCs w:val="32"/>
    </w:rPr>
  </w:style>
  <w:style w:type="paragraph" w:styleId="12">
    <w:name w:val="caption"/>
    <w:basedOn w:val="1"/>
    <w:next w:val="1"/>
    <w:unhideWhenUsed/>
    <w:qFormat/>
    <w:uiPriority w:val="35"/>
    <w:rPr>
      <w:rFonts w:ascii="Calibri Light" w:hAnsi="Calibri Light" w:eastAsia="黑体" w:cs="Times New Roman"/>
      <w:sz w:val="20"/>
      <w:szCs w:val="20"/>
    </w:rPr>
  </w:style>
  <w:style w:type="paragraph" w:styleId="13">
    <w:name w:val="Document Map"/>
    <w:basedOn w:val="1"/>
    <w:link w:val="46"/>
    <w:unhideWhenUsed/>
    <w:qFormat/>
    <w:uiPriority w:val="99"/>
    <w:pPr>
      <w:spacing w:line="400" w:lineRule="exact"/>
      <w:jc w:val="both"/>
    </w:pPr>
    <w:rPr>
      <w:rFonts w:ascii="宋体" w:hAnsi="Calibri Light" w:eastAsia="宋体" w:cs="Calibri Light"/>
      <w:kern w:val="2"/>
      <w:sz w:val="18"/>
      <w:szCs w:val="18"/>
    </w:rPr>
  </w:style>
  <w:style w:type="paragraph" w:styleId="14">
    <w:name w:val="annotation text"/>
    <w:basedOn w:val="1"/>
    <w:link w:val="47"/>
    <w:unhideWhenUsed/>
    <w:qFormat/>
    <w:uiPriority w:val="99"/>
    <w:pPr>
      <w:spacing w:line="400" w:lineRule="exact"/>
    </w:pPr>
    <w:rPr>
      <w:rFonts w:ascii="Calibri Light" w:hAnsi="Calibri Light" w:eastAsia="华文仿宋" w:cs="Calibri Light"/>
      <w:kern w:val="2"/>
      <w:sz w:val="28"/>
      <w:szCs w:val="28"/>
    </w:rPr>
  </w:style>
  <w:style w:type="paragraph" w:styleId="15">
    <w:name w:val="Body Text"/>
    <w:basedOn w:val="1"/>
    <w:next w:val="1"/>
    <w:qFormat/>
    <w:uiPriority w:val="0"/>
    <w:rPr>
      <w:color w:val="993300"/>
      <w:sz w:val="24"/>
    </w:rPr>
  </w:style>
  <w:style w:type="paragraph" w:styleId="16">
    <w:name w:val="Plain Text"/>
    <w:basedOn w:val="1"/>
    <w:next w:val="1"/>
    <w:qFormat/>
    <w:uiPriority w:val="0"/>
    <w:rPr>
      <w:rFonts w:ascii="宋体"/>
      <w:szCs w:val="20"/>
    </w:rPr>
  </w:style>
  <w:style w:type="paragraph" w:styleId="17">
    <w:name w:val="Date"/>
    <w:basedOn w:val="1"/>
    <w:next w:val="1"/>
    <w:link w:val="48"/>
    <w:unhideWhenUsed/>
    <w:qFormat/>
    <w:uiPriority w:val="99"/>
    <w:pPr>
      <w:ind w:left="100" w:leftChars="2500"/>
    </w:pPr>
  </w:style>
  <w:style w:type="paragraph" w:styleId="18">
    <w:name w:val="Balloon Text"/>
    <w:basedOn w:val="1"/>
    <w:link w:val="49"/>
    <w:unhideWhenUsed/>
    <w:qFormat/>
    <w:uiPriority w:val="99"/>
    <w:rPr>
      <w:sz w:val="18"/>
      <w:szCs w:val="18"/>
    </w:rPr>
  </w:style>
  <w:style w:type="paragraph" w:styleId="19">
    <w:name w:val="footer"/>
    <w:basedOn w:val="1"/>
    <w:link w:val="50"/>
    <w:unhideWhenUsed/>
    <w:qFormat/>
    <w:uiPriority w:val="99"/>
    <w:pPr>
      <w:tabs>
        <w:tab w:val="center" w:pos="4153"/>
        <w:tab w:val="right" w:pos="8306"/>
      </w:tabs>
      <w:snapToGrid w:val="0"/>
      <w:spacing w:line="240" w:lineRule="atLeast"/>
    </w:pPr>
    <w:rPr>
      <w:sz w:val="18"/>
      <w:szCs w:val="18"/>
    </w:rPr>
  </w:style>
  <w:style w:type="paragraph" w:styleId="20">
    <w:name w:val="header"/>
    <w:basedOn w:val="1"/>
    <w:link w:val="51"/>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21">
    <w:name w:val="toc 1"/>
    <w:basedOn w:val="1"/>
    <w:next w:val="1"/>
    <w:unhideWhenUsed/>
    <w:qFormat/>
    <w:uiPriority w:val="39"/>
    <w:pPr>
      <w:spacing w:before="100" w:beforeLines="100" w:after="100" w:afterLines="100"/>
    </w:pPr>
    <w:rPr>
      <w:rFonts w:ascii="Calibri" w:hAnsi="Calibri" w:eastAsia="宋体"/>
      <w:kern w:val="32"/>
      <w:sz w:val="32"/>
    </w:rPr>
  </w:style>
  <w:style w:type="paragraph" w:styleId="22">
    <w:name w:val="Subtitle"/>
    <w:basedOn w:val="1"/>
    <w:next w:val="1"/>
    <w:link w:val="52"/>
    <w:qFormat/>
    <w:uiPriority w:val="11"/>
    <w:pPr>
      <w:keepNext/>
      <w:spacing w:before="50" w:beforeLines="50" w:after="50" w:afterLines="50"/>
      <w:jc w:val="center"/>
      <w:outlineLvl w:val="1"/>
    </w:pPr>
    <w:rPr>
      <w:rFonts w:ascii="Calibri" w:hAnsi="Calibri" w:eastAsia="黑体" w:cs="Times New Roman"/>
      <w:sz w:val="32"/>
    </w:rPr>
  </w:style>
  <w:style w:type="paragraph" w:styleId="23">
    <w:name w:val="Body Text Indent 3"/>
    <w:basedOn w:val="1"/>
    <w:qFormat/>
    <w:uiPriority w:val="0"/>
    <w:pPr>
      <w:spacing w:after="120"/>
      <w:ind w:left="420" w:leftChars="200"/>
    </w:pPr>
    <w:rPr>
      <w:sz w:val="16"/>
    </w:rPr>
  </w:style>
  <w:style w:type="paragraph" w:styleId="24">
    <w:name w:val="Normal (Web)"/>
    <w:basedOn w:val="1"/>
    <w:qFormat/>
    <w:uiPriority w:val="0"/>
    <w:pPr>
      <w:widowControl/>
      <w:spacing w:before="100" w:beforeAutospacing="1" w:after="100" w:afterAutospacing="1"/>
    </w:pPr>
    <w:rPr>
      <w:rFonts w:ascii="宋体" w:hAnsi="宋体"/>
      <w:sz w:val="24"/>
    </w:rPr>
  </w:style>
  <w:style w:type="paragraph" w:styleId="25">
    <w:name w:val="Title"/>
    <w:basedOn w:val="1"/>
    <w:next w:val="1"/>
    <w:link w:val="53"/>
    <w:qFormat/>
    <w:uiPriority w:val="10"/>
    <w:pPr>
      <w:spacing w:before="240" w:after="60"/>
      <w:jc w:val="center"/>
      <w:outlineLvl w:val="0"/>
    </w:pPr>
    <w:rPr>
      <w:rFonts w:ascii="Calibri Light" w:hAnsi="Calibri Light" w:eastAsia="宋体" w:cs="Times New Roman"/>
      <w:b/>
      <w:bCs/>
      <w:kern w:val="28"/>
      <w:sz w:val="32"/>
      <w:szCs w:val="32"/>
    </w:rPr>
  </w:style>
  <w:style w:type="paragraph" w:styleId="26">
    <w:name w:val="annotation subject"/>
    <w:basedOn w:val="14"/>
    <w:next w:val="14"/>
    <w:link w:val="54"/>
    <w:unhideWhenUsed/>
    <w:qFormat/>
    <w:uiPriority w:val="99"/>
    <w:rPr>
      <w:b/>
      <w:bCs/>
    </w:rPr>
  </w:style>
  <w:style w:type="paragraph" w:styleId="27">
    <w:name w:val="Body Text First Indent"/>
    <w:basedOn w:val="15"/>
    <w:unhideWhenUsed/>
    <w:qFormat/>
    <w:uiPriority w:val="99"/>
    <w:pPr>
      <w:ind w:firstLine="420" w:firstLineChars="100"/>
    </w:pPr>
    <w:rPr>
      <w:szCs w:val="24"/>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22"/>
    <w:rPr>
      <w:b/>
      <w:bCs/>
    </w:rPr>
  </w:style>
  <w:style w:type="character" w:styleId="32">
    <w:name w:val="page number"/>
    <w:qFormat/>
    <w:uiPriority w:val="0"/>
    <w:rPr>
      <w:rFonts w:ascii="Times New Roman" w:hAnsi="Times New Roman" w:eastAsia="宋体" w:cs="Times New Roman"/>
    </w:rPr>
  </w:style>
  <w:style w:type="character" w:styleId="33">
    <w:name w:val="FollowedHyperlink"/>
    <w:basedOn w:val="30"/>
    <w:unhideWhenUsed/>
    <w:qFormat/>
    <w:uiPriority w:val="99"/>
    <w:rPr>
      <w:color w:val="954F72"/>
      <w:u w:val="single"/>
    </w:rPr>
  </w:style>
  <w:style w:type="character" w:styleId="34">
    <w:name w:val="Emphasis"/>
    <w:basedOn w:val="30"/>
    <w:qFormat/>
    <w:uiPriority w:val="20"/>
    <w:rPr>
      <w:rFonts w:ascii="Calibri" w:hAnsi="Calibri"/>
      <w:b/>
      <w:i/>
      <w:iCs/>
    </w:rPr>
  </w:style>
  <w:style w:type="character" w:styleId="35">
    <w:name w:val="Hyperlink"/>
    <w:basedOn w:val="30"/>
    <w:unhideWhenUsed/>
    <w:qFormat/>
    <w:uiPriority w:val="99"/>
    <w:rPr>
      <w:color w:val="0563C1"/>
      <w:u w:val="single"/>
    </w:rPr>
  </w:style>
  <w:style w:type="character" w:styleId="36">
    <w:name w:val="annotation reference"/>
    <w:basedOn w:val="30"/>
    <w:unhideWhenUsed/>
    <w:qFormat/>
    <w:uiPriority w:val="99"/>
    <w:rPr>
      <w:sz w:val="21"/>
      <w:szCs w:val="21"/>
    </w:rPr>
  </w:style>
  <w:style w:type="character" w:customStyle="1" w:styleId="37">
    <w:name w:val="标题 1 字符"/>
    <w:basedOn w:val="30"/>
    <w:link w:val="2"/>
    <w:qFormat/>
    <w:uiPriority w:val="9"/>
    <w:rPr>
      <w:rFonts w:ascii="方正小标宋_GBK" w:hAnsi="仿宋" w:eastAsia="方正小标宋_GBK"/>
      <w:sz w:val="44"/>
      <w:szCs w:val="44"/>
    </w:rPr>
  </w:style>
  <w:style w:type="character" w:customStyle="1" w:styleId="38">
    <w:name w:val="标题 2 字符"/>
    <w:basedOn w:val="30"/>
    <w:link w:val="3"/>
    <w:qFormat/>
    <w:uiPriority w:val="9"/>
    <w:rPr>
      <w:rFonts w:ascii="楷体" w:hAnsi="楷体" w:eastAsia="黑体"/>
      <w:sz w:val="32"/>
      <w:szCs w:val="32"/>
    </w:rPr>
  </w:style>
  <w:style w:type="character" w:customStyle="1" w:styleId="39">
    <w:name w:val="标题 3 字符"/>
    <w:basedOn w:val="30"/>
    <w:link w:val="4"/>
    <w:qFormat/>
    <w:uiPriority w:val="9"/>
    <w:rPr>
      <w:rFonts w:ascii="方正小标宋_GBK" w:hAnsi="仿宋" w:eastAsia="方正小标宋_GBK"/>
      <w:sz w:val="36"/>
      <w:szCs w:val="36"/>
    </w:rPr>
  </w:style>
  <w:style w:type="character" w:customStyle="1" w:styleId="40">
    <w:name w:val="标题 4 字符"/>
    <w:basedOn w:val="30"/>
    <w:link w:val="5"/>
    <w:semiHidden/>
    <w:qFormat/>
    <w:uiPriority w:val="9"/>
    <w:rPr>
      <w:rFonts w:cs="Times New Roman"/>
      <w:b/>
      <w:bCs/>
      <w:sz w:val="28"/>
      <w:szCs w:val="28"/>
    </w:rPr>
  </w:style>
  <w:style w:type="character" w:customStyle="1" w:styleId="41">
    <w:name w:val="标题 5 字符"/>
    <w:basedOn w:val="30"/>
    <w:link w:val="6"/>
    <w:semiHidden/>
    <w:qFormat/>
    <w:uiPriority w:val="9"/>
    <w:rPr>
      <w:b/>
      <w:bCs/>
      <w:i/>
      <w:iCs/>
      <w:sz w:val="26"/>
      <w:szCs w:val="26"/>
    </w:rPr>
  </w:style>
  <w:style w:type="character" w:customStyle="1" w:styleId="42">
    <w:name w:val="标题 6 字符"/>
    <w:basedOn w:val="30"/>
    <w:link w:val="7"/>
    <w:semiHidden/>
    <w:qFormat/>
    <w:uiPriority w:val="9"/>
    <w:rPr>
      <w:rFonts w:cs="Times New Roman"/>
      <w:b/>
      <w:bCs/>
    </w:rPr>
  </w:style>
  <w:style w:type="character" w:customStyle="1" w:styleId="43">
    <w:name w:val="标题 7 字符"/>
    <w:basedOn w:val="30"/>
    <w:link w:val="8"/>
    <w:semiHidden/>
    <w:qFormat/>
    <w:uiPriority w:val="9"/>
    <w:rPr>
      <w:sz w:val="24"/>
      <w:szCs w:val="24"/>
    </w:rPr>
  </w:style>
  <w:style w:type="character" w:customStyle="1" w:styleId="44">
    <w:name w:val="标题 8 字符"/>
    <w:basedOn w:val="30"/>
    <w:link w:val="9"/>
    <w:semiHidden/>
    <w:qFormat/>
    <w:uiPriority w:val="9"/>
    <w:rPr>
      <w:rFonts w:cs="Times New Roman"/>
      <w:i/>
      <w:iCs/>
      <w:sz w:val="24"/>
      <w:szCs w:val="24"/>
    </w:rPr>
  </w:style>
  <w:style w:type="character" w:customStyle="1" w:styleId="45">
    <w:name w:val="标题 9 字符"/>
    <w:basedOn w:val="30"/>
    <w:link w:val="10"/>
    <w:semiHidden/>
    <w:qFormat/>
    <w:uiPriority w:val="9"/>
    <w:rPr>
      <w:rFonts w:ascii="Calibri Light" w:hAnsi="Calibri Light" w:eastAsia="宋体" w:cs="Times New Roman"/>
    </w:rPr>
  </w:style>
  <w:style w:type="character" w:customStyle="1" w:styleId="46">
    <w:name w:val="文档结构图 字符"/>
    <w:basedOn w:val="30"/>
    <w:link w:val="13"/>
    <w:semiHidden/>
    <w:qFormat/>
    <w:uiPriority w:val="99"/>
    <w:rPr>
      <w:rFonts w:ascii="宋体" w:hAnsi="Calibri Light" w:eastAsia="宋体" w:cs="Calibri Light"/>
      <w:kern w:val="2"/>
      <w:sz w:val="18"/>
      <w:szCs w:val="18"/>
    </w:rPr>
  </w:style>
  <w:style w:type="character" w:customStyle="1" w:styleId="47">
    <w:name w:val="批注文字 字符"/>
    <w:basedOn w:val="30"/>
    <w:link w:val="14"/>
    <w:qFormat/>
    <w:uiPriority w:val="99"/>
    <w:rPr>
      <w:rFonts w:ascii="Calibri Light" w:hAnsi="Calibri Light" w:eastAsia="华文仿宋" w:cs="Calibri Light"/>
      <w:kern w:val="2"/>
      <w:sz w:val="28"/>
      <w:szCs w:val="28"/>
    </w:rPr>
  </w:style>
  <w:style w:type="character" w:customStyle="1" w:styleId="48">
    <w:name w:val="日期 字符"/>
    <w:basedOn w:val="30"/>
    <w:link w:val="17"/>
    <w:semiHidden/>
    <w:qFormat/>
    <w:uiPriority w:val="99"/>
    <w:rPr>
      <w:rFonts w:ascii="华文仿宋" w:hAnsi="华文仿宋" w:eastAsia="华文仿宋"/>
      <w:sz w:val="28"/>
      <w:szCs w:val="28"/>
    </w:rPr>
  </w:style>
  <w:style w:type="character" w:customStyle="1" w:styleId="49">
    <w:name w:val="批注框文本 字符"/>
    <w:basedOn w:val="30"/>
    <w:link w:val="18"/>
    <w:semiHidden/>
    <w:qFormat/>
    <w:uiPriority w:val="99"/>
    <w:rPr>
      <w:sz w:val="18"/>
      <w:szCs w:val="18"/>
    </w:rPr>
  </w:style>
  <w:style w:type="character" w:customStyle="1" w:styleId="50">
    <w:name w:val="页脚 字符"/>
    <w:basedOn w:val="30"/>
    <w:link w:val="19"/>
    <w:qFormat/>
    <w:uiPriority w:val="99"/>
    <w:rPr>
      <w:rFonts w:ascii="华文仿宋" w:hAnsi="华文仿宋" w:eastAsia="华文仿宋"/>
      <w:sz w:val="18"/>
      <w:szCs w:val="18"/>
    </w:rPr>
  </w:style>
  <w:style w:type="character" w:customStyle="1" w:styleId="51">
    <w:name w:val="页眉 字符"/>
    <w:basedOn w:val="30"/>
    <w:link w:val="20"/>
    <w:qFormat/>
    <w:uiPriority w:val="0"/>
    <w:rPr>
      <w:rFonts w:ascii="华文仿宋" w:hAnsi="华文仿宋" w:eastAsia="华文仿宋"/>
      <w:sz w:val="18"/>
      <w:szCs w:val="18"/>
    </w:rPr>
  </w:style>
  <w:style w:type="character" w:customStyle="1" w:styleId="52">
    <w:name w:val="副标题 字符"/>
    <w:basedOn w:val="30"/>
    <w:link w:val="22"/>
    <w:qFormat/>
    <w:uiPriority w:val="11"/>
    <w:rPr>
      <w:rFonts w:ascii="Calibri" w:hAnsi="Calibri" w:eastAsia="黑体" w:cs="Times New Roman"/>
      <w:sz w:val="32"/>
      <w:szCs w:val="24"/>
    </w:rPr>
  </w:style>
  <w:style w:type="character" w:customStyle="1" w:styleId="53">
    <w:name w:val="标题 字符"/>
    <w:basedOn w:val="30"/>
    <w:link w:val="25"/>
    <w:qFormat/>
    <w:uiPriority w:val="10"/>
    <w:rPr>
      <w:rFonts w:ascii="Calibri Light" w:hAnsi="Calibri Light" w:eastAsia="宋体" w:cs="Times New Roman"/>
      <w:b/>
      <w:bCs/>
      <w:kern w:val="28"/>
      <w:sz w:val="32"/>
      <w:szCs w:val="32"/>
    </w:rPr>
  </w:style>
  <w:style w:type="character" w:customStyle="1" w:styleId="54">
    <w:name w:val="批注主题 字符"/>
    <w:basedOn w:val="47"/>
    <w:link w:val="26"/>
    <w:semiHidden/>
    <w:qFormat/>
    <w:uiPriority w:val="99"/>
    <w:rPr>
      <w:rFonts w:ascii="Calibri Light" w:hAnsi="Calibri Light" w:eastAsia="华文仿宋" w:cs="Calibri Light"/>
      <w:b/>
      <w:bCs/>
      <w:kern w:val="2"/>
      <w:sz w:val="28"/>
      <w:szCs w:val="28"/>
    </w:rPr>
  </w:style>
  <w:style w:type="paragraph" w:customStyle="1" w:styleId="55">
    <w:name w:val="※封面大标题"/>
    <w:basedOn w:val="1"/>
    <w:next w:val="1"/>
    <w:qFormat/>
    <w:uiPriority w:val="0"/>
    <w:pPr>
      <w:jc w:val="center"/>
    </w:pPr>
    <w:rPr>
      <w:rFonts w:ascii="华文中宋" w:hAnsi="华文中宋" w:eastAsia="华文中宋"/>
      <w:sz w:val="96"/>
      <w:szCs w:val="96"/>
    </w:rPr>
  </w:style>
  <w:style w:type="paragraph" w:customStyle="1" w:styleId="56">
    <w:name w:val="※封面题颌"/>
    <w:basedOn w:val="1"/>
    <w:next w:val="1"/>
    <w:qFormat/>
    <w:uiPriority w:val="0"/>
    <w:pPr>
      <w:jc w:val="center"/>
    </w:pPr>
    <w:rPr>
      <w:rFonts w:ascii="Calibri Light" w:hAnsi="Calibri Light" w:eastAsia="华文仿宋"/>
      <w:sz w:val="36"/>
      <w:szCs w:val="36"/>
    </w:rPr>
  </w:style>
  <w:style w:type="paragraph" w:customStyle="1" w:styleId="57">
    <w:name w:val="※封面题眉"/>
    <w:basedOn w:val="1"/>
    <w:next w:val="55"/>
    <w:qFormat/>
    <w:uiPriority w:val="0"/>
    <w:pPr>
      <w:jc w:val="center"/>
    </w:pPr>
    <w:rPr>
      <w:rFonts w:ascii="华文仿宋" w:hAnsi="华文仿宋" w:eastAsia="华文仿宋"/>
      <w:sz w:val="52"/>
      <w:szCs w:val="28"/>
    </w:rPr>
  </w:style>
  <w:style w:type="paragraph" w:customStyle="1" w:styleId="58">
    <w:name w:val="※封面题须"/>
    <w:basedOn w:val="1"/>
    <w:qFormat/>
    <w:uiPriority w:val="0"/>
    <w:pPr>
      <w:ind w:left="850" w:leftChars="350" w:right="250" w:rightChars="250" w:hanging="500" w:hangingChars="500"/>
    </w:pPr>
    <w:rPr>
      <w:rFonts w:ascii="Calibri" w:hAnsi="Calibri" w:eastAsia="宋体"/>
      <w:sz w:val="36"/>
      <w:szCs w:val="36"/>
    </w:rPr>
  </w:style>
  <w:style w:type="paragraph" w:customStyle="1" w:styleId="59">
    <w:name w:val="※目录（次）"/>
    <w:basedOn w:val="1"/>
    <w:qFormat/>
    <w:uiPriority w:val="0"/>
    <w:pPr>
      <w:tabs>
        <w:tab w:val="right" w:leader="hyphen" w:pos="8400"/>
      </w:tabs>
      <w:wordWrap w:val="0"/>
      <w:ind w:left="700" w:leftChars="200" w:right="300" w:rightChars="300" w:hanging="500" w:hangingChars="500"/>
    </w:pPr>
    <w:rPr>
      <w:rFonts w:ascii="Calibri Light" w:hAnsi="Calibri Light" w:eastAsia="华文仿宋"/>
      <w:sz w:val="36"/>
      <w:szCs w:val="28"/>
    </w:rPr>
  </w:style>
  <w:style w:type="paragraph" w:customStyle="1" w:styleId="60">
    <w:name w:val="※目录（主）"/>
    <w:basedOn w:val="1"/>
    <w:qFormat/>
    <w:uiPriority w:val="0"/>
    <w:pPr>
      <w:tabs>
        <w:tab w:val="right" w:leader="hyphen" w:pos="8400"/>
      </w:tabs>
      <w:spacing w:after="100" w:afterLines="100" w:line="400" w:lineRule="exact"/>
      <w:ind w:left="200" w:leftChars="200" w:right="200" w:rightChars="200" w:hanging="499" w:hangingChars="400"/>
    </w:pPr>
    <w:rPr>
      <w:rFonts w:ascii="Calibri Light" w:hAnsi="Calibri Light" w:eastAsia="华文仿宋"/>
      <w:sz w:val="36"/>
      <w:szCs w:val="36"/>
    </w:rPr>
  </w:style>
  <w:style w:type="paragraph" w:customStyle="1" w:styleId="61">
    <w:name w:val="※小标题 1"/>
    <w:basedOn w:val="1"/>
    <w:next w:val="1"/>
    <w:qFormat/>
    <w:uiPriority w:val="0"/>
    <w:pPr>
      <w:wordWrap w:val="0"/>
      <w:spacing w:before="20" w:after="20" w:line="400" w:lineRule="exact"/>
      <w:ind w:firstLine="200" w:firstLineChars="200"/>
      <w:outlineLvl w:val="4"/>
    </w:pPr>
    <w:rPr>
      <w:rFonts w:ascii="Calibri Light" w:hAnsi="Calibri Light" w:eastAsia="华文仿宋"/>
      <w:b/>
      <w:sz w:val="28"/>
      <w:szCs w:val="28"/>
    </w:rPr>
  </w:style>
  <w:style w:type="paragraph" w:customStyle="1" w:styleId="62">
    <w:name w:val="※正文"/>
    <w:basedOn w:val="1"/>
    <w:next w:val="1"/>
    <w:qFormat/>
    <w:uiPriority w:val="0"/>
    <w:pPr>
      <w:wordWrap w:val="0"/>
      <w:spacing w:line="400" w:lineRule="exact"/>
    </w:pPr>
    <w:rPr>
      <w:rFonts w:ascii="Calibri Light" w:hAnsi="Calibri Light" w:eastAsia="华文仿宋"/>
      <w:sz w:val="28"/>
      <w:szCs w:val="28"/>
    </w:rPr>
  </w:style>
  <w:style w:type="paragraph" w:customStyle="1" w:styleId="63">
    <w:name w:val="※小标题 一"/>
    <w:basedOn w:val="62"/>
    <w:next w:val="62"/>
    <w:qFormat/>
    <w:uiPriority w:val="0"/>
    <w:pPr>
      <w:spacing w:before="120" w:line="240" w:lineRule="auto"/>
      <w:outlineLvl w:val="2"/>
    </w:pPr>
    <w:rPr>
      <w:b/>
      <w:color w:val="1F3864"/>
      <w:sz w:val="32"/>
    </w:rPr>
  </w:style>
  <w:style w:type="paragraph" w:customStyle="1" w:styleId="64">
    <w:name w:val="※小标题（1）"/>
    <w:basedOn w:val="1"/>
    <w:next w:val="62"/>
    <w:qFormat/>
    <w:uiPriority w:val="0"/>
    <w:pPr>
      <w:wordWrap w:val="0"/>
      <w:spacing w:line="400" w:lineRule="exact"/>
      <w:ind w:firstLine="200" w:firstLineChars="200"/>
      <w:outlineLvl w:val="5"/>
    </w:pPr>
    <w:rPr>
      <w:rFonts w:ascii="Calibri Light" w:hAnsi="Calibri Light" w:eastAsia="华文仿宋"/>
      <w:b/>
      <w:sz w:val="28"/>
      <w:szCs w:val="28"/>
    </w:rPr>
  </w:style>
  <w:style w:type="paragraph" w:customStyle="1" w:styleId="65">
    <w:name w:val="※小标题（一）"/>
    <w:basedOn w:val="1"/>
    <w:next w:val="62"/>
    <w:qFormat/>
    <w:uiPriority w:val="0"/>
    <w:pPr>
      <w:wordWrap w:val="0"/>
      <w:spacing w:before="60" w:after="60" w:line="400" w:lineRule="exact"/>
      <w:ind w:firstLine="200" w:firstLineChars="200"/>
      <w:outlineLvl w:val="3"/>
    </w:pPr>
    <w:rPr>
      <w:rFonts w:ascii="Calibri Light" w:hAnsi="Calibri Light" w:eastAsia="华文仿宋"/>
      <w:b/>
      <w:sz w:val="28"/>
      <w:szCs w:val="28"/>
    </w:rPr>
  </w:style>
  <w:style w:type="paragraph" w:customStyle="1" w:styleId="66">
    <w:name w:val="※页脚（横屏）"/>
    <w:basedOn w:val="1"/>
    <w:qFormat/>
    <w:uiPriority w:val="0"/>
    <w:pPr>
      <w:tabs>
        <w:tab w:val="center" w:pos="7000"/>
      </w:tabs>
      <w:wordWrap w:val="0"/>
      <w:spacing w:line="240" w:lineRule="atLeast"/>
    </w:pPr>
    <w:rPr>
      <w:rFonts w:ascii="宋体" w:hAnsi="宋体" w:eastAsia="宋体"/>
      <w:sz w:val="18"/>
      <w:szCs w:val="18"/>
    </w:rPr>
  </w:style>
  <w:style w:type="paragraph" w:customStyle="1" w:styleId="67">
    <w:name w:val="※页脚（竖屏）"/>
    <w:basedOn w:val="1"/>
    <w:qFormat/>
    <w:uiPriority w:val="0"/>
    <w:pPr>
      <w:tabs>
        <w:tab w:val="center" w:pos="4536"/>
      </w:tabs>
      <w:wordWrap w:val="0"/>
      <w:spacing w:line="240" w:lineRule="atLeast"/>
    </w:pPr>
    <w:rPr>
      <w:rFonts w:ascii="宋体" w:hAnsi="宋体" w:eastAsia="宋体"/>
      <w:sz w:val="18"/>
      <w:szCs w:val="18"/>
    </w:rPr>
  </w:style>
  <w:style w:type="paragraph" w:customStyle="1" w:styleId="68">
    <w:name w:val="※页眉"/>
    <w:basedOn w:val="62"/>
    <w:qFormat/>
    <w:uiPriority w:val="0"/>
    <w:pPr>
      <w:pBdr>
        <w:bottom w:val="single" w:color="auto" w:sz="4" w:space="1"/>
      </w:pBdr>
      <w:spacing w:line="240" w:lineRule="atLeast"/>
      <w:jc w:val="right"/>
    </w:pPr>
    <w:rPr>
      <w:rFonts w:ascii="宋体" w:hAnsi="宋体" w:eastAsia="宋体"/>
      <w:sz w:val="18"/>
    </w:rPr>
  </w:style>
  <w:style w:type="paragraph" w:customStyle="1" w:styleId="69">
    <w:name w:val="※章节标题（第X章）"/>
    <w:basedOn w:val="1"/>
    <w:qFormat/>
    <w:uiPriority w:val="0"/>
    <w:pPr>
      <w:jc w:val="center"/>
      <w:outlineLvl w:val="0"/>
    </w:pPr>
    <w:rPr>
      <w:rFonts w:ascii="Calibri Light" w:hAnsi="Calibri Light" w:eastAsia="黑体"/>
      <w:sz w:val="36"/>
      <w:szCs w:val="28"/>
    </w:rPr>
  </w:style>
  <w:style w:type="paragraph" w:customStyle="1" w:styleId="70">
    <w:name w:val="※章节标题（第Y部分）"/>
    <w:basedOn w:val="1"/>
    <w:next w:val="1"/>
    <w:qFormat/>
    <w:uiPriority w:val="0"/>
    <w:pPr>
      <w:jc w:val="center"/>
      <w:outlineLvl w:val="1"/>
    </w:pPr>
    <w:rPr>
      <w:rFonts w:ascii="Calibri Light" w:hAnsi="Calibri Light" w:eastAsia="黑体"/>
      <w:color w:val="1F4E79"/>
      <w:sz w:val="32"/>
      <w:szCs w:val="36"/>
    </w:rPr>
  </w:style>
  <w:style w:type="paragraph" w:customStyle="1" w:styleId="71">
    <w:name w:val="※章节标题（第Z部分分项）"/>
    <w:basedOn w:val="70"/>
    <w:qFormat/>
    <w:uiPriority w:val="0"/>
    <w:pPr>
      <w:outlineLvl w:val="2"/>
    </w:pPr>
  </w:style>
  <w:style w:type="paragraph" w:customStyle="1" w:styleId="72">
    <w:name w:val="※正文（落款）"/>
    <w:basedOn w:val="1"/>
    <w:qFormat/>
    <w:uiPriority w:val="0"/>
    <w:pPr>
      <w:tabs>
        <w:tab w:val="center" w:pos="6663"/>
      </w:tabs>
      <w:wordWrap w:val="0"/>
      <w:spacing w:line="240" w:lineRule="atLeast"/>
    </w:pPr>
    <w:rPr>
      <w:rFonts w:ascii="Calibri Light" w:hAnsi="Calibri Light" w:eastAsia="华文仿宋"/>
      <w:sz w:val="28"/>
      <w:szCs w:val="28"/>
    </w:rPr>
  </w:style>
  <w:style w:type="paragraph" w:customStyle="1" w:styleId="73">
    <w:name w:val="※正文（缩进2）"/>
    <w:basedOn w:val="62"/>
    <w:qFormat/>
    <w:uiPriority w:val="0"/>
    <w:pPr>
      <w:ind w:firstLine="200" w:firstLineChars="200"/>
    </w:pPr>
  </w:style>
  <w:style w:type="paragraph" w:customStyle="1" w:styleId="74">
    <w:name w:val="※正文（缩进4）"/>
    <w:basedOn w:val="62"/>
    <w:qFormat/>
    <w:uiPriority w:val="0"/>
    <w:pPr>
      <w:ind w:firstLine="400" w:firstLineChars="400"/>
    </w:pPr>
  </w:style>
  <w:style w:type="paragraph" w:styleId="75">
    <w:name w:val="No Spacing"/>
    <w:basedOn w:val="1"/>
    <w:qFormat/>
    <w:uiPriority w:val="1"/>
    <w:rPr>
      <w:szCs w:val="32"/>
    </w:rPr>
  </w:style>
  <w:style w:type="paragraph" w:styleId="76">
    <w:name w:val="List Paragraph"/>
    <w:basedOn w:val="1"/>
    <w:qFormat/>
    <w:uiPriority w:val="0"/>
    <w:pPr>
      <w:ind w:left="720"/>
      <w:contextualSpacing/>
    </w:pPr>
  </w:style>
  <w:style w:type="paragraph" w:styleId="77">
    <w:name w:val="Quote"/>
    <w:basedOn w:val="1"/>
    <w:next w:val="1"/>
    <w:link w:val="78"/>
    <w:qFormat/>
    <w:uiPriority w:val="29"/>
    <w:rPr>
      <w:i/>
    </w:rPr>
  </w:style>
  <w:style w:type="character" w:customStyle="1" w:styleId="78">
    <w:name w:val="引用 字符"/>
    <w:basedOn w:val="30"/>
    <w:link w:val="77"/>
    <w:qFormat/>
    <w:uiPriority w:val="29"/>
    <w:rPr>
      <w:i/>
      <w:sz w:val="24"/>
      <w:szCs w:val="24"/>
    </w:rPr>
  </w:style>
  <w:style w:type="paragraph" w:styleId="79">
    <w:name w:val="Intense Quote"/>
    <w:basedOn w:val="1"/>
    <w:next w:val="1"/>
    <w:link w:val="80"/>
    <w:qFormat/>
    <w:uiPriority w:val="30"/>
    <w:pPr>
      <w:ind w:left="720" w:right="720"/>
    </w:pPr>
    <w:rPr>
      <w:b/>
      <w:i/>
      <w:szCs w:val="22"/>
    </w:rPr>
  </w:style>
  <w:style w:type="character" w:customStyle="1" w:styleId="80">
    <w:name w:val="明显引用 字符"/>
    <w:basedOn w:val="30"/>
    <w:link w:val="79"/>
    <w:qFormat/>
    <w:uiPriority w:val="30"/>
    <w:rPr>
      <w:b/>
      <w:i/>
      <w:sz w:val="24"/>
    </w:rPr>
  </w:style>
  <w:style w:type="character" w:customStyle="1" w:styleId="81">
    <w:name w:val="Subtle Emphasis"/>
    <w:qFormat/>
    <w:uiPriority w:val="19"/>
    <w:rPr>
      <w:i/>
      <w:color w:val="595959"/>
    </w:rPr>
  </w:style>
  <w:style w:type="character" w:customStyle="1" w:styleId="82">
    <w:name w:val="Intense Emphasis"/>
    <w:basedOn w:val="30"/>
    <w:qFormat/>
    <w:uiPriority w:val="21"/>
    <w:rPr>
      <w:b/>
      <w:i/>
      <w:sz w:val="24"/>
      <w:szCs w:val="24"/>
      <w:u w:val="single"/>
    </w:rPr>
  </w:style>
  <w:style w:type="character" w:customStyle="1" w:styleId="83">
    <w:name w:val="Subtle Reference"/>
    <w:basedOn w:val="30"/>
    <w:qFormat/>
    <w:uiPriority w:val="31"/>
    <w:rPr>
      <w:sz w:val="24"/>
      <w:szCs w:val="24"/>
      <w:u w:val="single"/>
    </w:rPr>
  </w:style>
  <w:style w:type="character" w:customStyle="1" w:styleId="84">
    <w:name w:val="Intense Reference"/>
    <w:basedOn w:val="30"/>
    <w:qFormat/>
    <w:uiPriority w:val="32"/>
    <w:rPr>
      <w:b/>
      <w:sz w:val="24"/>
      <w:u w:val="single"/>
    </w:rPr>
  </w:style>
  <w:style w:type="character" w:customStyle="1" w:styleId="85">
    <w:name w:val="Book Title"/>
    <w:basedOn w:val="30"/>
    <w:qFormat/>
    <w:uiPriority w:val="33"/>
    <w:rPr>
      <w:rFonts w:ascii="Calibri Light" w:hAnsi="Calibri Light" w:eastAsia="宋体"/>
      <w:b/>
      <w:i/>
      <w:sz w:val="24"/>
      <w:szCs w:val="24"/>
    </w:rPr>
  </w:style>
  <w:style w:type="paragraph" w:customStyle="1" w:styleId="86">
    <w:name w:val="TOC Heading"/>
    <w:basedOn w:val="2"/>
    <w:next w:val="1"/>
    <w:unhideWhenUsed/>
    <w:qFormat/>
    <w:uiPriority w:val="39"/>
    <w:pPr>
      <w:outlineLvl w:val="9"/>
    </w:pPr>
  </w:style>
  <w:style w:type="paragraph" w:customStyle="1" w:styleId="87">
    <w:name w:val="@正文"/>
    <w:basedOn w:val="62"/>
    <w:qFormat/>
    <w:uiPriority w:val="0"/>
    <w:pPr>
      <w:wordWrap/>
      <w:spacing w:line="240" w:lineRule="auto"/>
      <w:ind w:firstLine="200" w:firstLineChars="200"/>
      <w:jc w:val="both"/>
    </w:pPr>
    <w:rPr>
      <w:rFonts w:ascii="Calibri" w:hAnsi="Calibri" w:eastAsia="宋体" w:cs="Calibri"/>
      <w:color w:val="000000"/>
      <w:kern w:val="24"/>
      <w:sz w:val="24"/>
      <w:szCs w:val="24"/>
    </w:rPr>
  </w:style>
  <w:style w:type="paragraph" w:customStyle="1" w:styleId="88">
    <w:name w:val="@一级小标题"/>
    <w:basedOn w:val="1"/>
    <w:next w:val="87"/>
    <w:qFormat/>
    <w:uiPriority w:val="0"/>
    <w:pPr>
      <w:keepNext/>
      <w:spacing w:before="120" w:after="60"/>
      <w:outlineLvl w:val="2"/>
    </w:pPr>
    <w:rPr>
      <w:rFonts w:ascii="Calibri" w:hAnsi="Calibri" w:eastAsia="黑体"/>
      <w:kern w:val="28"/>
      <w:sz w:val="28"/>
    </w:rPr>
  </w:style>
  <w:style w:type="paragraph" w:customStyle="1" w:styleId="89">
    <w:name w:val="@标题"/>
    <w:basedOn w:val="1"/>
    <w:next w:val="87"/>
    <w:qFormat/>
    <w:uiPriority w:val="0"/>
    <w:pPr>
      <w:keepNext/>
      <w:spacing w:before="50" w:beforeLines="50" w:after="50" w:afterLines="50"/>
      <w:jc w:val="center"/>
      <w:outlineLvl w:val="1"/>
    </w:pPr>
    <w:rPr>
      <w:rFonts w:ascii="Calibri" w:hAnsi="Calibri" w:eastAsia="黑体"/>
      <w:kern w:val="32"/>
      <w:sz w:val="32"/>
    </w:rPr>
  </w:style>
  <w:style w:type="table" w:customStyle="1" w:styleId="90">
    <w:name w:val="网格型1"/>
    <w:basedOn w:val="28"/>
    <w:qFormat/>
    <w:uiPriority w:val="39"/>
    <w:pPr>
      <w:ind w:firstLine="200"/>
    </w:pPr>
    <w:rPr>
      <w:rFonts w:ascii="Calibri Light" w:hAnsi="Calibri Light" w:eastAsia="华文仿宋"/>
      <w:kern w:val="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1">
    <w:name w:val="页眉 Char1"/>
    <w:basedOn w:val="30"/>
    <w:semiHidden/>
    <w:qFormat/>
    <w:uiPriority w:val="99"/>
    <w:rPr>
      <w:rFonts w:cs="Calibri Light"/>
      <w:sz w:val="18"/>
      <w:szCs w:val="18"/>
    </w:rPr>
  </w:style>
  <w:style w:type="character" w:customStyle="1" w:styleId="92">
    <w:name w:val="页脚 Char1"/>
    <w:basedOn w:val="30"/>
    <w:semiHidden/>
    <w:qFormat/>
    <w:uiPriority w:val="99"/>
    <w:rPr>
      <w:rFonts w:cs="Calibri Light"/>
      <w:sz w:val="18"/>
      <w:szCs w:val="18"/>
    </w:rPr>
  </w:style>
  <w:style w:type="character" w:styleId="93">
    <w:name w:val="Placeholder Text"/>
    <w:basedOn w:val="30"/>
    <w:semiHidden/>
    <w:qFormat/>
    <w:uiPriority w:val="99"/>
    <w:rPr>
      <w:color w:val="808080"/>
    </w:rPr>
  </w:style>
  <w:style w:type="character" w:customStyle="1" w:styleId="94">
    <w:name w:val="Unresolved Mention"/>
    <w:basedOn w:val="30"/>
    <w:unhideWhenUsed/>
    <w:qFormat/>
    <w:uiPriority w:val="99"/>
    <w:rPr>
      <w:color w:val="605E5C"/>
      <w:shd w:val="clear" w:color="auto" w:fill="E1DFDD"/>
    </w:rPr>
  </w:style>
  <w:style w:type="paragraph" w:customStyle="1" w:styleId="95">
    <w:name w:val="样式1"/>
    <w:basedOn w:val="4"/>
    <w:link w:val="96"/>
    <w:qFormat/>
    <w:uiPriority w:val="0"/>
    <w:pPr>
      <w:jc w:val="left"/>
    </w:pPr>
    <w:rPr>
      <w:rFonts w:eastAsia="楷体"/>
      <w:sz w:val="32"/>
    </w:rPr>
  </w:style>
  <w:style w:type="character" w:customStyle="1" w:styleId="96">
    <w:name w:val="样式1 字符"/>
    <w:basedOn w:val="38"/>
    <w:link w:val="95"/>
    <w:qFormat/>
    <w:uiPriority w:val="0"/>
    <w:rPr>
      <w:rFonts w:ascii="方正小标宋_GBK" w:hAnsi="仿宋" w:eastAsia="楷体"/>
      <w:sz w:val="32"/>
      <w:szCs w:val="36"/>
    </w:rPr>
  </w:style>
  <w:style w:type="paragraph" w:customStyle="1" w:styleId="97">
    <w:name w:val="样式2"/>
    <w:basedOn w:val="89"/>
    <w:link w:val="98"/>
    <w:qFormat/>
    <w:uiPriority w:val="0"/>
    <w:pPr>
      <w:spacing w:line="560" w:lineRule="exact"/>
      <w:ind w:firstLine="643" w:firstLineChars="200"/>
      <w:jc w:val="both"/>
    </w:pPr>
    <w:rPr>
      <w:rFonts w:ascii="仿宋_GB2312" w:hAnsi="仿宋" w:eastAsia="仿宋_GB2312"/>
      <w:b/>
      <w:bCs/>
      <w:szCs w:val="32"/>
    </w:rPr>
  </w:style>
  <w:style w:type="character" w:customStyle="1" w:styleId="98">
    <w:name w:val="样式2 字符"/>
    <w:basedOn w:val="30"/>
    <w:link w:val="97"/>
    <w:qFormat/>
    <w:uiPriority w:val="0"/>
    <w:rPr>
      <w:rFonts w:ascii="仿宋_GB2312" w:hAnsi="仿宋" w:eastAsia="仿宋_GB2312"/>
      <w:b/>
      <w:bCs/>
      <w:kern w:val="32"/>
      <w:sz w:val="32"/>
      <w:szCs w:val="32"/>
    </w:rPr>
  </w:style>
  <w:style w:type="paragraph" w:customStyle="1" w:styleId="99">
    <w:name w:val="样式3"/>
    <w:basedOn w:val="1"/>
    <w:link w:val="100"/>
    <w:qFormat/>
    <w:uiPriority w:val="0"/>
    <w:pPr>
      <w:spacing w:line="560" w:lineRule="exact"/>
      <w:jc w:val="center"/>
    </w:pPr>
    <w:rPr>
      <w:rFonts w:ascii="方正小标宋_GBK" w:hAnsi="仿宋" w:eastAsia="方正小标宋_GBK"/>
      <w:sz w:val="36"/>
      <w:szCs w:val="36"/>
    </w:rPr>
  </w:style>
  <w:style w:type="character" w:customStyle="1" w:styleId="100">
    <w:name w:val="样式3 字符"/>
    <w:basedOn w:val="30"/>
    <w:link w:val="99"/>
    <w:qFormat/>
    <w:uiPriority w:val="0"/>
    <w:rPr>
      <w:rFonts w:ascii="方正小标宋_GBK" w:hAnsi="仿宋" w:eastAsia="方正小标宋_GBK"/>
      <w:sz w:val="36"/>
      <w:szCs w:val="36"/>
    </w:rPr>
  </w:style>
  <w:style w:type="paragraph" w:customStyle="1" w:styleId="101">
    <w:name w:val="HTML Preformatted"/>
    <w:basedOn w:val="1"/>
    <w:qFormat/>
    <w:uiPriority w:val="0"/>
    <w:rPr>
      <w:rFonts w:ascii="Courier New" w:hAnsi="Courier New"/>
      <w:sz w:val="20"/>
    </w:rPr>
  </w:style>
  <w:style w:type="paragraph" w:customStyle="1" w:styleId="102">
    <w:name w:val="Table Paragraph"/>
    <w:basedOn w:val="1"/>
    <w:qFormat/>
    <w:uiPriority w:val="1"/>
  </w:style>
  <w:style w:type="paragraph" w:customStyle="1" w:styleId="103">
    <w:name w:val="WPSOffice手动目录 1"/>
    <w:qFormat/>
    <w:uiPriority w:val="0"/>
    <w:pPr>
      <w:ind w:leftChars="0"/>
    </w:pPr>
    <w:rPr>
      <w:rFonts w:ascii="Times New Roman" w:hAnsi="Times New Roman" w:eastAsia="宋体" w:cs="Times New Roman"/>
      <w:sz w:val="20"/>
      <w:szCs w:val="20"/>
    </w:rPr>
  </w:style>
  <w:style w:type="paragraph" w:customStyle="1" w:styleId="104">
    <w:name w:val="正文空2格  1."/>
    <w:basedOn w:val="1"/>
    <w:qFormat/>
    <w:uiPriority w:val="0"/>
    <w:pPr>
      <w:adjustRightInd w:val="0"/>
      <w:spacing w:line="360" w:lineRule="auto"/>
      <w:ind w:firstLine="480" w:firstLineChars="200"/>
    </w:pPr>
    <w:rPr>
      <w:rFonts w:hint="eastAsia" w:ascii="宋体" w:eastAsia="仿宋" w:cs="宋体"/>
      <w:kern w:val="0"/>
      <w:sz w:val="28"/>
    </w:rPr>
  </w:style>
  <w:style w:type="paragraph" w:customStyle="1" w:styleId="105">
    <w:name w:val="样式 标题 2 + Times New Roman 四号 非加粗 段前: 5 磅 段后: 0 磅 行距: 固定值 20..."/>
    <w:basedOn w:val="3"/>
    <w:qFormat/>
    <w:uiPriority w:val="0"/>
    <w:pPr>
      <w:spacing w:before="100" w:after="0" w:line="400" w:lineRule="exact"/>
    </w:pPr>
    <w:rPr>
      <w:rFonts w:ascii="Times New Roman" w:hAnsi="Times New Roman" w:cs="宋体"/>
      <w:sz w:val="28"/>
      <w:szCs w:val="20"/>
    </w:rPr>
  </w:style>
  <w:style w:type="paragraph" w:customStyle="1" w:styleId="106">
    <w:name w:val="列出段落1"/>
    <w:basedOn w:val="1"/>
    <w:qFormat/>
    <w:uiPriority w:val="99"/>
    <w:pPr>
      <w:ind w:firstLine="420" w:firstLineChars="200"/>
    </w:pPr>
  </w:style>
  <w:style w:type="paragraph" w:customStyle="1" w:styleId="107">
    <w:name w:val="Other|1"/>
    <w:basedOn w:val="1"/>
    <w:qFormat/>
    <w:uiPriority w:val="0"/>
    <w:pPr>
      <w:widowControl w:val="0"/>
      <w:shd w:val="clear" w:color="auto" w:fill="auto"/>
      <w:spacing w:line="282" w:lineRule="exact"/>
    </w:pPr>
    <w:rPr>
      <w:rFonts w:ascii="宋体" w:hAnsi="宋体" w:eastAsia="宋体" w:cs="宋体"/>
      <w:sz w:val="22"/>
      <w:szCs w:val="22"/>
      <w:u w:val="none"/>
      <w:shd w:val="clear" w:color="auto" w:fill="auto"/>
      <w:lang w:val="zh-TW" w:eastAsia="zh-TW" w:bidi="zh-TW"/>
    </w:rPr>
  </w:style>
  <w:style w:type="table" w:customStyle="1" w:styleId="108">
    <w:name w:val="Table Normal"/>
    <w:unhideWhenUsed/>
    <w:qFormat/>
    <w:uiPriority w:val="0"/>
    <w:tblPr>
      <w:tblCellMar>
        <w:top w:w="0" w:type="dxa"/>
        <w:left w:w="0" w:type="dxa"/>
        <w:bottom w:w="0" w:type="dxa"/>
        <w:right w:w="0" w:type="dxa"/>
      </w:tblCellMar>
    </w:tblPr>
  </w:style>
  <w:style w:type="paragraph" w:customStyle="1" w:styleId="109">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87</Pages>
  <Words>7874</Words>
  <Characters>8909</Characters>
  <Lines>1035</Lines>
  <Paragraphs>716</Paragraphs>
  <TotalTime>12</TotalTime>
  <ScaleCrop>false</ScaleCrop>
  <LinksUpToDate>false</LinksUpToDate>
  <CharactersWithSpaces>8998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2022-04-07T08:51:00Z</dcterms:created>
  <dc:creator>lenovo</dc:creator>
  <cp:lastModifiedBy>我在
丶等风</cp:lastModifiedBy>
  <cp:lastPrinted>2024-12-18T08:56:00Z</cp:lastPrinted>
  <dcterms:modified xsi:type="dcterms:W3CDTF">2025-07-30T03:38:56Z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19450C8986234C6EBAF1742707490B57_13</vt:lpwstr>
  </property>
  <property fmtid="{D5CDD505-2E9C-101B-9397-08002B2CF9AE}" pid="4" name="KSOTemplateDocerSaveRecord">
    <vt:lpwstr>eyJoZGlkIjoiOGU1M2EwZjk1NzIzYThhYTZjMWFlMzBjNzk0ZDI2MDMiLCJ1c2VySWQiOiIzMjExNjMxODcifQ==</vt:lpwstr>
  </property>
</Properties>
</file>