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923B30">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default" w:ascii="宋体" w:hAnsi="宋体" w:eastAsia="宋体" w:cs="宋体"/>
          <w:b/>
          <w:sz w:val="32"/>
          <w:szCs w:val="32"/>
          <w:highlight w:val="none"/>
          <w:lang w:val="en-US" w:eastAsia="zh-CN"/>
        </w:rPr>
      </w:pPr>
      <w:bookmarkStart w:id="0" w:name="_Toc13625"/>
      <w:bookmarkStart w:id="1" w:name="_Toc15068"/>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CGZC-2025-114（HSGJ2025-171）</w:t>
      </w:r>
    </w:p>
    <w:p w14:paraId="1A8C5D08">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221DE8AE">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553CB97D">
      <w:pPr>
        <w:rPr>
          <w:rFonts w:hint="eastAsia"/>
          <w:highlight w:val="none"/>
          <w:lang w:val="en-US" w:eastAsia="zh-CN"/>
        </w:rPr>
      </w:pPr>
    </w:p>
    <w:p w14:paraId="479351FC">
      <w:pPr>
        <w:bidi w:val="0"/>
        <w:jc w:val="center"/>
        <w:rPr>
          <w:rFonts w:hint="eastAsia"/>
          <w:sz w:val="52"/>
          <w:szCs w:val="52"/>
          <w:highlight w:val="none"/>
        </w:rPr>
      </w:pPr>
      <w:r>
        <w:rPr>
          <w:rFonts w:hint="eastAsia" w:ascii="宋体" w:hAnsi="宋体" w:eastAsia="宋体" w:cs="宋体"/>
          <w:b/>
          <w:color w:val="auto"/>
          <w:kern w:val="2"/>
          <w:sz w:val="52"/>
          <w:szCs w:val="52"/>
          <w:highlight w:val="none"/>
          <w:lang w:val="en-US" w:eastAsia="zh-CN" w:bidi="ar-SA"/>
        </w:rPr>
        <w:t>2025-2027管委会机关餐饮服务第三批（金融商务产业园等部门餐厅服务）（世园会展产业园）（六包）</w:t>
      </w:r>
    </w:p>
    <w:p w14:paraId="419F0B5F">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lang w:eastAsia="zh-CN"/>
        </w:rPr>
      </w:pPr>
      <w:bookmarkStart w:id="2" w:name="_Toc15337"/>
      <w:bookmarkStart w:id="3" w:name="_Toc14588"/>
    </w:p>
    <w:p w14:paraId="17B126A6">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28860AD6">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08C34B3F">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51B2F9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0F388B1">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56CEAFB9">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lang w:eastAsia="zh-CN"/>
        </w:rPr>
      </w:pPr>
      <w:bookmarkStart w:id="4" w:name="_Toc2655"/>
      <w:bookmarkStart w:id="5" w:name="_Toc12262"/>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西安浐灞国际港党政办公室</w:t>
      </w:r>
    </w:p>
    <w:p w14:paraId="495F094E">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rPr>
      </w:pPr>
      <w:bookmarkStart w:id="6" w:name="_Toc9269"/>
      <w:bookmarkStart w:id="7" w:name="_Toc16289"/>
      <w:bookmarkStart w:id="8" w:name="_Toc2128"/>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3C236520">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21"/>
          <w:szCs w:val="21"/>
          <w:highlight w:val="none"/>
        </w:rPr>
      </w:pPr>
      <w:bookmarkStart w:id="9" w:name="_Toc2766"/>
      <w:bookmarkStart w:id="10" w:name="_Toc221"/>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highlight w:val="none"/>
        </w:rPr>
        <w:t>月</w:t>
      </w:r>
      <w:bookmarkEnd w:id="9"/>
      <w:bookmarkEnd w:id="10"/>
    </w:p>
    <w:p w14:paraId="29E635D4">
      <w:pPr>
        <w:spacing w:line="560" w:lineRule="exact"/>
        <w:jc w:val="center"/>
        <w:rPr>
          <w:rFonts w:hint="eastAsia" w:ascii="宋体" w:hAnsi="宋体" w:eastAsia="宋体" w:cs="宋体"/>
          <w:sz w:val="32"/>
          <w:szCs w:val="32"/>
          <w:highlight w:val="none"/>
        </w:rPr>
        <w:sectPr>
          <w:headerReference r:id="rId3" w:type="default"/>
          <w:footerReference r:id="rId5" w:type="default"/>
          <w:headerReference r:id="rId4" w:type="even"/>
          <w:footerReference r:id="rId6" w:type="even"/>
          <w:pgSz w:w="11906" w:h="16838"/>
          <w:pgMar w:top="1440" w:right="1083" w:bottom="1440" w:left="1519" w:header="851" w:footer="992" w:gutter="0"/>
          <w:pgNumType w:fmt="decimal"/>
          <w:cols w:space="720" w:num="1"/>
          <w:docGrid w:type="linesAndChars" w:linePitch="420" w:charSpace="0"/>
        </w:sectPr>
      </w:pPr>
    </w:p>
    <w:p w14:paraId="2F2FE0AB">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highlight w:val="none"/>
        </w:rPr>
      </w:pPr>
      <w:r>
        <w:rPr>
          <w:rFonts w:hint="eastAsia" w:ascii="宋体" w:hAnsi="宋体" w:eastAsia="宋体" w:cs="宋体"/>
          <w:b/>
          <w:bCs/>
          <w:sz w:val="44"/>
          <w:szCs w:val="52"/>
          <w:highlight w:val="none"/>
        </w:rPr>
        <w:t>目</w:t>
      </w:r>
      <w:r>
        <w:rPr>
          <w:rFonts w:hint="eastAsia" w:ascii="宋体" w:hAnsi="宋体" w:eastAsia="宋体" w:cs="宋体"/>
          <w:b/>
          <w:bCs/>
          <w:sz w:val="44"/>
          <w:szCs w:val="52"/>
          <w:highlight w:val="none"/>
          <w:lang w:val="en-US" w:eastAsia="zh-CN"/>
        </w:rPr>
        <w:t xml:space="preserve">  </w:t>
      </w:r>
      <w:r>
        <w:rPr>
          <w:rFonts w:hint="eastAsia" w:ascii="宋体" w:hAnsi="宋体" w:eastAsia="宋体" w:cs="宋体"/>
          <w:b/>
          <w:bCs/>
          <w:sz w:val="44"/>
          <w:szCs w:val="52"/>
          <w:highlight w:val="none"/>
        </w:rPr>
        <w:t>录</w:t>
      </w:r>
    </w:p>
    <w:p w14:paraId="11165F9D">
      <w:pPr>
        <w:pStyle w:val="21"/>
        <w:tabs>
          <w:tab w:val="right" w:leader="dot" w:pos="9304"/>
        </w:tabs>
        <w:rPr>
          <w:b/>
          <w:bCs w:val="0"/>
          <w:highlight w:val="none"/>
        </w:rPr>
      </w:pPr>
      <w:r>
        <w:rPr>
          <w:rFonts w:hint="eastAsia" w:ascii="宋体" w:hAnsi="宋体" w:eastAsia="宋体" w:cs="宋体"/>
          <w:b/>
          <w:bCs w:val="0"/>
          <w:sz w:val="32"/>
          <w:szCs w:val="32"/>
          <w:highlight w:val="none"/>
        </w:rPr>
        <w:fldChar w:fldCharType="begin"/>
      </w:r>
      <w:r>
        <w:rPr>
          <w:rFonts w:hint="eastAsia" w:ascii="宋体" w:hAnsi="宋体" w:eastAsia="宋体" w:cs="宋体"/>
          <w:b/>
          <w:bCs w:val="0"/>
          <w:sz w:val="32"/>
          <w:szCs w:val="32"/>
          <w:highlight w:val="none"/>
        </w:rPr>
        <w:instrText xml:space="preserve">TOC \o "1-1" \h \u </w:instrText>
      </w:r>
      <w:r>
        <w:rPr>
          <w:rFonts w:hint="eastAsia" w:ascii="宋体" w:hAnsi="宋体" w:eastAsia="宋体" w:cs="宋体"/>
          <w:b/>
          <w:bCs w:val="0"/>
          <w:sz w:val="32"/>
          <w:szCs w:val="32"/>
          <w:highlight w:val="none"/>
        </w:rPr>
        <w:fldChar w:fldCharType="separate"/>
      </w: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_Toc5647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lang w:eastAsia="zh-CN"/>
        </w:rPr>
        <w:t>第一章</w:t>
      </w:r>
      <w:r>
        <w:rPr>
          <w:rFonts w:hint="eastAsia" w:ascii="宋体" w:hAnsi="宋体" w:eastAsia="宋体" w:cs="宋体"/>
          <w:b/>
          <w:bCs w:val="0"/>
          <w:szCs w:val="32"/>
          <w:highlight w:val="none"/>
          <w:lang w:val="en-US" w:eastAsia="zh-CN"/>
        </w:rPr>
        <w:t xml:space="preserve"> </w:t>
      </w:r>
      <w:r>
        <w:rPr>
          <w:rFonts w:hint="eastAsia" w:ascii="宋体" w:hAnsi="宋体" w:eastAsia="宋体" w:cs="宋体"/>
          <w:b/>
          <w:bCs w:val="0"/>
          <w:szCs w:val="32"/>
          <w:highlight w:val="none"/>
          <w:lang w:eastAsia="zh-CN"/>
        </w:rPr>
        <w:t xml:space="preserve"> 招标公告</w:t>
      </w:r>
      <w:r>
        <w:rPr>
          <w:b/>
          <w:bCs w:val="0"/>
          <w:highlight w:val="none"/>
        </w:rPr>
        <w:tab/>
      </w:r>
      <w:r>
        <w:rPr>
          <w:b/>
          <w:bCs w:val="0"/>
          <w:highlight w:val="none"/>
        </w:rPr>
        <w:fldChar w:fldCharType="begin"/>
      </w:r>
      <w:r>
        <w:rPr>
          <w:b/>
          <w:bCs w:val="0"/>
          <w:highlight w:val="none"/>
        </w:rPr>
        <w:instrText xml:space="preserve"> PAGEREF _Toc5647 \h </w:instrText>
      </w:r>
      <w:r>
        <w:rPr>
          <w:b/>
          <w:bCs w:val="0"/>
          <w:highlight w:val="none"/>
        </w:rPr>
        <w:fldChar w:fldCharType="separate"/>
      </w:r>
      <w:r>
        <w:rPr>
          <w:b/>
          <w:bCs w:val="0"/>
          <w:highlight w:val="none"/>
        </w:rPr>
        <w:t>1</w:t>
      </w:r>
      <w:r>
        <w:rPr>
          <w:b/>
          <w:bCs w:val="0"/>
          <w:highlight w:val="none"/>
        </w:rPr>
        <w:fldChar w:fldCharType="end"/>
      </w:r>
      <w:r>
        <w:rPr>
          <w:rFonts w:hint="eastAsia" w:ascii="宋体" w:hAnsi="宋体" w:eastAsia="宋体" w:cs="宋体"/>
          <w:b/>
          <w:bCs w:val="0"/>
          <w:szCs w:val="32"/>
          <w:highlight w:val="none"/>
        </w:rPr>
        <w:fldChar w:fldCharType="end"/>
      </w:r>
    </w:p>
    <w:p w14:paraId="3D986D16">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_Toc9842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第二章  供应商须知</w:t>
      </w:r>
      <w:r>
        <w:rPr>
          <w:b/>
          <w:bCs w:val="0"/>
          <w:highlight w:val="none"/>
        </w:rPr>
        <w:tab/>
      </w:r>
      <w:r>
        <w:rPr>
          <w:b/>
          <w:bCs w:val="0"/>
          <w:highlight w:val="none"/>
        </w:rPr>
        <w:fldChar w:fldCharType="begin"/>
      </w:r>
      <w:r>
        <w:rPr>
          <w:b/>
          <w:bCs w:val="0"/>
          <w:highlight w:val="none"/>
        </w:rPr>
        <w:instrText xml:space="preserve"> PAGEREF _Toc9842 \h </w:instrText>
      </w:r>
      <w:r>
        <w:rPr>
          <w:b/>
          <w:bCs w:val="0"/>
          <w:highlight w:val="none"/>
        </w:rPr>
        <w:fldChar w:fldCharType="separate"/>
      </w:r>
      <w:r>
        <w:rPr>
          <w:b/>
          <w:bCs w:val="0"/>
          <w:highlight w:val="none"/>
        </w:rPr>
        <w:t>12</w:t>
      </w:r>
      <w:r>
        <w:rPr>
          <w:b/>
          <w:bCs w:val="0"/>
          <w:highlight w:val="none"/>
        </w:rPr>
        <w:fldChar w:fldCharType="end"/>
      </w:r>
      <w:r>
        <w:rPr>
          <w:rFonts w:hint="eastAsia" w:ascii="宋体" w:hAnsi="宋体" w:eastAsia="宋体" w:cs="宋体"/>
          <w:b/>
          <w:bCs w:val="0"/>
          <w:szCs w:val="32"/>
          <w:highlight w:val="none"/>
        </w:rPr>
        <w:fldChar w:fldCharType="end"/>
      </w:r>
    </w:p>
    <w:p w14:paraId="738A9390">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_Toc31713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第三章  招标内容及要求</w:t>
      </w:r>
      <w:r>
        <w:rPr>
          <w:b/>
          <w:bCs w:val="0"/>
          <w:highlight w:val="none"/>
        </w:rPr>
        <w:tab/>
      </w:r>
      <w:r>
        <w:rPr>
          <w:b/>
          <w:bCs w:val="0"/>
          <w:highlight w:val="none"/>
        </w:rPr>
        <w:fldChar w:fldCharType="begin"/>
      </w:r>
      <w:r>
        <w:rPr>
          <w:b/>
          <w:bCs w:val="0"/>
          <w:highlight w:val="none"/>
        </w:rPr>
        <w:instrText xml:space="preserve"> PAGEREF _Toc31713 \h </w:instrText>
      </w:r>
      <w:r>
        <w:rPr>
          <w:b/>
          <w:bCs w:val="0"/>
          <w:highlight w:val="none"/>
        </w:rPr>
        <w:fldChar w:fldCharType="separate"/>
      </w:r>
      <w:r>
        <w:rPr>
          <w:b/>
          <w:bCs w:val="0"/>
          <w:highlight w:val="none"/>
        </w:rPr>
        <w:t>48</w:t>
      </w:r>
      <w:r>
        <w:rPr>
          <w:b/>
          <w:bCs w:val="0"/>
          <w:highlight w:val="none"/>
        </w:rPr>
        <w:fldChar w:fldCharType="end"/>
      </w:r>
      <w:r>
        <w:rPr>
          <w:rFonts w:hint="eastAsia" w:ascii="宋体" w:hAnsi="宋体" w:eastAsia="宋体" w:cs="宋体"/>
          <w:b/>
          <w:bCs w:val="0"/>
          <w:szCs w:val="32"/>
          <w:highlight w:val="none"/>
        </w:rPr>
        <w:fldChar w:fldCharType="end"/>
      </w:r>
    </w:p>
    <w:p w14:paraId="24E9F49C">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_Toc27069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第四章  商务及合同文本</w:t>
      </w:r>
      <w:r>
        <w:rPr>
          <w:b/>
          <w:bCs w:val="0"/>
          <w:highlight w:val="none"/>
        </w:rPr>
        <w:tab/>
      </w:r>
      <w:r>
        <w:rPr>
          <w:b/>
          <w:bCs w:val="0"/>
          <w:highlight w:val="none"/>
        </w:rPr>
        <w:fldChar w:fldCharType="begin"/>
      </w:r>
      <w:r>
        <w:rPr>
          <w:b/>
          <w:bCs w:val="0"/>
          <w:highlight w:val="none"/>
        </w:rPr>
        <w:instrText xml:space="preserve"> PAGEREF _Toc27069 \h </w:instrText>
      </w:r>
      <w:r>
        <w:rPr>
          <w:b/>
          <w:bCs w:val="0"/>
          <w:highlight w:val="none"/>
        </w:rPr>
        <w:fldChar w:fldCharType="separate"/>
      </w:r>
      <w:r>
        <w:rPr>
          <w:b/>
          <w:bCs w:val="0"/>
          <w:highlight w:val="none"/>
        </w:rPr>
        <w:t>53</w:t>
      </w:r>
      <w:r>
        <w:rPr>
          <w:b/>
          <w:bCs w:val="0"/>
          <w:highlight w:val="none"/>
        </w:rPr>
        <w:fldChar w:fldCharType="end"/>
      </w:r>
      <w:r>
        <w:rPr>
          <w:rFonts w:hint="eastAsia" w:ascii="宋体" w:hAnsi="宋体" w:eastAsia="宋体" w:cs="宋体"/>
          <w:b/>
          <w:bCs w:val="0"/>
          <w:szCs w:val="32"/>
          <w:highlight w:val="none"/>
        </w:rPr>
        <w:fldChar w:fldCharType="end"/>
      </w:r>
    </w:p>
    <w:p w14:paraId="77BA2C93">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_Toc4063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第五章  投标文件构成及格式</w:t>
      </w:r>
      <w:r>
        <w:rPr>
          <w:b/>
          <w:bCs w:val="0"/>
          <w:highlight w:val="none"/>
        </w:rPr>
        <w:tab/>
      </w:r>
      <w:r>
        <w:rPr>
          <w:b/>
          <w:bCs w:val="0"/>
          <w:highlight w:val="none"/>
        </w:rPr>
        <w:fldChar w:fldCharType="begin"/>
      </w:r>
      <w:r>
        <w:rPr>
          <w:b/>
          <w:bCs w:val="0"/>
          <w:highlight w:val="none"/>
        </w:rPr>
        <w:instrText xml:space="preserve"> PAGEREF _Toc4063 \h </w:instrText>
      </w:r>
      <w:r>
        <w:rPr>
          <w:b/>
          <w:bCs w:val="0"/>
          <w:highlight w:val="none"/>
        </w:rPr>
        <w:fldChar w:fldCharType="separate"/>
      </w:r>
      <w:r>
        <w:rPr>
          <w:b/>
          <w:bCs w:val="0"/>
          <w:highlight w:val="none"/>
        </w:rPr>
        <w:t>62</w:t>
      </w:r>
      <w:r>
        <w:rPr>
          <w:b/>
          <w:bCs w:val="0"/>
          <w:highlight w:val="none"/>
        </w:rPr>
        <w:fldChar w:fldCharType="end"/>
      </w:r>
      <w:r>
        <w:rPr>
          <w:rFonts w:hint="eastAsia" w:ascii="宋体" w:hAnsi="宋体" w:eastAsia="宋体" w:cs="宋体"/>
          <w:b/>
          <w:bCs w:val="0"/>
          <w:szCs w:val="32"/>
          <w:highlight w:val="none"/>
        </w:rPr>
        <w:fldChar w:fldCharType="end"/>
      </w:r>
    </w:p>
    <w:p w14:paraId="511E4FAD">
      <w:pPr>
        <w:spacing w:line="360" w:lineRule="auto"/>
        <w:rPr>
          <w:rFonts w:hint="eastAsia" w:ascii="宋体" w:hAnsi="宋体" w:eastAsia="宋体" w:cs="宋体"/>
          <w:highlight w:val="none"/>
        </w:rPr>
      </w:pPr>
      <w:r>
        <w:rPr>
          <w:rFonts w:hint="eastAsia" w:ascii="宋体" w:hAnsi="宋体" w:eastAsia="宋体" w:cs="宋体"/>
          <w:b/>
          <w:bCs w:val="0"/>
          <w:szCs w:val="32"/>
          <w:highlight w:val="none"/>
        </w:rPr>
        <w:fldChar w:fldCharType="end"/>
      </w:r>
    </w:p>
    <w:p w14:paraId="47D3E8A2">
      <w:pPr>
        <w:rPr>
          <w:rFonts w:hint="eastAsia" w:ascii="宋体" w:hAnsi="宋体" w:eastAsia="宋体" w:cs="宋体"/>
          <w:b/>
          <w:bCs/>
          <w:sz w:val="32"/>
          <w:szCs w:val="32"/>
          <w:highlight w:val="none"/>
          <w:lang w:eastAsia="zh-CN"/>
        </w:rPr>
        <w:sectPr>
          <w:footerReference r:id="rId7" w:type="default"/>
          <w:footerReference r:id="rId8" w:type="even"/>
          <w:pgSz w:w="11906" w:h="16838"/>
          <w:pgMar w:top="1440" w:right="1083" w:bottom="1440" w:left="1519" w:header="851" w:footer="992" w:gutter="0"/>
          <w:pgNumType w:fmt="decimal" w:start="1"/>
          <w:cols w:space="720" w:num="1"/>
          <w:docGrid w:type="linesAndChars" w:linePitch="420" w:charSpace="0"/>
        </w:sectPr>
      </w:pPr>
    </w:p>
    <w:p w14:paraId="298A22B5">
      <w:pPr>
        <w:pStyle w:val="2"/>
        <w:tabs>
          <w:tab w:val="left" w:pos="4631"/>
        </w:tabs>
        <w:ind w:right="113"/>
        <w:jc w:val="center"/>
        <w:rPr>
          <w:rFonts w:hint="eastAsia" w:ascii="宋体" w:hAnsi="宋体" w:eastAsia="宋体" w:cs="宋体"/>
          <w:sz w:val="30"/>
          <w:szCs w:val="30"/>
          <w:highlight w:val="none"/>
          <w:lang w:eastAsia="zh-CN"/>
        </w:rPr>
      </w:pPr>
      <w:bookmarkStart w:id="11" w:name="_Toc5647"/>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03D8159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4279AE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服务第三批（金融商务产业园等部门餐厅服务）招标项目的潜在投标人应在全国公共资源交易平台（陕西省·西安市）网站〖首页〉电子交易平台〉陕西政府采购交易系统〉企业端〗获取招标文件，并于2025年8月21日09时00分（北京时间）前递交投标文件。</w:t>
      </w:r>
    </w:p>
    <w:p w14:paraId="7CABFC5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658998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项目编号：CGZC-2025-114（HSGJ2025-171）</w:t>
      </w:r>
    </w:p>
    <w:p w14:paraId="77BFB1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项目名称：2025-2027管委会机关餐饮服务第三批（金融商务产业园等部门餐厅服务）</w:t>
      </w:r>
    </w:p>
    <w:p w14:paraId="505A19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55C924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预算金额：4608000.00元</w:t>
      </w:r>
    </w:p>
    <w:p w14:paraId="621F86C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383C3B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合同包1(2025-2027管委会机关餐饮服务第三批（金融商务产业园等部门餐厅服务）（金融商务产业园）（一包）):</w:t>
      </w:r>
    </w:p>
    <w:p w14:paraId="4AD0B7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合同包预算金额：681000.00元</w:t>
      </w:r>
    </w:p>
    <w:p w14:paraId="2DF1D14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合同包最高限价：681000.00元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2FEA80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1AEBA2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0075D6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FE8A90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E8C9F2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B01C1C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EEA18B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3ABBF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2778382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4AAA1C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C8671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7445D0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D9B4F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F63ECC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5CF0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681000.00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1F86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681000.00</w:t>
            </w:r>
          </w:p>
        </w:tc>
      </w:tr>
    </w:tbl>
    <w:p w14:paraId="42FD2D9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271EC6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33663FE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合同包2(2025-2027管委会机关餐饮服务第三批（金融商务产业园等部门餐厅服务）（数字商贸产业园）（二包）):</w:t>
      </w:r>
    </w:p>
    <w:p w14:paraId="18E153D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合同包预算金额：819000.00元</w:t>
      </w:r>
    </w:p>
    <w:p w14:paraId="6E229B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合同包最高限价：819000.00元</w:t>
      </w:r>
    </w:p>
    <w:tbl>
      <w:tblPr>
        <w:tblStyle w:val="28"/>
        <w:tblW w:w="4985"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99"/>
        <w:gridCol w:w="1123"/>
        <w:gridCol w:w="2008"/>
        <w:gridCol w:w="1384"/>
        <w:gridCol w:w="1450"/>
        <w:gridCol w:w="1670"/>
        <w:gridCol w:w="1618"/>
      </w:tblGrid>
      <w:tr w14:paraId="3CEC8B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11AC1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8917C9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5E3804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0381E9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55E35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433A4A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8EC381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56B183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43C34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0E7C5A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8F0AE0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sz w:val="22"/>
                <w:szCs w:val="22"/>
                <w:highlight w:val="none"/>
                <w:lang w:val="en-US" w:eastAsia="zh-CN"/>
              </w:rPr>
            </w:pPr>
            <w:r>
              <w:rPr>
                <w:rFonts w:hint="eastAsia" w:ascii="宋体" w:hAnsi="宋体" w:eastAsia="宋体" w:cs="宋体"/>
                <w:kern w:val="0"/>
                <w:sz w:val="22"/>
                <w:szCs w:val="22"/>
                <w:highlight w:val="none"/>
                <w:lang w:val="en-US" w:eastAsia="zh-CN" w:bidi="ar"/>
              </w:rPr>
              <w:t>餐饮服务外包</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99572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11610C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AFC29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819000.00</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3183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819000.00</w:t>
            </w:r>
          </w:p>
        </w:tc>
      </w:tr>
    </w:tbl>
    <w:p w14:paraId="441DCF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2164EF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6D55FCC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合同包3(2025-2027管委会机关餐饮服务第三批（金融商务产业园等部门餐厅服务）（湿地文旅产业园）（三包）):</w:t>
      </w:r>
    </w:p>
    <w:p w14:paraId="25F8CF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合同包预算金额：738000.00元</w:t>
      </w:r>
    </w:p>
    <w:p w14:paraId="1FA028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合同包最高限价：738000.00元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45"/>
        <w:gridCol w:w="1075"/>
        <w:gridCol w:w="2014"/>
        <w:gridCol w:w="1139"/>
        <w:gridCol w:w="1536"/>
        <w:gridCol w:w="1653"/>
        <w:gridCol w:w="1888"/>
      </w:tblGrid>
      <w:tr w14:paraId="3A4BCD8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1E19E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83998C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722EDA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9FC05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B58A23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389153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704299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307A50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D0C93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3</w:t>
            </w:r>
            <w:r>
              <w:rPr>
                <w:rFonts w:ascii="宋体" w:hAnsi="宋体" w:eastAsia="宋体" w:cs="宋体"/>
                <w:kern w:val="0"/>
                <w:sz w:val="22"/>
                <w:szCs w:val="22"/>
                <w:highlight w:val="none"/>
                <w:lang w:val="en-US" w:eastAsia="zh-CN" w:bidi="ar"/>
              </w:rPr>
              <w:t>-1</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DB6E53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172A3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BAB39C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4886C2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8F43C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738000.00</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307E6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738000.00</w:t>
            </w:r>
          </w:p>
        </w:tc>
      </w:tr>
    </w:tbl>
    <w:p w14:paraId="200E2C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516C30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436F87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合同包4(2025-2027管委会机关餐饮服务第三批（金融商务产业园等部门餐厅服务）（总部创意创业园）（四包）):</w:t>
      </w:r>
    </w:p>
    <w:p w14:paraId="09837F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合同包预算金额：909000.00元</w:t>
      </w:r>
    </w:p>
    <w:p w14:paraId="6C0D6DA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合同包最高限价：909000.00元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309B4AE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A7C6E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C7717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66B07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621372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4B258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F29CEA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7790A5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07DC970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05233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4</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95D3B3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2783E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7D62C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5129F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B8EBA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909000.00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5055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909000.00</w:t>
            </w:r>
          </w:p>
        </w:tc>
      </w:tr>
    </w:tbl>
    <w:p w14:paraId="5C49C8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66F7E4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615616B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合同包5(2025-2027管委会机关餐饮服务第三批（金融商务产业园等部门餐厅服务）（雁鸣生态产业园）（五包）):</w:t>
      </w:r>
    </w:p>
    <w:p w14:paraId="6361F4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合同包预算金额：624000.00元</w:t>
      </w:r>
    </w:p>
    <w:p w14:paraId="10D90D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合同包最高限价：624000.00元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2791092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F7C35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1F7487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4CD75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48C2A5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B91DE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032654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EA5BD6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0C64B31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5EEBC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5</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C96BF0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7E068E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F70B1E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8E7AF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E071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624000.00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77455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624000.00</w:t>
            </w:r>
          </w:p>
        </w:tc>
      </w:tr>
    </w:tbl>
    <w:p w14:paraId="4443ED3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774B9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5AECA25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合同包6(2025-2027管委会机关餐饮服务第三批（金融商务产业园等部门餐厅服务）（世园会展产业园）（六包）):</w:t>
      </w:r>
    </w:p>
    <w:p w14:paraId="2B30730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合同包预算金额：837000.00元</w:t>
      </w:r>
    </w:p>
    <w:p w14:paraId="6F7094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合同包最高限价：837000.00元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5C3A49B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8D057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CA1CF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E28C2C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7C72B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E1C8C9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307D4C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B63DF0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67563B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EA91A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6</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F9B70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23BA8F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8767F6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D24011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9687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837000.00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5CE12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837000.00</w:t>
            </w:r>
          </w:p>
        </w:tc>
      </w:tr>
    </w:tbl>
    <w:p w14:paraId="7DAD04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731DAD0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048AEC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784460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55EDB4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526DCE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合同包1(2025-2027管委会机关餐饮服务第三批（金融商务产业园等部门餐厅服务）（金融商务产业园）（一包）)落实政府采购政策需满足的资格要求如下:</w:t>
      </w:r>
    </w:p>
    <w:p w14:paraId="700B01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26C7349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05D33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6AD1BF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0C5EAE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60B940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088C7CD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42D75A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454EAD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DBE8AB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7CF8E9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合同包2(2025-2027管委会机关餐饮服务第三批（金融商务产业园等部门餐厅服务）（数字商贸产业园）（二包）)落实政府采购政策需满足的资格要求如下:</w:t>
      </w:r>
    </w:p>
    <w:p w14:paraId="01F44D3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63B1764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9178D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68931F6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0CA202E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7999333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1CC633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219FD5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27357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1351E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5949F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合同包3(2025-2027管委会机关餐饮服务第三批（金融商务产业园等部门餐厅服务）（湿地文旅产业园）（三包）)落实政府采购政策需满足的资格要求如下:</w:t>
      </w:r>
    </w:p>
    <w:p w14:paraId="158B78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4B0B59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E22F83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B7702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421F2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671793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03F202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115772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5F4DBCF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02166D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AB6C4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合同包4(2025-2027管委会机关餐饮服务第三批（金融商务产业园等部门餐厅服务）（总部创意创业园）（四包）)落实政府采购政策需满足的资格要求如下:</w:t>
      </w:r>
    </w:p>
    <w:p w14:paraId="0E8CC9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0490343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509A56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7E9B3D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3E8896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B45F56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3EEE735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1018EC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37A707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CE55F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5066C1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合同包5(2025-2027管委会机关餐饮服务第三批（金融商务产业园等部门餐厅服务）（雁鸣生态产业园）（五包）)落实政府采购政策需满足的资格要求如下:</w:t>
      </w:r>
    </w:p>
    <w:p w14:paraId="0A221F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0AEDA0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3B974D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12451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3B5F99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CE8EAB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DE28C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5926224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CC0BB6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33D68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031BFC4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合同包6(2025-2027管委会机关餐饮服务第三批（金融商务产业园等部门餐厅服务）（世园会展产业园）（六包）)落实政府采购政策需满足的资格要求如下:</w:t>
      </w:r>
    </w:p>
    <w:p w14:paraId="664D02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462CD9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235ECF8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F4048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57F4B6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D4400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01E1A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CB524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7044F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07284AF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52921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38703E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合同包1(2025-2027管委会机关餐饮服务第三批（金融商务产业园等部门餐厅服务）（金融商务产业园）（一包）)特定资格要求如下:</w:t>
      </w:r>
    </w:p>
    <w:p w14:paraId="2AAC65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3A2A8D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76A90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FC542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B4CE3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01C759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0762CAA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合同包2(2025-2027管委会机关餐饮服务第三批（金融商务产业园等部门餐厅服务）（数字商贸产业园）（二包）)特定资格要求如下:</w:t>
      </w:r>
    </w:p>
    <w:p w14:paraId="7C0FD1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3A3699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54A079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3）供应商应授权合法的人员参加磋商全过程，其中法定代表人直接参加磋商的，须出具法 定代表人身份证，并与营业执照上信息一致。法定代表人授权代表参加磋商的，须出具法定代表人授权书及授权代表身份证；</w:t>
      </w:r>
    </w:p>
    <w:p w14:paraId="3540A1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3D2BD5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743D12D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7B1E09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合同包3(2025-2027管委会机关餐饮服务第三批（金融商务产业园等部门餐厅服务）（湿地文旅产业园）（三包）)特定资格要求如下:</w:t>
      </w:r>
    </w:p>
    <w:p w14:paraId="0B4E6C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1C9D4C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0D8D8C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57562C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0D139F4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043711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5E3350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合同包4(2025-2027管委会机关餐饮服务第三批（金融商务产业园等部门餐厅服务）（总部创意创业园）（四包）)特定资格要求如下:</w:t>
      </w:r>
    </w:p>
    <w:p w14:paraId="4D5D36D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22B5C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2431F3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553CD5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04B226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5C8CB2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2E7A90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合同包5(2025-2027管委会机关餐饮服务第三批（金融商务产业园等部门餐厅服务）（雁鸣生态产业园）（五包）)特定资格要求如下:</w:t>
      </w:r>
    </w:p>
    <w:p w14:paraId="50774FD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F571C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0E4CAC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7563D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BAF4BD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0D17C8E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79117D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合同包6（2025-2027管委会机关餐饮服务第三批（金融商务产业园等部门餐厅服务）（世园会展产业园）（六包）)特定资格要求如下:</w:t>
      </w:r>
    </w:p>
    <w:p w14:paraId="752B613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FF84B2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5B452B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16A043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6281E0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78BDA5B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03961A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621B79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时间：2025年7月31日至2025年8月6日，每天上午00:00:00至12:00:00，下午12:00:00至23:59:59（北京时间）</w:t>
      </w:r>
    </w:p>
    <w:p w14:paraId="274CDC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455618D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05F4313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6CBDD31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532DD3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时间：2025年8月21日09时00分00秒（北京时间）</w:t>
      </w:r>
    </w:p>
    <w:p w14:paraId="3FE7C1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3F4E32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1DF940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79852E3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7E1C54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0A2517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3E40C9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4721ED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0D9A4B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34E298E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29EC72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11A821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5107C0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1EAA3F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055C69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663414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5F0348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名称：西安浐灞国际港党政办公室</w:t>
      </w:r>
    </w:p>
    <w:p w14:paraId="748212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4AA0A8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联系方式：李老师 029-88072319</w:t>
      </w:r>
    </w:p>
    <w:p w14:paraId="7F2A0A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0E37E3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0B67942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716B8E9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联系方式：029-81779899转8013</w:t>
      </w:r>
    </w:p>
    <w:p w14:paraId="1575349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0705CE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both"/>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项目联系人：曹美奇、李琛</w:t>
      </w:r>
    </w:p>
    <w:p w14:paraId="5DBE72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both"/>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电话：029-81779899转8013</w:t>
      </w:r>
    </w:p>
    <w:p w14:paraId="1D5378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1680" w:firstLineChars="700"/>
        <w:jc w:val="both"/>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p>
    <w:p w14:paraId="54407D0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6480" w:firstLineChars="2700"/>
        <w:jc w:val="both"/>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136128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 xml:space="preserve">                                                         2025年7月30日</w:t>
      </w:r>
    </w:p>
    <w:p w14:paraId="6CE3A0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0"/>
        <w:rPr>
          <w:rFonts w:hint="eastAsia" w:ascii="宋体" w:hAnsi="宋体" w:eastAsia="宋体" w:cs="宋体"/>
          <w:b/>
          <w:bCs/>
          <w:sz w:val="32"/>
          <w:szCs w:val="32"/>
          <w:highlight w:val="none"/>
        </w:rPr>
      </w:pPr>
      <w:r>
        <w:rPr>
          <w:rFonts w:hint="eastAsia" w:ascii="宋体" w:hAnsi="宋体" w:eastAsia="宋体" w:cs="宋体"/>
          <w:sz w:val="32"/>
          <w:szCs w:val="32"/>
          <w:highlight w:val="none"/>
        </w:rPr>
        <w:br w:type="page"/>
      </w:r>
      <w:bookmarkStart w:id="12" w:name="_Toc9842"/>
      <w:bookmarkStart w:id="13" w:name="_Toc6230"/>
      <w:r>
        <w:rPr>
          <w:rFonts w:hint="eastAsia" w:ascii="宋体" w:hAnsi="宋体" w:eastAsia="宋体" w:cs="宋体"/>
          <w:b/>
          <w:bCs/>
          <w:sz w:val="32"/>
          <w:szCs w:val="32"/>
          <w:highlight w:val="none"/>
        </w:rPr>
        <w:t>第二章  供应商须知</w:t>
      </w:r>
      <w:bookmarkEnd w:id="12"/>
      <w:bookmarkEnd w:id="13"/>
    </w:p>
    <w:p w14:paraId="78566522">
      <w:pPr>
        <w:spacing w:line="24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90"/>
        <w:gridCol w:w="1695"/>
        <w:gridCol w:w="7865"/>
      </w:tblGrid>
      <w:tr w14:paraId="35AB2CB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12" w:space="0"/>
              <w:bottom w:val="single" w:color="auto" w:sz="2" w:space="0"/>
            </w:tcBorders>
            <w:shd w:val="clear" w:color="auto" w:fill="F1F1F1"/>
            <w:noWrap w:val="0"/>
            <w:vAlign w:val="center"/>
          </w:tcPr>
          <w:p w14:paraId="444744C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843" w:type="pct"/>
            <w:tcBorders>
              <w:top w:val="single" w:color="auto" w:sz="12" w:space="0"/>
              <w:bottom w:val="single" w:color="auto" w:sz="2" w:space="0"/>
            </w:tcBorders>
            <w:shd w:val="clear" w:color="auto" w:fill="F1F1F1"/>
            <w:noWrap w:val="0"/>
            <w:vAlign w:val="center"/>
          </w:tcPr>
          <w:p w14:paraId="099F626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c>
          <w:tcPr>
            <w:tcW w:w="3912" w:type="pct"/>
            <w:tcBorders>
              <w:top w:val="single" w:color="auto" w:sz="12" w:space="0"/>
              <w:bottom w:val="single" w:color="auto" w:sz="2" w:space="0"/>
            </w:tcBorders>
            <w:shd w:val="clear" w:color="auto" w:fill="F1F1F1"/>
            <w:noWrap w:val="0"/>
            <w:vAlign w:val="center"/>
          </w:tcPr>
          <w:p w14:paraId="38F2484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说明和要求</w:t>
            </w:r>
          </w:p>
        </w:tc>
      </w:tr>
      <w:tr w14:paraId="0E0ECD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noWrap w:val="0"/>
            <w:vAlign w:val="center"/>
          </w:tcPr>
          <w:p w14:paraId="113F61D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843" w:type="pct"/>
            <w:tcBorders>
              <w:top w:val="single" w:color="auto" w:sz="2" w:space="0"/>
            </w:tcBorders>
            <w:noWrap w:val="0"/>
            <w:vAlign w:val="center"/>
          </w:tcPr>
          <w:p w14:paraId="62E3873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3912" w:type="pct"/>
            <w:tcBorders>
              <w:top w:val="single" w:color="auto" w:sz="2" w:space="0"/>
            </w:tcBorders>
            <w:noWrap w:val="0"/>
            <w:vAlign w:val="center"/>
          </w:tcPr>
          <w:p w14:paraId="31E3A03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2025-2027管委会机关餐饮服务第三批（金融商务产业园等部门餐厅服务）（世园会展产业园）（六包）</w:t>
            </w:r>
          </w:p>
        </w:tc>
      </w:tr>
      <w:tr w14:paraId="45B292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noWrap w:val="0"/>
            <w:vAlign w:val="center"/>
          </w:tcPr>
          <w:p w14:paraId="0227835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843" w:type="pct"/>
            <w:noWrap w:val="0"/>
            <w:vAlign w:val="center"/>
          </w:tcPr>
          <w:p w14:paraId="5A57C3F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3912" w:type="pct"/>
            <w:noWrap w:val="0"/>
            <w:vAlign w:val="center"/>
          </w:tcPr>
          <w:p w14:paraId="29F179E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CGZC-2025-114（HSGJ2025-171）</w:t>
            </w:r>
          </w:p>
        </w:tc>
      </w:tr>
      <w:tr w14:paraId="238246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F7CC91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843" w:type="pct"/>
            <w:noWrap w:val="0"/>
            <w:vAlign w:val="center"/>
          </w:tcPr>
          <w:p w14:paraId="3B15D1D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2" w:type="pct"/>
            <w:noWrap w:val="0"/>
            <w:vAlign w:val="center"/>
          </w:tcPr>
          <w:p w14:paraId="192D13FE">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YS-西安市港务区-2025-00114</w:t>
            </w:r>
          </w:p>
        </w:tc>
      </w:tr>
      <w:tr w14:paraId="7564F1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noWrap w:val="0"/>
            <w:vAlign w:val="center"/>
          </w:tcPr>
          <w:p w14:paraId="2EA7190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843" w:type="pct"/>
            <w:noWrap w:val="0"/>
            <w:vAlign w:val="center"/>
          </w:tcPr>
          <w:p w14:paraId="1F28AF4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noWrap w:val="0"/>
            <w:vAlign w:val="center"/>
          </w:tcPr>
          <w:p w14:paraId="7498570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6F7546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7C673AF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45A06F6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支持中小企业发展</w:t>
            </w:r>
          </w:p>
        </w:tc>
        <w:tc>
          <w:tcPr>
            <w:tcW w:w="3912" w:type="pct"/>
            <w:noWrap w:val="0"/>
            <w:vAlign w:val="center"/>
          </w:tcPr>
          <w:p w14:paraId="51A3D791">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sz w:val="24"/>
                <w:szCs w:val="24"/>
                <w:highlight w:val="none"/>
                <w:lang w:eastAsia="zh-CN"/>
              </w:rPr>
              <w:t>本项目的扣除比例为：10%。</w:t>
            </w:r>
          </w:p>
          <w:p w14:paraId="55EF317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本项目专门面向</w:t>
            </w:r>
            <w:r>
              <w:rPr>
                <w:rFonts w:hint="eastAsia" w:ascii="宋体" w:hAnsi="宋体" w:eastAsia="宋体" w:cs="宋体"/>
                <w:b/>
                <w:bCs/>
                <w:sz w:val="24"/>
                <w:szCs w:val="24"/>
                <w:highlight w:val="none"/>
                <w:lang w:val="en-US" w:eastAsia="zh-CN"/>
              </w:rPr>
              <w:t>中小</w:t>
            </w:r>
            <w:r>
              <w:rPr>
                <w:rFonts w:hint="eastAsia" w:ascii="宋体" w:hAnsi="宋体" w:eastAsia="宋体" w:cs="宋体"/>
                <w:b/>
                <w:bCs/>
                <w:sz w:val="24"/>
                <w:szCs w:val="24"/>
                <w:highlight w:val="none"/>
                <w:lang w:eastAsia="zh-CN"/>
              </w:rPr>
              <w:t>企业采购，本项目所属行业为：</w:t>
            </w:r>
            <w:r>
              <w:rPr>
                <w:rFonts w:hint="eastAsia" w:ascii="宋体" w:hAnsi="宋体" w:eastAsia="宋体" w:cs="宋体"/>
                <w:b/>
                <w:bCs/>
                <w:sz w:val="24"/>
                <w:szCs w:val="24"/>
                <w:highlight w:val="none"/>
                <w:lang w:val="en-US" w:eastAsia="zh-CN"/>
              </w:rPr>
              <w:t>餐饮业</w:t>
            </w:r>
            <w:r>
              <w:rPr>
                <w:rFonts w:hint="eastAsia" w:ascii="宋体" w:hAnsi="宋体" w:eastAsia="宋体" w:cs="宋体"/>
                <w:b/>
                <w:bCs/>
                <w:sz w:val="24"/>
                <w:szCs w:val="24"/>
                <w:highlight w:val="none"/>
                <w:lang w:eastAsia="zh-CN"/>
              </w:rPr>
              <w:t>。</w:t>
            </w:r>
          </w:p>
        </w:tc>
      </w:tr>
      <w:tr w14:paraId="282D19F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365F78B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2956226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支持监狱企业发展</w:t>
            </w:r>
          </w:p>
        </w:tc>
        <w:tc>
          <w:tcPr>
            <w:tcW w:w="3912" w:type="pct"/>
            <w:noWrap w:val="0"/>
            <w:vAlign w:val="center"/>
          </w:tcPr>
          <w:p w14:paraId="17C77BF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根据财政部、司法部联合下发的《关于政府采购支持监狱企业发展有关问题的通知》（财库〔2014〕68号）的规定，监狱企业视同小型、微型企业。价格评审时给予的扣除，用扣除后的价格参与评审。</w:t>
            </w:r>
            <w:r>
              <w:rPr>
                <w:rFonts w:hint="eastAsia" w:ascii="宋体" w:hAnsi="宋体" w:eastAsia="宋体" w:cs="宋体"/>
                <w:b/>
                <w:bCs/>
                <w:sz w:val="24"/>
                <w:szCs w:val="24"/>
                <w:highlight w:val="none"/>
                <w:lang w:eastAsia="zh-CN"/>
              </w:rPr>
              <w:t>本项目的扣除比例为：10%。</w:t>
            </w:r>
          </w:p>
        </w:tc>
      </w:tr>
      <w:tr w14:paraId="1D7469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010B231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14A9A7A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其他法律法规强制性规定的</w:t>
            </w:r>
          </w:p>
        </w:tc>
        <w:tc>
          <w:tcPr>
            <w:tcW w:w="3912" w:type="pct"/>
            <w:noWrap w:val="0"/>
            <w:vAlign w:val="center"/>
          </w:tcPr>
          <w:p w14:paraId="1369BBF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sz w:val="24"/>
                <w:szCs w:val="24"/>
                <w:highlight w:val="none"/>
                <w:lang w:eastAsia="zh-CN"/>
              </w:rPr>
              <w:t>本项目的扣除比例为：10%。</w:t>
            </w:r>
          </w:p>
        </w:tc>
      </w:tr>
      <w:tr w14:paraId="3B0F23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372782E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0CC3A21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w:t>
            </w:r>
          </w:p>
        </w:tc>
        <w:tc>
          <w:tcPr>
            <w:tcW w:w="3912" w:type="pct"/>
            <w:noWrap w:val="0"/>
            <w:vAlign w:val="center"/>
          </w:tcPr>
          <w:p w14:paraId="7819347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参加政府采购活动的</w:t>
            </w:r>
            <w:r>
              <w:rPr>
                <w:rFonts w:hint="eastAsia" w:ascii="宋体" w:hAnsi="宋体" w:eastAsia="宋体" w:cs="宋体"/>
                <w:sz w:val="24"/>
                <w:szCs w:val="24"/>
                <w:highlight w:val="none"/>
                <w:lang w:val="en-US" w:eastAsia="zh-CN"/>
              </w:rPr>
              <w:t>小微</w:t>
            </w:r>
            <w:r>
              <w:rPr>
                <w:rFonts w:hint="eastAsia" w:ascii="宋体" w:hAnsi="宋体" w:eastAsia="宋体" w:cs="宋体"/>
                <w:sz w:val="24"/>
                <w:szCs w:val="24"/>
                <w:highlight w:val="none"/>
                <w:lang w:eastAsia="zh-CN"/>
              </w:rPr>
              <w:t>企业、监狱企业、残疾人福利性单位应根据企业性质分别提供《中小企业声明函》\《监狱企业证明函》\《残疾</w:t>
            </w:r>
            <w:r>
              <w:rPr>
                <w:rFonts w:hint="eastAsia" w:ascii="宋体" w:hAnsi="宋体" w:eastAsia="宋体" w:cs="宋体"/>
                <w:sz w:val="24"/>
                <w:szCs w:val="24"/>
                <w:highlight w:val="none"/>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5E0620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6E7043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843" w:type="pct"/>
            <w:noWrap w:val="0"/>
            <w:vAlign w:val="center"/>
          </w:tcPr>
          <w:p w14:paraId="120144E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noWrap w:val="0"/>
            <w:vAlign w:val="center"/>
          </w:tcPr>
          <w:p w14:paraId="383AE7C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837000.00</w:t>
            </w:r>
            <w:r>
              <w:rPr>
                <w:rFonts w:hint="eastAsia" w:ascii="宋体" w:hAnsi="宋体" w:eastAsia="宋体" w:cs="宋体"/>
                <w:sz w:val="24"/>
                <w:szCs w:val="24"/>
                <w:highlight w:val="none"/>
              </w:rPr>
              <w:t>元</w:t>
            </w:r>
          </w:p>
          <w:p w14:paraId="2BEE0952">
            <w:pP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w:t>
            </w:r>
            <w:r>
              <w:rPr>
                <w:rFonts w:hint="eastAsia" w:ascii="宋体" w:hAnsi="宋体" w:eastAsia="宋体" w:cs="宋体"/>
                <w:sz w:val="24"/>
                <w:szCs w:val="24"/>
                <w:highlight w:val="none"/>
                <w:lang w:val="en-US" w:eastAsia="zh-CN"/>
              </w:rPr>
              <w:t>：837000.00元</w:t>
            </w:r>
          </w:p>
          <w:p w14:paraId="7B6030E4">
            <w:pPr>
              <w:pStyle w:val="15"/>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53A6417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81DF3B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843" w:type="pct"/>
            <w:noWrap w:val="0"/>
            <w:vAlign w:val="center"/>
          </w:tcPr>
          <w:p w14:paraId="1BCE76C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noWrap w:val="0"/>
            <w:vAlign w:val="center"/>
          </w:tcPr>
          <w:p w14:paraId="0FDA4275">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441704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02BE0E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843" w:type="pct"/>
            <w:noWrap w:val="0"/>
            <w:vAlign w:val="center"/>
          </w:tcPr>
          <w:p w14:paraId="453E1A8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noWrap w:val="0"/>
            <w:vAlign w:val="center"/>
          </w:tcPr>
          <w:p w14:paraId="6DCBCBC7">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3010E9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99FD8D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843" w:type="pct"/>
            <w:noWrap w:val="0"/>
            <w:vAlign w:val="center"/>
          </w:tcPr>
          <w:p w14:paraId="0376E2D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noWrap w:val="0"/>
            <w:vAlign w:val="center"/>
          </w:tcPr>
          <w:p w14:paraId="7827CDD4">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13C839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7193A3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843" w:type="pct"/>
            <w:noWrap w:val="0"/>
            <w:vAlign w:val="center"/>
          </w:tcPr>
          <w:p w14:paraId="0172902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noWrap w:val="0"/>
            <w:vAlign w:val="center"/>
          </w:tcPr>
          <w:p w14:paraId="485139F1">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2025-2027管委会机关餐饮服务第三批（金融商务产业园等部门餐厅服务）</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658C80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43834B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843" w:type="pct"/>
            <w:noWrap w:val="0"/>
            <w:vAlign w:val="center"/>
          </w:tcPr>
          <w:p w14:paraId="2706CC8C">
            <w:pPr>
              <w:pStyle w:val="16"/>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noWrap w:val="0"/>
            <w:vAlign w:val="center"/>
          </w:tcPr>
          <w:p w14:paraId="1999BA0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3年</w:t>
            </w:r>
          </w:p>
        </w:tc>
      </w:tr>
      <w:tr w14:paraId="5A42915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490CED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843" w:type="pct"/>
            <w:noWrap w:val="0"/>
            <w:vAlign w:val="center"/>
          </w:tcPr>
          <w:p w14:paraId="5D7E071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noWrap w:val="0"/>
            <w:vAlign w:val="center"/>
          </w:tcPr>
          <w:p w14:paraId="469630EC">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652C33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2672B9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843" w:type="pct"/>
            <w:noWrap w:val="0"/>
            <w:vAlign w:val="center"/>
          </w:tcPr>
          <w:p w14:paraId="25AB068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noWrap w:val="0"/>
            <w:vAlign w:val="center"/>
          </w:tcPr>
          <w:p w14:paraId="15291CED">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满足国家及行业现行技术标准、规范要求</w:t>
            </w:r>
          </w:p>
        </w:tc>
      </w:tr>
      <w:tr w14:paraId="7EC7C1A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3EF33F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43" w:type="pct"/>
            <w:noWrap w:val="0"/>
            <w:vAlign w:val="center"/>
          </w:tcPr>
          <w:p w14:paraId="5E911DF7">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noWrap w:val="0"/>
            <w:vAlign w:val="center"/>
          </w:tcPr>
          <w:p w14:paraId="4448F5D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4E1E2BB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6E9FEDF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5076800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注：付款依据为合同、招标文件、投标文件、发票。</w:t>
            </w:r>
          </w:p>
        </w:tc>
      </w:tr>
      <w:tr w14:paraId="3C05C2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2374379">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14</w:t>
            </w:r>
          </w:p>
        </w:tc>
        <w:tc>
          <w:tcPr>
            <w:tcW w:w="843" w:type="pct"/>
            <w:noWrap w:val="0"/>
            <w:vAlign w:val="center"/>
          </w:tcPr>
          <w:p w14:paraId="2E5C1D7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noWrap w:val="0"/>
            <w:vAlign w:val="center"/>
          </w:tcPr>
          <w:p w14:paraId="5F01C6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66D038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5AF8862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2570A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2C8B30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7C12D9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tc>
      </w:tr>
      <w:tr w14:paraId="3C4A1E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5495E5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843" w:type="pct"/>
            <w:noWrap w:val="0"/>
            <w:vAlign w:val="center"/>
          </w:tcPr>
          <w:p w14:paraId="5AD3425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w:t>
            </w:r>
          </w:p>
        </w:tc>
        <w:tc>
          <w:tcPr>
            <w:tcW w:w="3912" w:type="pct"/>
            <w:noWrap w:val="0"/>
            <w:vAlign w:val="center"/>
          </w:tcPr>
          <w:p w14:paraId="37E14E90">
            <w:pPr>
              <w:keepNext w:val="0"/>
              <w:keepLines w:val="0"/>
              <w:pageBreakBefore w:val="0"/>
              <w:kinsoku/>
              <w:wordWrap/>
              <w:overflowPunct/>
              <w:topLinePunct w:val="0"/>
              <w:autoSpaceDE/>
              <w:autoSpaceDN/>
              <w:bidi w:val="0"/>
              <w:adjustRightInd/>
              <w:snapToGrid w:val="0"/>
              <w:spacing w:line="312" w:lineRule="auto"/>
              <w:jc w:val="both"/>
              <w:rPr>
                <w:rFonts w:hint="eastAsia"/>
                <w:highlight w:val="none"/>
                <w:lang w:val="en-US" w:eastAsia="zh-CN"/>
              </w:rPr>
            </w:pPr>
            <w:r>
              <w:rPr>
                <w:rFonts w:hint="eastAsia" w:ascii="宋体" w:hAnsi="宋体" w:eastAsia="宋体" w:cs="宋体"/>
                <w:sz w:val="24"/>
                <w:szCs w:val="24"/>
                <w:highlight w:val="none"/>
                <w:lang w:eastAsia="zh-CN"/>
              </w:rPr>
              <w:t>无</w:t>
            </w:r>
          </w:p>
        </w:tc>
      </w:tr>
      <w:tr w14:paraId="612A2D3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029F2F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843" w:type="pct"/>
            <w:noWrap w:val="0"/>
            <w:vAlign w:val="center"/>
          </w:tcPr>
          <w:p w14:paraId="4A28C92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履约保证金</w:t>
            </w:r>
          </w:p>
        </w:tc>
        <w:tc>
          <w:tcPr>
            <w:tcW w:w="3912" w:type="pct"/>
            <w:noWrap w:val="0"/>
            <w:vAlign w:val="center"/>
          </w:tcPr>
          <w:p w14:paraId="26C4C77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2525687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47EAE350">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户　名：_____________________________</w:t>
            </w:r>
          </w:p>
          <w:p w14:paraId="1DE0878F">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账　号：_____________________________</w:t>
            </w:r>
          </w:p>
          <w:p w14:paraId="5A75B26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开户行：_____________________________</w:t>
            </w:r>
          </w:p>
          <w:p w14:paraId="66AE7397">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业务咨询电话：_______________________</w:t>
            </w:r>
          </w:p>
          <w:p w14:paraId="4D360974">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本项目无</w:t>
            </w:r>
            <w:r>
              <w:rPr>
                <w:rFonts w:hint="eastAsia" w:ascii="宋体" w:hAnsi="宋体" w:eastAsia="宋体" w:cs="宋体"/>
                <w:sz w:val="24"/>
                <w:szCs w:val="24"/>
                <w:highlight w:val="none"/>
              </w:rPr>
              <w:t>履约保证金</w:t>
            </w:r>
            <w:r>
              <w:rPr>
                <w:rFonts w:hint="eastAsia" w:ascii="宋体" w:hAnsi="宋体" w:eastAsia="宋体" w:cs="宋体"/>
                <w:sz w:val="24"/>
                <w:szCs w:val="24"/>
                <w:highlight w:val="none"/>
                <w:lang w:eastAsia="zh-CN"/>
              </w:rPr>
              <w:t>。</w:t>
            </w:r>
          </w:p>
        </w:tc>
      </w:tr>
      <w:tr w14:paraId="57F56A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5ADE69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843" w:type="pct"/>
            <w:noWrap w:val="0"/>
            <w:vAlign w:val="center"/>
          </w:tcPr>
          <w:p w14:paraId="6AFEE8B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投标文件份数</w:t>
            </w:r>
          </w:p>
        </w:tc>
        <w:tc>
          <w:tcPr>
            <w:tcW w:w="3912" w:type="pct"/>
            <w:noWrap w:val="0"/>
            <w:vAlign w:val="center"/>
          </w:tcPr>
          <w:p w14:paraId="58CE24C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03D854E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中标供应商在领取中标通知书时</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62B7DD5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126163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843" w:type="pct"/>
            <w:noWrap w:val="0"/>
            <w:vAlign w:val="center"/>
          </w:tcPr>
          <w:p w14:paraId="40B0EE9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rPr>
              <w:t>现场踏勘和集中答疑</w:t>
            </w:r>
          </w:p>
        </w:tc>
        <w:tc>
          <w:tcPr>
            <w:tcW w:w="3912" w:type="pct"/>
            <w:noWrap w:val="0"/>
            <w:vAlign w:val="center"/>
          </w:tcPr>
          <w:p w14:paraId="23607ED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lang w:eastAsia="zh-CN"/>
              </w:rPr>
              <w:t>不统一组织</w:t>
            </w:r>
          </w:p>
        </w:tc>
      </w:tr>
      <w:tr w14:paraId="71D6BB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51030DE">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843" w:type="pct"/>
            <w:noWrap w:val="0"/>
            <w:vAlign w:val="center"/>
          </w:tcPr>
          <w:p w14:paraId="32DF4FF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政府采购信息发布媒体</w:t>
            </w:r>
          </w:p>
          <w:p w14:paraId="502BBDA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（采购公告、采购结果公告、变更公告）</w:t>
            </w:r>
          </w:p>
        </w:tc>
        <w:tc>
          <w:tcPr>
            <w:tcW w:w="3912" w:type="pct"/>
            <w:noWrap w:val="0"/>
            <w:vAlign w:val="center"/>
          </w:tcPr>
          <w:p w14:paraId="77471EEC">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1．陕西省政府采购网：仅提供项目公告，官网地址：http://ccgp-shaanxi.gov.cn/。</w:t>
            </w:r>
          </w:p>
          <w:p w14:paraId="328664A3">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2．全国公共资源交易平台（陕西省·西安市）：即西安市公共资源交易平台，提供项目公告和采购文件下载。官网地址：http://sxggzyjy.xa.gov.cn/</w:t>
            </w:r>
          </w:p>
        </w:tc>
      </w:tr>
      <w:tr w14:paraId="48CBD5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8E0F427">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843" w:type="pct"/>
            <w:noWrap w:val="0"/>
            <w:vAlign w:val="center"/>
          </w:tcPr>
          <w:p w14:paraId="3026179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询问和质疑</w:t>
            </w:r>
          </w:p>
        </w:tc>
        <w:tc>
          <w:tcPr>
            <w:tcW w:w="3912" w:type="pct"/>
            <w:noWrap w:val="0"/>
            <w:vAlign w:val="center"/>
          </w:tcPr>
          <w:p w14:paraId="27E22E4C">
            <w:pPr>
              <w:keepNext w:val="0"/>
              <w:keepLines w:val="0"/>
              <w:pageBreakBefore w:val="0"/>
              <w:kinsoku/>
              <w:wordWrap/>
              <w:overflowPunct/>
              <w:topLinePunct w:val="0"/>
              <w:autoSpaceDE/>
              <w:autoSpaceDN/>
              <w:bidi w:val="0"/>
              <w:adjustRightInd/>
              <w:snapToGrid w:val="0"/>
              <w:spacing w:line="312" w:lineRule="auto"/>
              <w:jc w:val="both"/>
              <w:rPr>
                <w:rFonts w:hint="eastAsia" w:eastAsia="宋体"/>
                <w:highlight w:val="none"/>
                <w:lang w:eastAsia="zh-CN"/>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招标公告</w:t>
            </w:r>
            <w:r>
              <w:rPr>
                <w:rFonts w:hint="eastAsia" w:ascii="宋体" w:hAnsi="宋体" w:eastAsia="宋体" w:cs="宋体"/>
                <w:sz w:val="24"/>
                <w:szCs w:val="24"/>
                <w:highlight w:val="none"/>
              </w:rPr>
              <w:t>中的“联系方式”</w:t>
            </w:r>
          </w:p>
        </w:tc>
      </w:tr>
      <w:tr w14:paraId="5E5DD0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F368B47">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843" w:type="pct"/>
            <w:noWrap w:val="0"/>
            <w:vAlign w:val="center"/>
          </w:tcPr>
          <w:p w14:paraId="73B834E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noWrap w:val="0"/>
            <w:vAlign w:val="center"/>
          </w:tcPr>
          <w:p w14:paraId="471AA74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5308E748">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60E17CB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19C342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BEBC839">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843" w:type="pct"/>
            <w:noWrap w:val="0"/>
            <w:vAlign w:val="center"/>
          </w:tcPr>
          <w:p w14:paraId="41D22A7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信用信息查询截至时点</w:t>
            </w:r>
          </w:p>
        </w:tc>
        <w:tc>
          <w:tcPr>
            <w:tcW w:w="3912" w:type="pct"/>
            <w:noWrap w:val="0"/>
            <w:vAlign w:val="center"/>
          </w:tcPr>
          <w:p w14:paraId="7FBA238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同提交投标文件截止时间</w:t>
            </w:r>
          </w:p>
        </w:tc>
      </w:tr>
      <w:tr w14:paraId="6846B9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B1324E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843" w:type="pct"/>
            <w:noWrap w:val="0"/>
            <w:vAlign w:val="center"/>
          </w:tcPr>
          <w:p w14:paraId="10D2698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开标形式</w:t>
            </w:r>
          </w:p>
        </w:tc>
        <w:tc>
          <w:tcPr>
            <w:tcW w:w="3912" w:type="pct"/>
            <w:noWrap w:val="0"/>
            <w:vAlign w:val="center"/>
          </w:tcPr>
          <w:p w14:paraId="0D167B8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不见面开标  ☐见面开标</w:t>
            </w:r>
          </w:p>
          <w:p w14:paraId="7307A41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详见本章“开标程序”有关内容。</w:t>
            </w:r>
          </w:p>
        </w:tc>
      </w:tr>
      <w:tr w14:paraId="295CEE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4F326D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843" w:type="pct"/>
            <w:noWrap w:val="0"/>
            <w:vAlign w:val="center"/>
          </w:tcPr>
          <w:p w14:paraId="513519F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是否允许递交多个备选投标方案</w:t>
            </w:r>
          </w:p>
        </w:tc>
        <w:tc>
          <w:tcPr>
            <w:tcW w:w="3912" w:type="pct"/>
            <w:noWrap w:val="0"/>
            <w:vAlign w:val="center"/>
          </w:tcPr>
          <w:p w14:paraId="5C1BD4F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3DAA9B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2A7AF2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843" w:type="pct"/>
            <w:noWrap w:val="0"/>
            <w:vAlign w:val="center"/>
          </w:tcPr>
          <w:p w14:paraId="11A9FC4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中标通知书</w:t>
            </w:r>
          </w:p>
        </w:tc>
        <w:tc>
          <w:tcPr>
            <w:tcW w:w="3912" w:type="pct"/>
            <w:noWrap w:val="0"/>
            <w:vAlign w:val="center"/>
          </w:tcPr>
          <w:p w14:paraId="3B13054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1．领取地点：西安市高新路88号尚品国际B幢25层</w:t>
            </w:r>
          </w:p>
          <w:p w14:paraId="335AE9D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2．联系电话：</w:t>
            </w:r>
            <w:r>
              <w:rPr>
                <w:rFonts w:hint="eastAsia" w:ascii="宋体" w:hAnsi="宋体" w:eastAsia="宋体" w:cs="宋体"/>
                <w:sz w:val="24"/>
                <w:szCs w:val="24"/>
                <w:highlight w:val="none"/>
                <w:lang w:eastAsia="zh-CN"/>
              </w:rPr>
              <w:t>029-81779899转8013</w:t>
            </w:r>
          </w:p>
          <w:p w14:paraId="39CD1618">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eastAsia="zh-CN"/>
              </w:rPr>
            </w:pPr>
            <w:r>
              <w:rPr>
                <w:rFonts w:hint="eastAsia" w:ascii="宋体" w:hAnsi="宋体" w:eastAsia="宋体" w:cs="宋体"/>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曹美奇、李琛</w:t>
            </w:r>
          </w:p>
        </w:tc>
      </w:tr>
      <w:tr w14:paraId="0EA597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4FE711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843" w:type="pct"/>
            <w:noWrap w:val="0"/>
            <w:vAlign w:val="center"/>
          </w:tcPr>
          <w:p w14:paraId="3B9A01B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中标服务费及交纳信息</w:t>
            </w:r>
          </w:p>
        </w:tc>
        <w:tc>
          <w:tcPr>
            <w:tcW w:w="3912" w:type="pct"/>
            <w:noWrap w:val="0"/>
            <w:vAlign w:val="center"/>
          </w:tcPr>
          <w:p w14:paraId="5EF7FEF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中标</w:t>
            </w:r>
            <w:r>
              <w:rPr>
                <w:rFonts w:hint="eastAsia" w:ascii="宋体" w:hAnsi="宋体" w:eastAsia="宋体" w:cs="宋体"/>
                <w:sz w:val="24"/>
                <w:szCs w:val="24"/>
                <w:highlight w:val="none"/>
                <w:lang w:eastAsia="zh-CN"/>
              </w:rPr>
              <w:t>单位</w:t>
            </w:r>
            <w:r>
              <w:rPr>
                <w:rFonts w:hint="eastAsia" w:ascii="宋体" w:hAnsi="宋体" w:eastAsia="宋体" w:cs="宋体"/>
                <w:sz w:val="24"/>
                <w:szCs w:val="24"/>
                <w:highlight w:val="none"/>
              </w:rPr>
              <w:t>应向采购代理机构交纳招标代理服务费。招标代理服务费收取按照国家计委颁布的《招标代理服务收费管理暂行办法》（计价格[2002]1980号）和（发改办价格[2003]857号）按服务收费标准计取。此服务费应计入</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报价中，但不需要单独开列。</w:t>
            </w:r>
          </w:p>
          <w:p w14:paraId="3DB21B3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2.代理服务费交纳信息</w:t>
            </w:r>
          </w:p>
          <w:p w14:paraId="27E34F2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29D2445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421D47A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15B2FA2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default" w:ascii="宋体" w:hAnsi="宋体" w:eastAsia="宋体" w:cs="宋体"/>
                <w:sz w:val="24"/>
                <w:szCs w:val="24"/>
                <w:highlight w:val="none"/>
                <w:lang w:val="en-US" w:eastAsia="zh-CN"/>
              </w:rPr>
              <w:t>转账事由：</w:t>
            </w:r>
            <w:r>
              <w:rPr>
                <w:rFonts w:hint="eastAsia" w:ascii="宋体" w:hAnsi="宋体" w:eastAsia="宋体" w:cs="宋体"/>
                <w:sz w:val="24"/>
                <w:szCs w:val="24"/>
                <w:highlight w:val="none"/>
                <w:lang w:val="en-US" w:eastAsia="zh-CN"/>
              </w:rPr>
              <w:t>CGZC-2025-114（HSGJ2025-171）</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 xml:space="preserve">包 </w:t>
            </w:r>
            <w:r>
              <w:rPr>
                <w:rFonts w:hint="default" w:ascii="宋体" w:hAnsi="宋体" w:eastAsia="宋体" w:cs="宋体"/>
                <w:sz w:val="24"/>
                <w:szCs w:val="24"/>
                <w:highlight w:val="none"/>
                <w:lang w:val="en-US" w:eastAsia="zh-CN"/>
              </w:rPr>
              <w:t>中标服务费</w:t>
            </w:r>
          </w:p>
        </w:tc>
      </w:tr>
      <w:tr w14:paraId="21366E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834C7FF">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843" w:type="pct"/>
            <w:noWrap w:val="0"/>
            <w:vAlign w:val="center"/>
          </w:tcPr>
          <w:p w14:paraId="28011A8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西安市公共资源交易中心电子化政府采购系统技术支持（软件开发商）</w:t>
            </w:r>
          </w:p>
        </w:tc>
        <w:tc>
          <w:tcPr>
            <w:tcW w:w="3912" w:type="pct"/>
            <w:noWrap w:val="0"/>
            <w:vAlign w:val="center"/>
          </w:tcPr>
          <w:p w14:paraId="6E37C17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国泰新点软件股份有限公司</w:t>
            </w:r>
          </w:p>
          <w:p w14:paraId="7C476030">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14:paraId="39A8F08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2．驻场技术人员：029-86510166/86510167转80310</w:t>
            </w:r>
          </w:p>
        </w:tc>
      </w:tr>
      <w:tr w14:paraId="104F2B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C24CE4D">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843" w:type="pct"/>
            <w:noWrap w:val="0"/>
            <w:vAlign w:val="center"/>
          </w:tcPr>
          <w:p w14:paraId="15E47B8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CA业务网点</w:t>
            </w:r>
          </w:p>
        </w:tc>
        <w:tc>
          <w:tcPr>
            <w:tcW w:w="3912" w:type="pct"/>
            <w:noWrap w:val="0"/>
            <w:vAlign w:val="center"/>
          </w:tcPr>
          <w:p w14:paraId="43FF7F6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陕西省数字证书认证中心股份有限公司</w:t>
            </w:r>
          </w:p>
          <w:p w14:paraId="4F1D971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网点1：西安市高新三路信息港大厦1楼客服中心</w:t>
            </w:r>
          </w:p>
          <w:p w14:paraId="22C286F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客服电话：4006-369-888</w:t>
            </w:r>
          </w:p>
          <w:p w14:paraId="5DB9619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网点2：西安市长安北路14号省体育公寓B座一楼</w:t>
            </w:r>
          </w:p>
          <w:p w14:paraId="249DE3C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咨询电话：029-88661241</w:t>
            </w:r>
          </w:p>
          <w:p w14:paraId="5890B58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网点3：西安市文景北路16号白桦林国际B座2楼11#窗口</w:t>
            </w:r>
          </w:p>
          <w:p w14:paraId="5931727B">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咨询电话：029-86510073转80211</w:t>
            </w:r>
          </w:p>
        </w:tc>
      </w:tr>
      <w:tr w14:paraId="623921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BF3869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843" w:type="pct"/>
            <w:noWrap w:val="0"/>
            <w:vAlign w:val="center"/>
          </w:tcPr>
          <w:p w14:paraId="17E05C3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noWrap w:val="0"/>
            <w:vAlign w:val="center"/>
          </w:tcPr>
          <w:p w14:paraId="174BFF7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西安市政府采购信用担保及信用融资政策</w:t>
            </w:r>
          </w:p>
          <w:p w14:paraId="410A7FA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22DA47A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西安浐灞国际港政府采购信用融资联系人：</w:t>
            </w:r>
            <w:r>
              <w:rPr>
                <w:rFonts w:hint="eastAsia" w:ascii="宋体" w:hAnsi="宋体" w:eastAsia="宋体" w:cs="宋体"/>
                <w:sz w:val="24"/>
                <w:szCs w:val="24"/>
                <w:highlight w:val="none"/>
                <w:lang w:eastAsia="zh-CN"/>
              </w:rPr>
              <w:t>王涛</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15029991040</w:t>
            </w:r>
          </w:p>
        </w:tc>
      </w:tr>
      <w:tr w14:paraId="4FE4AD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67D318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843" w:type="pct"/>
            <w:noWrap w:val="0"/>
            <w:vAlign w:val="center"/>
          </w:tcPr>
          <w:p w14:paraId="1B012475">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highlight w:val="none"/>
              </w:rPr>
            </w:pPr>
            <w:r>
              <w:rPr>
                <w:rFonts w:hint="eastAsia" w:hAnsi="宋体" w:cs="Times New Roman"/>
                <w:sz w:val="24"/>
                <w:szCs w:val="24"/>
                <w:highlight w:val="none"/>
              </w:rPr>
              <w:t>所属行业</w:t>
            </w:r>
          </w:p>
        </w:tc>
        <w:tc>
          <w:tcPr>
            <w:tcW w:w="3912" w:type="pct"/>
            <w:noWrap w:val="0"/>
            <w:vAlign w:val="center"/>
          </w:tcPr>
          <w:p w14:paraId="5E391F75">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default" w:ascii="宋体" w:hAnsi="宋体" w:eastAsia="宋体" w:cs="宋体"/>
                <w:sz w:val="24"/>
                <w:szCs w:val="24"/>
                <w:highlight w:val="none"/>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w:t>
            </w:r>
            <w:r>
              <w:rPr>
                <w:rFonts w:hint="eastAsia" w:cs="Times New Roman"/>
                <w:sz w:val="24"/>
                <w:szCs w:val="24"/>
                <w:highlight w:val="none"/>
                <w:lang w:val="en-US" w:eastAsia="zh-CN"/>
              </w:rPr>
              <w:t>餐饮</w:t>
            </w:r>
            <w:r>
              <w:rPr>
                <w:rFonts w:hint="default" w:cs="Times New Roman"/>
                <w:sz w:val="24"/>
                <w:szCs w:val="24"/>
                <w:highlight w:val="none"/>
              </w:rPr>
              <w:t>业</w:t>
            </w:r>
          </w:p>
        </w:tc>
      </w:tr>
      <w:tr w14:paraId="18AF39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550D74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843" w:type="pct"/>
            <w:noWrap w:val="0"/>
            <w:vAlign w:val="center"/>
          </w:tcPr>
          <w:p w14:paraId="1C8EC70D">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noWrap w:val="0"/>
            <w:vAlign w:val="center"/>
          </w:tcPr>
          <w:p w14:paraId="48E8750C">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090EC2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2D50DED">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43" w:type="pct"/>
            <w:noWrap w:val="0"/>
            <w:vAlign w:val="center"/>
          </w:tcPr>
          <w:p w14:paraId="2B9C936B">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其他未尽事宜</w:t>
            </w:r>
          </w:p>
        </w:tc>
        <w:tc>
          <w:tcPr>
            <w:tcW w:w="3912" w:type="pct"/>
            <w:noWrap w:val="0"/>
            <w:vAlign w:val="center"/>
          </w:tcPr>
          <w:p w14:paraId="30F205E2">
            <w:pPr>
              <w:pStyle w:val="76"/>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1EAF4F04">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31308053">
      <w:pPr>
        <w:jc w:val="both"/>
        <w:rPr>
          <w:rFonts w:hint="eastAsia" w:ascii="宋体" w:hAnsi="宋体" w:eastAsia="宋体" w:cs="宋体"/>
          <w:b/>
          <w:bCs/>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b/>
          <w:bCs/>
          <w:sz w:val="28"/>
          <w:szCs w:val="28"/>
          <w:highlight w:val="none"/>
        </w:rPr>
        <w:t>一、有关定义</w:t>
      </w:r>
    </w:p>
    <w:p w14:paraId="32B9C9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val="en-US" w:eastAsia="zh-CN"/>
        </w:rPr>
        <w:t>西安浐灞国际港党政办公室</w:t>
      </w:r>
      <w:r>
        <w:rPr>
          <w:rFonts w:hint="eastAsia" w:ascii="宋体" w:hAnsi="宋体" w:eastAsia="宋体" w:cs="宋体"/>
          <w:sz w:val="24"/>
          <w:szCs w:val="24"/>
          <w:highlight w:val="none"/>
        </w:rPr>
        <w:t>。</w:t>
      </w:r>
    </w:p>
    <w:p w14:paraId="2CBF0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719653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3．同级政府采购监管部门：同级财政部门。</w:t>
      </w:r>
    </w:p>
    <w:p w14:paraId="7C8A029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51409A9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http://www.sxggzyjy.cn:9002/TPBidder/memberLogin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7A3DF0ED">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二、供应商注意事项</w:t>
      </w:r>
    </w:p>
    <w:p w14:paraId="33DC4E1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（一）供应商投标流程</w:t>
      </w:r>
    </w:p>
    <w:p w14:paraId="0BB55D1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7B7DD46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3AA7BB4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2．办理注册登记（针对初次使用电子交易系统的用户）：</w:t>
      </w:r>
    </w:p>
    <w:p w14:paraId="344AD0C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24F0B6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031F2BC4">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74399DF9">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www.snca.com.cn/channel/show/27.html</w:t>
      </w:r>
      <w:r>
        <w:rPr>
          <w:rStyle w:val="35"/>
          <w:rFonts w:hint="eastAsia" w:ascii="宋体" w:hAnsi="宋体" w:eastAsia="宋体" w:cs="宋体"/>
          <w:color w:val="auto"/>
          <w:sz w:val="24"/>
          <w:szCs w:val="24"/>
          <w:highlight w:val="none"/>
          <w:u w:val="none"/>
        </w:rPr>
        <w:fldChar w:fldCharType="end"/>
      </w:r>
    </w:p>
    <w:p w14:paraId="2DA8A54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012550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493F7C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4．制作电子投标文件：需要使用专用制作软件“新点投标文件制作软件（陕西公共资源）”进行编制，编制完成后使用CA锁对电子投标文件进行签章、加密。详见本章中的“投标文件”相关内容。</w:t>
      </w:r>
    </w:p>
    <w:p w14:paraId="2643BE5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5．提交电子投标文件：在提交投标文件截止时间前及时提交加密后电子投标文件，逾期提交的，系统将会拒收；</w:t>
      </w:r>
    </w:p>
    <w:p w14:paraId="4FFD074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03FDF48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0FA3485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8．中标供应商注册：按照陕西省政府采购监管部门的要求，采购代理机构在发布中标公告前，应由中标供应商在陕西省政府采购网上完成注册。</w:t>
      </w:r>
    </w:p>
    <w:p w14:paraId="56D5D81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（二）关于询问、质疑和投诉</w:t>
      </w:r>
    </w:p>
    <w:p w14:paraId="662AE4F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1．询问</w:t>
      </w:r>
    </w:p>
    <w:p w14:paraId="1F58F9A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15BA79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15A9E84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2．质疑</w:t>
      </w:r>
    </w:p>
    <w:p w14:paraId="6513B8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（1）供应商认为采购文件、采购过程、成交结果使自己的权益受到损害的，可以在知道或应知其权益受到损害之日起7个工作日内以书面形式向采购人、采购代理机构提出。</w:t>
      </w:r>
    </w:p>
    <w:p w14:paraId="41A0FE0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（2）质疑方式：</w:t>
      </w:r>
    </w:p>
    <w:p w14:paraId="2F5FD5E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在线质疑：</w:t>
      </w:r>
    </w:p>
    <w:p w14:paraId="6B62642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6B489E4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书面质疑：</w:t>
      </w:r>
    </w:p>
    <w:p w14:paraId="295744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56641200">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http://download.ccgp.gov.cn/2018/zhiyihanfanben.zip</w:t>
      </w:r>
      <w:r>
        <w:rPr>
          <w:rStyle w:val="35"/>
          <w:rFonts w:hint="eastAsia" w:ascii="宋体" w:hAnsi="宋体" w:eastAsia="宋体" w:cs="宋体"/>
          <w:color w:val="auto"/>
          <w:sz w:val="24"/>
          <w:szCs w:val="24"/>
          <w:highlight w:val="none"/>
          <w:u w:val="none"/>
        </w:rPr>
        <w:fldChar w:fldCharType="end"/>
      </w:r>
    </w:p>
    <w:p w14:paraId="485AD85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4968CE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61E623D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（5）有下列情形之一的，属于无效质疑：</w:t>
      </w:r>
    </w:p>
    <w:p w14:paraId="3E589AC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对采购文件提出质疑的质疑人不是依法获取采购文件的潜在供应商；对采购过程、中标结果提出质疑的质疑人不是参与本次政府采购项目的供应商；</w:t>
      </w:r>
    </w:p>
    <w:p w14:paraId="1AE2903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超过法定期限或未以书面形式提出的；</w:t>
      </w:r>
    </w:p>
    <w:p w14:paraId="3681DE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缺乏必要的证明材料，或捏造事实、提供虚假材料，或以非法手段取得证明材料的；</w:t>
      </w:r>
    </w:p>
    <w:p w14:paraId="23D2A8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质疑函没有合法有效的签字、盖章或委托授权书的（代理人提出质疑和投诉，应当提交供应商签署的授权委托书）；</w:t>
      </w:r>
    </w:p>
    <w:p w14:paraId="05DC03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针对同一采购程序环节又提出其他质疑事项的，或质疑答复后就同一事项再次提出质疑的；</w:t>
      </w:r>
    </w:p>
    <w:p w14:paraId="3D2B1C6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不符合法律、法规、规章和政府采购监管机构规定的其他条件的。</w:t>
      </w:r>
    </w:p>
    <w:p w14:paraId="5C81CAA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3．投诉</w:t>
      </w:r>
    </w:p>
    <w:p w14:paraId="7B0D00E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5C4D0E1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（2）供应商投诉的事项不得超出已质疑事项的范围。供应商提出投诉时，应当提交投诉书和必要的证明材料，并按财政部《投诉书范本》给定的格式进行填写。</w:t>
      </w:r>
    </w:p>
    <w:p w14:paraId="0C69FB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投诉书范本地址：</w:t>
      </w:r>
    </w:p>
    <w:p w14:paraId="514F925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"http://download.ccgp.gov.cn/2018/tousushufanben.zip"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http://download.ccgp.gov.cn/2018/tousushufanben.zip</w:t>
      </w:r>
      <w:r>
        <w:rPr>
          <w:rStyle w:val="35"/>
          <w:rFonts w:hint="eastAsia" w:ascii="宋体" w:hAnsi="宋体" w:eastAsia="宋体" w:cs="宋体"/>
          <w:sz w:val="24"/>
          <w:szCs w:val="24"/>
          <w:highlight w:val="none"/>
        </w:rPr>
        <w:fldChar w:fldCharType="end"/>
      </w:r>
    </w:p>
    <w:p w14:paraId="5AF3876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4．恶意质疑、投诉的法律后果</w:t>
      </w:r>
    </w:p>
    <w:p w14:paraId="5A101FE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（1）对捏造事实、提供虚假材料进行质疑、投诉的行为予以严肃处理：</w:t>
      </w:r>
    </w:p>
    <w:p w14:paraId="471B693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5055CAF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（2）对捏造事实诬告陷害他人、诽谤他人的法律适用：</w:t>
      </w:r>
    </w:p>
    <w:p w14:paraId="3673753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7D17E7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1900F0D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（三）关于保证金</w:t>
      </w:r>
    </w:p>
    <w:p w14:paraId="266EED6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1．西安市政府采购信用担保及信用融资政策</w:t>
      </w:r>
    </w:p>
    <w:p w14:paraId="67D9F25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57BEC41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3294CE4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《实施方案》链接地址：</w:t>
      </w:r>
    </w:p>
    <w:p w14:paraId="761A09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"http://xaczj.xa.gov.cn/zfcg/cgfg/5db90552fd850863a9e4594d.html"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http://xaczj.xa.gov.cn/zfcg/cgfg/5db90552fd850863a9e4594d.html</w:t>
      </w:r>
      <w:r>
        <w:rPr>
          <w:rStyle w:val="35"/>
          <w:rFonts w:hint="eastAsia" w:ascii="宋体" w:hAnsi="宋体" w:eastAsia="宋体" w:cs="宋体"/>
          <w:color w:val="auto"/>
          <w:sz w:val="24"/>
          <w:szCs w:val="24"/>
          <w:highlight w:val="none"/>
          <w:u w:val="none"/>
        </w:rPr>
        <w:fldChar w:fldCharType="end"/>
      </w:r>
    </w:p>
    <w:p w14:paraId="41904C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《合作机构名单》链接地址：</w:t>
      </w:r>
    </w:p>
    <w:p w14:paraId="73EB257A">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"http://xaczj.xa.gov.cn/zfcg/cgfg/5db9054565cbd804f69e97e0.html"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http://xaczj.xa.gov.cn/zfcg/cgfg/5db9054565cbd804f69e97e0.html</w:t>
      </w:r>
      <w:r>
        <w:rPr>
          <w:rStyle w:val="35"/>
          <w:rFonts w:hint="eastAsia" w:ascii="宋体" w:hAnsi="宋体" w:eastAsia="宋体" w:cs="宋体"/>
          <w:color w:val="auto"/>
          <w:sz w:val="24"/>
          <w:szCs w:val="24"/>
          <w:highlight w:val="none"/>
          <w:u w:val="none"/>
        </w:rPr>
        <w:fldChar w:fldCharType="end"/>
      </w:r>
    </w:p>
    <w:p w14:paraId="40171E4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5205FBF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highlight w:val="none"/>
          <w:lang w:val="en-US" w:eastAsia="zh-CN"/>
        </w:rPr>
        <w:t>）</w:t>
      </w:r>
    </w:p>
    <w:p w14:paraId="1617A87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2．投标保证金</w:t>
      </w:r>
    </w:p>
    <w:p w14:paraId="0050FBB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按照西安市财政局《关于促进政府采购公平竞争优化营商环境的通知》第三条规定，供应商参与西安市政府采购活动时，免交投标保证金。</w:t>
      </w:r>
    </w:p>
    <w:p w14:paraId="1740F7E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3．履约保证金</w:t>
      </w:r>
    </w:p>
    <w:p w14:paraId="50DA33D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（1）交纳履约保证金</w:t>
      </w:r>
    </w:p>
    <w:p w14:paraId="30C7419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2458774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（2）采用履约保函形式时应注意以下事项：</w:t>
      </w:r>
    </w:p>
    <w:p w14:paraId="4C7BC7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履约保函的受益人为采购人，供应商未能按合同规定履行其义务时，采购人有权从履约保证金中取得补偿。</w:t>
      </w:r>
    </w:p>
    <w:p w14:paraId="43EC500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5E414E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担保金额不少于《投标邀请函》中规定的履约保证金交纳金额；</w:t>
      </w:r>
    </w:p>
    <w:p w14:paraId="370860C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2D725E4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（3）退还履约保证金</w:t>
      </w:r>
    </w:p>
    <w:p w14:paraId="0320F9D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4C86ACF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（四）关于联合体</w:t>
      </w:r>
    </w:p>
    <w:p w14:paraId="6A8866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r>
        <w:rPr>
          <w:rFonts w:hint="eastAsia" w:ascii="宋体" w:hAnsi="宋体" w:eastAsia="宋体" w:cs="宋体"/>
          <w:sz w:val="24"/>
          <w:szCs w:val="24"/>
          <w:highlight w:val="none"/>
          <w:lang w:eastAsia="zh-CN"/>
        </w:rPr>
        <w:t>、</w:t>
      </w:r>
      <w:r>
        <w:rPr>
          <w:rFonts w:hint="eastAsia" w:ascii="宋体" w:hAnsi="宋体" w:eastAsia="宋体" w:cs="宋体"/>
          <w:color w:val="auto"/>
          <w:sz w:val="24"/>
          <w:szCs w:val="24"/>
          <w:highlight w:val="none"/>
          <w:lang w:eastAsia="zh-CN"/>
        </w:rPr>
        <w:t>《陕西省财政厅关于进一步落实政府采购支持中小企业相关政策的通知》（陕财办采〔2023〕3号）</w:t>
      </w:r>
      <w:r>
        <w:rPr>
          <w:rFonts w:hint="eastAsia" w:ascii="宋体" w:hAnsi="宋体" w:eastAsia="宋体" w:cs="宋体"/>
          <w:sz w:val="24"/>
          <w:szCs w:val="24"/>
          <w:highlight w:val="none"/>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highlight w:val="none"/>
          <w:lang w:val="en-US" w:eastAsia="zh-CN"/>
        </w:rPr>
        <w:t>30</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以上的，对联合体或者大中型企业的报价给</w:t>
      </w:r>
      <w:r>
        <w:rPr>
          <w:rFonts w:hint="eastAsia" w:ascii="宋体" w:hAnsi="宋体" w:eastAsia="宋体" w:cs="宋体"/>
          <w:color w:val="auto"/>
          <w:sz w:val="24"/>
          <w:szCs w:val="24"/>
          <w:highlight w:val="none"/>
        </w:rPr>
        <w:t>予</w:t>
      </w:r>
      <w:r>
        <w:rPr>
          <w:rFonts w:hint="eastAsia" w:ascii="宋体" w:hAnsi="宋体" w:eastAsia="宋体" w:cs="宋体"/>
          <w:b w:val="0"/>
          <w:bCs w:val="0"/>
          <w:color w:val="auto"/>
          <w:sz w:val="24"/>
          <w:szCs w:val="24"/>
          <w:highlight w:val="none"/>
        </w:rPr>
        <w:t>4%—6%</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rPr>
        <w:t>工程项目为1%~2%）的扣除，用扣除后的价格参加评审。</w:t>
      </w:r>
    </w:p>
    <w:p w14:paraId="31F3C5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592FF97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505B66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4．供应商以联合体形式参加政府采购活动时，遵循以下规则：</w:t>
      </w:r>
    </w:p>
    <w:p w14:paraId="5CF9EB2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7F2A6D7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6A1684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采用资格前审的项目，联合体应当在提交资格前审申请文件前组成。资格前审后联合体不得增减、更换成员。</w:t>
      </w:r>
    </w:p>
    <w:p w14:paraId="4D65254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资格审查阶段，采购人将对所有联合体成员进行信用记录查询，联合体成员存在不良信用记录的，视同联合体存在不良信用记录。</w:t>
      </w:r>
    </w:p>
    <w:p w14:paraId="2B373EE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招标文件要求供应商交纳保证金的，可以由联合体中的一方或者多方共同交纳保证金，其交纳的保证金对联合体各方均具有约束力。</w:t>
      </w:r>
    </w:p>
    <w:p w14:paraId="6FD1D70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招标文件要求供应商提供履约人员和设备情况的，联合体各方均应提供，以说明其作为独立供应商所具有的能有效执行合同的能力和资源。</w:t>
      </w:r>
    </w:p>
    <w:p w14:paraId="3DE630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2C9C2F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4BEF61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⑨ 对采购项目提出投诉时，应当由组成联合体的所有供应商共同提出。</w:t>
      </w:r>
    </w:p>
    <w:p w14:paraId="08F5B6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（5）联合体出现下列情形之一的，联合体投标无效：</w:t>
      </w:r>
    </w:p>
    <w:p w14:paraId="59AAD9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没有提交有效的联合体协议的；</w:t>
      </w:r>
    </w:p>
    <w:p w14:paraId="64F88EE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组成联合体的大中型企业和其他自然人、法人或者其他组织，与小型、微型企业之间存在投资关系的；</w:t>
      </w:r>
    </w:p>
    <w:p w14:paraId="2B53FB2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联合体协议签订后，联合体成员单独参加或者与其他供应商另外组成联合体参加同一合同项下的政府采购活动的；</w:t>
      </w:r>
    </w:p>
    <w:p w14:paraId="017E6D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资格前审后联合体增减、更换成员的；</w:t>
      </w:r>
    </w:p>
    <w:p w14:paraId="5357C0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联合体成员因存在不良信用记录，被拒绝其参与政府采购活动的。</w:t>
      </w:r>
    </w:p>
    <w:p w14:paraId="2499244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（五）关于进口产品</w:t>
      </w:r>
    </w:p>
    <w:p w14:paraId="2A6FED4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15A67F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0F52F12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（六）关于政府采购政策</w:t>
      </w:r>
    </w:p>
    <w:p w14:paraId="10FCE1C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4CD5BE8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36594EB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（2）根据财政部、司法部联合下发的《关于政府采购支持监狱企业发展有关问题的通知》（财库〔2014〕68号）的规定，监狱企业视同小型、微型企业。</w:t>
      </w:r>
    </w:p>
    <w:p w14:paraId="5FA7A8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24DE99E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1D431E7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2．节能、环保产品采购政策</w:t>
      </w:r>
    </w:p>
    <w:p w14:paraId="038A21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67169D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3FF9486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（3）《节能产品政府采购品目清单》见财政部、发展改革委《关于印发节能产品政府采购品目清单的通知》（财库〔2019〕19号）附件。</w:t>
      </w:r>
    </w:p>
    <w:p w14:paraId="32C665E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（4）《环境标志产品政府采购品目清单》见财政部、生态环境部《关于印发环境标志产品政府采购品目清单的通知》（财库〔2019〕18号）附件。</w:t>
      </w:r>
    </w:p>
    <w:p w14:paraId="10C217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highlight w:val="none"/>
          <w:lang w:eastAsia="zh-CN"/>
        </w:rPr>
      </w:pPr>
      <w:r>
        <w:rPr>
          <w:rFonts w:hint="eastAsia" w:ascii="宋体" w:hAnsi="宋体" w:eastAsia="宋体" w:cs="宋体"/>
          <w:sz w:val="24"/>
          <w:szCs w:val="24"/>
          <w:highlight w:val="none"/>
        </w:rPr>
        <w:t>（5）“国家确定的认证机构”名单见市场监管总局《关于发布参与实施政府采购节能产品、环境标志产品认证机构名录的公告》（2019年第16号）。</w:t>
      </w:r>
    </w:p>
    <w:p w14:paraId="19077BD2">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陕西省中小企业政府采购信用融资办法</w:t>
      </w:r>
    </w:p>
    <w:p w14:paraId="111329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086755DA">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"http://www.ccgp-shaanxi.gov.cn/zcdservice/zcd/shanxi/article/zcdt/1390497710741917696"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http://www.ccgp-shaanxi.gov.cn/zcdservice/zcd/shanxi/article/zcdt/1390497710741917696</w:t>
      </w:r>
      <w:r>
        <w:rPr>
          <w:rStyle w:val="35"/>
          <w:rFonts w:hint="eastAsia" w:ascii="宋体" w:hAnsi="宋体" w:eastAsia="宋体" w:cs="宋体"/>
          <w:color w:val="auto"/>
          <w:sz w:val="24"/>
          <w:szCs w:val="24"/>
          <w:highlight w:val="none"/>
          <w:u w:val="none"/>
        </w:rPr>
        <w:fldChar w:fldCharType="end"/>
      </w:r>
    </w:p>
    <w:p w14:paraId="169767F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（七）关于现场踏勘和集中答疑</w:t>
      </w:r>
    </w:p>
    <w:p w14:paraId="7A5432E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采购人可以根据项目实际情况决定是否组织现场踏勘\标前集中答疑</w:t>
      </w:r>
      <w:r>
        <w:rPr>
          <w:rFonts w:hint="eastAsia" w:ascii="宋体" w:hAnsi="宋体" w:eastAsia="宋体" w:cs="宋体"/>
          <w:color w:val="auto"/>
          <w:sz w:val="24"/>
          <w:szCs w:val="24"/>
          <w:highlight w:val="none"/>
        </w:rPr>
        <w:t>。投标邀请函中</w:t>
      </w:r>
      <w:r>
        <w:rPr>
          <w:rFonts w:hint="eastAsia" w:ascii="宋体" w:hAnsi="宋体" w:eastAsia="宋体" w:cs="宋体"/>
          <w:sz w:val="24"/>
          <w:szCs w:val="24"/>
          <w:highlight w:val="none"/>
        </w:rPr>
        <w:t>明确载明安排上述活动的，各供应商应派出技术、预算等相关人员，在招标文件约定的时间、地点参加现场踏勘\标前集中答疑。</w:t>
      </w:r>
    </w:p>
    <w:p w14:paraId="2F6F280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3CFDF68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凡未参加现场踏勘和集中答疑的供应商，由此带来的不利后果由该供应商自行承担。</w:t>
      </w:r>
    </w:p>
    <w:p w14:paraId="774120D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（八）关于同一品牌产品的处理</w:t>
      </w:r>
    </w:p>
    <w:p w14:paraId="1FBC0C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538C08E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0B933FA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7FC5F84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（九）关于知识产权和保密事项</w:t>
      </w:r>
    </w:p>
    <w:p w14:paraId="50F3C0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2CF0654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65F101E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（十）关于信用记录的查询和使用</w:t>
      </w:r>
    </w:p>
    <w:p w14:paraId="58D972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"https://www.creditchina.gov.cn"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https://www.creditchina.gov.cn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/）和【中国政府采购网】（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对供应商的信用情况进行甄别。</w:t>
      </w:r>
    </w:p>
    <w:p w14:paraId="18331D1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2．对列入失信被执行人、</w:t>
      </w:r>
      <w:r>
        <w:rPr>
          <w:rFonts w:hint="eastAsia" w:ascii="宋体" w:hAnsi="宋体" w:eastAsia="宋体" w:cs="宋体"/>
          <w:sz w:val="24"/>
          <w:szCs w:val="24"/>
          <w:highlight w:val="none"/>
          <w:lang w:eastAsia="zh-CN"/>
        </w:rPr>
        <w:t>重大税收违法失信主体</w:t>
      </w:r>
      <w:r>
        <w:rPr>
          <w:rFonts w:hint="eastAsia" w:ascii="宋体" w:hAnsi="宋体" w:eastAsia="宋体" w:cs="宋体"/>
          <w:sz w:val="24"/>
          <w:szCs w:val="24"/>
          <w:highlight w:val="none"/>
        </w:rPr>
        <w:t>、政府采购严重违法失信行为记录名单及其他不符合《中华人民共和国政府采购法》第二十二条规定条件的供应商，将拒绝其参与政府采购活动。</w:t>
      </w:r>
    </w:p>
    <w:p w14:paraId="78E48EC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3．供应商在参加政府采购活动前3年内因违法经营被禁止在一定期限内参加政府采购活动，期限届满的，可以参加政府采购活动的，但供应商应提供相关证明材料。</w:t>
      </w:r>
    </w:p>
    <w:p w14:paraId="1A122D5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4．信用记录查询结果打印后，将与其他采购文件一并保存。</w:t>
      </w:r>
    </w:p>
    <w:p w14:paraId="49F9C31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（十一）其他重要事项</w:t>
      </w:r>
    </w:p>
    <w:p w14:paraId="34CD32A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1．招标文件内所附网络链接仅供参考，不保证其长期有效性。</w:t>
      </w:r>
    </w:p>
    <w:p w14:paraId="094CFA1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2．供应商的投标费用自理。</w:t>
      </w:r>
    </w:p>
    <w:p w14:paraId="4674E44F">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三、招标文件</w:t>
      </w:r>
    </w:p>
    <w:p w14:paraId="7B66D60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（一）招标文件的解释权</w:t>
      </w:r>
    </w:p>
    <w:p w14:paraId="5A02D6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本项目招标文件的解释权归采购代理机构，评标委员会成员应根据政府采购法律法规和招标文件所载明的评审方法、标准进行评审。</w:t>
      </w:r>
    </w:p>
    <w:p w14:paraId="6AF8743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（二）招标文件主要内容</w:t>
      </w:r>
    </w:p>
    <w:p w14:paraId="42B545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招标公告</w:t>
      </w:r>
    </w:p>
    <w:p w14:paraId="2549179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第2章  供应商须知</w:t>
      </w:r>
    </w:p>
    <w:p w14:paraId="7E84CA5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第3章  招标内容及要求</w:t>
      </w:r>
    </w:p>
    <w:p w14:paraId="2275BB7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第4章  </w:t>
      </w:r>
      <w:r>
        <w:rPr>
          <w:rFonts w:hint="eastAsia" w:ascii="宋体" w:hAnsi="宋体" w:eastAsia="宋体" w:cs="宋体"/>
          <w:sz w:val="24"/>
          <w:szCs w:val="24"/>
          <w:highlight w:val="none"/>
          <w:lang w:eastAsia="zh-CN"/>
        </w:rPr>
        <w:t>商务及</w:t>
      </w:r>
      <w:r>
        <w:rPr>
          <w:rFonts w:hint="eastAsia" w:ascii="宋体" w:hAnsi="宋体" w:eastAsia="宋体" w:cs="宋体"/>
          <w:sz w:val="24"/>
          <w:szCs w:val="24"/>
          <w:highlight w:val="none"/>
        </w:rPr>
        <w:t>合同文本</w:t>
      </w:r>
    </w:p>
    <w:p w14:paraId="534935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第5章  投标文件构成及格式</w:t>
      </w:r>
    </w:p>
    <w:p w14:paraId="462B9B5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（三）招标文件的检查及阅读</w:t>
      </w:r>
    </w:p>
    <w:p w14:paraId="174CDD8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供应商应认真阅读和充分理解招标文件中所有的事项、格式条款和规范要求，在投标文件中对招标文件做出全面响应，并按招标文件的要求提交全部资料。</w:t>
      </w:r>
    </w:p>
    <w:p w14:paraId="556B41D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项目废标后重新组织招标的，采购代理机构将重新编制、发布新版招标文件，供应商应按新版招标文件重新编制投标文件。原招标文件及投标文件失效。</w:t>
      </w:r>
    </w:p>
    <w:p w14:paraId="28ABD61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（四）招标文件的修改、澄清</w:t>
      </w:r>
    </w:p>
    <w:p w14:paraId="508472E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1．提交投标文件截止之日前，采购人或采购代理机构可能对已发出的招标文件进行澄清或者修改，澄清或者修改的内容为招标文件的组成部分。</w:t>
      </w:r>
    </w:p>
    <w:p w14:paraId="17B503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015DCA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711F761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193F98C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18B249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全国公共资源交易网（陕西省·西安市）</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29715762">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四、投标文件</w:t>
      </w:r>
    </w:p>
    <w:p w14:paraId="37332A3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（一）投标文件的式样</w:t>
      </w:r>
    </w:p>
    <w:p w14:paraId="77D213BA">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1．组成及格式</w:t>
      </w:r>
    </w:p>
    <w:p w14:paraId="3A2E89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供应商依照招标文件第五章《投标文件构成及格式》给定形式进行编制投标文件。项目分标段的，应按所投标段分别准备投标文件。</w:t>
      </w:r>
    </w:p>
    <w:p w14:paraId="2F04DC9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2．语言</w:t>
      </w:r>
    </w:p>
    <w:p w14:paraId="2AD829F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招标活动的所有文件、资料、函电文字均使用简体中文，确需提交用其他语言形成的资料，必须翻译成简体中文，如有差异，以简体中文为准。</w:t>
      </w:r>
    </w:p>
    <w:p w14:paraId="0A1058A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3．计量单位</w:t>
      </w:r>
    </w:p>
    <w:p w14:paraId="5E3C08F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投标文件的计量单位应使用中华人民共和国法定计量单位，但招标文件另有规定的除外。</w:t>
      </w:r>
    </w:p>
    <w:p w14:paraId="27DA3A7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（二）投标文件的有效期</w:t>
      </w:r>
    </w:p>
    <w:p w14:paraId="0D1AA02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投标文件有效期为自开标之日起不少于90个日历日。如中标，延长至合同执行完毕时止。</w:t>
      </w:r>
    </w:p>
    <w:p w14:paraId="5B328F1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5C37279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highlight w:val="none"/>
          <w:lang w:eastAsia="zh-CN"/>
        </w:rPr>
      </w:pPr>
      <w:r>
        <w:rPr>
          <w:rFonts w:hint="eastAsia" w:ascii="宋体" w:hAnsi="宋体" w:eastAsia="宋体" w:cs="宋体"/>
          <w:sz w:val="24"/>
          <w:szCs w:val="24"/>
          <w:highlight w:val="none"/>
          <w:lang w:eastAsia="zh-CN"/>
        </w:rPr>
        <w:t>本项目投标方案范围内计价模式固定总价，</w:t>
      </w:r>
      <w:r>
        <w:rPr>
          <w:rFonts w:hint="eastAsia" w:ascii="宋体" w:hAnsi="宋体" w:eastAsia="宋体" w:cs="宋体"/>
          <w:sz w:val="24"/>
          <w:szCs w:val="24"/>
          <w:highlight w:val="none"/>
          <w:lang w:val="en-US" w:eastAsia="zh-CN"/>
        </w:rPr>
        <w:t>投标报价包括但不限于指项目完成并经验收合格的所有费用，包括项目费用、国家按现行税收政策征收的一切税费等。</w:t>
      </w:r>
    </w:p>
    <w:p w14:paraId="344894C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highlight w:val="none"/>
        </w:rPr>
        <w:t>招标文件未列明，而供应商认为应当计取的费用均应列入报价中。报价时不论是否计取，采购人均按已计取对待。</w:t>
      </w:r>
    </w:p>
    <w:p w14:paraId="5C098C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40D1E7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3．投标报价货币：人民币；单位：元。</w:t>
      </w:r>
    </w:p>
    <w:p w14:paraId="3CB3A5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4．投标文件报价出现前后不一致的，除招标文件另有规定外，按照下列规则修正：</w:t>
      </w:r>
    </w:p>
    <w:p w14:paraId="33E9BE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（1）投标文件中开标一览表内容与投标文件中其他位置相应内容表述不一致的，以开标一览表为准；</w:t>
      </w:r>
    </w:p>
    <w:p w14:paraId="2FCECB9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（2）大写金额和小写金额不一致的，以大写金额为准；</w:t>
      </w:r>
    </w:p>
    <w:p w14:paraId="121C055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（3）单价金额小数点或者百分比有明显错位的，以开标一览表的总价为准，并修改单价；</w:t>
      </w:r>
    </w:p>
    <w:p w14:paraId="52A54CC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108771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同时出现两种以上不一致的，按照前款规定的顺序修正。修正后的报价经供应商确认后产生约束力，供应商不确认的，其投标无效。</w:t>
      </w:r>
    </w:p>
    <w:p w14:paraId="0F6340F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5．因供应商对招标文件理解不透、误解、疏漏或对市场行情了解不清造成的后果和风险，均由供应商自己负责。</w:t>
      </w:r>
    </w:p>
    <w:p w14:paraId="26AFFB9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（四）投标文件的制作和签章</w:t>
      </w:r>
    </w:p>
    <w:p w14:paraId="7F575AE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highlight w:val="none"/>
        </w:rPr>
        <w:t>政府采购项目投标文件制作软件及操作手册</w:t>
      </w:r>
      <w:r>
        <w:rPr>
          <w:rFonts w:hint="eastAsia" w:ascii="宋体" w:hAnsi="宋体" w:eastAsia="宋体" w:cs="宋体"/>
          <w:sz w:val="24"/>
          <w:szCs w:val="24"/>
          <w:highlight w:val="none"/>
        </w:rPr>
        <w:t>》。</w:t>
      </w:r>
    </w:p>
    <w:p w14:paraId="0D6F731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p>
    <w:p w14:paraId="1481DA6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"http://sxggzyjy.xa.gov.cn/fwzn/004003/20181115/4d59c184-e8f6-4d5a-a416-c2f6b0601e66.html"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http://sxggzyjy.xa.gov.cn/fwzn/004003/20181115/4d59c184-e8f6-4d5a-a416-c2f6b0601e66.html</w:t>
      </w:r>
      <w:r>
        <w:rPr>
          <w:rStyle w:val="35"/>
          <w:rFonts w:hint="eastAsia" w:ascii="宋体" w:hAnsi="宋体" w:eastAsia="宋体" w:cs="宋体"/>
          <w:sz w:val="24"/>
          <w:szCs w:val="24"/>
          <w:highlight w:val="none"/>
        </w:rPr>
        <w:fldChar w:fldCharType="end"/>
      </w:r>
    </w:p>
    <w:p w14:paraId="6C1E0FD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2．编制电子投标文件前，</w:t>
      </w:r>
      <w:r>
        <w:rPr>
          <w:rFonts w:hint="eastAsia" w:ascii="宋体" w:hAnsi="宋体" w:eastAsia="宋体" w:cs="宋体"/>
          <w:b/>
          <w:bCs/>
          <w:sz w:val="24"/>
          <w:szCs w:val="24"/>
          <w:highlight w:val="none"/>
        </w:rPr>
        <w:t>务必先做好电子招标文件的备份工作</w:t>
      </w:r>
      <w:r>
        <w:rPr>
          <w:rFonts w:hint="eastAsia" w:ascii="宋体" w:hAnsi="宋体" w:eastAsia="宋体" w:cs="宋体"/>
          <w:sz w:val="24"/>
          <w:szCs w:val="24"/>
          <w:highlight w:val="none"/>
        </w:rPr>
        <w:t>。然后按操作手册中给出的方法将电子招标文件（*.SXSZF）或答疑文件（*.SXSCF，即更新后的电子招标文件）导入制作软件，最后按照章节分别编制投标文件各个部分。</w:t>
      </w:r>
    </w:p>
    <w:p w14:paraId="185F52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再次提醒</w:t>
      </w:r>
      <w:r>
        <w:rPr>
          <w:rFonts w:hint="eastAsia" w:ascii="宋体" w:hAnsi="宋体" w:eastAsia="宋体" w:cs="宋体"/>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highlight w:val="none"/>
        </w:rPr>
        <w:t>使用旧版电子招标文件制作的电子投标文件（*.SXSTF），系统将拒绝接收。</w:t>
      </w:r>
    </w:p>
    <w:p w14:paraId="450F287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3．电子投标文件制作过程中，需要法定代表人签字或盖章的地方，请使用“法人CA锁”进行签章；需要加盖供应商公章的地方，请使用“企业CA锁”进行签章。</w:t>
      </w:r>
    </w:p>
    <w:p w14:paraId="77694C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2841A32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（五）投标文件的加密和提交</w:t>
      </w:r>
    </w:p>
    <w:p w14:paraId="4032895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1．在生成电子投标文件时，需要使用CA锁对投标文件进行加密。</w:t>
      </w:r>
    </w:p>
    <w:p w14:paraId="786CBE9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注意：加密投标文件和开标时解密投标文件应当使用同一CA，否则将会导致解密失败。</w:t>
      </w:r>
    </w:p>
    <w:p w14:paraId="59FFC3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7D89A0A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3．上传文件有误或需要重新提交的，可先撤销已经上传的文件，然后重新上传新文件。</w:t>
      </w:r>
    </w:p>
    <w:p w14:paraId="1886A1E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（六）投标文件的补充、修改和撤回</w:t>
      </w:r>
    </w:p>
    <w:p w14:paraId="77068B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25A6C28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2．供应商在提交投标文件截止时间后，撤回投标文件的，投标保证金不予退还。</w:t>
      </w:r>
    </w:p>
    <w:p w14:paraId="7A7E0FE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6562C0B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（七）关于投标文件的雷同性分析</w:t>
      </w:r>
    </w:p>
    <w:p w14:paraId="49149F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14F3624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5425A54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638A9A3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若“文件创建标识码”一致，则表示不同投标供应商使用投标文件制作软件时，使用同一源工程文件，该情形建议由评标委员会结合项目情况综合判定。</w:t>
      </w:r>
    </w:p>
    <w:p w14:paraId="1DA5F3A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（八）投标文件被拒绝接收的情形</w:t>
      </w:r>
    </w:p>
    <w:p w14:paraId="38E9E3C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1．误投的或采用旧版电子招标文件制作的；</w:t>
      </w:r>
    </w:p>
    <w:p w14:paraId="001F28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2．逾期提交电子投标文件的。</w:t>
      </w:r>
    </w:p>
    <w:p w14:paraId="674B1D8B">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五、开标程序</w:t>
      </w:r>
    </w:p>
    <w:p w14:paraId="5EB53F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开标工作由采购代理机构组织实施，整个过程受同级政府采购监管机构的监督、管理。</w:t>
      </w:r>
    </w:p>
    <w:p w14:paraId="4994F31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[适用于不见面开标项目]</w:t>
      </w:r>
    </w:p>
    <w:p w14:paraId="3859015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（一）“不见面开标”基本流程</w:t>
      </w:r>
    </w:p>
    <w:p w14:paraId="6E97E44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“不见面开标”是依托政府采购云平台实现的供应商在线参与开标的一种组织形式。供应商无需抵达开标现场，即可在线实现开标、解密、澄清等操作。</w:t>
      </w:r>
    </w:p>
    <w:p w14:paraId="359A98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1．供应商登录：开标前，请各供应商至少提前半小时登录西安市公共资源交易平台〖首页·〉不见面开标〗系统。</w:t>
      </w:r>
    </w:p>
    <w:p w14:paraId="21E187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2．主持人宣布开标：提交投标文件截止时间过后，系统将不再接收任何投标文件。</w:t>
      </w:r>
    </w:p>
    <w:p w14:paraId="70D5048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3．解密投标文件：供应商在收到主持人“开始解密”指令后，应使用“加密该投标文件的CA锁（</w:t>
      </w:r>
      <w:r>
        <w:rPr>
          <w:rFonts w:hint="eastAsia" w:ascii="宋体" w:hAnsi="宋体" w:eastAsia="宋体" w:cs="宋体"/>
          <w:b/>
          <w:bCs/>
          <w:sz w:val="24"/>
          <w:szCs w:val="24"/>
          <w:highlight w:val="none"/>
        </w:rPr>
        <w:t>必须是同一把锁</w:t>
      </w:r>
      <w:r>
        <w:rPr>
          <w:rFonts w:hint="eastAsia" w:ascii="宋体" w:hAnsi="宋体" w:eastAsia="宋体" w:cs="宋体"/>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1FF5F5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4．唱标：对于公开招标项目，“不见面开标”系统将自动展示供应商名单及其投标报价。</w:t>
      </w:r>
    </w:p>
    <w:p w14:paraId="5B9F5C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5．开标结束：进入评审环节。供应商请保持在线，评审期间评标委员会可能会要求供应商做相应的澄清。因供应商擅自离席造成的不利后果，由供应商自行承担。</w:t>
      </w:r>
    </w:p>
    <w:p w14:paraId="46B5FAA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“不见面开标”系统操作说明：详见西安市公共资源交易平台〖首页·〉服务指南·〉下载专区〗中的《</w:t>
      </w:r>
      <w:r>
        <w:rPr>
          <w:rFonts w:hint="eastAsia" w:ascii="宋体" w:hAnsi="宋体" w:eastAsia="宋体" w:cs="宋体"/>
          <w:b/>
          <w:bCs/>
          <w:sz w:val="24"/>
          <w:szCs w:val="24"/>
          <w:highlight w:val="none"/>
        </w:rPr>
        <w:t>西安公共资源交易不见面开标大厅供应商操作手册</w:t>
      </w:r>
      <w:r>
        <w:rPr>
          <w:rFonts w:hint="eastAsia" w:ascii="宋体" w:hAnsi="宋体" w:eastAsia="宋体" w:cs="宋体"/>
          <w:sz w:val="24"/>
          <w:szCs w:val="24"/>
          <w:highlight w:val="none"/>
        </w:rPr>
        <w:t>》。</w:t>
      </w:r>
    </w:p>
    <w:p w14:paraId="52EAA5A5">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"http://sxggzyjy.xa.gov.cn/fwzn/004003/20200426/bc8b2c1e-abe2-4168-913c-68ff93345faf.html"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http://sxggzyjy.xa.gov.cn/fwzn/004003/20200426/bc8b2c1e-abe2-4168-913c-68ff93345faf.html</w:t>
      </w:r>
      <w:r>
        <w:rPr>
          <w:rStyle w:val="35"/>
          <w:rFonts w:hint="eastAsia" w:ascii="宋体" w:hAnsi="宋体" w:eastAsia="宋体" w:cs="宋体"/>
          <w:color w:val="auto"/>
          <w:sz w:val="24"/>
          <w:szCs w:val="24"/>
          <w:highlight w:val="none"/>
          <w:u w:val="none"/>
        </w:rPr>
        <w:fldChar w:fldCharType="end"/>
      </w:r>
    </w:p>
    <w:p w14:paraId="6546401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（二）开标环节投标文件视为无效的情形</w:t>
      </w:r>
    </w:p>
    <w:p w14:paraId="3FF549B2">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3F505C95">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5E038133">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660DC0D8">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371DE76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（三）开标环节投标文件视为无效的情形</w:t>
      </w:r>
    </w:p>
    <w:p w14:paraId="7CF690B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1．供应商放弃或拒绝对电子投标文件进行解密的；</w:t>
      </w:r>
    </w:p>
    <w:p w14:paraId="79176FD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2．因供应商自身原因，导致未在规定的解密时限内完整解密的，如忘带CA锁、或携带的CA锁与加密文件的CA锁不同、或使用旧版招标文件编制投标文件等情形；</w:t>
      </w:r>
    </w:p>
    <w:p w14:paraId="068321B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3．上传的电子投标文件无法正常打开的；</w:t>
      </w:r>
    </w:p>
    <w:p w14:paraId="6948128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4．政府采购法律法规规定的其他无效情形。</w:t>
      </w:r>
    </w:p>
    <w:p w14:paraId="5635C34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（四）突发状况的应急处置</w:t>
      </w:r>
    </w:p>
    <w:p w14:paraId="50A9AD8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3C619F28">
      <w:pPr>
        <w:pStyle w:val="3"/>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六、资格审查</w:t>
      </w:r>
    </w:p>
    <w:p w14:paraId="4843FE84">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43CD6ADB">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73F62042">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资格审查结束后，资格审查小组成员应当对审查结果进行签字确认；对未通过资格审查的供应商，资格审查小组应当场告知其未通过的原因。</w:t>
      </w:r>
    </w:p>
    <w:p w14:paraId="5D666ED9">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合格供应商不足3家的，不得评标。</w:t>
      </w:r>
    </w:p>
    <w:p w14:paraId="08848ECF">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7"/>
        <w:gridCol w:w="2791"/>
        <w:gridCol w:w="6410"/>
      </w:tblGrid>
      <w:tr w14:paraId="7FEAD9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tcBorders>
              <w:top w:val="single" w:color="auto" w:sz="12" w:space="0"/>
              <w:bottom w:val="single" w:color="auto" w:sz="2" w:space="0"/>
            </w:tcBorders>
            <w:shd w:val="clear" w:color="auto" w:fill="F1F1F1"/>
            <w:noWrap w:val="0"/>
            <w:vAlign w:val="center"/>
          </w:tcPr>
          <w:p w14:paraId="2B8CA7D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404" w:type="pct"/>
            <w:tcBorders>
              <w:top w:val="single" w:color="auto" w:sz="12" w:space="0"/>
              <w:bottom w:val="single" w:color="auto" w:sz="2" w:space="0"/>
            </w:tcBorders>
            <w:shd w:val="clear" w:color="auto" w:fill="F1F1F1"/>
            <w:noWrap w:val="0"/>
            <w:vAlign w:val="center"/>
          </w:tcPr>
          <w:p w14:paraId="13427A2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资格性审查项</w:t>
            </w:r>
          </w:p>
        </w:tc>
        <w:tc>
          <w:tcPr>
            <w:tcW w:w="3223" w:type="pct"/>
            <w:tcBorders>
              <w:top w:val="single" w:color="auto" w:sz="12" w:space="0"/>
              <w:bottom w:val="single" w:color="auto" w:sz="2" w:space="0"/>
            </w:tcBorders>
            <w:shd w:val="clear" w:color="auto" w:fill="F1F1F1"/>
            <w:noWrap w:val="0"/>
            <w:vAlign w:val="center"/>
          </w:tcPr>
          <w:p w14:paraId="10242D5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通过条件</w:t>
            </w:r>
          </w:p>
        </w:tc>
      </w:tr>
      <w:tr w14:paraId="4DD085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537CC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404" w:type="pct"/>
            <w:noWrap w:val="0"/>
            <w:vAlign w:val="center"/>
          </w:tcPr>
          <w:p w14:paraId="6B5EF39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有效的主体资格证明</w:t>
            </w:r>
          </w:p>
        </w:tc>
        <w:tc>
          <w:tcPr>
            <w:tcW w:w="3223" w:type="pct"/>
            <w:noWrap w:val="0"/>
            <w:vAlign w:val="center"/>
          </w:tcPr>
          <w:p w14:paraId="0968223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2E1501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3A059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404" w:type="pct"/>
            <w:noWrap w:val="0"/>
            <w:vAlign w:val="center"/>
          </w:tcPr>
          <w:p w14:paraId="548147E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noWrap w:val="0"/>
            <w:vAlign w:val="center"/>
          </w:tcPr>
          <w:p w14:paraId="6AADFB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57BF21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7B78F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404" w:type="pct"/>
            <w:noWrap w:val="0"/>
            <w:vAlign w:val="center"/>
          </w:tcPr>
          <w:p w14:paraId="690CCD13">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法定代表人委托授权书\身份证明</w:t>
            </w:r>
          </w:p>
        </w:tc>
        <w:tc>
          <w:tcPr>
            <w:tcW w:w="3223" w:type="pct"/>
            <w:noWrap w:val="0"/>
            <w:vAlign w:val="center"/>
          </w:tcPr>
          <w:p w14:paraId="5668D87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5DFA12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6D32D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404" w:type="pct"/>
            <w:noWrap w:val="0"/>
            <w:vAlign w:val="center"/>
          </w:tcPr>
          <w:p w14:paraId="16B0BA6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3223" w:type="pct"/>
            <w:noWrap w:val="0"/>
            <w:vAlign w:val="center"/>
          </w:tcPr>
          <w:p w14:paraId="76235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629BA9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67F59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eastAsia="zh-CN"/>
              </w:rPr>
            </w:pPr>
            <w:r>
              <w:rPr>
                <w:rFonts w:hint="default" w:ascii="宋体" w:hAnsi="宋体" w:eastAsia="宋体" w:cs="宋体"/>
                <w:sz w:val="24"/>
                <w:szCs w:val="24"/>
                <w:highlight w:val="none"/>
                <w:lang w:eastAsia="zh-CN"/>
              </w:rPr>
              <w:t>5</w:t>
            </w:r>
          </w:p>
        </w:tc>
        <w:tc>
          <w:tcPr>
            <w:tcW w:w="1404" w:type="pct"/>
            <w:noWrap w:val="0"/>
            <w:vAlign w:val="center"/>
          </w:tcPr>
          <w:p w14:paraId="6753231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23" w:type="pct"/>
            <w:noWrap w:val="0"/>
            <w:vAlign w:val="center"/>
          </w:tcPr>
          <w:p w14:paraId="1CD35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宋体" w:hAnsi="宋体" w:eastAsia="宋体" w:cs="宋体"/>
                <w:i w:val="0"/>
                <w:iCs w:val="0"/>
                <w:caps w:val="0"/>
                <w:color w:val="auto"/>
                <w:spacing w:val="0"/>
                <w:kern w:val="0"/>
                <w:sz w:val="24"/>
                <w:szCs w:val="24"/>
                <w:highlight w:val="none"/>
                <w:u w:val="none"/>
                <w:lang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r>
              <w:rPr>
                <w:rFonts w:hint="default" w:ascii="宋体" w:hAnsi="宋体" w:eastAsia="宋体" w:cs="宋体"/>
                <w:i w:val="0"/>
                <w:iCs w:val="0"/>
                <w:caps w:val="0"/>
                <w:color w:val="auto"/>
                <w:spacing w:val="0"/>
                <w:kern w:val="0"/>
                <w:sz w:val="24"/>
                <w:szCs w:val="24"/>
                <w:highlight w:val="none"/>
                <w:u w:val="none"/>
                <w:lang w:eastAsia="zh-CN" w:bidi="ar-SA"/>
              </w:rPr>
              <w:t>。</w:t>
            </w:r>
          </w:p>
        </w:tc>
      </w:tr>
      <w:tr w14:paraId="7AEFD9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0D31F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404" w:type="pct"/>
            <w:noWrap w:val="0"/>
            <w:vAlign w:val="center"/>
          </w:tcPr>
          <w:p w14:paraId="4AEC6E6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专门面向中小企业</w:t>
            </w:r>
          </w:p>
        </w:tc>
        <w:tc>
          <w:tcPr>
            <w:tcW w:w="3223" w:type="pct"/>
            <w:noWrap w:val="0"/>
            <w:vAlign w:val="center"/>
          </w:tcPr>
          <w:p w14:paraId="2F5EC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本项目专门面向中小微企业采购，须符合《政府采购促进中小企业发展管理办法》（财库〔2020〕46号）规定的中小微企业参加，符合要求的监狱企业或残疾人福利单位视同小微企业，并按要求提供声明函。</w:t>
            </w:r>
          </w:p>
        </w:tc>
      </w:tr>
      <w:tr w14:paraId="64C983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5C9ECC36">
            <w:pPr>
              <w:spacing w:line="360" w:lineRule="auto"/>
              <w:ind w:left="0" w:leftChars="0" w:right="0" w:rightChars="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28E1BF45">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151B4924">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4A8CDC23">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6F4FBDAC">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4．《法定代表人委托授权书》、《法定代表人身份证明书》应按第五章《投标文件构成及格式》中给定的格式填写，并按要求签字、盖章。</w:t>
            </w:r>
          </w:p>
          <w:p w14:paraId="14AD8295">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0CC13BC5">
      <w:pPr>
        <w:pStyle w:val="3"/>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七、评审方法和程序</w:t>
      </w:r>
    </w:p>
    <w:p w14:paraId="5C348F81">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（一）评标方法</w:t>
      </w:r>
    </w:p>
    <w:p w14:paraId="7766547D">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本项目采用综合评分法，即投标文件满足招标文件全部实质性要求，且按照评审因素的量化指标评审得分最高的供应商为中标候选人。</w:t>
      </w:r>
    </w:p>
    <w:p w14:paraId="3B823F28">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（二）评标程序</w:t>
      </w:r>
    </w:p>
    <w:p w14:paraId="67484F29">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1．组建评标委员会</w:t>
      </w:r>
    </w:p>
    <w:p w14:paraId="5E1B8EB2">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3FF737B2">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由采购代理机构组织评标委员会推选评标组长，采购人代表不得担任组长。</w:t>
      </w:r>
    </w:p>
    <w:p w14:paraId="070625BC">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2．投标文件的符合性审查</w:t>
      </w:r>
    </w:p>
    <w:p w14:paraId="21A1DCAD">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0667B442">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对于投标文件中含义不明确、同类问题表述不一致或者有明显文字和计算错误的内容，评标委员会应当以书面形式要求投标人作出必要的澄清、说明或者补正。</w:t>
      </w:r>
    </w:p>
    <w:p w14:paraId="277DAB03">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2760F766">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41"/>
        <w:gridCol w:w="2228"/>
        <w:gridCol w:w="6967"/>
      </w:tblGrid>
      <w:tr w14:paraId="2A9D07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noWrap w:val="0"/>
            <w:vAlign w:val="center"/>
          </w:tcPr>
          <w:p w14:paraId="3187FA8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121" w:type="pct"/>
            <w:tcBorders>
              <w:top w:val="single" w:color="auto" w:sz="12" w:space="0"/>
              <w:bottom w:val="single" w:color="auto" w:sz="2" w:space="0"/>
            </w:tcBorders>
            <w:shd w:val="clear" w:color="auto" w:fill="F1F1F1"/>
            <w:noWrap w:val="0"/>
            <w:vAlign w:val="center"/>
          </w:tcPr>
          <w:p w14:paraId="607BA35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3505" w:type="pct"/>
            <w:tcBorders>
              <w:top w:val="single" w:color="auto" w:sz="12" w:space="0"/>
              <w:bottom w:val="single" w:color="auto" w:sz="2" w:space="0"/>
            </w:tcBorders>
            <w:shd w:val="clear" w:color="auto" w:fill="F1F1F1"/>
            <w:noWrap w:val="0"/>
            <w:vAlign w:val="center"/>
          </w:tcPr>
          <w:p w14:paraId="359DACE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5CA5F1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noWrap w:val="0"/>
            <w:vAlign w:val="center"/>
          </w:tcPr>
          <w:p w14:paraId="0C0AC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21" w:type="pct"/>
            <w:tcBorders>
              <w:top w:val="single" w:color="auto" w:sz="2" w:space="0"/>
            </w:tcBorders>
            <w:noWrap w:val="0"/>
            <w:vAlign w:val="center"/>
          </w:tcPr>
          <w:p w14:paraId="66852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与项目的一致性</w:t>
            </w:r>
          </w:p>
        </w:tc>
        <w:tc>
          <w:tcPr>
            <w:tcW w:w="3505" w:type="pct"/>
            <w:tcBorders>
              <w:top w:val="single" w:color="auto" w:sz="2" w:space="0"/>
            </w:tcBorders>
            <w:noWrap w:val="0"/>
            <w:vAlign w:val="center"/>
          </w:tcPr>
          <w:p w14:paraId="758B1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至少以下三处的项目名称、项目编号、标段（未分标段的除外）与本项目完全一致：</w:t>
            </w:r>
          </w:p>
          <w:p w14:paraId="18FFB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（1）投标文件封面</w:t>
            </w:r>
          </w:p>
          <w:p w14:paraId="551FA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（2）投标函</w:t>
            </w:r>
          </w:p>
          <w:p w14:paraId="275A2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（3）法定代表人委托授权书\身份证明</w:t>
            </w:r>
          </w:p>
        </w:tc>
      </w:tr>
      <w:tr w14:paraId="37DD089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8B55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121" w:type="pct"/>
            <w:noWrap w:val="0"/>
            <w:vAlign w:val="center"/>
          </w:tcPr>
          <w:p w14:paraId="4583A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投标文件组成</w:t>
            </w:r>
          </w:p>
        </w:tc>
        <w:tc>
          <w:tcPr>
            <w:tcW w:w="3505" w:type="pct"/>
            <w:noWrap w:val="0"/>
            <w:vAlign w:val="center"/>
          </w:tcPr>
          <w:p w14:paraId="68681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投标文件应包含以下部分：</w:t>
            </w:r>
          </w:p>
          <w:p w14:paraId="1E498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（1）投标函</w:t>
            </w:r>
          </w:p>
          <w:p w14:paraId="6C9C7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（2）开标一览表</w:t>
            </w:r>
          </w:p>
          <w:p w14:paraId="2CA20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（3）资格证明文件</w:t>
            </w:r>
          </w:p>
          <w:p w14:paraId="29E00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（4）供应商概况</w:t>
            </w:r>
          </w:p>
          <w:p w14:paraId="32DDD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（5）供应商参加政府采购活动承诺书</w:t>
            </w:r>
          </w:p>
          <w:p w14:paraId="50EB2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（6）投标方案</w:t>
            </w:r>
          </w:p>
        </w:tc>
      </w:tr>
      <w:tr w14:paraId="6B316C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0F0F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121" w:type="pct"/>
            <w:noWrap w:val="0"/>
            <w:vAlign w:val="center"/>
          </w:tcPr>
          <w:p w14:paraId="3B953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w:t>
            </w:r>
          </w:p>
        </w:tc>
        <w:tc>
          <w:tcPr>
            <w:tcW w:w="3505" w:type="pct"/>
            <w:noWrap w:val="0"/>
            <w:vAlign w:val="center"/>
          </w:tcPr>
          <w:p w14:paraId="09770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签章均符合招标文件要求，且无遗漏。</w:t>
            </w:r>
          </w:p>
        </w:tc>
      </w:tr>
      <w:tr w14:paraId="2296840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E3B0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121" w:type="pct"/>
            <w:noWrap w:val="0"/>
            <w:vAlign w:val="center"/>
          </w:tcPr>
          <w:p w14:paraId="06447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语言和计量单位</w:t>
            </w:r>
          </w:p>
        </w:tc>
        <w:tc>
          <w:tcPr>
            <w:tcW w:w="3505" w:type="pct"/>
            <w:noWrap w:val="0"/>
            <w:vAlign w:val="center"/>
          </w:tcPr>
          <w:p w14:paraId="29466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16E810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6D84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121" w:type="pct"/>
            <w:noWrap w:val="0"/>
            <w:vAlign w:val="center"/>
          </w:tcPr>
          <w:p w14:paraId="7A23D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w:t>
            </w:r>
          </w:p>
        </w:tc>
        <w:tc>
          <w:tcPr>
            <w:tcW w:w="3505" w:type="pct"/>
            <w:noWrap w:val="0"/>
            <w:vAlign w:val="center"/>
          </w:tcPr>
          <w:p w14:paraId="7AE5D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4C07D5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A01C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121" w:type="pct"/>
            <w:noWrap w:val="0"/>
            <w:vAlign w:val="center"/>
          </w:tcPr>
          <w:p w14:paraId="6E16F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5" w:type="pct"/>
            <w:noWrap w:val="0"/>
            <w:vAlign w:val="center"/>
          </w:tcPr>
          <w:p w14:paraId="726A9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27625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6992E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3F7FE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543B6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12F4CC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F743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121" w:type="pct"/>
            <w:noWrap w:val="0"/>
            <w:vAlign w:val="center"/>
          </w:tcPr>
          <w:p w14:paraId="665ED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noWrap w:val="0"/>
            <w:vAlign w:val="center"/>
          </w:tcPr>
          <w:p w14:paraId="3B3F8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2EB387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D8CC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121" w:type="pct"/>
            <w:noWrap w:val="0"/>
            <w:vAlign w:val="center"/>
          </w:tcPr>
          <w:p w14:paraId="54E87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noWrap w:val="0"/>
            <w:vAlign w:val="center"/>
          </w:tcPr>
          <w:p w14:paraId="30E9C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14D56A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423C6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121" w:type="pct"/>
            <w:noWrap w:val="0"/>
            <w:vAlign w:val="center"/>
          </w:tcPr>
          <w:p w14:paraId="1A5E5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电子投标文件雷同性分析</w:t>
            </w:r>
          </w:p>
        </w:tc>
        <w:tc>
          <w:tcPr>
            <w:tcW w:w="3505" w:type="pct"/>
            <w:noWrap w:val="0"/>
            <w:vAlign w:val="center"/>
          </w:tcPr>
          <w:p w14:paraId="31B4C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电子投标文件的“文件制作机器码”和“文件创建标识码”通过评标系统的雷同性分析。</w:t>
            </w:r>
          </w:p>
        </w:tc>
      </w:tr>
      <w:tr w14:paraId="3125492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F5D5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121" w:type="pct"/>
            <w:noWrap w:val="0"/>
            <w:vAlign w:val="center"/>
          </w:tcPr>
          <w:p w14:paraId="335FA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3505" w:type="pct"/>
            <w:noWrap w:val="0"/>
            <w:vAlign w:val="center"/>
          </w:tcPr>
          <w:p w14:paraId="41BD3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完全理解并接受法律法规和招标文件对供应商合法经营的各类规约和责任义务要求，没有出现法律法规或招标文件规定的其他无效情形。</w:t>
            </w:r>
          </w:p>
        </w:tc>
      </w:tr>
    </w:tbl>
    <w:p w14:paraId="5ED36F9C">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3．综合比较与评价</w:t>
      </w:r>
    </w:p>
    <w:p w14:paraId="4644E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评标委员会按《评审要素及分值一览表》中规定的评标方法和标准，对通过符合性审查的投标文件进行商务和技术评估，综合比较与评价。</w:t>
      </w:r>
    </w:p>
    <w:p w14:paraId="150379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出现下列情形的，供应商投标无效：</w:t>
      </w:r>
    </w:p>
    <w:p w14:paraId="07A7DB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（1）投标文件报价出现本章第五小节“投标报价”所列需要修正情形，但供应商对修正后的报价不予确认的；</w:t>
      </w:r>
    </w:p>
    <w:p w14:paraId="464D89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32"/>
          <w:szCs w:val="32"/>
          <w:highlight w:val="none"/>
        </w:rPr>
      </w:pPr>
      <w:r>
        <w:rPr>
          <w:rFonts w:hint="eastAsia" w:ascii="宋体" w:hAnsi="宋体" w:eastAsia="宋体" w:cs="宋体"/>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2E65D0F8">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8"/>
        <w:tblW w:w="508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05"/>
        <w:gridCol w:w="1458"/>
        <w:gridCol w:w="8053"/>
      </w:tblGrid>
      <w:tr w14:paraId="2B057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733E633">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735" w:type="pct"/>
            <w:noWrap w:val="0"/>
            <w:vAlign w:val="center"/>
          </w:tcPr>
          <w:p w14:paraId="535233B2">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060" w:type="pct"/>
            <w:noWrap w:val="0"/>
            <w:vAlign w:val="top"/>
          </w:tcPr>
          <w:p w14:paraId="6964CEE3">
            <w:pPr>
              <w:pStyle w:val="109"/>
              <w:spacing w:before="216" w:line="36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05DC2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4EB37861">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735" w:type="pct"/>
            <w:noWrap w:val="0"/>
            <w:vAlign w:val="center"/>
          </w:tcPr>
          <w:p w14:paraId="0B922AAC">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rPr>
            </w:pPr>
            <w:r>
              <w:rPr>
                <w:rFonts w:hint="eastAsia" w:cs="宋体"/>
                <w:spacing w:val="0"/>
                <w:sz w:val="24"/>
                <w:szCs w:val="24"/>
                <w:highlight w:val="none"/>
                <w:lang w:eastAsia="zh-CN"/>
              </w:rPr>
              <w:t>投标</w:t>
            </w:r>
            <w:r>
              <w:rPr>
                <w:rFonts w:hint="eastAsia" w:ascii="宋体" w:hAnsi="宋体" w:eastAsia="宋体" w:cs="宋体"/>
                <w:spacing w:val="0"/>
                <w:sz w:val="24"/>
                <w:szCs w:val="24"/>
                <w:highlight w:val="none"/>
              </w:rPr>
              <w:t>报价</w:t>
            </w:r>
          </w:p>
          <w:p w14:paraId="63671D0C">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r>
              <w:rPr>
                <w:rFonts w:hint="eastAsia" w:ascii="宋体" w:hAnsi="宋体" w:eastAsia="宋体" w:cs="宋体"/>
                <w:spacing w:val="0"/>
                <w:sz w:val="24"/>
                <w:szCs w:val="24"/>
                <w:highlight w:val="none"/>
                <w:lang w:eastAsia="zh-CN"/>
              </w:rPr>
              <w:t>）</w:t>
            </w:r>
          </w:p>
        </w:tc>
        <w:tc>
          <w:tcPr>
            <w:tcW w:w="4060" w:type="pct"/>
            <w:noWrap w:val="0"/>
            <w:vAlign w:val="center"/>
          </w:tcPr>
          <w:p w14:paraId="78778B23">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经资格审查、符合性审查合格的投标文件，其投标报价为有效投标报价。满足招标文件要求且投标价格最低的投标报价为评标基准价，其价格分为满分。价格分按照下列公式计算。</w:t>
            </w:r>
          </w:p>
          <w:p w14:paraId="63B12740">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投标报价得分=(评标基准价／投标报价)×10</w:t>
            </w:r>
          </w:p>
          <w:p w14:paraId="7AB25660">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zh-TW" w:eastAsia="zh-TW"/>
              </w:rPr>
              <w:t>注：本项目专门面</w:t>
            </w:r>
            <w:r>
              <w:rPr>
                <w:rFonts w:hint="eastAsia" w:cs="宋体"/>
                <w:spacing w:val="0"/>
                <w:sz w:val="24"/>
                <w:szCs w:val="24"/>
                <w:highlight w:val="none"/>
                <w:lang w:val="en-US" w:eastAsia="zh-CN"/>
              </w:rPr>
              <w:t>中小</w:t>
            </w:r>
            <w:r>
              <w:rPr>
                <w:rFonts w:hint="eastAsia" w:ascii="宋体" w:hAnsi="宋体" w:eastAsia="宋体" w:cs="宋体"/>
                <w:spacing w:val="0"/>
                <w:sz w:val="24"/>
                <w:szCs w:val="24"/>
                <w:highlight w:val="none"/>
                <w:lang w:val="zh-TW" w:eastAsia="zh-TW"/>
              </w:rPr>
              <w:t>企业采购，根据财政部发布《政府采购促进中小企业发展政策问答》的规定，专门面向中小企业采购的项目或者采购包，不再执行价格评审优惠的扶持政策。</w:t>
            </w:r>
          </w:p>
        </w:tc>
      </w:tr>
      <w:tr w14:paraId="03662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2544ED1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735" w:type="pct"/>
            <w:noWrap w:val="0"/>
            <w:vAlign w:val="center"/>
          </w:tcPr>
          <w:p w14:paraId="46F099F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服务方案</w:t>
            </w:r>
          </w:p>
          <w:p w14:paraId="4738DE5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12</w:t>
            </w:r>
            <w:r>
              <w:rPr>
                <w:rFonts w:hint="eastAsia" w:ascii="宋体" w:hAnsi="宋体" w:eastAsia="宋体" w:cs="宋体"/>
                <w:spacing w:val="0"/>
                <w:sz w:val="24"/>
                <w:szCs w:val="24"/>
                <w:highlight w:val="none"/>
              </w:rPr>
              <w:t>分）</w:t>
            </w:r>
          </w:p>
        </w:tc>
        <w:tc>
          <w:tcPr>
            <w:tcW w:w="4060" w:type="pct"/>
            <w:noWrap w:val="0"/>
            <w:vAlign w:val="center"/>
          </w:tcPr>
          <w:p w14:paraId="3B8D3C86">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投标人需提供科学、完整、合理、规范的服务方案。方案内容完整，分析全面。总体服务方案设计科学合理、描述条理清晰，可行性、安全性强，完全满足采购需求得（8-12]分；方案内容较完整，分析较全面、总体服务方案设计较合理、描述条理较清晰，可行性较强，满足采购需求得（4-8]分；方案内容一般，可行性一般，基本满足采购需求得（0-4]分；未提供不得分。</w:t>
            </w:r>
          </w:p>
        </w:tc>
      </w:tr>
      <w:tr w14:paraId="2CA30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66292A5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735" w:type="pct"/>
            <w:noWrap w:val="0"/>
            <w:vAlign w:val="center"/>
          </w:tcPr>
          <w:p w14:paraId="533A2D4B">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供餐标准</w:t>
            </w:r>
          </w:p>
          <w:p w14:paraId="53DAE5C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rPr>
              <w:t>（4分）</w:t>
            </w:r>
          </w:p>
        </w:tc>
        <w:tc>
          <w:tcPr>
            <w:tcW w:w="4060" w:type="pct"/>
            <w:noWrap w:val="0"/>
            <w:vAlign w:val="center"/>
          </w:tcPr>
          <w:p w14:paraId="6316D946">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根据供应商供餐标准的方案，日常菜品和特色菜品的丰富程度，推陈出新的能力进行综合评审。</w:t>
            </w:r>
          </w:p>
          <w:p w14:paraId="60FC027B">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方案完整，菜品多样、丰富得（</w:t>
            </w:r>
            <w:r>
              <w:rPr>
                <w:rFonts w:hint="eastAsia" w:cs="宋体"/>
                <w:spacing w:val="0"/>
                <w:sz w:val="24"/>
                <w:szCs w:val="24"/>
                <w:highlight w:val="none"/>
                <w:lang w:val="en-US" w:eastAsia="zh-CN" w:bidi="ar-SA"/>
              </w:rPr>
              <w:t>2</w:t>
            </w:r>
            <w:r>
              <w:rPr>
                <w:rFonts w:hint="eastAsia" w:ascii="宋体" w:hAnsi="宋体" w:eastAsia="宋体" w:cs="宋体"/>
                <w:spacing w:val="0"/>
                <w:sz w:val="24"/>
                <w:szCs w:val="24"/>
                <w:highlight w:val="none"/>
                <w:lang w:val="en-US" w:eastAsia="zh-CN" w:bidi="ar-SA"/>
              </w:rPr>
              <w:t>-</w:t>
            </w:r>
            <w:r>
              <w:rPr>
                <w:rFonts w:hint="eastAsia" w:cs="宋体"/>
                <w:spacing w:val="0"/>
                <w:sz w:val="24"/>
                <w:szCs w:val="24"/>
                <w:highlight w:val="none"/>
                <w:lang w:val="en-US" w:eastAsia="zh-CN" w:bidi="ar-SA"/>
              </w:rPr>
              <w:t>4</w:t>
            </w:r>
            <w:r>
              <w:rPr>
                <w:rFonts w:hint="eastAsia" w:ascii="宋体" w:hAnsi="宋体" w:eastAsia="宋体" w:cs="宋体"/>
                <w:spacing w:val="0"/>
                <w:sz w:val="24"/>
                <w:szCs w:val="24"/>
                <w:highlight w:val="none"/>
                <w:lang w:val="en-US" w:eastAsia="zh-CN" w:bidi="ar-SA"/>
              </w:rPr>
              <w:t>］分；</w:t>
            </w:r>
          </w:p>
          <w:p w14:paraId="6239F030">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方案简单、菜品一般得（0-</w:t>
            </w:r>
            <w:r>
              <w:rPr>
                <w:rFonts w:hint="eastAsia" w:cs="宋体"/>
                <w:spacing w:val="0"/>
                <w:sz w:val="24"/>
                <w:szCs w:val="24"/>
                <w:highlight w:val="none"/>
                <w:lang w:val="en-US" w:eastAsia="zh-CN" w:bidi="ar-SA"/>
              </w:rPr>
              <w:t>2</w:t>
            </w:r>
            <w:r>
              <w:rPr>
                <w:rFonts w:hint="eastAsia" w:ascii="宋体" w:hAnsi="宋体" w:eastAsia="宋体" w:cs="宋体"/>
                <w:spacing w:val="0"/>
                <w:sz w:val="24"/>
                <w:szCs w:val="24"/>
                <w:highlight w:val="none"/>
                <w:lang w:val="en-US" w:eastAsia="zh-CN" w:bidi="ar-SA"/>
              </w:rPr>
              <w:t>］分；</w:t>
            </w:r>
          </w:p>
          <w:p w14:paraId="24B3F23F">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未提供不得分。</w:t>
            </w:r>
          </w:p>
        </w:tc>
      </w:tr>
      <w:tr w14:paraId="78EF9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640FFB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4</w:t>
            </w:r>
          </w:p>
        </w:tc>
        <w:tc>
          <w:tcPr>
            <w:tcW w:w="735" w:type="pct"/>
            <w:noWrap w:val="0"/>
            <w:vAlign w:val="center"/>
          </w:tcPr>
          <w:p w14:paraId="2116215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岗位规范及管理条例</w:t>
            </w:r>
          </w:p>
          <w:p w14:paraId="0A49173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（10分）</w:t>
            </w:r>
          </w:p>
        </w:tc>
        <w:tc>
          <w:tcPr>
            <w:tcW w:w="4060" w:type="pct"/>
            <w:noWrap w:val="0"/>
            <w:vAlign w:val="center"/>
          </w:tcPr>
          <w:p w14:paraId="5AA03983">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有针对不同岗位的培训管理、考核标准、仪容着装要求等，岗位规范及管理条例内容全面，详细、可行性高得（7-10］分；岗位规范及管理条例内容较全面，较详细、可行性较好得（3-7］分；岗位规范及管理条例内容一般得（0-3]分；未提供不得分。</w:t>
            </w:r>
          </w:p>
        </w:tc>
      </w:tr>
      <w:tr w14:paraId="3A211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6C165D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735" w:type="pct"/>
            <w:noWrap w:val="0"/>
            <w:vAlign w:val="center"/>
          </w:tcPr>
          <w:p w14:paraId="1AA88A17">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服务质量保证措施</w:t>
            </w: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p>
        </w:tc>
        <w:tc>
          <w:tcPr>
            <w:tcW w:w="4060" w:type="pct"/>
            <w:noWrap w:val="0"/>
            <w:vAlign w:val="center"/>
          </w:tcPr>
          <w:p w14:paraId="0FEB28C7">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质量保证措施内容总体思路清晰、合理、可行性强得（7-10］分；质量保证措施总体思路较清晰、合理，可行性较强得（3-7］分；质量保证措施总体思路基本清晰、合理，可行性一般得（0-3]分；未提供不得分。</w:t>
            </w:r>
          </w:p>
        </w:tc>
      </w:tr>
      <w:tr w14:paraId="28B38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1C4AC7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6</w:t>
            </w:r>
          </w:p>
        </w:tc>
        <w:tc>
          <w:tcPr>
            <w:tcW w:w="735" w:type="pct"/>
            <w:noWrap w:val="0"/>
            <w:vAlign w:val="center"/>
          </w:tcPr>
          <w:p w14:paraId="2D4363D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ascii="宋体" w:hAnsi="宋体" w:eastAsia="宋体"/>
                <w:sz w:val="24"/>
                <w:szCs w:val="24"/>
                <w:highlight w:val="none"/>
                <w:lang w:val="en-US" w:eastAsia="zh-CN"/>
              </w:rPr>
              <w:t>卫生管理方案</w:t>
            </w:r>
            <w:r>
              <w:rPr>
                <w:rFonts w:hint="eastAsia" w:ascii="宋体" w:hAnsi="宋体" w:eastAsia="宋体"/>
                <w:sz w:val="24"/>
                <w:szCs w:val="24"/>
                <w:highlight w:val="none"/>
              </w:rPr>
              <w:t>（</w:t>
            </w:r>
            <w:r>
              <w:rPr>
                <w:rFonts w:hint="eastAsia"/>
                <w:sz w:val="24"/>
                <w:szCs w:val="24"/>
                <w:highlight w:val="none"/>
                <w:lang w:val="en-US" w:eastAsia="zh-CN"/>
              </w:rPr>
              <w:t>8</w:t>
            </w:r>
            <w:r>
              <w:rPr>
                <w:rFonts w:hint="eastAsia" w:ascii="宋体" w:hAnsi="宋体" w:eastAsia="宋体"/>
                <w:sz w:val="24"/>
                <w:szCs w:val="24"/>
                <w:highlight w:val="none"/>
              </w:rPr>
              <w:t>分）</w:t>
            </w:r>
          </w:p>
        </w:tc>
        <w:tc>
          <w:tcPr>
            <w:tcW w:w="4060" w:type="pct"/>
            <w:noWrap w:val="0"/>
            <w:vAlign w:val="center"/>
          </w:tcPr>
          <w:p w14:paraId="6EC732FB">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提供卫生管理方案，包括食品卫生安全，人员卫生，环境卫生，垃圾处理方案等，对餐饮用品、清洁材料有严格的质量标准、考核办法。方案全面具体、针对性强，管理责任清晰，质量标准及考核办法完备，可操作性高得（5-8］分；方案较全面、针对性较强，管理责任较清晰，可操作性较强得（3-5］分；方案基本全面、有针对性，管理责任基本清晰，可操作性一般得（0-3]分；未提供不得分。</w:t>
            </w:r>
          </w:p>
        </w:tc>
      </w:tr>
      <w:tr w14:paraId="727A0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204" w:type="pct"/>
            <w:noWrap w:val="0"/>
            <w:vAlign w:val="center"/>
          </w:tcPr>
          <w:p w14:paraId="34330B7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7</w:t>
            </w:r>
          </w:p>
        </w:tc>
        <w:tc>
          <w:tcPr>
            <w:tcW w:w="735" w:type="pct"/>
            <w:noWrap w:val="0"/>
            <w:vAlign w:val="center"/>
          </w:tcPr>
          <w:p w14:paraId="09DA0E2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ascii="宋体" w:hAnsi="宋体" w:eastAsia="宋体"/>
                <w:sz w:val="24"/>
                <w:szCs w:val="24"/>
                <w:highlight w:val="none"/>
                <w:lang w:val="en-US" w:eastAsia="zh-CN"/>
              </w:rPr>
              <w:t>材料保存措施</w:t>
            </w:r>
            <w:r>
              <w:rPr>
                <w:rFonts w:hint="eastAsia" w:ascii="宋体" w:hAnsi="宋体" w:eastAsia="宋体"/>
                <w:sz w:val="24"/>
                <w:szCs w:val="24"/>
                <w:highlight w:val="none"/>
              </w:rPr>
              <w:t>（</w:t>
            </w:r>
            <w:r>
              <w:rPr>
                <w:rFonts w:hint="eastAsia"/>
                <w:sz w:val="24"/>
                <w:szCs w:val="24"/>
                <w:highlight w:val="none"/>
                <w:lang w:val="en-US" w:eastAsia="zh-CN"/>
              </w:rPr>
              <w:t>5</w:t>
            </w:r>
            <w:r>
              <w:rPr>
                <w:rFonts w:hint="eastAsia" w:ascii="宋体" w:hAnsi="宋体" w:eastAsia="宋体"/>
                <w:sz w:val="24"/>
                <w:szCs w:val="24"/>
                <w:highlight w:val="none"/>
              </w:rPr>
              <w:t>分）</w:t>
            </w:r>
          </w:p>
        </w:tc>
        <w:tc>
          <w:tcPr>
            <w:tcW w:w="4060" w:type="pct"/>
            <w:noWrap w:val="0"/>
            <w:vAlign w:val="center"/>
          </w:tcPr>
          <w:p w14:paraId="0C0581EB">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原材料等食品保存管理方案切实可行，符合本项目的要求。措施方案全面具体、具有针对性、可操作性的得（</w:t>
            </w:r>
            <w:r>
              <w:rPr>
                <w:rFonts w:hint="eastAsia" w:cs="宋体"/>
                <w:sz w:val="24"/>
                <w:szCs w:val="24"/>
                <w:highlight w:val="none"/>
                <w:vertAlign w:val="baseline"/>
                <w:lang w:val="en-US" w:eastAsia="zh-CN"/>
              </w:rPr>
              <w:t>3</w:t>
            </w:r>
            <w:r>
              <w:rPr>
                <w:rFonts w:hint="eastAsia" w:ascii="宋体" w:hAnsi="宋体" w:eastAsia="宋体" w:cs="宋体"/>
                <w:sz w:val="24"/>
                <w:szCs w:val="24"/>
                <w:highlight w:val="none"/>
                <w:vertAlign w:val="baseline"/>
                <w:lang w:val="en-US" w:eastAsia="zh-CN"/>
              </w:rPr>
              <w:t>-</w:t>
            </w:r>
            <w:r>
              <w:rPr>
                <w:rFonts w:hint="eastAsia" w:cs="宋体"/>
                <w:sz w:val="24"/>
                <w:szCs w:val="24"/>
                <w:highlight w:val="none"/>
                <w:vertAlign w:val="baseline"/>
                <w:lang w:val="en-US" w:eastAsia="zh-CN"/>
              </w:rPr>
              <w:t>5</w:t>
            </w:r>
            <w:r>
              <w:rPr>
                <w:rFonts w:hint="eastAsia" w:ascii="宋体" w:hAnsi="宋体" w:eastAsia="宋体" w:cs="宋体"/>
                <w:sz w:val="24"/>
                <w:szCs w:val="24"/>
                <w:highlight w:val="none"/>
                <w:vertAlign w:val="baseline"/>
                <w:lang w:val="en-US" w:eastAsia="zh-CN"/>
              </w:rPr>
              <w:t>］分；措施方案基本全面具体、针对性一般、可操作性一般的得（0-</w:t>
            </w:r>
            <w:r>
              <w:rPr>
                <w:rFonts w:hint="eastAsia" w:cs="宋体"/>
                <w:sz w:val="24"/>
                <w:szCs w:val="24"/>
                <w:highlight w:val="none"/>
                <w:vertAlign w:val="baseline"/>
                <w:lang w:val="en-US" w:eastAsia="zh-CN"/>
              </w:rPr>
              <w:t>3</w:t>
            </w:r>
            <w:r>
              <w:rPr>
                <w:rFonts w:hint="eastAsia" w:ascii="宋体" w:hAnsi="宋体" w:eastAsia="宋体" w:cs="宋体"/>
                <w:sz w:val="24"/>
                <w:szCs w:val="24"/>
                <w:highlight w:val="none"/>
                <w:vertAlign w:val="baseline"/>
                <w:lang w:val="en-US" w:eastAsia="zh-CN"/>
              </w:rPr>
              <w:t>］分；未提供不得分。</w:t>
            </w:r>
          </w:p>
        </w:tc>
      </w:tr>
      <w:tr w14:paraId="681F2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CA89091">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735" w:type="pct"/>
            <w:noWrap w:val="0"/>
            <w:vAlign w:val="center"/>
          </w:tcPr>
          <w:p w14:paraId="5BC1B0F6">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rPr>
              <w:t>拟派人员情况（</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lang w:val="en-US" w:eastAsia="zh-CN"/>
              </w:rPr>
              <w:t>分）</w:t>
            </w:r>
          </w:p>
        </w:tc>
        <w:tc>
          <w:tcPr>
            <w:tcW w:w="4060" w:type="pct"/>
            <w:noWrap w:val="0"/>
            <w:vAlign w:val="center"/>
          </w:tcPr>
          <w:p w14:paraId="061841E1">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en-US" w:bidi="ar-SA"/>
              </w:rPr>
              <w:t>根据人员组织机构、数量、执业年限、相关证书、专业程度、工作经验等进行综合评审。人员架构科学、合理、专业、经验丰富，提供相关证书等材料完整得（7-10]分；人员架构较科学、合理、专业、经验较丰富，提供相关证书等材料完整得（3-7]分；人员架构简单、配置一般、经验一般，提供材料基本齐全得（0-3]分；未提供不得分。备注：提供人员相关证件并加盖公章。</w:t>
            </w:r>
          </w:p>
        </w:tc>
      </w:tr>
      <w:tr w14:paraId="5C756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EED195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9</w:t>
            </w:r>
          </w:p>
        </w:tc>
        <w:tc>
          <w:tcPr>
            <w:tcW w:w="735" w:type="pct"/>
            <w:noWrap w:val="0"/>
            <w:vAlign w:val="center"/>
          </w:tcPr>
          <w:p w14:paraId="7F99159A">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w:t>
            </w:r>
          </w:p>
          <w:p w14:paraId="7E75EB5C">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w:t>
            </w:r>
            <w:r>
              <w:rPr>
                <w:rFonts w:hint="eastAsia" w:cs="宋体"/>
                <w:spacing w:val="0"/>
                <w:sz w:val="24"/>
                <w:szCs w:val="24"/>
                <w:highlight w:val="none"/>
                <w:lang w:val="en-US" w:eastAsia="zh-CN"/>
              </w:rPr>
              <w:t>8</w:t>
            </w:r>
            <w:r>
              <w:rPr>
                <w:rFonts w:hint="eastAsia" w:ascii="宋体" w:hAnsi="宋体" w:eastAsia="宋体" w:cs="宋体"/>
                <w:spacing w:val="0"/>
                <w:sz w:val="24"/>
                <w:szCs w:val="24"/>
                <w:highlight w:val="none"/>
                <w:lang w:val="en-US" w:eastAsia="zh-CN"/>
              </w:rPr>
              <w:t>分）</w:t>
            </w:r>
          </w:p>
        </w:tc>
        <w:tc>
          <w:tcPr>
            <w:tcW w:w="4060" w:type="pct"/>
            <w:noWrap w:val="0"/>
            <w:vAlign w:val="center"/>
          </w:tcPr>
          <w:p w14:paraId="70098423">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highlight w:val="none"/>
                <w:vertAlign w:val="baseline"/>
                <w:lang w:val="en-US" w:eastAsia="zh-CN"/>
              </w:rPr>
              <w:t>突发情况处置是否合理、切实可行，包括停水、停电、停气应急预案，食物中毒应急预案，消防安全突发事件应急预案。应急预案内容完善、合理可行、针对性强的得（5-8］分；应急预案内容较完善、较合理可行、针对性较强的得（3-5］分；应急预案内容基本完善、合理、针对性一般的得（0-3]分；未提供不得分。</w:t>
            </w:r>
          </w:p>
        </w:tc>
      </w:tr>
      <w:tr w14:paraId="08F41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01C8C837">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bidi="ar-SA"/>
              </w:rPr>
              <w:t>10</w:t>
            </w:r>
          </w:p>
        </w:tc>
        <w:tc>
          <w:tcPr>
            <w:tcW w:w="735" w:type="pct"/>
            <w:noWrap w:val="0"/>
            <w:vAlign w:val="center"/>
          </w:tcPr>
          <w:p w14:paraId="3C847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售后服务</w:t>
            </w:r>
          </w:p>
          <w:p w14:paraId="24038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pacing w:val="0"/>
                <w:sz w:val="24"/>
                <w:szCs w:val="24"/>
                <w:highlight w:val="none"/>
                <w:lang w:val="en-US" w:eastAsia="zh-CN"/>
              </w:rPr>
            </w:pPr>
            <w:r>
              <w:rPr>
                <w:rFonts w:hint="eastAsia" w:ascii="宋体" w:hAnsi="宋体" w:cs="宋体"/>
                <w:color w:val="auto"/>
                <w:sz w:val="24"/>
                <w:highlight w:val="none"/>
                <w:lang w:val="en-US"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分</w:t>
            </w:r>
            <w:r>
              <w:rPr>
                <w:rFonts w:hint="eastAsia" w:ascii="宋体" w:hAnsi="宋体" w:cs="宋体"/>
                <w:color w:val="auto"/>
                <w:sz w:val="24"/>
                <w:highlight w:val="none"/>
                <w:lang w:val="en-US" w:eastAsia="zh-CN"/>
              </w:rPr>
              <w:t>）</w:t>
            </w:r>
          </w:p>
        </w:tc>
        <w:tc>
          <w:tcPr>
            <w:tcW w:w="4060" w:type="pct"/>
            <w:noWrap w:val="0"/>
            <w:vAlign w:val="center"/>
          </w:tcPr>
          <w:p w14:paraId="4855161B">
            <w:pPr>
              <w:keepNext w:val="0"/>
              <w:keepLines w:val="0"/>
              <w:pageBreakBefore w:val="0"/>
              <w:widowControl/>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spacing w:val="0"/>
                <w:sz w:val="24"/>
                <w:szCs w:val="24"/>
                <w:highlight w:val="none"/>
                <w:lang w:val="en-US" w:eastAsia="zh-CN"/>
              </w:rPr>
            </w:pPr>
            <w:r>
              <w:rPr>
                <w:rFonts w:hint="default" w:ascii="宋体" w:hAnsi="宋体" w:eastAsia="宋体" w:cs="宋体"/>
                <w:highlight w:val="none"/>
                <w:vertAlign w:val="baseline"/>
                <w:lang w:val="en-US" w:eastAsia="zh-CN"/>
              </w:rPr>
              <w:t>售后服务方案满足</w:t>
            </w:r>
            <w:r>
              <w:rPr>
                <w:rFonts w:hint="eastAsia" w:ascii="宋体" w:hAnsi="宋体" w:eastAsia="宋体" w:cs="宋体"/>
                <w:highlight w:val="none"/>
                <w:vertAlign w:val="baseline"/>
                <w:lang w:val="en-US" w:eastAsia="zh-CN"/>
              </w:rPr>
              <w:t>采购</w:t>
            </w:r>
            <w:r>
              <w:rPr>
                <w:rFonts w:hint="default" w:ascii="宋体" w:hAnsi="宋体" w:eastAsia="宋体" w:cs="宋体"/>
                <w:highlight w:val="none"/>
                <w:vertAlign w:val="baseline"/>
                <w:lang w:val="en-US" w:eastAsia="zh-CN"/>
              </w:rPr>
              <w:t>方要求，</w:t>
            </w:r>
            <w:r>
              <w:rPr>
                <w:rFonts w:hint="eastAsia" w:ascii="宋体" w:hAnsi="宋体" w:eastAsia="宋体" w:cs="宋体"/>
                <w:highlight w:val="none"/>
                <w:vertAlign w:val="baseline"/>
                <w:lang w:val="en-US" w:eastAsia="zh-CN"/>
              </w:rPr>
              <w:t>内容</w:t>
            </w:r>
            <w:r>
              <w:rPr>
                <w:rFonts w:hint="default" w:ascii="宋体" w:hAnsi="宋体" w:eastAsia="宋体" w:cs="宋体"/>
                <w:highlight w:val="none"/>
                <w:vertAlign w:val="baseline"/>
                <w:lang w:val="en-US" w:eastAsia="zh-CN"/>
              </w:rPr>
              <w:t>合理、针对性强得</w:t>
            </w:r>
            <w:r>
              <w:rPr>
                <w:rFonts w:hint="eastAsia" w:ascii="宋体" w:hAnsi="宋体" w:eastAsia="宋体" w:cs="宋体"/>
                <w:highlight w:val="none"/>
                <w:vertAlign w:val="baseline"/>
                <w:lang w:val="en-US" w:eastAsia="zh-CN"/>
              </w:rPr>
              <w:t>（5-8］</w:t>
            </w:r>
            <w:r>
              <w:rPr>
                <w:rFonts w:hint="default" w:ascii="宋体" w:hAnsi="宋体" w:eastAsia="宋体" w:cs="宋体"/>
                <w:highlight w:val="none"/>
                <w:vertAlign w:val="baseline"/>
                <w:lang w:val="en-US" w:eastAsia="zh-CN"/>
              </w:rPr>
              <w:t>分；</w:t>
            </w:r>
            <w:r>
              <w:rPr>
                <w:rFonts w:hint="eastAsia" w:ascii="宋体" w:hAnsi="宋体" w:eastAsia="宋体" w:cs="宋体"/>
                <w:highlight w:val="none"/>
                <w:vertAlign w:val="baseline"/>
                <w:lang w:val="en-US" w:eastAsia="zh-CN"/>
              </w:rPr>
              <w:t>内容较</w:t>
            </w:r>
            <w:r>
              <w:rPr>
                <w:rFonts w:hint="default" w:ascii="宋体" w:hAnsi="宋体" w:eastAsia="宋体" w:cs="宋体"/>
                <w:highlight w:val="none"/>
                <w:vertAlign w:val="baseline"/>
                <w:lang w:val="en-US" w:eastAsia="zh-CN"/>
              </w:rPr>
              <w:t>合理、针对性</w:t>
            </w:r>
            <w:r>
              <w:rPr>
                <w:rFonts w:hint="eastAsia" w:ascii="宋体" w:hAnsi="宋体" w:eastAsia="宋体" w:cs="宋体"/>
                <w:highlight w:val="none"/>
                <w:vertAlign w:val="baseline"/>
                <w:lang w:val="en-US" w:eastAsia="zh-CN"/>
              </w:rPr>
              <w:t>较强</w:t>
            </w:r>
            <w:r>
              <w:rPr>
                <w:rFonts w:hint="default" w:ascii="宋体" w:hAnsi="宋体" w:eastAsia="宋体" w:cs="宋体"/>
                <w:highlight w:val="none"/>
                <w:vertAlign w:val="baseline"/>
                <w:lang w:val="en-US" w:eastAsia="zh-CN"/>
              </w:rPr>
              <w:t>得</w:t>
            </w:r>
            <w:r>
              <w:rPr>
                <w:rFonts w:hint="eastAsia" w:ascii="宋体" w:hAnsi="宋体" w:eastAsia="宋体" w:cs="宋体"/>
                <w:highlight w:val="none"/>
                <w:vertAlign w:val="baseline"/>
                <w:lang w:val="en-US" w:eastAsia="zh-CN"/>
              </w:rPr>
              <w:t>（3-5］</w:t>
            </w:r>
            <w:r>
              <w:rPr>
                <w:rFonts w:hint="default" w:ascii="宋体" w:hAnsi="宋体" w:eastAsia="宋体" w:cs="宋体"/>
                <w:highlight w:val="none"/>
                <w:vertAlign w:val="baseline"/>
                <w:lang w:val="en-US" w:eastAsia="zh-CN"/>
              </w:rPr>
              <w:t>分；</w:t>
            </w:r>
            <w:r>
              <w:rPr>
                <w:rFonts w:hint="eastAsia" w:ascii="宋体" w:hAnsi="宋体" w:eastAsia="宋体" w:cs="宋体"/>
                <w:highlight w:val="none"/>
                <w:vertAlign w:val="baseline"/>
                <w:lang w:val="en-US" w:eastAsia="zh-CN"/>
              </w:rPr>
              <w:t>内容基本</w:t>
            </w:r>
            <w:r>
              <w:rPr>
                <w:rFonts w:hint="default" w:ascii="宋体" w:hAnsi="宋体" w:eastAsia="宋体" w:cs="宋体"/>
                <w:highlight w:val="none"/>
                <w:vertAlign w:val="baseline"/>
                <w:lang w:val="en-US" w:eastAsia="zh-CN"/>
              </w:rPr>
              <w:t>合理、针对性一般得</w:t>
            </w:r>
            <w:r>
              <w:rPr>
                <w:rFonts w:hint="eastAsia" w:ascii="宋体" w:hAnsi="宋体" w:eastAsia="宋体" w:cs="宋体"/>
                <w:snapToGrid w:val="0"/>
                <w:color w:val="000000"/>
                <w:spacing w:val="0"/>
                <w:kern w:val="0"/>
                <w:position w:val="0"/>
                <w:sz w:val="21"/>
                <w:szCs w:val="21"/>
                <w:highlight w:val="none"/>
                <w:lang w:val="en-US" w:eastAsia="zh-CN"/>
              </w:rPr>
              <w:t>（0-3]</w:t>
            </w:r>
            <w:r>
              <w:rPr>
                <w:rFonts w:hint="default" w:ascii="宋体" w:hAnsi="宋体" w:eastAsia="宋体" w:cs="宋体"/>
                <w:highlight w:val="none"/>
                <w:vertAlign w:val="baseline"/>
                <w:lang w:val="en-US" w:eastAsia="zh-CN"/>
              </w:rPr>
              <w:t>分；未提供不得分。</w:t>
            </w:r>
          </w:p>
        </w:tc>
      </w:tr>
      <w:tr w14:paraId="1181B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099FEFB">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735" w:type="pct"/>
            <w:noWrap w:val="0"/>
            <w:vAlign w:val="center"/>
          </w:tcPr>
          <w:p w14:paraId="7142DC43">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zh-CN" w:eastAsia="zh-CN"/>
              </w:rPr>
            </w:pPr>
            <w:r>
              <w:rPr>
                <w:rFonts w:hint="eastAsia" w:ascii="宋体" w:hAnsi="宋体" w:eastAsia="宋体" w:cs="宋体"/>
                <w:spacing w:val="0"/>
                <w:sz w:val="24"/>
                <w:szCs w:val="24"/>
                <w:highlight w:val="none"/>
                <w:lang w:val="zh-CN" w:eastAsia="zh-CN"/>
              </w:rPr>
              <w:t>服务承诺</w:t>
            </w:r>
          </w:p>
          <w:p w14:paraId="6079AD5E">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spacing w:val="0"/>
                <w:sz w:val="24"/>
                <w:szCs w:val="24"/>
                <w:highlight w:val="none"/>
                <w:lang w:val="zh-CN" w:eastAsia="zh-CN"/>
              </w:rPr>
              <w:t>（</w:t>
            </w:r>
            <w:r>
              <w:rPr>
                <w:rFonts w:hint="eastAsia" w:cs="宋体"/>
                <w:spacing w:val="0"/>
                <w:sz w:val="24"/>
                <w:szCs w:val="24"/>
                <w:highlight w:val="none"/>
                <w:lang w:val="en-US" w:eastAsia="zh-CN"/>
              </w:rPr>
              <w:t>5</w:t>
            </w:r>
            <w:r>
              <w:rPr>
                <w:rFonts w:hint="eastAsia" w:ascii="宋体" w:hAnsi="宋体" w:eastAsia="宋体" w:cs="宋体"/>
                <w:spacing w:val="0"/>
                <w:sz w:val="24"/>
                <w:szCs w:val="24"/>
                <w:highlight w:val="none"/>
                <w:lang w:val="en-US" w:eastAsia="zh-CN"/>
              </w:rPr>
              <w:t>分</w:t>
            </w:r>
            <w:r>
              <w:rPr>
                <w:rFonts w:hint="eastAsia" w:ascii="宋体" w:hAnsi="宋体" w:eastAsia="宋体" w:cs="宋体"/>
                <w:spacing w:val="0"/>
                <w:sz w:val="24"/>
                <w:szCs w:val="24"/>
                <w:highlight w:val="none"/>
                <w:lang w:val="zh-CN" w:eastAsia="zh-CN"/>
              </w:rPr>
              <w:t>）</w:t>
            </w:r>
          </w:p>
        </w:tc>
        <w:tc>
          <w:tcPr>
            <w:tcW w:w="4060" w:type="pct"/>
            <w:noWrap w:val="0"/>
            <w:vAlign w:val="center"/>
          </w:tcPr>
          <w:p w14:paraId="5349F627">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pacing w:val="0"/>
                <w:sz w:val="24"/>
                <w:szCs w:val="24"/>
                <w:highlight w:val="none"/>
                <w:lang w:val="en-US" w:eastAsia="zh-CN"/>
              </w:rPr>
              <w:t>针对本项目提供合理、可行、完善的服务承诺，包括：①食品安全承诺、②消防安全承诺、③食堂环境卫生承诺、④依法用工承诺、⑤厨房设备安全运行承诺等。 服务承诺明确、合理得（3-5］分；服务承诺简单、基本合理得（0-3]分；未提供不得分</w:t>
            </w:r>
            <w:r>
              <w:rPr>
                <w:rFonts w:hint="eastAsia" w:cs="宋体"/>
                <w:spacing w:val="0"/>
                <w:sz w:val="24"/>
                <w:szCs w:val="24"/>
                <w:highlight w:val="none"/>
                <w:lang w:val="en-US" w:eastAsia="zh-CN"/>
              </w:rPr>
              <w:t>。</w:t>
            </w:r>
          </w:p>
        </w:tc>
      </w:tr>
      <w:tr w14:paraId="18BE4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383CC79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12</w:t>
            </w:r>
          </w:p>
        </w:tc>
        <w:tc>
          <w:tcPr>
            <w:tcW w:w="735" w:type="pct"/>
            <w:noWrap w:val="0"/>
            <w:vAlign w:val="center"/>
          </w:tcPr>
          <w:p w14:paraId="2848AD2B">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业绩</w:t>
            </w:r>
          </w:p>
          <w:p w14:paraId="1F200C12">
            <w:pPr>
              <w:pStyle w:val="109"/>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w:t>
            </w:r>
            <w:r>
              <w:rPr>
                <w:rFonts w:hint="eastAsia" w:cs="宋体"/>
                <w:highlight w:val="none"/>
                <w:vertAlign w:val="baseline"/>
                <w:lang w:val="en-US" w:eastAsia="zh-CN"/>
              </w:rPr>
              <w:t>10</w:t>
            </w:r>
            <w:r>
              <w:rPr>
                <w:rFonts w:hint="eastAsia" w:ascii="宋体" w:hAnsi="宋体" w:eastAsia="宋体" w:cs="宋体"/>
                <w:highlight w:val="none"/>
                <w:vertAlign w:val="baseline"/>
                <w:lang w:val="en-US" w:eastAsia="zh-CN"/>
              </w:rPr>
              <w:t>分）</w:t>
            </w:r>
          </w:p>
        </w:tc>
        <w:tc>
          <w:tcPr>
            <w:tcW w:w="4060" w:type="pct"/>
            <w:noWrap w:val="0"/>
            <w:vAlign w:val="center"/>
          </w:tcPr>
          <w:p w14:paraId="3E1895C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0"/>
                <w:sz w:val="24"/>
                <w:szCs w:val="24"/>
                <w:highlight w:val="none"/>
                <w:lang w:val="en-US" w:eastAsia="zh-CN"/>
              </w:rPr>
            </w:pPr>
            <w:r>
              <w:rPr>
                <w:rFonts w:hint="default" w:ascii="宋体" w:hAnsi="宋体" w:eastAsia="宋体" w:cs="宋体"/>
                <w:highlight w:val="none"/>
                <w:vertAlign w:val="baseline"/>
                <w:lang w:val="en-US" w:eastAsia="zh-CN"/>
              </w:rPr>
              <w:t>投标人提供2022年1月1日至今（以合同签订时间为准）类似业绩，以合同协议书为准，每份计2分，最高计10分。</w:t>
            </w:r>
          </w:p>
        </w:tc>
      </w:tr>
    </w:tbl>
    <w:p w14:paraId="01D2C0B9">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4．推荐中标候选人</w:t>
      </w:r>
    </w:p>
    <w:p w14:paraId="33A12B3E">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5AC7D3B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0CCD8653">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5．编写</w:t>
      </w:r>
      <w:r>
        <w:rPr>
          <w:rFonts w:hint="eastAsia" w:ascii="宋体" w:hAnsi="宋体" w:eastAsia="宋体" w:cs="宋体"/>
          <w:b/>
          <w:bCs/>
          <w:sz w:val="24"/>
          <w:szCs w:val="24"/>
          <w:highlight w:val="none"/>
          <w:lang w:eastAsia="zh-CN"/>
        </w:rPr>
        <w:t>评标报告</w:t>
      </w:r>
    </w:p>
    <w:p w14:paraId="002AEC85">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是评标委员会根据全体评标成员签字的原始评标记录和评标结果编写的报告，其主要内容包括：</w:t>
      </w:r>
    </w:p>
    <w:p w14:paraId="7BC614A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（1）招标公告刊登的媒体名称、开标日期和地点；</w:t>
      </w:r>
    </w:p>
    <w:p w14:paraId="3EF1871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（2）投标供应商名单和评标委员会成员名单；</w:t>
      </w:r>
    </w:p>
    <w:p w14:paraId="5717CDB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（3）评标方法；</w:t>
      </w:r>
    </w:p>
    <w:p w14:paraId="163C28A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（4）开标记录和评标情况及说明，包括投标无效供应商名单及原因；</w:t>
      </w:r>
    </w:p>
    <w:p w14:paraId="6591796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（5）评标结果，确定的中标候选人名单或者经采购人委托直接确定的中标供应商；</w:t>
      </w:r>
    </w:p>
    <w:p w14:paraId="6A1B963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（6）其他需要说明的情况，包括评标过程中投标供应商根据评标委员会要求进行的澄清、说明或者补正，评标委员会成员的更换等。</w:t>
      </w:r>
    </w:p>
    <w:p w14:paraId="1ED80782">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C4A61D3">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（三）评标争议处理规则</w:t>
      </w:r>
    </w:p>
    <w:p w14:paraId="6DC548F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6032C2B9">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（四）评审现场人员的保密责任</w:t>
      </w:r>
    </w:p>
    <w:p w14:paraId="543AE21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7584D4B9">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（五）视同供应商串通投标的情形，其投标无效：</w:t>
      </w:r>
    </w:p>
    <w:p w14:paraId="3EBF4E2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1．不同供应商的投标文件由同一单位或者个人编制；</w:t>
      </w:r>
    </w:p>
    <w:p w14:paraId="4A86182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2．不同供应商委托同一单位或者个人办理投标事宜；</w:t>
      </w:r>
    </w:p>
    <w:p w14:paraId="043BBA9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3．不同供应商的投标文件载明的项目管理成员或者联系人员为同一人；</w:t>
      </w:r>
    </w:p>
    <w:p w14:paraId="60CE120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4．不同供应商的投标文件异常一致或者投标报价呈规律性差异。</w:t>
      </w:r>
    </w:p>
    <w:p w14:paraId="6587287C">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八、中标</w:t>
      </w:r>
    </w:p>
    <w:p w14:paraId="63D95B8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1．采购代理机构在评标工作结束后2个工作日内将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送采购人。</w:t>
      </w:r>
    </w:p>
    <w:p w14:paraId="610F6A2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2．采购人应当自收到评标报告之日起</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7A82D27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3．采购代理机构将在中标供应商确定之日起2个工作日内，在【</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）上公布中标结果。中标公告期限为1个工作日。</w:t>
      </w:r>
    </w:p>
    <w:p w14:paraId="2853AC5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4．在公告中标结果的同时，采购代理机构将向中标供应商发出中标通知书，中标供应</w:t>
      </w:r>
      <w:r>
        <w:rPr>
          <w:rFonts w:hint="eastAsia" w:ascii="宋体" w:hAnsi="宋体" w:eastAsia="宋体" w:cs="宋体"/>
          <w:color w:val="auto"/>
          <w:sz w:val="24"/>
          <w:szCs w:val="24"/>
          <w:highlight w:val="none"/>
        </w:rPr>
        <w:t>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4E6646F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6CB129E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6．采购代理机构按照相关规定将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送监管机构备案。</w:t>
      </w:r>
    </w:p>
    <w:p w14:paraId="3F3BFBDF">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九、合同签订、履行及验收</w:t>
      </w:r>
    </w:p>
    <w:p w14:paraId="77EF8FF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招标文件、投标文件、澄清、补充合同等为政府采购合同的组成部分，具有同等法律效力。</w:t>
      </w:r>
    </w:p>
    <w:p w14:paraId="7D663FD2">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（一）签订政府采购合同</w:t>
      </w:r>
    </w:p>
    <w:p w14:paraId="32911E6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1．自中标通知书发出之日起</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日内，采购人与中标供应商应按招标文件和中标供应商投标文件的约定，签订书面合同。</w:t>
      </w:r>
    </w:p>
    <w:p w14:paraId="0C27852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2．中标供应商拒绝与采购人签订合同的，采购人可以按照《政府采购法实施条例》第四十九条规定，确定下一候选人为中标供应商，也可以重新开展政府采购活动。</w:t>
      </w:r>
    </w:p>
    <w:p w14:paraId="0A91124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0C05C84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4．质疑或者投诉事项可能影响中标、成交结果的，采购人应当暂停签订合同，已经签订合同的，应当中止履行合同。</w:t>
      </w:r>
    </w:p>
    <w:p w14:paraId="5C0B7D53">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（二）合同公告及备案</w:t>
      </w:r>
    </w:p>
    <w:p w14:paraId="0DA4C4E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1．采购人应当自政府采购合同签订之日起2个工作日内，在陕西省政府采购网对合同进行公示，但政府采购合同中涉及国家秘密、商业秘密的内容除外。</w:t>
      </w:r>
    </w:p>
    <w:p w14:paraId="6209019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2．采购人应自合同签订之日起7个工作日内将政府采购合同报送监管机构备案。</w:t>
      </w:r>
    </w:p>
    <w:p w14:paraId="06915A51">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（三）履行合同</w:t>
      </w:r>
    </w:p>
    <w:p w14:paraId="7E3EFEE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1．合同一经签订，双方应严格履行合同规定的义务。</w:t>
      </w:r>
    </w:p>
    <w:p w14:paraId="5C2A54A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2．在合同履行过程中，如发生合同纠纷，合同双方应按照《中华人民共和国民法典》及合同条款的有关规定进行处理。</w:t>
      </w:r>
    </w:p>
    <w:p w14:paraId="48B82D7C">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（四）验收或考核</w:t>
      </w:r>
    </w:p>
    <w:p w14:paraId="0A35DFE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1．采购人严格按照国家相关法律法规的要求及招标文件的要求组织验收或考核。</w:t>
      </w:r>
    </w:p>
    <w:p w14:paraId="5E51ECE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2．采购人按《关于促进政府采购公平竞争优化营商环境的通知》（财库〔2019〕38号）、《保障中小企业款项支付条例》（国务院令第728号）等规定及采购合同的约定进行支付合同款项。</w:t>
      </w:r>
    </w:p>
    <w:p w14:paraId="0860DD19">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十、废标及重新招标</w:t>
      </w:r>
    </w:p>
    <w:p w14:paraId="7F2C2E1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398E83A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2．根据《政府采购法》第三十六条规定，在招标采购中，出现下列情形之一的，本项目按废标处理：</w:t>
      </w:r>
    </w:p>
    <w:p w14:paraId="5483450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（1）出现影响采购公正的违法、违规行为的；</w:t>
      </w:r>
    </w:p>
    <w:p w14:paraId="6A9F475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（2）供应商的报价均超过了采购预算，采购人不能支付的；</w:t>
      </w:r>
    </w:p>
    <w:p w14:paraId="2404230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069F0B4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废标后，除采购任务取消外，本项目将重新组织招标。</w:t>
      </w:r>
    </w:p>
    <w:p w14:paraId="335CD86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78BA548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4．招标文件未明确的其他事项，按《政府采购法》及其相关法律法规执行。</w:t>
      </w:r>
    </w:p>
    <w:p w14:paraId="457630BB">
      <w:pPr>
        <w:rPr>
          <w:rFonts w:hint="eastAsia" w:ascii="宋体" w:hAnsi="宋体" w:eastAsia="宋体" w:cs="宋体"/>
          <w:sz w:val="32"/>
          <w:szCs w:val="32"/>
          <w:highlight w:val="none"/>
        </w:rPr>
      </w:pPr>
      <w:bookmarkStart w:id="14" w:name="_Toc100219614"/>
      <w:r>
        <w:rPr>
          <w:rFonts w:hint="eastAsia" w:ascii="宋体" w:hAnsi="宋体" w:eastAsia="宋体" w:cs="宋体"/>
          <w:sz w:val="32"/>
          <w:szCs w:val="32"/>
          <w:highlight w:val="none"/>
        </w:rPr>
        <w:br w:type="page"/>
      </w:r>
    </w:p>
    <w:p w14:paraId="63520F95">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42FDA61B">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5BBFA4A6">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044B6A04">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79290EBC">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3BF9ED3A">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highlight w:val="none"/>
        </w:rPr>
        <w:t>功能。</w:t>
      </w:r>
    </w:p>
    <w:p w14:paraId="4BBCE788">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首页</w:t>
      </w:r>
    </w:p>
    <w:p w14:paraId="067E0816">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平台首页主要呈现陕西政府采购信用融资相关政策法规、基本操作流程及供应商帮助内容，供应商企业可由登录注册模块登录平台。</w:t>
      </w:r>
    </w:p>
    <w:p w14:paraId="76A8F63A">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登录</w:t>
      </w:r>
    </w:p>
    <w:p w14:paraId="1DEF4B1C">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lang w:eastAsia="zh-CN"/>
        </w:rPr>
      </w:pPr>
      <w:r>
        <w:rPr>
          <w:rFonts w:hint="eastAsia" w:ascii="宋体" w:hAnsi="宋体" w:eastAsia="宋体" w:cs="宋体"/>
          <w:color w:val="333333"/>
          <w:spacing w:val="-3"/>
          <w:sz w:val="24"/>
          <w:highlight w:val="none"/>
        </w:rPr>
        <w:t>陕西政府采购网的中标企业可用手机号注册用户，注册时需要填写企业名称及社会统一信用代码等信息，如下图：</w:t>
      </w:r>
    </w:p>
    <w:p w14:paraId="2CFCBB85">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
                    <pic:cNvPicPr>
                      <a:picLocks noChangeAspect="1"/>
                    </pic:cNvPicPr>
                  </pic:nvPicPr>
                  <pic:blipFill>
                    <a:blip r:embed="rId20"/>
                    <a:stretch>
                      <a:fillRect/>
                    </a:stretch>
                  </pic:blipFill>
                  <pic:spPr>
                    <a:xfrm>
                      <a:off x="0" y="0"/>
                      <a:ext cx="6127750" cy="3615690"/>
                    </a:xfrm>
                    <a:prstGeom prst="rect">
                      <a:avLst/>
                    </a:prstGeom>
                    <a:noFill/>
                    <a:ln>
                      <a:noFill/>
                    </a:ln>
                  </pic:spPr>
                </pic:pic>
              </a:graphicData>
            </a:graphic>
          </wp:inline>
        </w:drawing>
      </w:r>
    </w:p>
    <w:p w14:paraId="1A10C247">
      <w:pPr>
        <w:rPr>
          <w:rFonts w:hint="eastAsia" w:ascii="宋体" w:hAnsi="宋体"/>
          <w:b/>
          <w:sz w:val="24"/>
          <w:highlight w:val="none"/>
          <w:lang w:eastAsia="zh-CN"/>
        </w:rPr>
      </w:pPr>
      <w:r>
        <w:rPr>
          <w:rFonts w:hint="eastAsia" w:ascii="宋体" w:hAnsi="宋体"/>
          <w:b/>
          <w:sz w:val="24"/>
          <w:highlight w:val="none"/>
          <w:lang w:eastAsia="zh-CN"/>
        </w:rPr>
        <w:br w:type="page"/>
      </w:r>
    </w:p>
    <w:p w14:paraId="4DE4A43B">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注册成功后，凭手机登录平台，如下图，点击首页：</w:t>
      </w:r>
    </w:p>
    <w:p w14:paraId="26CFFBAF">
      <w:pPr>
        <w:rPr>
          <w:highlight w:val="none"/>
          <w:lang w:eastAsia="zh-CN"/>
        </w:rPr>
      </w:pPr>
      <w:r>
        <w:rPr>
          <w:highlight w:val="none"/>
          <w:lang w:eastAsia="zh-CN"/>
        </w:rPr>
        <w:drawing>
          <wp:inline distT="0" distB="0" distL="114300" distR="114300">
            <wp:extent cx="6071235" cy="3425190"/>
            <wp:effectExtent l="0" t="0" r="5715" b="3810"/>
            <wp:docPr id="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
                    <pic:cNvPicPr>
                      <a:picLocks noChangeAspect="1"/>
                    </pic:cNvPicPr>
                  </pic:nvPicPr>
                  <pic:blipFill>
                    <a:blip r:embed="rId21"/>
                    <a:stretch>
                      <a:fillRect/>
                    </a:stretch>
                  </pic:blipFill>
                  <pic:spPr>
                    <a:xfrm>
                      <a:off x="0" y="0"/>
                      <a:ext cx="6071235" cy="3425190"/>
                    </a:xfrm>
                    <a:prstGeom prst="rect">
                      <a:avLst/>
                    </a:prstGeom>
                    <a:noFill/>
                    <a:ln>
                      <a:noFill/>
                    </a:ln>
                  </pic:spPr>
                </pic:pic>
              </a:graphicData>
            </a:graphic>
          </wp:inline>
        </w:drawing>
      </w:r>
    </w:p>
    <w:p w14:paraId="0A71237B">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3.点击“可融资项目/合同”，再点击申请贷款：</w:t>
      </w:r>
    </w:p>
    <w:p w14:paraId="4E4EEB52">
      <w:pPr>
        <w:rPr>
          <w:highlight w:val="none"/>
          <w:lang w:eastAsia="zh-CN"/>
        </w:rPr>
      </w:pPr>
      <w:r>
        <w:rPr>
          <w:highlight w:val="none"/>
          <w:lang w:eastAsia="zh-CN"/>
        </w:rPr>
        <w:drawing>
          <wp:inline distT="0" distB="0" distL="114300" distR="114300">
            <wp:extent cx="6101715" cy="3441065"/>
            <wp:effectExtent l="0" t="0" r="13335" b="6985"/>
            <wp:docPr id="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
                    <pic:cNvPicPr>
                      <a:picLocks noChangeAspect="1"/>
                    </pic:cNvPicPr>
                  </pic:nvPicPr>
                  <pic:blipFill>
                    <a:blip r:embed="rId22"/>
                    <a:stretch>
                      <a:fillRect/>
                    </a:stretch>
                  </pic:blipFill>
                  <pic:spPr>
                    <a:xfrm>
                      <a:off x="0" y="0"/>
                      <a:ext cx="6101715" cy="3441065"/>
                    </a:xfrm>
                    <a:prstGeom prst="rect">
                      <a:avLst/>
                    </a:prstGeom>
                    <a:noFill/>
                    <a:ln>
                      <a:noFill/>
                    </a:ln>
                  </pic:spPr>
                </pic:pic>
              </a:graphicData>
            </a:graphic>
          </wp:inline>
        </w:drawing>
      </w:r>
    </w:p>
    <w:p w14:paraId="30A5D7D0">
      <w:pPr>
        <w:rPr>
          <w:highlight w:val="none"/>
          <w:lang w:eastAsia="zh-CN"/>
        </w:rPr>
      </w:pPr>
      <w:r>
        <w:rPr>
          <w:highlight w:val="none"/>
          <w:lang w:eastAsia="zh-CN"/>
        </w:rPr>
        <w:br w:type="page"/>
      </w:r>
    </w:p>
    <w:p w14:paraId="05EB2BDB">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4.勾选融资意向书：</w:t>
      </w:r>
    </w:p>
    <w:p w14:paraId="21D55437">
      <w:pPr>
        <w:rPr>
          <w:highlight w:val="none"/>
          <w:lang w:eastAsia="zh-CN"/>
        </w:rPr>
      </w:pPr>
      <w:r>
        <w:rPr>
          <w:highlight w:val="none"/>
          <w:lang w:eastAsia="zh-CN"/>
        </w:rPr>
        <w:drawing>
          <wp:inline distT="0" distB="0" distL="114300" distR="114300">
            <wp:extent cx="6142990" cy="3464560"/>
            <wp:effectExtent l="0" t="0" r="10160" b="2540"/>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23"/>
                    <a:stretch>
                      <a:fillRect/>
                    </a:stretch>
                  </pic:blipFill>
                  <pic:spPr>
                    <a:xfrm>
                      <a:off x="0" y="0"/>
                      <a:ext cx="6142990" cy="3464560"/>
                    </a:xfrm>
                    <a:prstGeom prst="rect">
                      <a:avLst/>
                    </a:prstGeom>
                    <a:noFill/>
                    <a:ln>
                      <a:noFill/>
                    </a:ln>
                  </pic:spPr>
                </pic:pic>
              </a:graphicData>
            </a:graphic>
          </wp:inline>
        </w:drawing>
      </w:r>
    </w:p>
    <w:p w14:paraId="226A2EDB">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5.页面下拉，输入贷款金额、预计用款周期、可接受利率、贷款资金用途，点击保存，选择办理贷款机构所在地，然后点击下一步。</w:t>
      </w:r>
    </w:p>
    <w:p w14:paraId="57666930">
      <w:pPr>
        <w:rPr>
          <w:highlight w:val="none"/>
          <w:lang w:eastAsia="zh-CN"/>
        </w:rPr>
      </w:pPr>
      <w:r>
        <w:rPr>
          <w:highlight w:val="none"/>
          <w:lang w:eastAsia="zh-CN"/>
        </w:rPr>
        <w:drawing>
          <wp:inline distT="0" distB="0" distL="114300" distR="114300">
            <wp:extent cx="6176645" cy="3484880"/>
            <wp:effectExtent l="0" t="0" r="14605" b="1270"/>
            <wp:docPr id="5"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
                    <pic:cNvPicPr>
                      <a:picLocks noChangeAspect="1"/>
                    </pic:cNvPicPr>
                  </pic:nvPicPr>
                  <pic:blipFill>
                    <a:blip r:embed="rId24"/>
                    <a:stretch>
                      <a:fillRect/>
                    </a:stretch>
                  </pic:blipFill>
                  <pic:spPr>
                    <a:xfrm>
                      <a:off x="0" y="0"/>
                      <a:ext cx="6176645" cy="3484880"/>
                    </a:xfrm>
                    <a:prstGeom prst="rect">
                      <a:avLst/>
                    </a:prstGeom>
                    <a:noFill/>
                    <a:ln>
                      <a:noFill/>
                    </a:ln>
                  </pic:spPr>
                </pic:pic>
              </a:graphicData>
            </a:graphic>
          </wp:inline>
        </w:drawing>
      </w:r>
      <w:r>
        <w:rPr>
          <w:highlight w:val="none"/>
          <w:lang w:eastAsia="zh-CN"/>
        </w:rPr>
        <w:br w:type="page"/>
      </w:r>
    </w:p>
    <w:p w14:paraId="00C62243">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6.在意向银行列点击提交贷款意向并确定：</w:t>
      </w:r>
    </w:p>
    <w:p w14:paraId="409EE83C">
      <w:pPr>
        <w:rPr>
          <w:highlight w:val="none"/>
          <w:lang w:eastAsia="zh-CN"/>
        </w:rPr>
      </w:pPr>
      <w:r>
        <w:rPr>
          <w:highlight w:val="none"/>
          <w:lang w:eastAsia="zh-CN"/>
        </w:rPr>
        <w:drawing>
          <wp:inline distT="0" distB="0" distL="114300" distR="114300">
            <wp:extent cx="6113780" cy="3449320"/>
            <wp:effectExtent l="0" t="0" r="1270" b="17780"/>
            <wp:docPr id="6"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6"/>
                    <pic:cNvPicPr>
                      <a:picLocks noChangeAspect="1"/>
                    </pic:cNvPicPr>
                  </pic:nvPicPr>
                  <pic:blipFill>
                    <a:blip r:embed="rId25"/>
                    <a:stretch>
                      <a:fillRect/>
                    </a:stretch>
                  </pic:blipFill>
                  <pic:spPr>
                    <a:xfrm>
                      <a:off x="0" y="0"/>
                      <a:ext cx="6113780" cy="3449320"/>
                    </a:xfrm>
                    <a:prstGeom prst="rect">
                      <a:avLst/>
                    </a:prstGeom>
                    <a:noFill/>
                    <a:ln>
                      <a:noFill/>
                    </a:ln>
                  </pic:spPr>
                </pic:pic>
              </a:graphicData>
            </a:graphic>
          </wp:inline>
        </w:drawing>
      </w:r>
    </w:p>
    <w:p w14:paraId="425CC987">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7.在申请进度栏即可查看本笔融资进度：</w:t>
      </w:r>
    </w:p>
    <w:p w14:paraId="79DC6ABF">
      <w:pPr>
        <w:rPr>
          <w:highlight w:val="none"/>
          <w:lang w:eastAsia="zh-CN"/>
        </w:rPr>
      </w:pPr>
      <w:r>
        <w:rPr>
          <w:highlight w:val="none"/>
          <w:lang w:eastAsia="zh-CN"/>
        </w:rPr>
        <w:drawing>
          <wp:inline distT="0" distB="0" distL="114300" distR="114300">
            <wp:extent cx="6142990" cy="3464560"/>
            <wp:effectExtent l="0" t="0" r="10160" b="2540"/>
            <wp:docPr id="7"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7"/>
                    <pic:cNvPicPr>
                      <a:picLocks noChangeAspect="1"/>
                    </pic:cNvPicPr>
                  </pic:nvPicPr>
                  <pic:blipFill>
                    <a:blip r:embed="rId26"/>
                    <a:stretch>
                      <a:fillRect/>
                    </a:stretch>
                  </pic:blipFill>
                  <pic:spPr>
                    <a:xfrm>
                      <a:off x="0" y="0"/>
                      <a:ext cx="6142990" cy="3464560"/>
                    </a:xfrm>
                    <a:prstGeom prst="rect">
                      <a:avLst/>
                    </a:prstGeom>
                    <a:noFill/>
                    <a:ln>
                      <a:noFill/>
                    </a:ln>
                  </pic:spPr>
                </pic:pic>
              </a:graphicData>
            </a:graphic>
          </wp:inline>
        </w:drawing>
      </w:r>
    </w:p>
    <w:p w14:paraId="57DD7946">
      <w:pPr>
        <w:rPr>
          <w:highlight w:val="none"/>
          <w:lang w:eastAsia="zh-CN"/>
        </w:rPr>
      </w:pPr>
      <w:r>
        <w:rPr>
          <w:highlight w:val="none"/>
          <w:lang w:eastAsia="zh-CN"/>
        </w:rPr>
        <w:br w:type="page"/>
      </w:r>
    </w:p>
    <w:p w14:paraId="79B2AE15">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7EDFC99B">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044F86B6">
      <w:pPr>
        <w:spacing w:before="165" w:after="0" w:line="360" w:lineRule="auto"/>
        <w:ind w:left="0" w:right="0" w:firstLine="0"/>
        <w:jc w:val="left"/>
        <w:rPr>
          <w:rFonts w:hint="eastAsia" w:ascii="宋体" w:hAnsi="宋体" w:eastAsia="宋体" w:cs="宋体"/>
          <w:color w:val="000000"/>
          <w:spacing w:val="0"/>
          <w:sz w:val="24"/>
          <w:highlight w:val="none"/>
        </w:rPr>
      </w:pPr>
    </w:p>
    <w:p w14:paraId="7F01AC92">
      <w:pPr>
        <w:spacing w:before="165" w:after="0" w:line="360" w:lineRule="auto"/>
        <w:ind w:left="0" w:right="0" w:firstLine="48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4BE39DA1">
      <w:pPr>
        <w:rPr>
          <w:rFonts w:hint="eastAsia"/>
          <w:highlight w:val="none"/>
        </w:rPr>
      </w:pPr>
    </w:p>
    <w:p w14:paraId="2ACE868F">
      <w:pPr>
        <w:rPr>
          <w:rFonts w:hint="eastAsia" w:ascii="宋体" w:hAnsi="宋体"/>
          <w:sz w:val="24"/>
          <w:szCs w:val="24"/>
          <w:highlight w:val="none"/>
          <w:lang w:val="zh-CN"/>
        </w:rPr>
      </w:pPr>
      <w:r>
        <w:rPr>
          <w:rFonts w:hint="eastAsia" w:ascii="宋体" w:hAnsi="宋体"/>
          <w:sz w:val="24"/>
          <w:szCs w:val="24"/>
          <w:highlight w:val="none"/>
          <w:lang w:val="zh-CN"/>
        </w:rPr>
        <w:br w:type="page"/>
      </w:r>
    </w:p>
    <w:p w14:paraId="7AF31F1F">
      <w:pPr>
        <w:pStyle w:val="2"/>
        <w:rPr>
          <w:rFonts w:hint="eastAsia" w:ascii="宋体" w:hAnsi="宋体" w:eastAsia="宋体" w:cs="宋体"/>
          <w:b/>
          <w:bCs/>
          <w:sz w:val="32"/>
          <w:szCs w:val="32"/>
          <w:highlight w:val="none"/>
        </w:rPr>
      </w:pPr>
      <w:bookmarkStart w:id="15" w:name="_Toc12670"/>
      <w:bookmarkStart w:id="16" w:name="_Toc31713"/>
      <w:r>
        <w:rPr>
          <w:rFonts w:hint="eastAsia" w:ascii="宋体" w:hAnsi="宋体" w:eastAsia="宋体" w:cs="宋体"/>
          <w:b/>
          <w:bCs/>
          <w:sz w:val="32"/>
          <w:szCs w:val="32"/>
          <w:highlight w:val="none"/>
        </w:rPr>
        <w:t>第三章  招标内容及要求</w:t>
      </w:r>
      <w:bookmarkEnd w:id="14"/>
      <w:bookmarkEnd w:id="15"/>
      <w:bookmarkEnd w:id="16"/>
    </w:p>
    <w:p w14:paraId="4FE2055E">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bookmarkStart w:id="17" w:name="_Toc100219615"/>
      <w:r>
        <w:rPr>
          <w:rFonts w:hint="eastAsia" w:ascii="宋体" w:hAnsi="宋体" w:eastAsia="宋体" w:cs="宋体"/>
          <w:b/>
          <w:bCs/>
          <w:sz w:val="24"/>
          <w:szCs w:val="24"/>
          <w:highlight w:val="none"/>
          <w:lang w:val="en-US" w:eastAsia="en-US" w:bidi="ar-SA"/>
        </w:rPr>
        <w:t>一、项目概况</w:t>
      </w:r>
    </w:p>
    <w:p w14:paraId="60CDCF1C">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spacing w:val="0"/>
          <w:position w:val="0"/>
          <w:sz w:val="24"/>
          <w:szCs w:val="24"/>
          <w:highlight w:val="none"/>
          <w:lang w:val="en-US" w:eastAsia="zh-CN"/>
        </w:rPr>
        <w:t>2025-2027管委会机关餐饮服务第三批（金融商务产业园等部门餐厅服务）（世园会展产业园）（六包）</w:t>
      </w:r>
      <w:r>
        <w:rPr>
          <w:rFonts w:hint="eastAsia" w:ascii="宋体" w:hAnsi="宋体" w:eastAsia="宋体" w:cs="宋体"/>
          <w:kern w:val="0"/>
          <w:sz w:val="24"/>
          <w:szCs w:val="24"/>
          <w:highlight w:val="none"/>
          <w:lang w:val="en-US" w:eastAsia="zh-CN"/>
        </w:rPr>
        <w:t>。</w:t>
      </w:r>
    </w:p>
    <w:p w14:paraId="7C446751">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r>
        <w:rPr>
          <w:rFonts w:hint="eastAsia" w:ascii="宋体" w:hAnsi="宋体" w:eastAsia="宋体" w:cs="宋体"/>
          <w:b/>
          <w:bCs/>
          <w:sz w:val="24"/>
          <w:szCs w:val="24"/>
          <w:highlight w:val="none"/>
          <w:lang w:val="en-US" w:eastAsia="en-US" w:bidi="ar-SA"/>
        </w:rPr>
        <w:t>二、服务内容</w:t>
      </w:r>
    </w:p>
    <w:p w14:paraId="327A968E">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en-US"/>
        </w:rPr>
        <w:t>为保障</w:t>
      </w:r>
      <w:r>
        <w:rPr>
          <w:rFonts w:hint="eastAsia" w:ascii="宋体" w:hAnsi="宋体" w:eastAsia="宋体" w:cs="宋体"/>
          <w:kern w:val="0"/>
          <w:sz w:val="24"/>
          <w:szCs w:val="24"/>
          <w:highlight w:val="none"/>
          <w:lang w:val="en-US" w:eastAsia="zh-CN"/>
        </w:rPr>
        <w:t>2025-2027管委会机关餐饮服务第三批（金融商务产业园等部门餐厅服务）</w:t>
      </w:r>
      <w:r>
        <w:rPr>
          <w:rFonts w:hint="eastAsia" w:ascii="宋体" w:hAnsi="宋体" w:eastAsia="宋体" w:cs="宋体"/>
          <w:kern w:val="0"/>
          <w:sz w:val="24"/>
          <w:szCs w:val="24"/>
          <w:highlight w:val="none"/>
          <w:lang w:val="en-US" w:eastAsia="en-US"/>
        </w:rPr>
        <w:t>（世园会展产业园）（六包）的正常餐饮活动，须进行餐厅服务承包采购</w:t>
      </w:r>
      <w:r>
        <w:rPr>
          <w:rFonts w:hint="eastAsia" w:ascii="宋体" w:hAnsi="宋体" w:eastAsia="宋体" w:cs="宋体"/>
          <w:kern w:val="0"/>
          <w:sz w:val="24"/>
          <w:szCs w:val="24"/>
          <w:highlight w:val="none"/>
          <w:lang w:val="en-US" w:eastAsia="zh-CN"/>
        </w:rPr>
        <w:t>，配置</w:t>
      </w:r>
      <w:r>
        <w:rPr>
          <w:rFonts w:hint="eastAsia" w:ascii="宋体" w:hAnsi="宋体" w:eastAsia="宋体" w:cs="宋体"/>
          <w:i w:val="0"/>
          <w:iCs w:val="0"/>
          <w:caps w:val="0"/>
          <w:color w:val="auto"/>
          <w:spacing w:val="0"/>
          <w:kern w:val="0"/>
          <w:sz w:val="24"/>
          <w:szCs w:val="24"/>
          <w:highlight w:val="none"/>
          <w:u w:val="none"/>
          <w:lang w:val="en-US" w:eastAsia="zh-CN" w:bidi="ar-SA"/>
        </w:rPr>
        <w:t>不少于</w:t>
      </w:r>
      <w:r>
        <w:rPr>
          <w:rFonts w:hint="eastAsia" w:ascii="宋体" w:hAnsi="宋体" w:eastAsia="宋体" w:cs="宋体"/>
          <w:kern w:val="0"/>
          <w:sz w:val="24"/>
          <w:szCs w:val="24"/>
          <w:highlight w:val="none"/>
          <w:lang w:val="en-US" w:eastAsia="zh-CN"/>
        </w:rPr>
        <w:t>5名厨房工作人员，用餐人数102人。合同执行过程中，因就餐人数增减需增减食堂工作人员的，由供应商与采购人协商解决。餐厅所辖区域的设备、设施安全运行及维护、卫生清洁服务；打卡收费，负责餐厅食品卫生、设备安全等工作。</w:t>
      </w:r>
    </w:p>
    <w:p w14:paraId="78200CB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（一）现场运营管理</w:t>
      </w:r>
    </w:p>
    <w:p w14:paraId="305AFA4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1.服务内容</w:t>
      </w:r>
    </w:p>
    <w:p w14:paraId="2713344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包括</w:t>
      </w:r>
      <w:r>
        <w:rPr>
          <w:rFonts w:hint="eastAsia" w:ascii="宋体" w:hAnsi="宋体" w:eastAsia="宋体" w:cs="宋体"/>
          <w:sz w:val="24"/>
          <w:szCs w:val="24"/>
          <w:highlight w:val="none"/>
          <w:lang w:val="en-US" w:eastAsia="zh-CN"/>
        </w:rPr>
        <w:t>但不限于</w:t>
      </w:r>
      <w:r>
        <w:rPr>
          <w:rFonts w:hint="eastAsia" w:ascii="宋体" w:hAnsi="宋体" w:eastAsia="宋体" w:cs="宋体"/>
          <w:sz w:val="24"/>
          <w:szCs w:val="24"/>
          <w:highlight w:val="none"/>
        </w:rPr>
        <w:t>：</w:t>
      </w:r>
    </w:p>
    <w:p w14:paraId="38E9FDA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（1）餐厅工作人员的招聘与管理；</w:t>
      </w:r>
    </w:p>
    <w:p w14:paraId="59B425A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（2）餐厅档口的餐品</w:t>
      </w:r>
      <w:r>
        <w:rPr>
          <w:rFonts w:hint="eastAsia" w:ascii="宋体" w:hAnsi="宋体" w:eastAsia="宋体" w:cs="宋体"/>
          <w:sz w:val="24"/>
          <w:szCs w:val="24"/>
          <w:highlight w:val="none"/>
        </w:rPr>
        <w:t>供应；</w:t>
      </w:r>
    </w:p>
    <w:p w14:paraId="6F076F8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（3）餐厅档口菜品质量控制</w:t>
      </w:r>
      <w:r>
        <w:rPr>
          <w:rFonts w:hint="eastAsia" w:ascii="宋体" w:hAnsi="宋体" w:eastAsia="宋体" w:cs="宋体"/>
          <w:sz w:val="24"/>
          <w:szCs w:val="24"/>
          <w:highlight w:val="none"/>
        </w:rPr>
        <w:t>；</w:t>
      </w:r>
    </w:p>
    <w:p w14:paraId="3358B69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（4）餐厅所有食材原料供应链搭建与管理；</w:t>
      </w:r>
    </w:p>
    <w:p w14:paraId="49DC319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（5）餐厅食品安全管理；</w:t>
      </w:r>
    </w:p>
    <w:p w14:paraId="42FF65D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（6）餐厅环境质量管理</w:t>
      </w:r>
      <w:r>
        <w:rPr>
          <w:rFonts w:hint="eastAsia" w:ascii="宋体" w:hAnsi="宋体" w:eastAsia="宋体" w:cs="宋体"/>
          <w:sz w:val="24"/>
          <w:szCs w:val="24"/>
          <w:highlight w:val="none"/>
        </w:rPr>
        <w:t>；</w:t>
      </w:r>
    </w:p>
    <w:p w14:paraId="664BB78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（7）餐厅服务管理；</w:t>
      </w:r>
    </w:p>
    <w:p w14:paraId="40FCA25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（8）餐厅</w:t>
      </w:r>
      <w:r>
        <w:rPr>
          <w:rFonts w:hint="eastAsia" w:ascii="宋体" w:hAnsi="宋体" w:eastAsia="宋体" w:cs="宋体"/>
          <w:sz w:val="24"/>
          <w:szCs w:val="24"/>
          <w:highlight w:val="none"/>
        </w:rPr>
        <w:t>设施设备的</w:t>
      </w:r>
      <w:r>
        <w:rPr>
          <w:rFonts w:hint="eastAsia" w:ascii="宋体" w:hAnsi="宋体" w:eastAsia="宋体" w:cs="宋体"/>
          <w:sz w:val="24"/>
          <w:szCs w:val="24"/>
          <w:highlight w:val="none"/>
          <w:lang w:val="en-US" w:eastAsia="zh-CN"/>
        </w:rPr>
        <w:t>保管与维护</w:t>
      </w:r>
      <w:r>
        <w:rPr>
          <w:rFonts w:hint="eastAsia" w:ascii="宋体" w:hAnsi="宋体" w:eastAsia="宋体" w:cs="宋体"/>
          <w:sz w:val="24"/>
          <w:szCs w:val="24"/>
          <w:highlight w:val="none"/>
          <w:lang w:eastAsia="zh-CN"/>
        </w:rPr>
        <w:t>；</w:t>
      </w:r>
    </w:p>
    <w:p w14:paraId="68AC97B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（9）突发事件的应急管理</w:t>
      </w:r>
      <w:r>
        <w:rPr>
          <w:rFonts w:hint="eastAsia" w:ascii="宋体" w:hAnsi="宋体" w:eastAsia="宋体" w:cs="宋体"/>
          <w:sz w:val="24"/>
          <w:szCs w:val="24"/>
          <w:highlight w:val="none"/>
        </w:rPr>
        <w:t>等。</w:t>
      </w:r>
    </w:p>
    <w:p w14:paraId="1478FFF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（二）经营管理服务</w:t>
      </w:r>
    </w:p>
    <w:p w14:paraId="22222A8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包括但不限于：</w:t>
      </w:r>
    </w:p>
    <w:p w14:paraId="4EA4749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1.结合经营情况，建立健全餐厅组织管理提供组织管理方案与制度；</w:t>
      </w:r>
    </w:p>
    <w:p w14:paraId="4BBB516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2.引进国内先进餐厅管理理念与经验，为餐厅全流程管理提供方案；</w:t>
      </w:r>
    </w:p>
    <w:p w14:paraId="66BDD76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3.对餐饮专业团队的招聘、专业团队的建设管理工作提供建议并协助完成；</w:t>
      </w:r>
    </w:p>
    <w:p w14:paraId="3FA594B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4.对餐厅人员进行日常培训；</w:t>
      </w:r>
    </w:p>
    <w:p w14:paraId="4028A62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5.按季度反馈信息系统运行情况以及整改意见；</w:t>
      </w:r>
    </w:p>
    <w:p w14:paraId="574B13B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6.参与信息系统全流程运行并提供经营管理服务；</w:t>
      </w:r>
    </w:p>
    <w:p w14:paraId="297BAC0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7.参与餐厅供应链系统的选择、导入及监督工作；</w:t>
      </w:r>
    </w:p>
    <w:p w14:paraId="24F0B87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8.餐厅各类设施设备的选择与维护提供专业化的建议与意见；</w:t>
      </w:r>
    </w:p>
    <w:p w14:paraId="373CA03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9.餐厅菜品研发及出品方案进行持续设计、优化与提升；</w:t>
      </w:r>
    </w:p>
    <w:p w14:paraId="4879475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10.对餐厅的食品安全、环境卫生、经营情况等进行检查，并对发现问题进行汇总整理，并协助整改落实；</w:t>
      </w:r>
    </w:p>
    <w:p w14:paraId="40EF0C2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11.配合完成职责范围内的经营管理服务。</w:t>
      </w:r>
    </w:p>
    <w:p w14:paraId="2BD3055D">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en-US" w:bidi="ar-SA"/>
        </w:rPr>
        <w:t>三、</w:t>
      </w:r>
      <w:r>
        <w:rPr>
          <w:rFonts w:hint="eastAsia" w:ascii="宋体" w:hAnsi="宋体" w:eastAsia="宋体" w:cs="宋体"/>
          <w:b/>
          <w:bCs/>
          <w:sz w:val="24"/>
          <w:szCs w:val="24"/>
          <w:highlight w:val="none"/>
          <w:lang w:val="en-US" w:eastAsia="zh-CN" w:bidi="ar-SA"/>
        </w:rPr>
        <w:t>技术</w:t>
      </w:r>
      <w:r>
        <w:rPr>
          <w:rFonts w:hint="eastAsia" w:ascii="宋体" w:hAnsi="宋体" w:eastAsia="宋体" w:cs="宋体"/>
          <w:b/>
          <w:bCs/>
          <w:sz w:val="24"/>
          <w:szCs w:val="24"/>
          <w:highlight w:val="none"/>
          <w:lang w:val="en-US" w:eastAsia="en-US" w:bidi="ar-SA"/>
        </w:rPr>
        <w:t>要求</w:t>
      </w:r>
    </w:p>
    <w:p w14:paraId="48531065">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（一）供餐标准</w:t>
      </w:r>
    </w:p>
    <w:p w14:paraId="459673D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1.供应商按照每天人均40元（包含早餐、午餐、晚餐）标准合理配餐。</w:t>
      </w:r>
    </w:p>
    <w:p w14:paraId="38593BE6">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配餐标准要求（不限于）：</w:t>
      </w:r>
    </w:p>
    <w:p w14:paraId="0E471DD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（1）早餐：7个菜（4凉3热），主食馒头、包子、花卷、油条（饼）等，小吃胡辣汤、肉夹馍、豆腐脑等不能重样，小菜4种，稀饭2种，豆浆、鲜奶、鸡蛋必备。</w:t>
      </w:r>
    </w:p>
    <w:p w14:paraId="4C56D706">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（2）中餐：8个菜（春夏秋三季2凉6热、冬季8热），主食米饭、面条等，小吃不少于两种，荤素汤各1种，水果2样，酸奶1种。</w:t>
      </w:r>
    </w:p>
    <w:p w14:paraId="578B1ECE">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（3）晚餐：3个菜，面条。</w:t>
      </w:r>
    </w:p>
    <w:p w14:paraId="50A7B81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（4）小吃，多样化。</w:t>
      </w:r>
    </w:p>
    <w:p w14:paraId="36ACFA3E">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供应商按照上述餐费标准及要求制定菜谱，做到营养搭配、均衡膳食。</w:t>
      </w:r>
    </w:p>
    <w:p w14:paraId="0B9848B5">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2.供餐时间：早饭：07：30-09：00</w:t>
      </w:r>
    </w:p>
    <w:p w14:paraId="4908735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午饭：11：30-13：30</w:t>
      </w:r>
    </w:p>
    <w:p w14:paraId="6F679127">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晚饭：17：30-19：30</w:t>
      </w:r>
    </w:p>
    <w:p w14:paraId="77E31EAF">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注：采购人周末及节假日均有少量人员值班，供应商需正常供餐。</w:t>
      </w:r>
    </w:p>
    <w:p w14:paraId="08FAF330">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r>
        <w:rPr>
          <w:rFonts w:hint="eastAsia" w:ascii="宋体" w:hAnsi="宋体" w:eastAsia="宋体" w:cs="宋体"/>
          <w:b/>
          <w:bCs/>
          <w:sz w:val="24"/>
          <w:szCs w:val="24"/>
          <w:highlight w:val="none"/>
          <w:lang w:val="en-US" w:eastAsia="en-US" w:bidi="ar-SA"/>
        </w:rPr>
        <w:t>四、服务要求与标准</w:t>
      </w:r>
    </w:p>
    <w:p w14:paraId="6A97B985">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zh-CN" w:bidi="ar-SA"/>
        </w:rPr>
        <w:t>（一）管理要求</w:t>
      </w:r>
    </w:p>
    <w:p w14:paraId="58C1D0C4">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r>
        <w:rPr>
          <w:rFonts w:hint="eastAsia" w:ascii="宋体" w:hAnsi="宋体" w:eastAsia="宋体" w:cs="宋体"/>
          <w:snapToGrid w:val="0"/>
          <w:color w:val="000000"/>
          <w:kern w:val="0"/>
          <w:sz w:val="24"/>
          <w:szCs w:val="24"/>
          <w:highlight w:val="none"/>
          <w:lang w:val="en-US" w:eastAsia="zh-CN" w:bidi="ar-SA"/>
        </w:rPr>
        <w:t>供应商负责做好食堂后厨及餐厅清洁卫生；</w:t>
      </w:r>
    </w:p>
    <w:p w14:paraId="58182914">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2.用时合理；</w:t>
      </w:r>
    </w:p>
    <w:p w14:paraId="08C08D64">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3.所有菜品应根据季节变化更新原料搭配，注重菜品更新；</w:t>
      </w:r>
    </w:p>
    <w:p w14:paraId="1E4C787F">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4.食品安全保证；</w:t>
      </w:r>
    </w:p>
    <w:p w14:paraId="4AC16A25">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5.为就餐地点合理配备各类服务人员及人数；</w:t>
      </w:r>
    </w:p>
    <w:p w14:paraId="48EB8857">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6.供应商负责餐饮质量、现场安全生产管理等相关工作；</w:t>
      </w:r>
    </w:p>
    <w:p w14:paraId="6B87A36D">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7.食品样品留样：供应商每日食品须留样，食品样品的提取和保存应满足采购人或政府监管部门的要求，供应商应随时配合政府有关部门的管理；</w:t>
      </w:r>
    </w:p>
    <w:p w14:paraId="004E43DB">
      <w:pPr>
        <w:pStyle w:val="15"/>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w:t>
      </w:r>
      <w:r>
        <w:rPr>
          <w:rFonts w:hint="eastAsia" w:ascii="宋体" w:hAnsi="宋体" w:eastAsia="宋体" w:cs="宋体"/>
          <w:snapToGrid w:val="0"/>
          <w:color w:val="000000"/>
          <w:kern w:val="0"/>
          <w:sz w:val="24"/>
          <w:szCs w:val="24"/>
          <w:highlight w:val="none"/>
          <w:lang w:val="en-US" w:eastAsia="zh-CN" w:bidi="ar-SA"/>
        </w:rPr>
        <w:t>餐厅食品安全管理工作，对食材入库检查、食材加工烹调、厨房餐具用具等重点环节进行重点把控；</w:t>
      </w:r>
    </w:p>
    <w:p w14:paraId="7BD25EEE">
      <w:pPr>
        <w:pStyle w:val="15"/>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9.</w:t>
      </w:r>
      <w:r>
        <w:rPr>
          <w:rFonts w:hint="eastAsia" w:ascii="宋体" w:hAnsi="宋体" w:eastAsia="宋体" w:cs="宋体"/>
          <w:color w:val="auto"/>
          <w:kern w:val="0"/>
          <w:sz w:val="24"/>
          <w:szCs w:val="24"/>
          <w:highlight w:val="none"/>
          <w:lang w:val="en-US" w:eastAsia="zh-CN"/>
        </w:rPr>
        <w:t>餐厅食品卫生管理工作，对食品配餐间、食品加工间以及工作人员的卫生等情况进行管理；</w:t>
      </w:r>
    </w:p>
    <w:p w14:paraId="58FFAD95">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10.餐厅各区域内的安全设施是否正常，制定消防演练、预案演练等工作，确保餐厅人员和财产安全；</w:t>
      </w:r>
    </w:p>
    <w:p w14:paraId="2E565C1E">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11.安全、消防知识学习，定期进行安全、消防检查，及时处理安全漏洞与隐患，遇险情立即采取应急措施，并及时报告相关领导。</w:t>
      </w:r>
    </w:p>
    <w:p w14:paraId="4F9F0B47">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zh-CN" w:bidi="ar-SA"/>
        </w:rPr>
        <w:t>（二）餐厅人员要求及标准</w:t>
      </w:r>
    </w:p>
    <w:p w14:paraId="0807906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餐厅服务人员应满足以下条件：</w:t>
      </w:r>
    </w:p>
    <w:p w14:paraId="7A4300B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凡食品生产经营人员应按照相关规定进行健康检查，取得健康证明后方可参加工作；</w:t>
      </w:r>
    </w:p>
    <w:p w14:paraId="5311124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凡患有痢疾、伤寒、病毒性肝炎等消化道传染病（包括病原携带者），活动性肺结核，化脓性或者渗出性皮肤病及其它有碍食品卫生的疾病，不得从事接触直接入口食品工作；</w:t>
      </w:r>
    </w:p>
    <w:p w14:paraId="3E0524A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凡食品从业人员手部有开放性、感染性伤口，必须调离工作岗位；</w:t>
      </w:r>
    </w:p>
    <w:p w14:paraId="2E3F836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人员须提供入职人员档案、身份证复印件、员工花名册以及对应照片、保险、健康证明、无犯罪记录证明等，</w:t>
      </w:r>
    </w:p>
    <w:p w14:paraId="5332A73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人员应为年龄18周岁以上的中国公民，品行良好，遵纪守法，无犯罪记录或治安处罚记录。</w:t>
      </w:r>
    </w:p>
    <w:p w14:paraId="4E03037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人员应具备相应岗位的工作能力和工作经验，思想作风正派；</w:t>
      </w:r>
    </w:p>
    <w:p w14:paraId="3867DA9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服务人员需提供人员名单、身份证号码等个人信息，以便于后期采购人随时核查。如出现虚假响应或不响应等情况，则取消中标资格。</w:t>
      </w:r>
    </w:p>
    <w:p w14:paraId="17125355">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（三）食品安全生产要求及标准</w:t>
      </w:r>
    </w:p>
    <w:p w14:paraId="5102683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依照法律、法规和食品安全标准从事加工经营活动，对采购人负责，采取有效管理措施，保证食品安全，接受社会监督，承担社会责任。按照许可范围依法经营,并在就餐场所醒目位置悬挂或者摆放食品经营许可证；</w:t>
      </w:r>
    </w:p>
    <w:p w14:paraId="2B9974B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建立健全食品库房管理制度、食品加工间管理制度、粗加工管理制度、烹调加工管理制度、面食制作管理制度、食品留样制度、餐具洗涤消杀管理制度等相关制度；</w:t>
      </w:r>
    </w:p>
    <w:p w14:paraId="24509BF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建立餐厅食品安全管理组织机构,配备培训合格的食品安全管理员，对食品生产过程实施内部检查管理并记录,落实责任到人和员工奖罚制度管理，积极预防和控制食品安全事件。</w:t>
      </w:r>
    </w:p>
    <w:p w14:paraId="6665C836">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（四）卫生要求</w:t>
      </w:r>
    </w:p>
    <w:p w14:paraId="62E2F46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厨房内配备防蝇</w:t>
      </w:r>
      <w:r>
        <w:rPr>
          <w:rFonts w:hint="eastAsia" w:ascii="宋体" w:hAnsi="宋体" w:eastAsia="宋体" w:cs="宋体"/>
          <w:b w:val="0"/>
          <w:bCs w:val="0"/>
          <w:color w:val="000000"/>
          <w:kern w:val="0"/>
          <w:sz w:val="24"/>
          <w:szCs w:val="24"/>
          <w:highlight w:val="none"/>
          <w:lang w:val="en-US" w:eastAsia="zh-CN" w:bidi="ar"/>
        </w:rPr>
        <w:t>、防鼠</w:t>
      </w:r>
      <w:r>
        <w:rPr>
          <w:rFonts w:hint="eastAsia" w:ascii="宋体" w:hAnsi="宋体" w:eastAsia="宋体" w:cs="宋体"/>
          <w:color w:val="000000"/>
          <w:kern w:val="0"/>
          <w:sz w:val="24"/>
          <w:szCs w:val="24"/>
          <w:highlight w:val="none"/>
          <w:lang w:val="en-US" w:eastAsia="zh-CN" w:bidi="ar"/>
        </w:rPr>
        <w:t>措施和设施。</w:t>
      </w:r>
    </w:p>
    <w:p w14:paraId="7E306C4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连接餐厅的通道干净整洁，地面无积水和油腻，有隔音、隔气装置，设施完好有效。</w:t>
      </w:r>
    </w:p>
    <w:p w14:paraId="001E7F20">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灶台和橱柜清洁完好，无破损，无油垢，无垃圾，橱柜内各种用具用品摆放有序，无私人用品。</w:t>
      </w:r>
    </w:p>
    <w:p w14:paraId="292ABC7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排烟罩清洁完好，罩面、滤油网以及里面的照明灯具均无油垢，有定期擦排烟罩和清洗滤油网的措施。</w:t>
      </w:r>
    </w:p>
    <w:p w14:paraId="19AE4881">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调料缸干净整洁，各种调料充足，不变质，开餐工作结束时坚持加盖盖好。</w:t>
      </w:r>
    </w:p>
    <w:p w14:paraId="1C47D330">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砧板清洁，无霉斑积垢，开餐工作结束时，要竖放或置于两面通风处。</w:t>
      </w:r>
    </w:p>
    <w:p w14:paraId="28B04D95">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刀具清洁无锈迹，有安全地存放刀架，并实行个人保管制度。</w:t>
      </w:r>
    </w:p>
    <w:p w14:paraId="217D6F75">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8</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冰箱(冰柜、冷藏柜、保鲜柜)清洁完好，有定期的清理和除霜制度,表面无锈迹，无油垢，无破损；冰箱内干净，无积水，无异味，摆放整齐，严格做到鱼肉分开、荤素分开、生热分开、成品和半成品分开；无私人物品，并由专人管理。</w:t>
      </w:r>
    </w:p>
    <w:p w14:paraId="20F1A85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9</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冷拼间、面点间坚持做到“三专”(专间、专人、专用具)、“三严”(严格检查进货、严格分开生熟食品、严格消毒各种用具)、“三不入”(未经洗净的生食品不准入内、非有关的人员不准入内、私人的物品不得带入)，专间内备有“三水”(消毒水、洗涤水、清水)，进入专间实行两次更衣。</w:t>
      </w:r>
    </w:p>
    <w:p w14:paraId="4592729B">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10</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所有炊具、盛器、餐具清洁完好，无破损，无油垢。</w:t>
      </w:r>
    </w:p>
    <w:p w14:paraId="33C0C9AA">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11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厨房的四壁、天花板干净整洁、无破损，地面、排水沟、无积水、无油垢、无积尘、无垃圾、无破损。</w:t>
      </w:r>
    </w:p>
    <w:p w14:paraId="25A05B70">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厨房门窗清洁完好，无油垢、无积尘、无破损。</w:t>
      </w:r>
    </w:p>
    <w:p w14:paraId="1833839B">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13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脚踏式垃圾箱(桶)加盖盖好，四周无散积垃圾，及时清运。</w:t>
      </w:r>
    </w:p>
    <w:p w14:paraId="598F51D3">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14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厨房内四害密度控制在标准要求内，有定期的除害打药措施。</w:t>
      </w:r>
    </w:p>
    <w:p w14:paraId="16C71B7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（五）严格落实监管意见和整改的要求；</w:t>
      </w:r>
    </w:p>
    <w:p w14:paraId="06015C3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食品安全管理员须认真按照职责要求，组织贯彻落实管理人员和从业人员食品安全知识培训、员工健康管理、索证票据、餐具清洗消毒、综合检查、设备管理,环境卫生管理等各项食品安全管理制度，并做好相关记录；</w:t>
      </w:r>
    </w:p>
    <w:p w14:paraId="0879EE8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每位员工都要严把食品安全卫生关，拿到出餐台的产品不得出现任何异物，切实做好预防食物中毒的工作；</w:t>
      </w:r>
    </w:p>
    <w:p w14:paraId="165D044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餐厅设施设备</w:t>
      </w:r>
      <w:r>
        <w:rPr>
          <w:rFonts w:hint="eastAsia" w:ascii="宋体" w:hAnsi="宋体" w:eastAsia="宋体" w:cs="宋体"/>
          <w:color w:val="000000"/>
          <w:sz w:val="24"/>
          <w:szCs w:val="24"/>
          <w:highlight w:val="none"/>
          <w:shd w:val="clear" w:color="auto" w:fill="auto"/>
          <w:lang w:bidi="en-US"/>
        </w:rPr>
        <w:t>及时</w:t>
      </w:r>
      <w:r>
        <w:rPr>
          <w:rFonts w:hint="eastAsia" w:ascii="宋体" w:hAnsi="宋体" w:eastAsia="宋体" w:cs="宋体"/>
          <w:color w:val="000000"/>
          <w:sz w:val="24"/>
          <w:szCs w:val="24"/>
          <w:highlight w:val="none"/>
          <w:shd w:val="clear" w:color="auto" w:fill="auto"/>
          <w:lang w:val="en-US" w:eastAsia="zh-CN" w:bidi="en-US"/>
        </w:rPr>
        <w:t>清洗消毒和</w:t>
      </w:r>
      <w:r>
        <w:rPr>
          <w:rFonts w:hint="eastAsia" w:ascii="宋体" w:hAnsi="宋体" w:eastAsia="宋体" w:cs="宋体"/>
          <w:color w:val="000000"/>
          <w:sz w:val="24"/>
          <w:szCs w:val="24"/>
          <w:highlight w:val="none"/>
          <w:shd w:val="clear" w:color="auto" w:fill="auto"/>
          <w:lang w:bidi="en-US"/>
        </w:rPr>
        <w:t>满足餐厅设施设备</w:t>
      </w:r>
      <w:r>
        <w:rPr>
          <w:rFonts w:hint="eastAsia" w:ascii="宋体" w:hAnsi="宋体" w:eastAsia="宋体" w:cs="宋体"/>
          <w:color w:val="000000"/>
          <w:sz w:val="24"/>
          <w:szCs w:val="24"/>
          <w:highlight w:val="none"/>
          <w:shd w:val="clear" w:color="auto" w:fill="auto"/>
          <w:lang w:val="en-US" w:eastAsia="zh-CN" w:bidi="en-US"/>
        </w:rPr>
        <w:t>维护要求及标准；</w:t>
      </w:r>
    </w:p>
    <w:p w14:paraId="0446DC8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厨房员工必须进行机器设备安全使用知识的培训。</w:t>
      </w:r>
    </w:p>
    <w:p w14:paraId="24CBFCE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进场后对厨房设备进行全面统计造册，建立“设施设备清单”及“设施设备台账”。</w:t>
      </w:r>
    </w:p>
    <w:p w14:paraId="6C6DEB9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各部门掌握自己所用设备的正确使用方法并严格按照设备操作说明书要求操作；</w:t>
      </w:r>
    </w:p>
    <w:p w14:paraId="24F2045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定期进行设施设备安全检查，并填写“设施设备定期巡检表”；</w:t>
      </w:r>
    </w:p>
    <w:p w14:paraId="3A8EA7D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8</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根据设备情况编制各项设备“年度保养计划”及“设备大中修计划”，对于在保修期间的设施设备问题及时联系厂家进行免费维保；对于超出保修期的设施设备问题及时联系相关人员进行维保；</w:t>
      </w:r>
    </w:p>
    <w:p w14:paraId="1303763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9</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专人对厨房所有设备及水、电、气等重点安全事项进行检查，确保万无一失，方可离开厨房，并锁好厨房门锁。</w:t>
      </w:r>
    </w:p>
    <w:p w14:paraId="4A2A192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（六）餐厅消防安全管理要求及标准</w:t>
      </w:r>
    </w:p>
    <w:p w14:paraId="38B4516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在营业期间，保障安全出口、疏散通道畅通无阻，消防安全疏散标志要随时完好。</w:t>
      </w:r>
    </w:p>
    <w:p w14:paraId="41206DC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工作人员都要参加餐厅的消防知识培训，了解灭火器材的位置及性能。所有工作人员必须做到“四懂四会”，即懂得本岗位的火灾危险性、懂得预防火灾的措施、懂得扑救火灾的方法、懂得逃生自救方法；会报警，会使用消防器材，会扑救初起火灾，会组织引导人员疏散；</w:t>
      </w:r>
    </w:p>
    <w:p w14:paraId="54157E3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电器设备使用时严格遵守操作规程，操作人员使用前必须熟悉操作程序，出现故障时及时处理。未经安全负责人同意，不得随意布置电源线路和安装使用大功率电气设备；</w:t>
      </w:r>
    </w:p>
    <w:p w14:paraId="55D6C16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不得擅自改、装设施、设备，以免引发火险事故；确需进行改装的需提前上报至甲方，由甲方进行核实确认后进行改装；</w:t>
      </w:r>
    </w:p>
    <w:p w14:paraId="0B85D86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餐厅配备的消防设施和灭火器材，必须随时保持完好有效，不准随意的挪动和损坏，如发现有异常情况应及时向相关负责部门上报；</w:t>
      </w:r>
    </w:p>
    <w:p w14:paraId="6194224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常检查炉灶的各部位，发现门阀堵塞、失灵、胶管老化等问题，要立即停用修理。如发现室内有液化气气味，要立即关闭炉灶开关和角阀，切断气源，及时打开窗户，严禁在周围吸烟、点火或启动电器开关。检查漏点可用肥皂水，严禁使用明火试漏；</w:t>
      </w:r>
    </w:p>
    <w:p w14:paraId="592EDD61">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工作结束后，操作人员及时关闭厨房所有阀门，切断气源、火源和电源。</w:t>
      </w:r>
    </w:p>
    <w:p w14:paraId="152CCEB9">
      <w:pPr>
        <w:bidi w:val="0"/>
        <w:rPr>
          <w:rFonts w:hint="eastAsia"/>
          <w:highlight w:val="none"/>
          <w:lang w:val="en-US" w:eastAsia="zh-CN"/>
        </w:rPr>
      </w:pPr>
    </w:p>
    <w:p w14:paraId="3A616840">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宋体" w:hAnsi="宋体" w:eastAsia="宋体" w:cs="宋体"/>
          <w:sz w:val="24"/>
          <w:szCs w:val="24"/>
          <w:highlight w:val="none"/>
          <w:lang w:val="en-US" w:eastAsia="zh-CN"/>
        </w:rPr>
      </w:pPr>
    </w:p>
    <w:bookmarkEnd w:id="17"/>
    <w:p w14:paraId="508DA94C">
      <w:pPr>
        <w:jc w:val="center"/>
        <w:outlineLvl w:val="0"/>
        <w:rPr>
          <w:rFonts w:hint="eastAsia" w:ascii="宋体" w:hAnsi="宋体" w:eastAsia="宋体" w:cs="宋体"/>
          <w:b/>
          <w:bCs/>
          <w:sz w:val="32"/>
          <w:szCs w:val="32"/>
          <w:highlight w:val="none"/>
        </w:rPr>
        <w:sectPr>
          <w:headerReference r:id="rId9" w:type="default"/>
          <w:footerReference r:id="rId10" w:type="default"/>
          <w:footerReference r:id="rId11" w:type="even"/>
          <w:pgSz w:w="11906" w:h="16838"/>
          <w:pgMar w:top="1417" w:right="1083" w:bottom="1417" w:left="1083" w:header="851" w:footer="992" w:gutter="0"/>
          <w:pgBorders>
            <w:top w:val="none" w:sz="0" w:space="0"/>
            <w:left w:val="none" w:sz="0" w:space="0"/>
            <w:bottom w:val="none" w:sz="0" w:space="0"/>
            <w:right w:val="none" w:sz="0" w:space="0"/>
          </w:pgBorders>
          <w:pgNumType w:fmt="decimal" w:start="1"/>
          <w:cols w:space="720" w:num="1"/>
          <w:docGrid w:type="linesAndChars" w:linePitch="312" w:charSpace="200"/>
        </w:sectPr>
      </w:pPr>
      <w:bookmarkStart w:id="18" w:name="_Toc5471"/>
      <w:bookmarkStart w:id="19" w:name="_Toc27069"/>
      <w:bookmarkStart w:id="20" w:name="_Toc7322"/>
      <w:bookmarkStart w:id="21" w:name="_Toc100219616"/>
    </w:p>
    <w:p w14:paraId="4EF0878D">
      <w:pPr>
        <w:jc w:val="center"/>
        <w:outlineLvl w:val="0"/>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34044EA8">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2341DF6E">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（一）服务期：3年</w:t>
      </w:r>
    </w:p>
    <w:p w14:paraId="180B789F">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4F60FCCC">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（三）质量要求：满足国家及行业现行技术标准、规范要求</w:t>
      </w:r>
    </w:p>
    <w:p w14:paraId="28AC7773">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（四）合同价款：合同为固定总价</w:t>
      </w:r>
    </w:p>
    <w:p w14:paraId="646B848B">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highlight w:val="none"/>
          <w:lang w:val="en-US" w:eastAsia="zh-CN"/>
        </w:rPr>
      </w:pPr>
      <w:r>
        <w:rPr>
          <w:rFonts w:hint="eastAsia" w:ascii="宋体" w:hAnsi="宋体" w:eastAsia="宋体" w:cs="宋体"/>
          <w:b w:val="0"/>
          <w:bCs w:val="0"/>
          <w:kern w:val="0"/>
          <w:sz w:val="24"/>
          <w:szCs w:val="24"/>
          <w:highlight w:val="none"/>
          <w:u w:val="none"/>
          <w:lang w:val="en-US" w:eastAsia="zh-CN" w:bidi="ar-SA"/>
        </w:rPr>
        <w:t>本项目计价模式为固定总价，投标报价包括但不限于指项目完成并经验收合格的所有费用，包括项目费用、国家按现行税收政策征收的一切税费等。</w:t>
      </w:r>
    </w:p>
    <w:p w14:paraId="71282F05">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2AE1844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6FB3687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3A2DA3C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60B5A1AA">
      <w:pPr>
        <w:keepNext w:val="0"/>
        <w:keepLines w:val="0"/>
        <w:pageBreakBefore w:val="0"/>
        <w:widowControl/>
        <w:kinsoku/>
        <w:wordWrap/>
        <w:overflowPunct/>
        <w:topLinePunct w:val="0"/>
        <w:autoSpaceDE/>
        <w:autoSpaceDN/>
        <w:bidi w:val="0"/>
        <w:adjustRightInd/>
        <w:spacing w:line="360" w:lineRule="auto"/>
        <w:ind w:firstLine="480" w:firstLineChars="200"/>
        <w:rPr>
          <w:rFonts w:hint="eastAsia" w:ascii="宋体" w:hAnsi="宋体" w:eastAsia="宋体" w:cs="宋体"/>
          <w:color w:val="auto"/>
          <w:sz w:val="24"/>
          <w:szCs w:val="24"/>
          <w:highlight w:val="none"/>
          <w:lang w:val="en-US" w:eastAsia="zh-CN"/>
        </w:rPr>
        <w:sectPr>
          <w:footerReference r:id="rId12" w:type="default"/>
          <w:footerReference r:id="rId13" w:type="even"/>
          <w:pgSz w:w="11906" w:h="16838"/>
          <w:pgMar w:top="1417" w:right="1083" w:bottom="1417" w:left="1083" w:header="851" w:footer="992" w:gutter="0"/>
          <w:pgBorders>
            <w:top w:val="none" w:sz="0" w:space="0"/>
            <w:left w:val="none" w:sz="0" w:space="0"/>
            <w:bottom w:val="none" w:sz="0" w:space="0"/>
            <w:right w:val="none" w:sz="0" w:space="0"/>
          </w:pgBorders>
          <w:pgNumType w:fmt="decimal" w:start="53"/>
          <w:cols w:space="720" w:num="1"/>
          <w:docGrid w:type="linesAndChars" w:linePitch="312" w:charSpace="200"/>
        </w:sectPr>
      </w:pPr>
      <w:r>
        <w:rPr>
          <w:rFonts w:hint="eastAsia" w:ascii="宋体" w:hAnsi="宋体" w:eastAsia="宋体" w:cs="宋体"/>
          <w:color w:val="auto"/>
          <w:sz w:val="24"/>
          <w:szCs w:val="24"/>
          <w:highlight w:val="none"/>
          <w:lang w:val="en-US" w:eastAsia="zh-CN"/>
        </w:rPr>
        <w:t>注：付款依据为合同、招标文件、投标文件、发票。</w:t>
      </w:r>
    </w:p>
    <w:p w14:paraId="6857E5AE">
      <w:pPr>
        <w:keepNext w:val="0"/>
        <w:keepLines w:val="0"/>
        <w:pageBreakBefore w:val="0"/>
        <w:widowControl/>
        <w:kinsoku/>
        <w:wordWrap/>
        <w:overflowPunct/>
        <w:topLinePunct w:val="0"/>
        <w:autoSpaceDE/>
        <w:autoSpaceDN/>
        <w:bidi w:val="0"/>
        <w:adjustRightInd/>
        <w:spacing w:line="360" w:lineRule="auto"/>
        <w:ind w:firstLine="480" w:firstLineChars="200"/>
        <w:rPr>
          <w:rFonts w:hint="eastAsia" w:ascii="宋体" w:hAnsi="宋体" w:eastAsia="宋体" w:cs="宋体"/>
          <w:color w:val="auto"/>
          <w:sz w:val="24"/>
          <w:szCs w:val="24"/>
          <w:highlight w:val="none"/>
          <w:lang w:val="en-US" w:eastAsia="zh-CN"/>
        </w:rPr>
      </w:pPr>
    </w:p>
    <w:p w14:paraId="2CEDE8E1">
      <w:pPr>
        <w:spacing w:line="360" w:lineRule="auto"/>
        <w:ind w:firstLine="6328" w:firstLineChars="2637"/>
        <w:rPr>
          <w:rFonts w:hint="eastAsia" w:ascii="宋体" w:hAnsi="宋体" w:eastAsia="宋体" w:cs="宋体"/>
          <w:b/>
          <w:bCs/>
          <w:sz w:val="24"/>
          <w:szCs w:val="24"/>
          <w:highlight w:val="none"/>
        </w:rPr>
      </w:pPr>
    </w:p>
    <w:p w14:paraId="28475DC8">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r>
        <w:rPr>
          <w:rFonts w:hint="eastAsia" w:ascii="宋体" w:hAnsi="宋体" w:eastAsia="宋体" w:cs="宋体"/>
          <w:b/>
          <w:spacing w:val="-20"/>
          <w:sz w:val="48"/>
          <w:szCs w:val="48"/>
          <w:highlight w:val="none"/>
          <w:lang w:eastAsia="zh-CN"/>
        </w:rPr>
        <w:t>2025-2027管委会机关餐饮服务第三批（金融商务产业园等部门餐厅服务）</w:t>
      </w:r>
      <w:r>
        <w:rPr>
          <w:rFonts w:hint="eastAsia" w:ascii="宋体" w:hAnsi="宋体" w:eastAsia="宋体" w:cs="宋体"/>
          <w:b/>
          <w:spacing w:val="-20"/>
          <w:sz w:val="48"/>
          <w:szCs w:val="48"/>
          <w:highlight w:val="none"/>
        </w:rPr>
        <w:t>（世园会展产业园）（六包）</w:t>
      </w:r>
    </w:p>
    <w:p w14:paraId="4149CF28">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rPr>
        <w:t>合 同 主 要 条 款</w:t>
      </w:r>
    </w:p>
    <w:p w14:paraId="097D95F4">
      <w:pPr>
        <w:pageBreakBefore w:val="0"/>
        <w:shd w:val="clear" w:color="auto" w:fill="auto"/>
        <w:kinsoku/>
        <w:wordWrap/>
        <w:topLinePunct w:val="0"/>
        <w:autoSpaceDE/>
        <w:autoSpaceDN/>
        <w:bidi w:val="0"/>
        <w:spacing w:line="540" w:lineRule="exact"/>
        <w:jc w:val="center"/>
        <w:rPr>
          <w:rFonts w:hint="eastAsia" w:ascii="宋体" w:hAnsi="宋体" w:eastAsia="宋体" w:cs="宋体"/>
          <w:b/>
          <w:kern w:val="0"/>
          <w:sz w:val="52"/>
          <w:szCs w:val="52"/>
          <w:highlight w:val="none"/>
        </w:rPr>
      </w:pPr>
      <w:r>
        <w:rPr>
          <w:rFonts w:hint="eastAsia" w:ascii="宋体" w:hAnsi="宋体" w:eastAsia="宋体" w:cs="宋体"/>
          <w:b/>
          <w:kern w:val="0"/>
          <w:szCs w:val="21"/>
          <w:highlight w:val="none"/>
        </w:rPr>
        <w:t>（本格式条款供双方签订合同参考，采购人可根据项目的实际情况增加条款和内容）</w:t>
      </w:r>
    </w:p>
    <w:p w14:paraId="7D4519A6">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p>
    <w:p w14:paraId="51CC77C4">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合同编号：XXXX</w:t>
      </w:r>
    </w:p>
    <w:p w14:paraId="792B1C15">
      <w:pPr>
        <w:pageBreakBefore w:val="0"/>
        <w:shd w:val="clear" w:color="auto" w:fill="auto"/>
        <w:kinsoku/>
        <w:wordWrap/>
        <w:topLinePunct w:val="0"/>
        <w:autoSpaceDE/>
        <w:autoSpaceDN/>
        <w:bidi w:val="0"/>
        <w:rPr>
          <w:rFonts w:hint="eastAsia" w:ascii="宋体" w:hAnsi="宋体" w:eastAsia="宋体" w:cs="宋体"/>
          <w:b/>
          <w:sz w:val="48"/>
          <w:szCs w:val="48"/>
          <w:highlight w:val="none"/>
        </w:rPr>
      </w:pPr>
    </w:p>
    <w:p w14:paraId="6B67DDF3">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p>
    <w:p w14:paraId="03E098D0">
      <w:pPr>
        <w:pageBreakBefore w:val="0"/>
        <w:shd w:val="clear" w:color="auto" w:fill="auto"/>
        <w:kinsoku/>
        <w:wordWrap/>
        <w:topLinePunct w:val="0"/>
        <w:autoSpaceDE/>
        <w:autoSpaceDN/>
        <w:bidi w:val="0"/>
        <w:spacing w:line="240" w:lineRule="auto"/>
        <w:ind w:left="1469" w:hanging="1464"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lang w:val="en-US" w:eastAsia="zh-CN"/>
        </w:rPr>
        <w:t>本合同为第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包第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阶段合同</w:t>
      </w:r>
    </w:p>
    <w:p w14:paraId="674BE954">
      <w:pPr>
        <w:pageBreakBefore w:val="0"/>
        <w:kinsoku/>
        <w:wordWrap/>
        <w:topLinePunct w:val="0"/>
        <w:autoSpaceDE/>
        <w:autoSpaceDN/>
        <w:bidi w:val="0"/>
        <w:outlineLvl w:val="9"/>
        <w:rPr>
          <w:rFonts w:hint="eastAsia" w:ascii="宋体" w:hAnsi="宋体" w:eastAsia="宋体" w:cs="宋体"/>
          <w:highlight w:val="none"/>
        </w:rPr>
      </w:pPr>
    </w:p>
    <w:p w14:paraId="30DD06FF">
      <w:pPr>
        <w:pageBreakBefore w:val="0"/>
        <w:kinsoku/>
        <w:wordWrap/>
        <w:topLinePunct w:val="0"/>
        <w:autoSpaceDE/>
        <w:autoSpaceDN/>
        <w:bidi w:val="0"/>
        <w:rPr>
          <w:rFonts w:hint="eastAsia"/>
          <w:highlight w:val="none"/>
        </w:rPr>
      </w:pPr>
    </w:p>
    <w:p w14:paraId="327C0982">
      <w:pPr>
        <w:pageBreakBefore w:val="0"/>
        <w:kinsoku/>
        <w:wordWrap/>
        <w:topLinePunct w:val="0"/>
        <w:autoSpaceDE/>
        <w:autoSpaceDN/>
        <w:bidi w:val="0"/>
        <w:rPr>
          <w:rFonts w:hint="eastAsia"/>
          <w:highlight w:val="none"/>
        </w:rPr>
      </w:pPr>
    </w:p>
    <w:p w14:paraId="23104CE2">
      <w:pPr>
        <w:pageBreakBefore w:val="0"/>
        <w:shd w:val="clear" w:color="auto" w:fill="auto"/>
        <w:kinsoku/>
        <w:wordWrap/>
        <w:topLinePunct w:val="0"/>
        <w:autoSpaceDE/>
        <w:autoSpaceDN/>
        <w:bidi w:val="0"/>
        <w:rPr>
          <w:rFonts w:hint="eastAsia" w:ascii="宋体" w:hAnsi="宋体" w:eastAsia="宋体" w:cs="宋体"/>
          <w:highlight w:val="none"/>
        </w:rPr>
      </w:pPr>
    </w:p>
    <w:p w14:paraId="26CC6B39">
      <w:pPr>
        <w:pageBreakBefore w:val="0"/>
        <w:kinsoku/>
        <w:wordWrap/>
        <w:topLinePunct w:val="0"/>
        <w:autoSpaceDE/>
        <w:autoSpaceDN/>
        <w:bidi w:val="0"/>
        <w:rPr>
          <w:rFonts w:hint="eastAsia"/>
          <w:highlight w:val="none"/>
        </w:rPr>
      </w:pPr>
    </w:p>
    <w:p w14:paraId="40DB4CDF">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甲方(</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采购人</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b/>
          <w:spacing w:val="23"/>
          <w:sz w:val="32"/>
          <w:szCs w:val="32"/>
          <w:highlight w:val="none"/>
          <w:u w:val="single"/>
        </w:rPr>
        <w:t xml:space="preserve">          </w:t>
      </w:r>
    </w:p>
    <w:p w14:paraId="2CF23AD7">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"http://set2.mail.qq.com/cgi-bin/mail_spam?action=check_link&amp;spam=0&amp;url=http://www.baidu.com/s?wd=%E4%B9%99%E6%96%B9&amp;hl_tag=textlink&amp;tn=SE_hldp01350_v6v6zkg6"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乙方</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b/>
          <w:spacing w:val="23"/>
          <w:sz w:val="32"/>
          <w:szCs w:val="32"/>
          <w:highlight w:val="none"/>
          <w:u w:val="single"/>
        </w:rPr>
        <w:t xml:space="preserve">          </w:t>
      </w:r>
    </w:p>
    <w:p w14:paraId="05E4D29A">
      <w:pPr>
        <w:pStyle w:val="24"/>
        <w:pageBreakBefore w:val="0"/>
        <w:widowControl/>
        <w:shd w:val="clear" w:color="auto" w:fill="auto"/>
        <w:kinsoku/>
        <w:wordWrap/>
        <w:topLinePunct w:val="0"/>
        <w:autoSpaceDE/>
        <w:autoSpaceDN/>
        <w:bidi w:val="0"/>
        <w:adjustRightInd w:val="0"/>
        <w:spacing w:line="240" w:lineRule="auto"/>
        <w:rPr>
          <w:rFonts w:hint="eastAsia" w:ascii="宋体" w:hAnsi="宋体" w:eastAsia="宋体" w:cs="宋体"/>
          <w:b/>
          <w:spacing w:val="23"/>
          <w:kern w:val="0"/>
          <w:sz w:val="32"/>
          <w:szCs w:val="32"/>
          <w:highlight w:val="none"/>
        </w:rPr>
        <w:sectPr>
          <w:footerReference r:id="rId14" w:type="default"/>
          <w:footerReference r:id="rId15" w:type="even"/>
          <w:pgSz w:w="11906" w:h="16838"/>
          <w:pgMar w:top="1417" w:right="1083" w:bottom="1417" w:left="1083" w:header="851" w:footer="992" w:gutter="0"/>
          <w:pgBorders>
            <w:top w:val="none" w:sz="0" w:space="0"/>
            <w:left w:val="none" w:sz="0" w:space="0"/>
            <w:bottom w:val="none" w:sz="0" w:space="0"/>
            <w:right w:val="none" w:sz="0" w:space="0"/>
          </w:pgBorders>
          <w:pgNumType w:fmt="decimal" w:start="54"/>
          <w:cols w:space="720" w:num="1"/>
          <w:docGrid w:type="linesAndChars" w:linePitch="312" w:charSpace="200"/>
        </w:sectPr>
      </w:pPr>
      <w:r>
        <w:rPr>
          <w:rFonts w:hint="eastAsia" w:ascii="宋体" w:hAnsi="宋体" w:eastAsia="宋体" w:cs="宋体"/>
          <w:b/>
          <w:spacing w:val="23"/>
          <w:kern w:val="0"/>
          <w:sz w:val="32"/>
          <w:szCs w:val="32"/>
          <w:highlight w:val="none"/>
        </w:rPr>
        <w:t xml:space="preserve">          签订时间：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月</w:t>
      </w:r>
      <w:r>
        <w:rPr>
          <w:rFonts w:hint="eastAsia" w:ascii="宋体" w:hAnsi="宋体" w:eastAsia="宋体" w:cs="宋体"/>
          <w:b/>
          <w:spacing w:val="23"/>
          <w:kern w:val="0"/>
          <w:sz w:val="32"/>
          <w:szCs w:val="32"/>
          <w:highlight w:val="none"/>
          <w:u w:val="single"/>
        </w:rPr>
        <w:t xml:space="preserve">   </w:t>
      </w:r>
    </w:p>
    <w:p w14:paraId="4C952DEB">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采购人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p>
    <w:p w14:paraId="23C20FB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057F692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甲乙双方根据</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政府采购招标项目采购招标结果及相关</w:t>
      </w:r>
      <w:r>
        <w:rPr>
          <w:rFonts w:hint="eastAsia" w:ascii="宋体" w:hAnsi="宋体" w:eastAsia="宋体" w:cs="宋体"/>
          <w:kern w:val="0"/>
          <w:sz w:val="24"/>
          <w:szCs w:val="24"/>
          <w:highlight w:val="none"/>
          <w:lang w:eastAsia="zh-CN"/>
        </w:rPr>
        <w:t>招标文件</w:t>
      </w:r>
      <w:r>
        <w:rPr>
          <w:rFonts w:hint="eastAsia" w:ascii="宋体" w:hAnsi="宋体" w:eastAsia="宋体" w:cs="宋体"/>
          <w:kern w:val="0"/>
          <w:sz w:val="24"/>
          <w:szCs w:val="24"/>
          <w:highlight w:val="none"/>
        </w:rPr>
        <w:t>及</w:t>
      </w:r>
      <w:r>
        <w:rPr>
          <w:rFonts w:hint="eastAsia" w:ascii="宋体" w:hAnsi="宋体" w:eastAsia="宋体" w:cs="宋体"/>
          <w:kern w:val="0"/>
          <w:sz w:val="24"/>
          <w:szCs w:val="24"/>
          <w:highlight w:val="none"/>
          <w:lang w:eastAsia="zh-CN"/>
        </w:rPr>
        <w:t>投标文件</w:t>
      </w:r>
      <w:r>
        <w:rPr>
          <w:rFonts w:hint="eastAsia" w:ascii="宋体" w:hAnsi="宋体" w:eastAsia="宋体" w:cs="宋体"/>
          <w:kern w:val="0"/>
          <w:sz w:val="24"/>
          <w:szCs w:val="24"/>
          <w:highlight w:val="none"/>
        </w:rPr>
        <w:t>，本合同经双方友好协商平等、诚信、协作的原则，按照《中华人民共和国政府采购法》和《中华人民共和国民法典》，经协商一致，订立本合同，供双方共同遵守：</w:t>
      </w:r>
    </w:p>
    <w:p w14:paraId="6DFF8674">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 xml:space="preserve">第一条  </w:t>
      </w:r>
      <w:r>
        <w:rPr>
          <w:rFonts w:hint="eastAsia" w:ascii="宋体" w:hAnsi="宋体" w:eastAsia="宋体" w:cs="宋体"/>
          <w:b/>
          <w:bCs/>
          <w:kern w:val="0"/>
          <w:sz w:val="24"/>
          <w:szCs w:val="24"/>
          <w:highlight w:val="none"/>
          <w:lang w:val="en-US" w:eastAsia="zh-CN"/>
        </w:rPr>
        <w:t>项目概况</w:t>
      </w:r>
    </w:p>
    <w:p w14:paraId="48EAC71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1.项目名称：</w:t>
      </w:r>
      <w:r>
        <w:rPr>
          <w:rFonts w:hint="eastAsia" w:ascii="宋体" w:hAnsi="宋体" w:eastAsia="宋体" w:cs="宋体"/>
          <w:kern w:val="0"/>
          <w:sz w:val="24"/>
          <w:szCs w:val="24"/>
          <w:highlight w:val="none"/>
          <w:u w:val="single"/>
          <w:lang w:val="en-US" w:eastAsia="zh-CN"/>
        </w:rPr>
        <w:t>2025-2027管委会机关餐饮服务第三批（金融商务产业园等部门餐厅服务）（世园会展产业园）第（ ）包</w:t>
      </w:r>
    </w:p>
    <w:p w14:paraId="13807190">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2.项目编号：</w:t>
      </w:r>
      <w:r>
        <w:rPr>
          <w:rFonts w:hint="eastAsia" w:ascii="宋体" w:hAnsi="宋体" w:eastAsia="宋体" w:cs="宋体"/>
          <w:kern w:val="0"/>
          <w:sz w:val="24"/>
          <w:szCs w:val="24"/>
          <w:highlight w:val="none"/>
          <w:u w:val="single"/>
          <w:lang w:val="en-US" w:eastAsia="zh-CN"/>
        </w:rPr>
        <w:t xml:space="preserve">                                              </w:t>
      </w:r>
    </w:p>
    <w:p w14:paraId="26B8E67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3.项目地点：</w:t>
      </w:r>
      <w:r>
        <w:rPr>
          <w:rFonts w:hint="eastAsia" w:ascii="宋体" w:hAnsi="宋体" w:eastAsia="宋体" w:cs="宋体"/>
          <w:kern w:val="0"/>
          <w:sz w:val="24"/>
          <w:szCs w:val="24"/>
          <w:highlight w:val="none"/>
          <w:u w:val="single"/>
          <w:lang w:val="en-US" w:eastAsia="zh-CN"/>
        </w:rPr>
        <w:t xml:space="preserve">                                              </w:t>
      </w:r>
    </w:p>
    <w:p w14:paraId="0BAA4912">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u w:val="none"/>
          <w:lang w:val="en-US" w:eastAsia="zh-CN"/>
        </w:rPr>
        <w:t>4.服务期：</w:t>
      </w:r>
      <w:r>
        <w:rPr>
          <w:rFonts w:hint="eastAsia" w:ascii="宋体" w:hAnsi="宋体" w:eastAsia="宋体" w:cs="宋体"/>
          <w:b w:val="0"/>
          <w:bCs w:val="0"/>
          <w:kern w:val="0"/>
          <w:sz w:val="24"/>
          <w:szCs w:val="24"/>
          <w:highlight w:val="none"/>
          <w:lang w:val="en-US" w:eastAsia="zh-CN"/>
        </w:rPr>
        <w:t>本项目总服务期共三年，合同分为三个阶段签订。其中每一阶段合同服务期为一年。</w:t>
      </w:r>
    </w:p>
    <w:p w14:paraId="5D87BC5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本次为第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阶段（第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年）合同，自（</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日起至</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日止）</w:t>
      </w:r>
      <w:r>
        <w:rPr>
          <w:rFonts w:hint="eastAsia" w:ascii="宋体" w:hAnsi="宋体" w:eastAsia="宋体" w:cs="宋体"/>
          <w:kern w:val="0"/>
          <w:sz w:val="24"/>
          <w:szCs w:val="24"/>
          <w:highlight w:val="none"/>
          <w:u w:val="none"/>
          <w:lang w:val="en-US" w:eastAsia="zh-CN"/>
        </w:rPr>
        <w:t>。</w:t>
      </w:r>
    </w:p>
    <w:p w14:paraId="7CD9F906">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合同执行过程中，因就餐人数增减需增减食堂工作人员的，由供应商与采购人协商解决。</w:t>
      </w:r>
    </w:p>
    <w:p w14:paraId="22CDB418">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bCs/>
          <w:sz w:val="24"/>
          <w:szCs w:val="24"/>
          <w:highlight w:val="none"/>
        </w:rPr>
      </w:pPr>
      <w:r>
        <w:rPr>
          <w:rFonts w:hint="eastAsia" w:ascii="宋体" w:hAnsi="宋体" w:eastAsia="宋体" w:cs="宋体"/>
          <w:kern w:val="0"/>
          <w:sz w:val="24"/>
          <w:szCs w:val="24"/>
          <w:highlight w:val="none"/>
          <w:u w:val="none"/>
          <w:lang w:val="en-US" w:eastAsia="zh-CN"/>
        </w:rPr>
        <w:t>上一阶段合同期满后，双方均无异议，协商后续签下一阶段合同，续签时合同其他内容不予改变。若乙方上一阶段的服务不能满足甲方要求，甲方可拒绝同乙方续签。</w:t>
      </w:r>
    </w:p>
    <w:p w14:paraId="7FCBB3C2">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合同金额</w:t>
      </w:r>
    </w:p>
    <w:p w14:paraId="253286E1">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1.合同形式：固定总价合同</w:t>
      </w:r>
    </w:p>
    <w:p w14:paraId="6284D659">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合同总价款人民币（大写）</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元，（小写）</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元。</w:t>
      </w:r>
    </w:p>
    <w:p w14:paraId="2D393019">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本项目计价模式为固定总价，投标报价包括但不限于指项目完成并经验收合格的所有费用，包括项目费用、国家按现行税收政策征收的一切税费等。</w:t>
      </w:r>
    </w:p>
    <w:p w14:paraId="1181FA12">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其中：</w:t>
      </w:r>
    </w:p>
    <w:p w14:paraId="4272FB26">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第一阶段（第一年）合同价：人民币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48D9F453">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第二阶段（第二年）合同价：人民币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13E785AA">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第三阶段（第三年）合同价：人民币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55F48567">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付款方式及依据</w:t>
      </w:r>
    </w:p>
    <w:p w14:paraId="5BC6F488">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1.付款方式</w:t>
      </w:r>
    </w:p>
    <w:p w14:paraId="55A5072B">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（1）预付款支付条款：无</w:t>
      </w:r>
    </w:p>
    <w:p w14:paraId="73ED7064">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（2）剩余款项支付条款：</w:t>
      </w:r>
    </w:p>
    <w:p w14:paraId="578C8A60">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274274F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付款依据：</w:t>
      </w:r>
      <w:r>
        <w:rPr>
          <w:rFonts w:hint="eastAsia" w:ascii="宋体" w:hAnsi="宋体" w:eastAsia="宋体" w:cs="宋体"/>
          <w:bCs/>
          <w:kern w:val="0"/>
          <w:sz w:val="24"/>
          <w:szCs w:val="24"/>
          <w:highlight w:val="none"/>
        </w:rPr>
        <w:t>合同、</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、发票</w:t>
      </w:r>
      <w:r>
        <w:rPr>
          <w:rFonts w:hint="eastAsia" w:ascii="宋体" w:hAnsi="宋体" w:eastAsia="宋体" w:cs="宋体"/>
          <w:bCs/>
          <w:kern w:val="0"/>
          <w:sz w:val="24"/>
          <w:szCs w:val="24"/>
          <w:highlight w:val="none"/>
        </w:rPr>
        <w:t>。</w:t>
      </w:r>
    </w:p>
    <w:p w14:paraId="1E691567">
      <w:pPr>
        <w:pStyle w:val="104"/>
        <w:pageBreakBefore w:val="0"/>
        <w:shd w:val="clear" w:color="auto" w:fill="auto"/>
        <w:tabs>
          <w:tab w:val="left" w:pos="7553"/>
        </w:tabs>
        <w:kinsoku/>
        <w:wordWrap/>
        <w:overflowPunct/>
        <w:topLinePunct w:val="0"/>
        <w:autoSpaceDE/>
        <w:autoSpaceDN/>
        <w:bidi w:val="0"/>
        <w:spacing w:line="360" w:lineRule="auto"/>
        <w:ind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第四条</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质量保证</w:t>
      </w:r>
    </w:p>
    <w:p w14:paraId="6D3B8BAE">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1.根据就餐标准，应提前安排相应食谱，且经甲方审议同意后执行； </w:t>
      </w:r>
    </w:p>
    <w:p w14:paraId="51010B1F">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2.每日应准时足量的提供用餐，应确保餐品优质、健康、安全；</w:t>
      </w:r>
    </w:p>
    <w:p w14:paraId="1A4CA667">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3.保持餐厅及后厨环境卫生，目视达到无明显油渍油污，地面无垃圾，无污渍，干净整洁； </w:t>
      </w:r>
    </w:p>
    <w:p w14:paraId="48C8023B">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4.负责对甲方提供的设施设备的日常清洁及保养； </w:t>
      </w:r>
    </w:p>
    <w:p w14:paraId="225B3E39">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5.应在食堂内按需配备餐巾纸、牙签等耗材，可供就餐人员随时使用； </w:t>
      </w:r>
    </w:p>
    <w:p w14:paraId="14DF7072">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6.杜绝发生食品安全事件，由于管理不善或操作不当等因素引发的食品卫生安全事件，承包人应承担全部责任，并无条件进行善后处理； </w:t>
      </w:r>
    </w:p>
    <w:p w14:paraId="4B7581B7">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7.应全年按照甲方要求供餐，包括国家法定节假日。积极配合甲方的各项行动及活动安排，如遇临时用餐或需调整用餐时间等情况，应按照甲方要求进行相应调整； </w:t>
      </w:r>
    </w:p>
    <w:p w14:paraId="6012E670">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8.乙方应在相关行业主管部门规定的期限内自行办理餐厅《食品经营许可证》，办理期间甲方有义务提供必要的配合； </w:t>
      </w:r>
    </w:p>
    <w:p w14:paraId="11757766">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9.在合同履约期间，应符合《中华人民共和国食品安全法》、《中华人民共和国安全生产法》、国家食品药品监督管理局《餐饮服务食品安全操作规范》等法律、法规以及甲方的相关要求，确保食品质量，保障甲方就餐人员的合法权益，确保饮食安全卫生，提供优质的饮食服务。 </w:t>
      </w:r>
    </w:p>
    <w:p w14:paraId="5C6475DF">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10.在合同履约期间，如有零星添置餐具、维修设备等，乙方须在经甲方同意后进行，保留好发票收据等相关资料，随季度用餐台账一并交由甲方结算； </w:t>
      </w:r>
    </w:p>
    <w:p w14:paraId="62F7AC15">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11.乙方应自觉维护甲方设备、厨具、用具等，节约能源，未经甲方同意，任何设备、厨具、用具、餐具和桌椅等不得搬离餐厅范围或提供给第三者使用。</w:t>
      </w:r>
    </w:p>
    <w:p w14:paraId="6FB925F8">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甲方的权利及义务</w:t>
      </w:r>
    </w:p>
    <w:p w14:paraId="2284025F">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1.甲方对乙方的工作进行监督、检查和指导，有权向乙方要求调换服务不合格人员。 </w:t>
      </w:r>
    </w:p>
    <w:p w14:paraId="711A1AD5">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2.甲方有权对乙方配备的服务人员进行审核，乙方如更换人员，应征得甲方同意后更换。 </w:t>
      </w:r>
    </w:p>
    <w:p w14:paraId="5CA424B1">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3.甲方应按合同约定及时向乙方支付服务费用。 </w:t>
      </w:r>
    </w:p>
    <w:p w14:paraId="13EF1C7A">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4.甲方应根据管理规定相关要求和条例对乙方进行实时考核，考核内容包含但不限于人员服务情况、培训情况、管理制度、岗位制度、应急处理情况等</w:t>
      </w:r>
      <w:r>
        <w:rPr>
          <w:rFonts w:hint="eastAsia" w:ascii="宋体" w:hAnsi="宋体" w:eastAsia="宋体" w:cs="宋体"/>
          <w:kern w:val="0"/>
          <w:sz w:val="24"/>
          <w:szCs w:val="24"/>
          <w:highlight w:val="none"/>
        </w:rPr>
        <w:t>。</w:t>
      </w:r>
    </w:p>
    <w:p w14:paraId="574AE49F">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第六条   </w:t>
      </w:r>
      <w:r>
        <w:rPr>
          <w:rFonts w:hint="eastAsia" w:ascii="宋体" w:hAnsi="宋体" w:eastAsia="宋体" w:cs="宋体"/>
          <w:b/>
          <w:bCs/>
          <w:sz w:val="24"/>
          <w:szCs w:val="24"/>
          <w:highlight w:val="none"/>
          <w:lang w:val="en-US" w:eastAsia="zh-CN"/>
        </w:rPr>
        <w:t>乙</w:t>
      </w:r>
      <w:r>
        <w:rPr>
          <w:rFonts w:hint="eastAsia" w:ascii="宋体" w:hAnsi="宋体" w:eastAsia="宋体" w:cs="宋体"/>
          <w:b/>
          <w:bCs/>
          <w:sz w:val="24"/>
          <w:szCs w:val="24"/>
          <w:highlight w:val="none"/>
        </w:rPr>
        <w:t>方的权利及义务</w:t>
      </w:r>
    </w:p>
    <w:p w14:paraId="7FCF02C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1.乙方有权要求甲方按合同约定及时支付合同款。乙方应及时向甲方提供台账供甲方审核确认。 </w:t>
      </w:r>
    </w:p>
    <w:p w14:paraId="485BDF6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乙方负责甲方员工用餐的加工制作，按时提供膳食服务，具体供餐时间：早饭：07：30-09：00;午饭：11：30-13：30;晚饭：17：30-19：30。甲方周末及节假日均有少量人员值班，乙方需正常供餐。乙方负责餐厅所辖区域的设备、设施安全运行及维护、卫生清洁服务，负责打卡收费，负责餐厅食品卫生、设备安全等工作，负责完成和餐饮有关的其它工作任务。 </w:t>
      </w:r>
    </w:p>
    <w:p w14:paraId="3A9400BB">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乙方必须遵守国家和地方有关安全、环境和食品卫生的标准。严格执行机关厨房的相关安全管理制度、安全操作规程，并认真执行。同时对所属人员进行经常性的职业道德、食品安全卫生、安全规章等安全知识培训。采取有效措施做好各类事故预防工作。 </w:t>
      </w:r>
    </w:p>
    <w:p w14:paraId="788D299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4.乙方从业人员必须定期体检，持有效的健康证上岗操作。对因乙方未组织所属人员体检，携带传染性疾病上岗操作，导致甲方人员发生传染病事件，乙方负责承担全部责任。乙方工作中应厉行节约，杜绝餐饮浪费。 </w:t>
      </w:r>
    </w:p>
    <w:p w14:paraId="00DC67D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5.乙方应认真落实防蚊、蝇、鼠害等安全措施，做好防疫工作，避免疾病，传染病的传播。 </w:t>
      </w:r>
    </w:p>
    <w:p w14:paraId="5448CBB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6.供应商每日食品须留样，食品样品的提取和保存应满足采购人或政府监管部门的要求，供应商应随时配合政府有关部门的管理。 </w:t>
      </w:r>
    </w:p>
    <w:p w14:paraId="01EE2052">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7.乙方需指派一名项目负责人，项目负责人负责与甲方的联系沟通。</w:t>
      </w:r>
    </w:p>
    <w:p w14:paraId="3F3A8C1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乙方项目负责人：</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 xml:space="preserve">  身份证号：</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none"/>
          <w:lang w:val="en-US" w:eastAsia="zh-CN"/>
        </w:rPr>
        <w:t xml:space="preserve">   </w:t>
      </w:r>
      <w:r>
        <w:rPr>
          <w:rFonts w:hint="eastAsia" w:ascii="宋体" w:hAnsi="宋体" w:eastAsia="宋体" w:cs="宋体"/>
          <w:kern w:val="0"/>
          <w:sz w:val="24"/>
          <w:szCs w:val="24"/>
          <w:highlight w:val="none"/>
          <w:lang w:val="en-US" w:eastAsia="zh-CN"/>
        </w:rPr>
        <w:t>联系电话：</w:t>
      </w:r>
      <w:r>
        <w:rPr>
          <w:rFonts w:hint="eastAsia" w:ascii="宋体" w:hAnsi="宋体" w:eastAsia="宋体" w:cs="宋体"/>
          <w:kern w:val="0"/>
          <w:sz w:val="24"/>
          <w:szCs w:val="24"/>
          <w:highlight w:val="none"/>
          <w:u w:val="single"/>
          <w:lang w:val="en-US" w:eastAsia="zh-CN"/>
        </w:rPr>
        <w:t xml:space="preserve">            </w:t>
      </w:r>
    </w:p>
    <w:p w14:paraId="551A0D9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8.乙方按照管理制度对人员进行管理，若出现人员不遵守管理制度，乙方应按制度处罚并及时更换人员。 </w:t>
      </w:r>
    </w:p>
    <w:p w14:paraId="63FF4F8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9.乙方应按时向员工支付薪资福利、缴纳社保费用和购买商业保险等。乙方未及时向员工支付相关费用产生的责任由乙方自行负责，甲方均不承担责任。 </w:t>
      </w:r>
    </w:p>
    <w:p w14:paraId="50DA806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10.乙方负责处理相关人员的劳动争议事宜。 </w:t>
      </w:r>
    </w:p>
    <w:p w14:paraId="37ABC39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11.因乙方操作不规范产生的不良影响，由乙方自行负责。</w:t>
      </w:r>
    </w:p>
    <w:p w14:paraId="05C7C448">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12.乙方应承担工作现场的责任和风险以及期间发生的一切费用，乙方若因工作现场而发生的人身伤亡、财产或其他损失，不论何种原因所造成，甲方均不承担责任。 </w:t>
      </w:r>
    </w:p>
    <w:p w14:paraId="2935E10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13.接受甲方的管理、监督、检查和考核，对甲方发出的整改通知，应及时按甲方的要求进行整改。</w:t>
      </w:r>
    </w:p>
    <w:p w14:paraId="4140CD08">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第七条 </w:t>
      </w:r>
      <w:r>
        <w:rPr>
          <w:rFonts w:hint="eastAsia" w:ascii="宋体" w:hAnsi="宋体" w:eastAsia="宋体" w:cs="宋体"/>
          <w:b/>
          <w:bCs/>
          <w:sz w:val="24"/>
          <w:szCs w:val="24"/>
          <w:highlight w:val="none"/>
        </w:rPr>
        <w:t>违约责任</w:t>
      </w:r>
    </w:p>
    <w:p w14:paraId="03542A35">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1.按《中华人民共和国民法典》中的相关条款执行。</w:t>
      </w:r>
    </w:p>
    <w:p w14:paraId="7F74B4E9">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2.未按合同或</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文件要求提供服务，质量不能满足甲方技术要求，采购单位有权终止合同，甚至对供方违约行为进行追究。</w:t>
      </w:r>
    </w:p>
    <w:p w14:paraId="7A00D943">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3.乙方由于自身过错，延误按本合同规定的时间</w:t>
      </w:r>
      <w:r>
        <w:rPr>
          <w:rFonts w:hint="eastAsia" w:ascii="宋体" w:hAnsi="宋体" w:eastAsia="宋体" w:cs="宋体"/>
          <w:color w:val="auto"/>
          <w:sz w:val="24"/>
          <w:szCs w:val="24"/>
          <w:highlight w:val="none"/>
          <w:lang w:val="en-US" w:eastAsia="zh-CN"/>
        </w:rPr>
        <w:t>完成服务</w:t>
      </w:r>
      <w:r>
        <w:rPr>
          <w:rFonts w:hint="eastAsia" w:ascii="宋体" w:hAnsi="宋体" w:eastAsia="宋体" w:cs="宋体"/>
          <w:color w:val="auto"/>
          <w:sz w:val="24"/>
          <w:szCs w:val="24"/>
          <w:highlight w:val="none"/>
          <w:lang w:eastAsia="zh-CN"/>
        </w:rPr>
        <w:t>，每延误一天，应减收本合同总额的2‰作为延误违约金。</w:t>
      </w:r>
    </w:p>
    <w:p w14:paraId="0E3722C1">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4.本合同所约定的因乙方原因导致甲方单方面解除合同的，乙方应退还甲方全部已付款，并向甲方支付合同总额20%违约金，违约金不足甲方损失的，乙方应全额补足。</w:t>
      </w:r>
    </w:p>
    <w:p w14:paraId="57BA3890">
      <w:pPr>
        <w:pStyle w:val="104"/>
        <w:pageBreakBefore w:val="0"/>
        <w:widowControl/>
        <w:shd w:val="clear" w:color="auto" w:fill="auto"/>
        <w:kinsoku/>
        <w:wordWrap/>
        <w:overflowPunct/>
        <w:topLinePunct w:val="0"/>
        <w:autoSpaceDE/>
        <w:autoSpaceDN/>
        <w:bidi w:val="0"/>
        <w:spacing w:line="360" w:lineRule="auto"/>
        <w:ind w:firstLine="240" w:firstLineChars="1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条  合同终止</w:t>
      </w:r>
    </w:p>
    <w:p w14:paraId="7DC64154">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1.合同期间任何一方不得随意终止合同。 </w:t>
      </w:r>
    </w:p>
    <w:p w14:paraId="3EDC5FB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2.本合同规定的履行期限届满，合同自动终止。 </w:t>
      </w:r>
    </w:p>
    <w:p w14:paraId="51AA0E5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3.因双方机构撤并、职能调整等原因，确需终止合同的，双方可协商终止合同。 </w:t>
      </w:r>
    </w:p>
    <w:p w14:paraId="12FB019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4.乙方应自觉遵守甲方工作纪律、规章制度，服从甲方管理。因乙方原因给甲方造成严重后果，甲方可以单方面解除合同。</w:t>
      </w:r>
    </w:p>
    <w:p w14:paraId="28277F67">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九</w:t>
      </w:r>
      <w:r>
        <w:rPr>
          <w:rFonts w:hint="eastAsia" w:ascii="宋体" w:hAnsi="宋体" w:eastAsia="宋体" w:cs="宋体"/>
          <w:b/>
          <w:bCs/>
          <w:kern w:val="0"/>
          <w:sz w:val="24"/>
          <w:szCs w:val="24"/>
          <w:highlight w:val="none"/>
        </w:rPr>
        <w:t xml:space="preserve">条  </w:t>
      </w:r>
      <w:r>
        <w:rPr>
          <w:rFonts w:hint="eastAsia" w:ascii="宋体" w:hAnsi="宋体" w:eastAsia="宋体" w:cs="宋体"/>
          <w:b/>
          <w:bCs/>
          <w:kern w:val="0"/>
          <w:sz w:val="24"/>
          <w:szCs w:val="24"/>
          <w:highlight w:val="none"/>
          <w:lang w:val="en-US" w:eastAsia="zh-CN"/>
        </w:rPr>
        <w:t>保密协议</w:t>
      </w:r>
    </w:p>
    <w:p w14:paraId="715A3B5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对本合同的内容，以及在本合同履行过程中获得的对方的信息，均负有保密义务。除甲乙双方另有约定外，保密义务是指在未经对方书面同意前，一方不得将保密信息用于任何与履行本合同无关的情况；或以任何形式向任何第三方泄露。双方均有义务尽其一切努力防止任何第三方窃取秘密信息。由于任何一方违反以上保密义务给对方造成损失，违约方对受损失方负有停止侵害、消除影响、赔偿损失的责任。</w:t>
      </w:r>
    </w:p>
    <w:p w14:paraId="55B5E7F1">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 xml:space="preserve">第十条 </w:t>
      </w:r>
      <w:r>
        <w:rPr>
          <w:rFonts w:hint="eastAsia" w:ascii="宋体" w:hAnsi="宋体" w:eastAsia="宋体" w:cs="宋体"/>
          <w:b/>
          <w:bCs/>
          <w:kern w:val="0"/>
          <w:sz w:val="24"/>
          <w:szCs w:val="24"/>
          <w:highlight w:val="none"/>
        </w:rPr>
        <w:fldChar w:fldCharType="begin"/>
      </w:r>
      <w:r>
        <w:rPr>
          <w:rFonts w:hint="eastAsia" w:ascii="宋体" w:hAnsi="宋体" w:eastAsia="宋体" w:cs="宋体"/>
          <w:b/>
          <w:bCs/>
          <w:kern w:val="0"/>
          <w:sz w:val="24"/>
          <w:szCs w:val="24"/>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bCs/>
          <w:kern w:val="0"/>
          <w:sz w:val="24"/>
          <w:szCs w:val="24"/>
          <w:highlight w:val="none"/>
        </w:rPr>
        <w:fldChar w:fldCharType="separate"/>
      </w:r>
      <w:r>
        <w:rPr>
          <w:rFonts w:hint="eastAsia" w:ascii="宋体" w:hAnsi="宋体" w:eastAsia="宋体" w:cs="宋体"/>
          <w:b/>
          <w:bCs/>
          <w:kern w:val="0"/>
          <w:sz w:val="24"/>
          <w:szCs w:val="24"/>
          <w:highlight w:val="none"/>
        </w:rPr>
        <w:t>不可抗力</w:t>
      </w:r>
      <w:r>
        <w:rPr>
          <w:rFonts w:hint="eastAsia" w:ascii="宋体" w:hAnsi="宋体" w:eastAsia="宋体" w:cs="宋体"/>
          <w:b/>
          <w:bCs/>
          <w:kern w:val="0"/>
          <w:sz w:val="24"/>
          <w:szCs w:val="24"/>
          <w:highlight w:val="none"/>
        </w:rPr>
        <w:fldChar w:fldCharType="end"/>
      </w:r>
    </w:p>
    <w:p w14:paraId="47A3A77B">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67D47945">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十一</w:t>
      </w:r>
      <w:r>
        <w:rPr>
          <w:rFonts w:hint="eastAsia" w:ascii="宋体" w:hAnsi="宋体" w:eastAsia="宋体" w:cs="宋体"/>
          <w:b/>
          <w:bCs/>
          <w:kern w:val="0"/>
          <w:sz w:val="24"/>
          <w:szCs w:val="24"/>
          <w:highlight w:val="none"/>
        </w:rPr>
        <w:t>条  争议解决</w:t>
      </w:r>
    </w:p>
    <w:p w14:paraId="2B00B680">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双方本着友好合作的态度,对合同履行过程中发生的</w:t>
      </w:r>
      <w:r>
        <w:rPr>
          <w:rFonts w:hint="eastAsia" w:ascii="宋体" w:hAnsi="宋体" w:eastAsia="宋体" w:cs="宋体"/>
          <w:kern w:val="0"/>
          <w:sz w:val="24"/>
          <w:szCs w:val="24"/>
          <w:highlight w:val="none"/>
          <w:lang w:val="en-US" w:eastAsia="zh-CN"/>
        </w:rPr>
        <w:fldChar w:fldCharType="begin"/>
      </w:r>
      <w:r>
        <w:rPr>
          <w:rFonts w:hint="eastAsia" w:ascii="宋体" w:hAnsi="宋体" w:eastAsia="宋体" w:cs="宋体"/>
          <w:kern w:val="0"/>
          <w:sz w:val="24"/>
          <w:szCs w:val="24"/>
          <w:highlight w:val="none"/>
          <w:lang w:val="en-US" w:eastAsia="zh-CN"/>
        </w:rPr>
        <w:instrText xml:space="preserve"> HYPERLINK "http://set2.mail.qq.com/cgi-bin/mail_spam?action=check_link&amp;spam=0&amp;url=http%3A%2F%2Fbaike%2Ebaidu%2Ecom%2Fview%2F322875%2Ehtm" </w:instrText>
      </w:r>
      <w:r>
        <w:rPr>
          <w:rFonts w:hint="eastAsia" w:ascii="宋体" w:hAnsi="宋体" w:eastAsia="宋体" w:cs="宋体"/>
          <w:kern w:val="0"/>
          <w:sz w:val="24"/>
          <w:szCs w:val="24"/>
          <w:highlight w:val="none"/>
          <w:lang w:val="en-US" w:eastAsia="zh-CN"/>
        </w:rPr>
        <w:fldChar w:fldCharType="separate"/>
      </w:r>
      <w:r>
        <w:rPr>
          <w:rFonts w:hint="eastAsia" w:ascii="宋体" w:hAnsi="宋体" w:eastAsia="宋体" w:cs="宋体"/>
          <w:kern w:val="0"/>
          <w:sz w:val="24"/>
          <w:szCs w:val="24"/>
          <w:highlight w:val="none"/>
          <w:lang w:val="en-US" w:eastAsia="zh-CN"/>
        </w:rPr>
        <w:t>纠纷</w:t>
      </w:r>
      <w:r>
        <w:rPr>
          <w:rFonts w:hint="eastAsia" w:ascii="宋体" w:hAnsi="宋体" w:eastAsia="宋体" w:cs="宋体"/>
          <w:kern w:val="0"/>
          <w:sz w:val="24"/>
          <w:szCs w:val="24"/>
          <w:highlight w:val="none"/>
          <w:lang w:val="en-US" w:eastAsia="zh-CN"/>
        </w:rPr>
        <w:fldChar w:fldCharType="end"/>
      </w:r>
      <w:r>
        <w:rPr>
          <w:rFonts w:hint="eastAsia" w:ascii="宋体" w:hAnsi="宋体" w:eastAsia="宋体" w:cs="宋体"/>
          <w:kern w:val="0"/>
          <w:sz w:val="24"/>
          <w:szCs w:val="24"/>
          <w:highlight w:val="none"/>
          <w:lang w:val="en-US" w:eastAsia="zh-CN"/>
        </w:rPr>
        <w:t>应及时协商解决,协商不成，向甲方所在地人民法院诉讼解决。</w:t>
      </w:r>
    </w:p>
    <w:p w14:paraId="5057B101">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二</w:t>
      </w:r>
      <w:r>
        <w:rPr>
          <w:rFonts w:hint="eastAsia" w:ascii="宋体" w:hAnsi="宋体" w:eastAsia="宋体" w:cs="宋体"/>
          <w:b/>
          <w:bCs/>
          <w:kern w:val="0"/>
          <w:sz w:val="24"/>
          <w:szCs w:val="24"/>
          <w:highlight w:val="none"/>
        </w:rPr>
        <w:t>条  监督和管理</w:t>
      </w:r>
    </w:p>
    <w:p w14:paraId="0BEDADF0">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7D993E9F">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2.甲乙双方均应自觉配合有关监督管理部门对合同履行情况的监督检查，如实反映情况，提供有关资料；否则，将对有关单位、当事人按照有关规定予以处罚。</w:t>
      </w:r>
    </w:p>
    <w:p w14:paraId="6F2F1FF0">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三</w:t>
      </w:r>
      <w:r>
        <w:rPr>
          <w:rFonts w:hint="eastAsia" w:ascii="宋体" w:hAnsi="宋体" w:eastAsia="宋体" w:cs="宋体"/>
          <w:b/>
          <w:bCs/>
          <w:kern w:val="0"/>
          <w:sz w:val="24"/>
          <w:szCs w:val="24"/>
          <w:highlight w:val="none"/>
        </w:rPr>
        <w:t xml:space="preserve">条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b/>
          <w:bCs/>
          <w:kern w:val="0"/>
          <w:sz w:val="24"/>
          <w:szCs w:val="24"/>
          <w:highlight w:val="none"/>
        </w:rPr>
        <w:t>无效合同</w:t>
      </w:r>
      <w:r>
        <w:rPr>
          <w:rFonts w:hint="eastAsia" w:ascii="宋体" w:hAnsi="宋体" w:eastAsia="宋体" w:cs="宋体"/>
          <w:b/>
          <w:bCs/>
          <w:kern w:val="0"/>
          <w:sz w:val="24"/>
          <w:szCs w:val="24"/>
          <w:highlight w:val="none"/>
        </w:rPr>
        <w:fldChar w:fldCharType="end"/>
      </w:r>
    </w:p>
    <w:p w14:paraId="65C3A6C2">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甲乙双方如因违反政府采购法及相关法律法规的规定，被宣告</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合同无效</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的，一切责任概由过错方自行承担。</w:t>
      </w:r>
    </w:p>
    <w:p w14:paraId="216FE94D">
      <w:pPr>
        <w:pStyle w:val="27"/>
        <w:pageBreakBefore w:val="0"/>
        <w:shd w:val="clear" w:color="auto" w:fill="auto"/>
        <w:tabs>
          <w:tab w:val="left" w:pos="567"/>
        </w:tabs>
        <w:kinsoku/>
        <w:wordWrap/>
        <w:overflowPunct/>
        <w:topLinePunct w:val="0"/>
        <w:autoSpaceDE/>
        <w:autoSpaceDN/>
        <w:bidi w:val="0"/>
        <w:spacing w:line="360" w:lineRule="auto"/>
        <w:ind w:firstLine="28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四</w:t>
      </w:r>
      <w:r>
        <w:rPr>
          <w:rFonts w:hint="eastAsia" w:ascii="宋体" w:hAnsi="宋体" w:eastAsia="宋体" w:cs="宋体"/>
          <w:b/>
          <w:bCs/>
          <w:color w:val="auto"/>
          <w:kern w:val="0"/>
          <w:sz w:val="24"/>
          <w:szCs w:val="24"/>
          <w:highlight w:val="none"/>
        </w:rPr>
        <w:t>条  信用融资（如有）</w:t>
      </w:r>
    </w:p>
    <w:p w14:paraId="4B7F46C3">
      <w:pPr>
        <w:pStyle w:val="27"/>
        <w:pageBreakBefore w:val="0"/>
        <w:shd w:val="clear" w:color="auto" w:fill="auto"/>
        <w:tabs>
          <w:tab w:val="left" w:pos="567"/>
        </w:tabs>
        <w:kinsoku/>
        <w:wordWrap/>
        <w:overflowPunct/>
        <w:topLinePunct w:val="0"/>
        <w:autoSpaceDE/>
        <w:autoSpaceDN/>
        <w:bidi w:val="0"/>
        <w:spacing w:line="360" w:lineRule="auto"/>
        <w:ind w:firstLine="28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银行名称：</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，收款账号：</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40E483FC">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五</w:t>
      </w:r>
      <w:r>
        <w:rPr>
          <w:rFonts w:hint="eastAsia" w:ascii="宋体" w:hAnsi="宋体" w:eastAsia="宋体" w:cs="宋体"/>
          <w:b/>
          <w:bCs/>
          <w:color w:val="auto"/>
          <w:kern w:val="0"/>
          <w:sz w:val="24"/>
          <w:szCs w:val="24"/>
          <w:highlight w:val="none"/>
        </w:rPr>
        <w:t>条  附则</w:t>
      </w:r>
    </w:p>
    <w:p w14:paraId="452D4E00">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1.本次采购项目的招标文件、投标文件、中标通知书及</w:t>
      </w:r>
      <w:r>
        <w:rPr>
          <w:rFonts w:hint="eastAsia" w:ascii="宋体" w:hAnsi="宋体" w:eastAsia="宋体" w:cs="宋体"/>
          <w:kern w:val="0"/>
          <w:sz w:val="24"/>
          <w:szCs w:val="24"/>
          <w:highlight w:val="none"/>
          <w:lang w:val="en-US" w:eastAsia="zh-CN"/>
        </w:rPr>
        <w:t>澄清说明文件均为本合同的组成部分，甲、乙双方必须全面遵守，如有违反，应承担违约责任。</w:t>
      </w:r>
    </w:p>
    <w:p w14:paraId="1AC173A6">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2.本合同一式陆份,甲乙双方各执两份,政府采购代理机构两份。</w:t>
      </w:r>
    </w:p>
    <w:p w14:paraId="28C03B0F">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3.本合同自签订之日起生效。</w:t>
      </w:r>
    </w:p>
    <w:p w14:paraId="4B779643">
      <w:pPr>
        <w:numPr>
          <w:ilvl w:val="0"/>
          <w:numId w:val="0"/>
        </w:numPr>
        <w:ind w:leftChars="0"/>
        <w:outlineLvl w:val="9"/>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本页无正文。</w:t>
      </w:r>
    </w:p>
    <w:tbl>
      <w:tblPr>
        <w:tblStyle w:val="29"/>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9"/>
        <w:gridCol w:w="4699"/>
      </w:tblGrid>
      <w:tr w14:paraId="28679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243E407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w:t>
            </w:r>
          </w:p>
        </w:tc>
        <w:tc>
          <w:tcPr>
            <w:tcW w:w="4699" w:type="dxa"/>
            <w:tcBorders>
              <w:top w:val="nil"/>
              <w:left w:val="nil"/>
              <w:bottom w:val="nil"/>
              <w:right w:val="nil"/>
            </w:tcBorders>
            <w:noWrap w:val="0"/>
            <w:vAlign w:val="center"/>
          </w:tcPr>
          <w:p w14:paraId="4A174E9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w:t>
            </w:r>
          </w:p>
        </w:tc>
      </w:tr>
      <w:tr w14:paraId="23008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exact"/>
          <w:jc w:val="center"/>
        </w:trPr>
        <w:tc>
          <w:tcPr>
            <w:tcW w:w="5009" w:type="dxa"/>
            <w:tcBorders>
              <w:top w:val="nil"/>
              <w:left w:val="nil"/>
              <w:bottom w:val="nil"/>
              <w:right w:val="nil"/>
            </w:tcBorders>
            <w:noWrap w:val="0"/>
            <w:vAlign w:val="center"/>
          </w:tcPr>
          <w:p w14:paraId="078A8474">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c>
          <w:tcPr>
            <w:tcW w:w="4699" w:type="dxa"/>
            <w:tcBorders>
              <w:top w:val="nil"/>
              <w:left w:val="nil"/>
              <w:bottom w:val="nil"/>
              <w:right w:val="nil"/>
            </w:tcBorders>
            <w:noWrap w:val="0"/>
            <w:vAlign w:val="center"/>
          </w:tcPr>
          <w:p w14:paraId="4A7BB029">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r>
      <w:tr w14:paraId="394D3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7DFE5E32">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c>
          <w:tcPr>
            <w:tcW w:w="4699" w:type="dxa"/>
            <w:tcBorders>
              <w:top w:val="nil"/>
              <w:left w:val="nil"/>
              <w:bottom w:val="nil"/>
              <w:right w:val="nil"/>
            </w:tcBorders>
            <w:noWrap w:val="0"/>
            <w:vAlign w:val="center"/>
          </w:tcPr>
          <w:p w14:paraId="22AF3FC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r>
      <w:tr w14:paraId="20DE1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exact"/>
          <w:jc w:val="center"/>
        </w:trPr>
        <w:tc>
          <w:tcPr>
            <w:tcW w:w="5009" w:type="dxa"/>
            <w:tcBorders>
              <w:top w:val="nil"/>
              <w:left w:val="nil"/>
              <w:bottom w:val="nil"/>
              <w:right w:val="nil"/>
            </w:tcBorders>
            <w:noWrap w:val="0"/>
            <w:vAlign w:val="center"/>
          </w:tcPr>
          <w:p w14:paraId="3F5A92C5">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p w14:paraId="27FDBEA9">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p w14:paraId="563C04D8">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tc>
        <w:tc>
          <w:tcPr>
            <w:tcW w:w="4699" w:type="dxa"/>
            <w:tcBorders>
              <w:top w:val="nil"/>
              <w:left w:val="nil"/>
              <w:bottom w:val="nil"/>
              <w:right w:val="nil"/>
            </w:tcBorders>
            <w:noWrap w:val="0"/>
            <w:vAlign w:val="center"/>
          </w:tcPr>
          <w:p w14:paraId="1D3756A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tc>
      </w:tr>
      <w:tr w14:paraId="096D3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33705C9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c>
          <w:tcPr>
            <w:tcW w:w="4699" w:type="dxa"/>
            <w:tcBorders>
              <w:top w:val="nil"/>
              <w:left w:val="nil"/>
              <w:bottom w:val="nil"/>
              <w:right w:val="nil"/>
            </w:tcBorders>
            <w:noWrap w:val="0"/>
            <w:vAlign w:val="center"/>
          </w:tcPr>
          <w:p w14:paraId="6692BD57">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r>
      <w:tr w14:paraId="105F1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56B32A0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c>
          <w:tcPr>
            <w:tcW w:w="4699" w:type="dxa"/>
            <w:tcBorders>
              <w:top w:val="nil"/>
              <w:left w:val="nil"/>
              <w:bottom w:val="nil"/>
              <w:right w:val="nil"/>
            </w:tcBorders>
            <w:noWrap w:val="0"/>
            <w:vAlign w:val="center"/>
          </w:tcPr>
          <w:p w14:paraId="0817A384">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r>
      <w:tr w14:paraId="47327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32D3E3EA">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c>
          <w:tcPr>
            <w:tcW w:w="4699" w:type="dxa"/>
            <w:tcBorders>
              <w:top w:val="nil"/>
              <w:left w:val="nil"/>
              <w:bottom w:val="nil"/>
              <w:right w:val="nil"/>
            </w:tcBorders>
            <w:noWrap w:val="0"/>
            <w:vAlign w:val="center"/>
          </w:tcPr>
          <w:p w14:paraId="28DA73C5">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r>
      <w:tr w14:paraId="348F6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14E2C7A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c>
          <w:tcPr>
            <w:tcW w:w="4699" w:type="dxa"/>
            <w:tcBorders>
              <w:top w:val="nil"/>
              <w:left w:val="nil"/>
              <w:bottom w:val="nil"/>
              <w:right w:val="nil"/>
            </w:tcBorders>
            <w:noWrap w:val="0"/>
            <w:vAlign w:val="center"/>
          </w:tcPr>
          <w:p w14:paraId="67CBFD07">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r>
      <w:tr w14:paraId="57BD6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629B4384">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c>
          <w:tcPr>
            <w:tcW w:w="4699" w:type="dxa"/>
            <w:tcBorders>
              <w:top w:val="nil"/>
              <w:left w:val="nil"/>
              <w:bottom w:val="nil"/>
              <w:right w:val="nil"/>
            </w:tcBorders>
            <w:noWrap w:val="0"/>
            <w:vAlign w:val="center"/>
          </w:tcPr>
          <w:p w14:paraId="082FB8DE">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r>
    </w:tbl>
    <w:p w14:paraId="037AFCD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366F6A3C">
      <w:pPr>
        <w:rPr>
          <w:rFonts w:hint="eastAsia"/>
          <w:highlight w:val="none"/>
        </w:rPr>
      </w:pPr>
    </w:p>
    <w:p w14:paraId="050CD46C">
      <w:pPr>
        <w:pStyle w:val="2"/>
        <w:rPr>
          <w:rFonts w:hint="eastAsia" w:ascii="宋体" w:hAnsi="宋体" w:eastAsia="宋体" w:cs="宋体"/>
          <w:b/>
          <w:bCs/>
          <w:sz w:val="32"/>
          <w:szCs w:val="32"/>
          <w:highlight w:val="none"/>
        </w:rPr>
      </w:pPr>
      <w:bookmarkStart w:id="22" w:name="_Toc4063"/>
      <w:r>
        <w:rPr>
          <w:rFonts w:hint="eastAsia" w:ascii="宋体" w:hAnsi="宋体" w:eastAsia="宋体" w:cs="宋体"/>
          <w:b/>
          <w:bCs/>
          <w:sz w:val="32"/>
          <w:szCs w:val="32"/>
          <w:highlight w:val="none"/>
        </w:rPr>
        <w:t>第五章  投标文件构成及格式</w:t>
      </w:r>
      <w:bookmarkEnd w:id="20"/>
      <w:bookmarkEnd w:id="21"/>
      <w:bookmarkEnd w:id="22"/>
    </w:p>
    <w:p w14:paraId="307A9858">
      <w:pPr>
        <w:spacing w:line="560" w:lineRule="exact"/>
        <w:ind w:firstLine="640" w:firstLineChars="200"/>
        <w:jc w:val="both"/>
        <w:rPr>
          <w:rFonts w:hint="eastAsia" w:ascii="宋体" w:hAnsi="宋体" w:eastAsia="宋体" w:cs="宋体"/>
          <w:sz w:val="32"/>
          <w:szCs w:val="32"/>
          <w:highlight w:val="none"/>
        </w:rPr>
      </w:pPr>
    </w:p>
    <w:p w14:paraId="573755BF">
      <w:pPr>
        <w:spacing w:line="560" w:lineRule="exact"/>
        <w:ind w:firstLine="640" w:firstLineChars="200"/>
        <w:jc w:val="both"/>
        <w:rPr>
          <w:rFonts w:hint="eastAsia" w:ascii="宋体" w:hAnsi="宋体" w:eastAsia="宋体" w:cs="宋体"/>
          <w:sz w:val="32"/>
          <w:szCs w:val="32"/>
          <w:highlight w:val="none"/>
        </w:rPr>
      </w:pPr>
    </w:p>
    <w:p w14:paraId="457CA35B">
      <w:pPr>
        <w:spacing w:line="560" w:lineRule="exact"/>
        <w:jc w:val="both"/>
        <w:rPr>
          <w:rFonts w:hint="eastAsia" w:ascii="宋体" w:hAnsi="宋体" w:eastAsia="宋体" w:cs="宋体"/>
          <w:sz w:val="32"/>
          <w:szCs w:val="32"/>
          <w:highlight w:val="none"/>
        </w:rPr>
      </w:pPr>
    </w:p>
    <w:p w14:paraId="0E79627D">
      <w:pPr>
        <w:jc w:val="center"/>
        <w:outlineLvl w:val="9"/>
        <w:rPr>
          <w:rFonts w:hint="eastAsia" w:ascii="宋体" w:hAnsi="宋体" w:eastAsia="宋体" w:cs="宋体"/>
          <w:b/>
          <w:color w:val="auto"/>
          <w:kern w:val="2"/>
          <w:sz w:val="52"/>
          <w:szCs w:val="52"/>
          <w:highlight w:val="none"/>
          <w:lang w:val="en-US" w:eastAsia="zh-CN" w:bidi="ar-SA"/>
        </w:rPr>
      </w:pPr>
      <w:r>
        <w:rPr>
          <w:rFonts w:hint="eastAsia" w:ascii="宋体" w:hAnsi="宋体" w:eastAsia="宋体" w:cs="宋体"/>
          <w:b/>
          <w:color w:val="auto"/>
          <w:kern w:val="2"/>
          <w:sz w:val="52"/>
          <w:szCs w:val="52"/>
          <w:highlight w:val="none"/>
          <w:lang w:val="en-US" w:eastAsia="zh-CN" w:bidi="ar-SA"/>
        </w:rPr>
        <w:t>2025-2027管委会机关餐饮服务第三批（金融商务产业园等部门餐厅服务）（世园会展产业园）（六包）</w:t>
      </w:r>
    </w:p>
    <w:p w14:paraId="77AB920A">
      <w:pPr>
        <w:jc w:val="center"/>
        <w:outlineLvl w:val="9"/>
        <w:rPr>
          <w:rFonts w:hint="eastAsia" w:ascii="宋体" w:hAnsi="宋体" w:eastAsia="宋体" w:cs="宋体"/>
          <w:sz w:val="32"/>
          <w:szCs w:val="32"/>
          <w:highlight w:val="none"/>
        </w:rPr>
      </w:pPr>
      <w:r>
        <w:rPr>
          <w:rFonts w:hint="eastAsia" w:ascii="宋体" w:hAnsi="宋体" w:eastAsia="宋体" w:cs="宋体"/>
          <w:b/>
          <w:bCs/>
          <w:sz w:val="72"/>
          <w:szCs w:val="72"/>
          <w:highlight w:val="none"/>
        </w:rPr>
        <w:t>投标文件</w:t>
      </w:r>
    </w:p>
    <w:p w14:paraId="0FA7CF4F">
      <w:pPr>
        <w:rPr>
          <w:rFonts w:hint="eastAsia" w:ascii="宋体" w:hAnsi="宋体" w:eastAsia="宋体" w:cs="宋体"/>
          <w:highlight w:val="none"/>
        </w:rPr>
      </w:pPr>
    </w:p>
    <w:p w14:paraId="46A6B19E">
      <w:pPr>
        <w:rPr>
          <w:rFonts w:hint="eastAsia" w:ascii="宋体" w:hAnsi="宋体" w:eastAsia="宋体" w:cs="宋体"/>
          <w:highlight w:val="none"/>
        </w:rPr>
      </w:pPr>
    </w:p>
    <w:p w14:paraId="107FA145">
      <w:pPr>
        <w:rPr>
          <w:rFonts w:hint="eastAsia" w:ascii="宋体" w:hAnsi="宋体" w:eastAsia="宋体" w:cs="宋体"/>
          <w:highlight w:val="none"/>
        </w:rPr>
      </w:pPr>
    </w:p>
    <w:p w14:paraId="28347FBF">
      <w:pPr>
        <w:ind w:left="0" w:leftChars="0" w:firstLine="0" w:firstLineChars="0"/>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（项目编号：</w:t>
      </w:r>
      <w:r>
        <w:rPr>
          <w:rFonts w:hint="eastAsia" w:ascii="宋体" w:hAnsi="宋体" w:eastAsia="宋体" w:cs="宋体"/>
          <w:b/>
          <w:bCs/>
          <w:sz w:val="32"/>
          <w:szCs w:val="32"/>
          <w:highlight w:val="none"/>
          <w:lang w:eastAsia="zh-CN"/>
        </w:rPr>
        <w:t>CGZC-2025-114（HSGJ2025-171）</w:t>
      </w:r>
      <w:r>
        <w:rPr>
          <w:rFonts w:hint="eastAsia" w:ascii="宋体" w:hAnsi="宋体" w:eastAsia="宋体" w:cs="宋体"/>
          <w:b/>
          <w:bCs/>
          <w:sz w:val="32"/>
          <w:szCs w:val="32"/>
          <w:highlight w:val="none"/>
        </w:rPr>
        <w:t>）</w:t>
      </w:r>
    </w:p>
    <w:p w14:paraId="332E5C9E">
      <w:pPr>
        <w:spacing w:line="560" w:lineRule="exact"/>
        <w:ind w:firstLine="640" w:firstLineChars="200"/>
        <w:jc w:val="both"/>
        <w:rPr>
          <w:rFonts w:hint="eastAsia" w:ascii="宋体" w:hAnsi="宋体" w:eastAsia="宋体" w:cs="宋体"/>
          <w:sz w:val="32"/>
          <w:szCs w:val="32"/>
          <w:highlight w:val="none"/>
        </w:rPr>
      </w:pPr>
    </w:p>
    <w:p w14:paraId="53CFC0FE">
      <w:pPr>
        <w:spacing w:line="560" w:lineRule="exact"/>
        <w:ind w:firstLine="640" w:firstLineChars="200"/>
        <w:jc w:val="both"/>
        <w:rPr>
          <w:rFonts w:hint="eastAsia" w:ascii="宋体" w:hAnsi="宋体" w:eastAsia="宋体" w:cs="宋体"/>
          <w:sz w:val="32"/>
          <w:szCs w:val="32"/>
          <w:highlight w:val="none"/>
        </w:rPr>
      </w:pPr>
    </w:p>
    <w:p w14:paraId="29EDFAC9">
      <w:pPr>
        <w:spacing w:line="560" w:lineRule="exact"/>
        <w:ind w:firstLine="640" w:firstLineChars="200"/>
        <w:jc w:val="both"/>
        <w:rPr>
          <w:rFonts w:hint="eastAsia" w:ascii="宋体" w:hAnsi="宋体" w:eastAsia="宋体" w:cs="宋体"/>
          <w:sz w:val="32"/>
          <w:szCs w:val="32"/>
          <w:highlight w:val="none"/>
        </w:rPr>
      </w:pPr>
    </w:p>
    <w:p w14:paraId="134DF2C6">
      <w:pPr>
        <w:spacing w:line="560" w:lineRule="exact"/>
        <w:ind w:firstLine="640" w:firstLineChars="200"/>
        <w:jc w:val="both"/>
        <w:rPr>
          <w:rFonts w:hint="eastAsia" w:ascii="宋体" w:hAnsi="宋体" w:eastAsia="宋体" w:cs="宋体"/>
          <w:sz w:val="32"/>
          <w:szCs w:val="32"/>
          <w:highlight w:val="none"/>
        </w:rPr>
      </w:pPr>
    </w:p>
    <w:p w14:paraId="2CD67CAE">
      <w:pPr>
        <w:spacing w:line="560" w:lineRule="exact"/>
        <w:ind w:firstLine="640" w:firstLineChars="200"/>
        <w:jc w:val="both"/>
        <w:rPr>
          <w:rFonts w:hint="eastAsia" w:ascii="宋体" w:hAnsi="宋体" w:eastAsia="宋体" w:cs="宋体"/>
          <w:sz w:val="32"/>
          <w:szCs w:val="32"/>
          <w:highlight w:val="none"/>
        </w:rPr>
      </w:pPr>
    </w:p>
    <w:p w14:paraId="40AC496E">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5044E540">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56995D12">
      <w:pPr>
        <w:spacing w:line="560" w:lineRule="exact"/>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7846B2D5">
      <w:pPr>
        <w:spacing w:line="560" w:lineRule="exact"/>
        <w:ind w:firstLine="880" w:firstLineChars="200"/>
        <w:jc w:val="center"/>
        <w:rPr>
          <w:rFonts w:hint="eastAsia" w:ascii="宋体" w:hAnsi="宋体" w:eastAsia="宋体" w:cs="宋体"/>
          <w:sz w:val="44"/>
          <w:szCs w:val="44"/>
          <w:highlight w:val="none"/>
        </w:rPr>
      </w:pPr>
    </w:p>
    <w:p w14:paraId="3034E857">
      <w:pPr>
        <w:spacing w:line="560" w:lineRule="exact"/>
        <w:ind w:firstLine="880" w:firstLineChars="200"/>
        <w:jc w:val="center"/>
        <w:rPr>
          <w:rFonts w:hint="eastAsia" w:ascii="宋体" w:hAnsi="宋体" w:eastAsia="宋体" w:cs="宋体"/>
          <w:sz w:val="44"/>
          <w:szCs w:val="44"/>
          <w:highlight w:val="none"/>
        </w:rPr>
      </w:pPr>
      <w:r>
        <w:rPr>
          <w:rFonts w:hint="eastAsia" w:ascii="宋体" w:hAnsi="宋体" w:eastAsia="宋体" w:cs="宋体"/>
          <w:sz w:val="44"/>
          <w:szCs w:val="44"/>
          <w:highlight w:val="none"/>
        </w:rPr>
        <w:t>目    录</w:t>
      </w:r>
    </w:p>
    <w:p w14:paraId="1BAB4C8C">
      <w:pPr>
        <w:spacing w:line="560" w:lineRule="exact"/>
        <w:ind w:firstLine="640" w:firstLineChars="200"/>
        <w:jc w:val="both"/>
        <w:rPr>
          <w:rFonts w:hint="eastAsia" w:ascii="宋体" w:hAnsi="宋体" w:eastAsia="宋体" w:cs="宋体"/>
          <w:sz w:val="32"/>
          <w:szCs w:val="32"/>
          <w:highlight w:val="none"/>
        </w:rPr>
      </w:pPr>
    </w:p>
    <w:p w14:paraId="071DF049">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第一部分  投标函</w:t>
      </w:r>
    </w:p>
    <w:p w14:paraId="06BAA609">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第二部分  开标一览表</w:t>
      </w:r>
    </w:p>
    <w:p w14:paraId="32C0D9B3">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第三部分  资格证明文件</w:t>
      </w:r>
    </w:p>
    <w:p w14:paraId="219EBA2E">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第四部分  供应商概况</w:t>
      </w:r>
    </w:p>
    <w:p w14:paraId="63EAFCD6">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第五部分  供应商参加政府采购活动承诺书</w:t>
      </w:r>
    </w:p>
    <w:p w14:paraId="1973B3BE">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第六部分  投标方案</w:t>
      </w:r>
    </w:p>
    <w:p w14:paraId="1482F36A">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第一部分  投标函</w:t>
      </w:r>
    </w:p>
    <w:p w14:paraId="55BBFBA8">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3CC72DFD">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我公司收到贵单位</w:t>
      </w:r>
      <w:r>
        <w:rPr>
          <w:rFonts w:hint="eastAsia" w:ascii="宋体" w:hAnsi="宋体" w:eastAsia="宋体" w:cs="宋体"/>
          <w:color w:val="000000"/>
          <w:highlight w:val="none"/>
          <w:u w:val="single"/>
        </w:rPr>
        <w:t>〈项目名称〉</w:t>
      </w:r>
      <w:r>
        <w:rPr>
          <w:rFonts w:hint="eastAsia" w:ascii="宋体" w:hAnsi="宋体" w:eastAsia="宋体" w:cs="宋体"/>
          <w:color w:val="000000"/>
          <w:highlight w:val="none"/>
        </w:rPr>
        <w:t>（项目编号：</w:t>
      </w:r>
      <w:r>
        <w:rPr>
          <w:rFonts w:hint="eastAsia" w:ascii="宋体" w:hAnsi="宋体" w:eastAsia="宋体" w:cs="宋体"/>
          <w:color w:val="000000"/>
          <w:highlight w:val="none"/>
          <w:u w:val="single"/>
        </w:rPr>
        <w:t>〈项目编号〉</w:t>
      </w:r>
      <w:r>
        <w:rPr>
          <w:rFonts w:hint="eastAsia" w:ascii="宋体" w:hAnsi="宋体" w:eastAsia="宋体" w:cs="宋体"/>
          <w:color w:val="000000"/>
          <w:highlight w:val="none"/>
        </w:rPr>
        <w:t>）招标文件，经详细研究，我方决定参加该项目</w:t>
      </w:r>
      <w:r>
        <w:rPr>
          <w:rFonts w:hint="eastAsia" w:ascii="宋体" w:hAnsi="宋体" w:eastAsia="宋体" w:cs="宋体"/>
          <w:highlight w:val="none"/>
        </w:rPr>
        <w:t>的</w:t>
      </w:r>
      <w:r>
        <w:rPr>
          <w:rFonts w:hint="eastAsia" w:ascii="宋体" w:hAnsi="宋体" w:eastAsia="宋体" w:cs="宋体"/>
          <w:color w:val="000000"/>
          <w:highlight w:val="none"/>
        </w:rPr>
        <w:t>招标活动。为此，我方郑重声明以下诸点，并负法律责任。</w:t>
      </w:r>
    </w:p>
    <w:p w14:paraId="29B9DC11">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1．我方已详细阅读了招标文件，完全理解并同意招标文件的所有事项及内容。</w:t>
      </w:r>
    </w:p>
    <w:p w14:paraId="455973D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35D94A6D">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3．我方同意向贵中心提供与本次招标有关的全部证明材料，并保证所提交的证明材料真实、合法、有效。</w:t>
      </w:r>
    </w:p>
    <w:p w14:paraId="3A30D5E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4．我方理解最低价不是成交的唯一条件，并尊重评标委员会的评审结果。</w:t>
      </w:r>
    </w:p>
    <w:p w14:paraId="09B154AD">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5．我方投标文件在开启之日起</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个日历日（应不少于90个日历日）内有效。</w:t>
      </w:r>
    </w:p>
    <w:p w14:paraId="2F4C8A4E">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6．若我方成交，我方承诺：（1）将投标文件有效期延长至合同执行完毕；（2）收到</w:t>
      </w:r>
      <w:r>
        <w:rPr>
          <w:rFonts w:hint="eastAsia" w:ascii="宋体" w:hAnsi="宋体" w:eastAsia="宋体" w:cs="宋体"/>
          <w:color w:val="000000"/>
          <w:highlight w:val="none"/>
          <w:lang w:eastAsia="zh-CN"/>
        </w:rPr>
        <w:t>中标</w:t>
      </w:r>
      <w:r>
        <w:rPr>
          <w:rFonts w:hint="eastAsia" w:ascii="宋体" w:hAnsi="宋体" w:eastAsia="宋体" w:cs="宋体"/>
          <w:color w:val="000000"/>
          <w:highlight w:val="none"/>
        </w:rPr>
        <w:t>通知书后提交纸质投标文件一正两副；（3）遵照招标文件中的要求，完成本项目的合同责任和义务。</w:t>
      </w:r>
    </w:p>
    <w:p w14:paraId="75868211">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7．所有关于此次招标活动的函电，请按下列方式联系：</w:t>
      </w:r>
    </w:p>
    <w:p w14:paraId="4F01DE7B">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spacing w:val="60"/>
          <w:kern w:val="0"/>
          <w:highlight w:val="none"/>
          <w:fitText w:val="960" w:id="1740457068"/>
        </w:rPr>
        <w:t>供应</w:t>
      </w:r>
      <w:r>
        <w:rPr>
          <w:rFonts w:hint="eastAsia" w:ascii="宋体" w:hAnsi="宋体" w:eastAsia="宋体" w:cs="宋体"/>
          <w:color w:val="000000"/>
          <w:spacing w:val="0"/>
          <w:kern w:val="0"/>
          <w:highlight w:val="none"/>
          <w:fitText w:val="960" w:id="1740457068"/>
        </w:rPr>
        <w:t>商</w:t>
      </w:r>
      <w:r>
        <w:rPr>
          <w:rFonts w:hint="eastAsia" w:ascii="宋体" w:hAnsi="宋体" w:eastAsia="宋体" w:cs="宋体"/>
          <w:color w:val="000000"/>
          <w:highlight w:val="none"/>
        </w:rPr>
        <w:t>：（供应商全称并加盖公章）</w:t>
      </w:r>
    </w:p>
    <w:p w14:paraId="1CAA2814">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法定代表人或委托代理人：（签字或盖章）</w:t>
      </w:r>
    </w:p>
    <w:p w14:paraId="00C8FD9B">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联系电话：</w:t>
      </w:r>
    </w:p>
    <w:p w14:paraId="0AFD93C6">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通讯地址：</w:t>
      </w:r>
    </w:p>
    <w:p w14:paraId="485AB4C3">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邮</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编：</w:t>
      </w:r>
    </w:p>
    <w:p w14:paraId="2066E1DA">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电子邮箱：</w:t>
      </w:r>
    </w:p>
    <w:p w14:paraId="7B183DCC">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日</w:t>
      </w:r>
      <w:r>
        <w:rPr>
          <w:rFonts w:hint="eastAsia" w:ascii="宋体" w:hAnsi="宋体" w:eastAsia="宋体" w:cs="宋体"/>
          <w:highlight w:val="none"/>
          <w:lang w:val="en-US" w:eastAsia="zh-CN"/>
        </w:rPr>
        <w:t xml:space="preserve">    </w:t>
      </w:r>
      <w:r>
        <w:rPr>
          <w:rFonts w:hint="eastAsia" w:ascii="宋体" w:hAnsi="宋体" w:eastAsia="宋体" w:cs="宋体"/>
          <w:highlight w:val="none"/>
        </w:rPr>
        <w:t>期：</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日</w:t>
      </w:r>
    </w:p>
    <w:p w14:paraId="6EFBF652">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第二部分  开标一览表</w:t>
      </w:r>
    </w:p>
    <w:p w14:paraId="7DEBE5B9">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3BB440AE">
      <w:pPr>
        <w:numPr>
          <w:ilvl w:val="0"/>
          <w:numId w:val="0"/>
        </w:numPr>
        <w:rPr>
          <w:rFonts w:hint="default" w:cs="Times New Roman"/>
          <w:highlight w:val="none"/>
          <w:lang w:val="en-US" w:eastAsia="zh-CN"/>
        </w:rPr>
      </w:pPr>
      <w:r>
        <w:rPr>
          <w:rFonts w:hint="eastAsia"/>
          <w:highlight w:val="none"/>
          <w:lang w:eastAsia="zh-CN"/>
        </w:rPr>
        <w:t>项目编号：</w:t>
      </w:r>
      <w:r>
        <w:rPr>
          <w:rFonts w:hint="eastAsia"/>
          <w:highlight w:val="none"/>
          <w:u w:val="single"/>
          <w:lang w:val="en-US" w:eastAsia="zh-CN"/>
        </w:rPr>
        <w:t xml:space="preserve">                        </w:t>
      </w:r>
    </w:p>
    <w:tbl>
      <w:tblPr>
        <w:tblStyle w:val="28"/>
        <w:tblW w:w="4987" w:type="pct"/>
        <w:jc w:val="center"/>
        <w:tblLayout w:type="fixed"/>
        <w:tblCellMar>
          <w:top w:w="0" w:type="dxa"/>
          <w:left w:w="108" w:type="dxa"/>
          <w:bottom w:w="0" w:type="dxa"/>
          <w:right w:w="108" w:type="dxa"/>
        </w:tblCellMar>
      </w:tblPr>
      <w:tblGrid>
        <w:gridCol w:w="2209"/>
        <w:gridCol w:w="7721"/>
      </w:tblGrid>
      <w:tr w14:paraId="139DC650">
        <w:tblPrEx>
          <w:tblCellMar>
            <w:top w:w="0" w:type="dxa"/>
            <w:left w:w="108" w:type="dxa"/>
            <w:bottom w:w="0" w:type="dxa"/>
            <w:right w:w="108" w:type="dxa"/>
          </w:tblCellMar>
        </w:tblPrEx>
        <w:trPr>
          <w:trHeight w:val="1020" w:hRule="atLeast"/>
          <w:jc w:val="center"/>
        </w:trPr>
        <w:tc>
          <w:tcPr>
            <w:tcW w:w="1112" w:type="pct"/>
            <w:tcBorders>
              <w:top w:val="single" w:color="000000" w:sz="4" w:space="0"/>
              <w:left w:val="single" w:color="000000" w:sz="4" w:space="0"/>
              <w:bottom w:val="single" w:color="000000" w:sz="4" w:space="0"/>
            </w:tcBorders>
            <w:noWrap w:val="0"/>
            <w:vAlign w:val="center"/>
          </w:tcPr>
          <w:p w14:paraId="30A5D980">
            <w:pPr>
              <w:pStyle w:val="16"/>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bidi="ar-SA"/>
              </w:rPr>
            </w:pPr>
            <w:r>
              <w:rPr>
                <w:rFonts w:hint="eastAsia" w:hAnsi="宋体" w:eastAsia="宋体" w:cs="宋体"/>
                <w:color w:val="auto"/>
                <w:sz w:val="24"/>
                <w:szCs w:val="24"/>
                <w:highlight w:val="none"/>
                <w:lang w:val="en-US" w:eastAsia="zh-CN"/>
              </w:rPr>
              <w:t>投标报价（元）</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077B69BA">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hAnsi="宋体" w:eastAsia="宋体" w:cs="宋体"/>
                <w:spacing w:val="-2"/>
                <w:sz w:val="24"/>
                <w:szCs w:val="24"/>
                <w:highlight w:val="none"/>
                <w:lang w:val="en-US" w:eastAsia="zh-CN"/>
              </w:rPr>
            </w:pPr>
            <w:r>
              <w:rPr>
                <w:rFonts w:hint="eastAsia" w:hAnsi="宋体" w:eastAsia="宋体" w:cs="宋体"/>
                <w:spacing w:val="-2"/>
                <w:sz w:val="24"/>
                <w:szCs w:val="24"/>
                <w:highlight w:val="none"/>
                <w:lang w:eastAsia="zh-CN"/>
              </w:rPr>
              <w:t>大写：人民币</w:t>
            </w:r>
            <w:r>
              <w:rPr>
                <w:rFonts w:hint="eastAsia" w:hAnsi="宋体" w:eastAsia="宋体" w:cs="宋体"/>
                <w:spacing w:val="-2"/>
                <w:sz w:val="24"/>
                <w:szCs w:val="24"/>
                <w:highlight w:val="none"/>
                <w:u w:val="single"/>
                <w:lang w:val="en-US" w:eastAsia="zh-CN"/>
              </w:rPr>
              <w:t xml:space="preserve">                            </w:t>
            </w:r>
          </w:p>
          <w:p w14:paraId="68D141BB">
            <w:pPr>
              <w:rPr>
                <w:rFonts w:hint="eastAsia" w:ascii="Calibri" w:hAnsi="Calibri" w:eastAsia="宋体" w:cs="Times New Roman"/>
                <w:sz w:val="24"/>
                <w:szCs w:val="24"/>
                <w:highlight w:val="none"/>
                <w:lang w:val="en-US" w:eastAsia="zh-CN" w:bidi="ar-SA"/>
              </w:rPr>
            </w:pPr>
            <w:r>
              <w:rPr>
                <w:rFonts w:hint="eastAsia" w:hAnsi="宋体" w:eastAsia="宋体" w:cs="宋体"/>
                <w:spacing w:val="-2"/>
                <w:sz w:val="24"/>
                <w:szCs w:val="24"/>
                <w:highlight w:val="none"/>
                <w:lang w:eastAsia="zh-CN"/>
              </w:rPr>
              <w:t>小写：</w:t>
            </w:r>
            <w:r>
              <w:rPr>
                <w:rFonts w:hint="eastAsia" w:hAnsi="宋体" w:eastAsia="宋体" w:cs="宋体"/>
                <w:spacing w:val="-2"/>
                <w:sz w:val="24"/>
                <w:szCs w:val="24"/>
                <w:highlight w:val="none"/>
                <w:u w:val="single"/>
                <w:lang w:val="en-US" w:eastAsia="zh-CN"/>
              </w:rPr>
              <w:t xml:space="preserve">                                  </w:t>
            </w:r>
          </w:p>
        </w:tc>
      </w:tr>
      <w:tr w14:paraId="44D2EC85">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bottom w:val="single" w:color="000000" w:sz="4" w:space="0"/>
            </w:tcBorders>
            <w:noWrap w:val="0"/>
            <w:vAlign w:val="center"/>
          </w:tcPr>
          <w:p w14:paraId="64FD013D">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服务期</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709AC773">
            <w:pPr>
              <w:rPr>
                <w:rFonts w:hint="eastAsia" w:hAnsi="宋体" w:eastAsia="宋体" w:cs="宋体"/>
                <w:spacing w:val="-2"/>
                <w:sz w:val="24"/>
                <w:szCs w:val="24"/>
                <w:highlight w:val="none"/>
                <w:lang w:eastAsia="zh-CN"/>
              </w:rPr>
            </w:pPr>
          </w:p>
        </w:tc>
      </w:tr>
      <w:tr w14:paraId="49A65F94">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bottom w:val="single" w:color="000000" w:sz="4" w:space="0"/>
            </w:tcBorders>
            <w:noWrap w:val="0"/>
            <w:vAlign w:val="center"/>
          </w:tcPr>
          <w:p w14:paraId="35DE73D7">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服务地点</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66B8545F">
            <w:pPr>
              <w:rPr>
                <w:rFonts w:hint="eastAsia" w:hAnsi="宋体" w:eastAsia="宋体" w:cs="宋体"/>
                <w:spacing w:val="-2"/>
                <w:sz w:val="24"/>
                <w:szCs w:val="24"/>
                <w:highlight w:val="none"/>
                <w:lang w:eastAsia="zh-CN"/>
              </w:rPr>
            </w:pPr>
          </w:p>
        </w:tc>
      </w:tr>
      <w:tr w14:paraId="34792DB9">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tcBorders>
            <w:noWrap w:val="0"/>
            <w:vAlign w:val="center"/>
          </w:tcPr>
          <w:p w14:paraId="3D951C20">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质量要求</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6E257348">
            <w:pPr>
              <w:rPr>
                <w:rFonts w:hint="eastAsia" w:hAnsi="宋体" w:eastAsia="宋体" w:cs="宋体"/>
                <w:spacing w:val="-2"/>
                <w:sz w:val="24"/>
                <w:szCs w:val="24"/>
                <w:highlight w:val="none"/>
                <w:lang w:eastAsia="zh-CN"/>
              </w:rPr>
            </w:pPr>
          </w:p>
        </w:tc>
      </w:tr>
      <w:tr w14:paraId="2D521223">
        <w:tblPrEx>
          <w:tblCellMar>
            <w:top w:w="0" w:type="dxa"/>
            <w:left w:w="108" w:type="dxa"/>
            <w:bottom w:w="0" w:type="dxa"/>
            <w:right w:w="108" w:type="dxa"/>
          </w:tblCellMar>
        </w:tblPrEx>
        <w:trPr>
          <w:trHeight w:val="907" w:hRule="atLeast"/>
          <w:jc w:val="center"/>
        </w:trPr>
        <w:tc>
          <w:tcPr>
            <w:tcW w:w="1112" w:type="pct"/>
            <w:tcBorders>
              <w:top w:val="single" w:color="000000" w:sz="4" w:space="0"/>
              <w:left w:val="single" w:color="000000" w:sz="4" w:space="0"/>
              <w:bottom w:val="single" w:color="000000" w:sz="4" w:space="0"/>
            </w:tcBorders>
            <w:noWrap w:val="0"/>
            <w:vAlign w:val="center"/>
          </w:tcPr>
          <w:p w14:paraId="184CDC4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6A4ACE8F">
            <w:pPr>
              <w:rPr>
                <w:rFonts w:hint="eastAsia" w:hAnsi="宋体" w:eastAsia="宋体" w:cs="宋体"/>
                <w:spacing w:val="-2"/>
                <w:sz w:val="24"/>
                <w:szCs w:val="24"/>
                <w:highlight w:val="none"/>
                <w:lang w:eastAsia="zh-CN"/>
              </w:rPr>
            </w:pPr>
          </w:p>
        </w:tc>
      </w:tr>
      <w:tr w14:paraId="05A92EEF">
        <w:tblPrEx>
          <w:tblCellMar>
            <w:top w:w="0" w:type="dxa"/>
            <w:left w:w="108" w:type="dxa"/>
            <w:bottom w:w="0" w:type="dxa"/>
            <w:right w:w="108" w:type="dxa"/>
          </w:tblCellMar>
        </w:tblPrEx>
        <w:trPr>
          <w:trHeight w:val="1020" w:hRule="atLeast"/>
          <w:jc w:val="center"/>
        </w:trPr>
        <w:tc>
          <w:tcPr>
            <w:tcW w:w="5000" w:type="pct"/>
            <w:gridSpan w:val="2"/>
            <w:tcBorders>
              <w:top w:val="single" w:color="000000" w:sz="4" w:space="0"/>
              <w:left w:val="single" w:color="000000" w:sz="4" w:space="0"/>
              <w:bottom w:val="single" w:color="000000" w:sz="4" w:space="0"/>
              <w:right w:val="single" w:color="000000" w:sz="4" w:space="0"/>
            </w:tcBorders>
            <w:noWrap w:val="0"/>
            <w:vAlign w:val="center"/>
          </w:tcPr>
          <w:p w14:paraId="6D85D6E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highlight w:val="none"/>
                <w:lang w:val="en-US" w:eastAsia="zh-CN"/>
              </w:rPr>
            </w:pPr>
            <w:r>
              <w:rPr>
                <w:rFonts w:hint="eastAsia" w:ascii="宋体" w:hAnsi="宋体" w:eastAsia="宋体" w:cs="宋体"/>
                <w:sz w:val="24"/>
                <w:szCs w:val="24"/>
                <w:highlight w:val="none"/>
                <w:lang w:eastAsia="zh-CN"/>
              </w:rPr>
              <w:t>注：</w:t>
            </w:r>
            <w:r>
              <w:rPr>
                <w:rFonts w:hint="eastAsia" w:ascii="宋体" w:hAnsi="宋体" w:eastAsia="宋体" w:cs="宋体"/>
                <w:color w:val="auto"/>
                <w:sz w:val="24"/>
                <w:szCs w:val="24"/>
                <w:highlight w:val="none"/>
                <w:lang w:val="en-US" w:eastAsia="zh-CN"/>
              </w:rPr>
              <w:t>投标报价不得高于项目最高限价，超过最高限价为无效投标。</w:t>
            </w:r>
          </w:p>
        </w:tc>
      </w:tr>
    </w:tbl>
    <w:p w14:paraId="2797BDBA">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p>
    <w:p w14:paraId="3F591AEA">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311B8EEA">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0773B4ED">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4F251387">
      <w:pPr>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503E00A5">
      <w:pPr>
        <w:pStyle w:val="15"/>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t>分项报价表</w:t>
      </w:r>
    </w:p>
    <w:p w14:paraId="226C4708">
      <w:pPr>
        <w:spacing w:line="500" w:lineRule="exact"/>
        <w:rPr>
          <w:rFonts w:hint="eastAsia" w:ascii="宋体" w:hAnsi="宋体"/>
          <w:color w:val="auto"/>
          <w:sz w:val="24"/>
          <w:highlight w:val="none"/>
        </w:rPr>
      </w:pPr>
      <w:r>
        <w:rPr>
          <w:rFonts w:hint="eastAsia" w:ascii="宋体" w:hAnsi="宋体"/>
          <w:color w:val="auto"/>
          <w:sz w:val="24"/>
          <w:highlight w:val="none"/>
        </w:rPr>
        <w:t xml:space="preserve">项目名称：                                                </w:t>
      </w:r>
    </w:p>
    <w:p w14:paraId="61095728">
      <w:pPr>
        <w:spacing w:line="500" w:lineRule="exact"/>
        <w:rPr>
          <w:rFonts w:hint="eastAsia" w:ascii="宋体" w:hAnsi="宋体"/>
          <w:color w:val="auto"/>
          <w:sz w:val="24"/>
          <w:highlight w:val="none"/>
        </w:rPr>
      </w:pPr>
      <w:r>
        <w:rPr>
          <w:rFonts w:hint="eastAsia" w:ascii="宋体" w:hAnsi="宋体"/>
          <w:color w:val="auto"/>
          <w:sz w:val="24"/>
          <w:highlight w:val="none"/>
        </w:rPr>
        <w:t>项目编号：                                                  共   页，第   页</w:t>
      </w:r>
    </w:p>
    <w:tbl>
      <w:tblPr>
        <w:tblStyle w:val="29"/>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230"/>
        <w:gridCol w:w="2019"/>
        <w:gridCol w:w="1010"/>
        <w:gridCol w:w="1020"/>
        <w:gridCol w:w="1550"/>
        <w:gridCol w:w="1441"/>
        <w:gridCol w:w="718"/>
      </w:tblGrid>
      <w:tr w14:paraId="3792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77" w:type="pct"/>
            <w:noWrap w:val="0"/>
            <w:vAlign w:val="center"/>
          </w:tcPr>
          <w:p w14:paraId="06748F77">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val="en-US" w:eastAsia="zh-CN"/>
              </w:rPr>
            </w:pPr>
            <w:r>
              <w:rPr>
                <w:rFonts w:hint="eastAsia" w:ascii="宋体" w:hAnsi="宋体" w:eastAsia="宋体" w:cs="宋体"/>
                <w:b/>
                <w:bCs/>
                <w:spacing w:val="0"/>
                <w:position w:val="0"/>
                <w:sz w:val="24"/>
                <w:szCs w:val="24"/>
                <w:highlight w:val="none"/>
                <w:vertAlign w:val="baseline"/>
                <w:lang w:val="en-US" w:eastAsia="zh-CN"/>
              </w:rPr>
              <w:t>序号</w:t>
            </w:r>
          </w:p>
        </w:tc>
        <w:tc>
          <w:tcPr>
            <w:tcW w:w="619" w:type="pct"/>
            <w:noWrap w:val="0"/>
            <w:vAlign w:val="center"/>
          </w:tcPr>
          <w:p w14:paraId="0B82F909">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val="en-US" w:eastAsia="zh-CN"/>
              </w:rPr>
            </w:pPr>
            <w:r>
              <w:rPr>
                <w:rFonts w:hint="eastAsia" w:ascii="宋体" w:hAnsi="宋体" w:eastAsia="宋体" w:cs="宋体"/>
                <w:b/>
                <w:bCs/>
                <w:spacing w:val="0"/>
                <w:position w:val="0"/>
                <w:sz w:val="24"/>
                <w:szCs w:val="24"/>
                <w:highlight w:val="none"/>
                <w:vertAlign w:val="baseline"/>
                <w:lang w:val="en-US" w:eastAsia="zh-CN"/>
              </w:rPr>
              <w:t>服务名称</w:t>
            </w:r>
          </w:p>
        </w:tc>
        <w:tc>
          <w:tcPr>
            <w:tcW w:w="1016" w:type="pct"/>
            <w:noWrap w:val="0"/>
            <w:vAlign w:val="center"/>
          </w:tcPr>
          <w:p w14:paraId="5A87592C">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服务内容</w:t>
            </w:r>
          </w:p>
        </w:tc>
        <w:tc>
          <w:tcPr>
            <w:tcW w:w="508" w:type="pct"/>
            <w:noWrap w:val="0"/>
            <w:vAlign w:val="center"/>
          </w:tcPr>
          <w:p w14:paraId="19D74BDA">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数量</w:t>
            </w:r>
          </w:p>
        </w:tc>
        <w:tc>
          <w:tcPr>
            <w:tcW w:w="513" w:type="pct"/>
            <w:noWrap w:val="0"/>
            <w:vAlign w:val="center"/>
          </w:tcPr>
          <w:p w14:paraId="1BE38AD0">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单位</w:t>
            </w:r>
          </w:p>
        </w:tc>
        <w:tc>
          <w:tcPr>
            <w:tcW w:w="780" w:type="pct"/>
            <w:noWrap w:val="0"/>
            <w:vAlign w:val="center"/>
          </w:tcPr>
          <w:p w14:paraId="6FE449D6">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单价（元）</w:t>
            </w:r>
          </w:p>
        </w:tc>
        <w:tc>
          <w:tcPr>
            <w:tcW w:w="725" w:type="pct"/>
            <w:noWrap w:val="0"/>
            <w:vAlign w:val="center"/>
          </w:tcPr>
          <w:p w14:paraId="4E1877A1">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合价（元）</w:t>
            </w:r>
          </w:p>
        </w:tc>
        <w:tc>
          <w:tcPr>
            <w:tcW w:w="359" w:type="pct"/>
            <w:noWrap w:val="0"/>
            <w:vAlign w:val="center"/>
          </w:tcPr>
          <w:p w14:paraId="4131F39C">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备注</w:t>
            </w:r>
          </w:p>
        </w:tc>
      </w:tr>
      <w:tr w14:paraId="0021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0736EDFD">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1</w:t>
            </w:r>
          </w:p>
        </w:tc>
        <w:tc>
          <w:tcPr>
            <w:tcW w:w="619" w:type="pct"/>
            <w:noWrap w:val="0"/>
            <w:vAlign w:val="center"/>
          </w:tcPr>
          <w:p w14:paraId="3778216D">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0150CE57">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3FCA944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54C231E6">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369F945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77A16A2F">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48D0945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31A1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7ECA694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2</w:t>
            </w:r>
          </w:p>
        </w:tc>
        <w:tc>
          <w:tcPr>
            <w:tcW w:w="619" w:type="pct"/>
            <w:noWrap w:val="0"/>
            <w:vAlign w:val="center"/>
          </w:tcPr>
          <w:p w14:paraId="55A5127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10B02D3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1B6302BB">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17A4131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7EB94A60">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32CCABDC">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7A22DC3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0C7F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6514D85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3</w:t>
            </w:r>
          </w:p>
        </w:tc>
        <w:tc>
          <w:tcPr>
            <w:tcW w:w="619" w:type="pct"/>
            <w:noWrap w:val="0"/>
            <w:vAlign w:val="center"/>
          </w:tcPr>
          <w:p w14:paraId="56FDD86D">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001F039B">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1F51970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29CA420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05142F6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00DE073F">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313A1DC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671F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0BEC064B">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w:t>
            </w:r>
          </w:p>
        </w:tc>
        <w:tc>
          <w:tcPr>
            <w:tcW w:w="619" w:type="pct"/>
            <w:noWrap w:val="0"/>
            <w:vAlign w:val="center"/>
          </w:tcPr>
          <w:p w14:paraId="31FCFA97">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3F21BF7E">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44E52A2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533278BB">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26B64B4E">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0554AA8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4967DFA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1433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06993AA1">
            <w:pPr>
              <w:pageBreakBefore w:val="0"/>
              <w:widowControl w:val="0"/>
              <w:kinsoku/>
              <w:wordWrap/>
              <w:topLinePunct w:val="0"/>
              <w:autoSpaceDE/>
              <w:autoSpaceDN/>
              <w:bidi w:val="0"/>
              <w:jc w:val="center"/>
              <w:rPr>
                <w:rFonts w:hint="default"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N</w:t>
            </w:r>
          </w:p>
        </w:tc>
        <w:tc>
          <w:tcPr>
            <w:tcW w:w="619" w:type="pct"/>
            <w:noWrap w:val="0"/>
            <w:vAlign w:val="center"/>
          </w:tcPr>
          <w:p w14:paraId="0954C3B6">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484246CC">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1118A89E">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18960DBE">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67CBAE3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5EDEC3A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2EF841E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1BC3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477" w:type="pct"/>
            <w:noWrap w:val="0"/>
            <w:vAlign w:val="center"/>
          </w:tcPr>
          <w:p w14:paraId="4A8FD449">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合计</w:t>
            </w:r>
          </w:p>
          <w:p w14:paraId="61F262F1">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（元）</w:t>
            </w:r>
          </w:p>
        </w:tc>
        <w:tc>
          <w:tcPr>
            <w:tcW w:w="4522" w:type="pct"/>
            <w:gridSpan w:val="7"/>
            <w:noWrap w:val="0"/>
            <w:vAlign w:val="center"/>
          </w:tcPr>
          <w:p w14:paraId="36938CAE">
            <w:pPr>
              <w:pageBreakBefore w:val="0"/>
              <w:widowControl w:val="0"/>
              <w:kinsoku/>
              <w:wordWrap/>
              <w:topLinePunct w:val="0"/>
              <w:autoSpaceDE/>
              <w:autoSpaceDN/>
              <w:bidi w:val="0"/>
              <w:jc w:val="both"/>
              <w:rPr>
                <w:rFonts w:hint="eastAsia" w:ascii="宋体" w:hAnsi="宋体" w:eastAsia="宋体" w:cs="宋体"/>
                <w:b/>
                <w:bCs/>
                <w:color w:val="auto"/>
                <w:spacing w:val="-6"/>
                <w:sz w:val="24"/>
                <w:szCs w:val="24"/>
                <w:highlight w:val="none"/>
              </w:rPr>
            </w:pPr>
            <w:r>
              <w:rPr>
                <w:rFonts w:hint="eastAsia" w:ascii="宋体" w:hAnsi="宋体" w:eastAsia="宋体" w:cs="宋体"/>
                <w:b/>
                <w:bCs/>
                <w:color w:val="auto"/>
                <w:spacing w:val="-6"/>
                <w:sz w:val="24"/>
                <w:szCs w:val="24"/>
                <w:highlight w:val="none"/>
              </w:rPr>
              <w:t>（人民币大写）：                        （</w:t>
            </w:r>
            <w:r>
              <w:rPr>
                <w:rFonts w:hint="eastAsia" w:ascii="宋体" w:hAnsi="宋体" w:eastAsia="宋体" w:cs="宋体"/>
                <w:b/>
                <w:bCs/>
                <w:color w:val="auto"/>
                <w:sz w:val="24"/>
                <w:szCs w:val="24"/>
                <w:highlight w:val="none"/>
              </w:rPr>
              <w:t>¥</w:t>
            </w:r>
            <w:r>
              <w:rPr>
                <w:rFonts w:hint="eastAsia" w:ascii="宋体" w:hAnsi="宋体" w:eastAsia="宋体" w:cs="宋体"/>
                <w:b/>
                <w:bCs/>
                <w:color w:val="auto"/>
                <w:spacing w:val="-6"/>
                <w:sz w:val="24"/>
                <w:szCs w:val="24"/>
                <w:highlight w:val="none"/>
              </w:rPr>
              <w:t xml:space="preserve">                    元）</w:t>
            </w:r>
          </w:p>
        </w:tc>
      </w:tr>
    </w:tbl>
    <w:p w14:paraId="3FA74396">
      <w:pPr>
        <w:keepNext w:val="0"/>
        <w:keepLines w:val="0"/>
        <w:pageBreakBefore w:val="0"/>
        <w:widowControl/>
        <w:kinsoku/>
        <w:wordWrap/>
        <w:overflowPunct/>
        <w:topLinePunct w:val="0"/>
        <w:autoSpaceDE/>
        <w:autoSpaceDN/>
        <w:bidi w:val="0"/>
        <w:adjustRightInd/>
        <w:snapToGrid/>
        <w:spacing w:line="360" w:lineRule="auto"/>
        <w:ind w:right="0"/>
        <w:textAlignment w:val="auto"/>
        <w:rPr>
          <w:rFonts w:hint="eastAsia" w:ascii="宋体" w:hAnsi="宋体" w:eastAsia="宋体"/>
          <w:color w:val="auto"/>
          <w:sz w:val="24"/>
          <w:highlight w:val="none"/>
          <w:lang w:eastAsia="zh-CN"/>
        </w:rPr>
      </w:pPr>
      <w:r>
        <w:rPr>
          <w:rFonts w:hint="eastAsia" w:ascii="宋体" w:hAnsi="宋体"/>
          <w:color w:val="auto"/>
          <w:sz w:val="24"/>
          <w:highlight w:val="none"/>
        </w:rPr>
        <w:t>注：</w:t>
      </w:r>
      <w:r>
        <w:rPr>
          <w:rFonts w:hint="eastAsia" w:ascii="宋体" w:hAnsi="宋体"/>
          <w:color w:val="auto"/>
          <w:sz w:val="24"/>
          <w:highlight w:val="none"/>
          <w:lang w:val="en-US" w:eastAsia="zh-CN"/>
        </w:rPr>
        <w:t>1.</w:t>
      </w:r>
      <w:r>
        <w:rPr>
          <w:rFonts w:hint="eastAsia" w:ascii="宋体" w:hAnsi="宋体"/>
          <w:color w:val="auto"/>
          <w:sz w:val="24"/>
          <w:highlight w:val="none"/>
        </w:rPr>
        <w:t>本表中的“</w:t>
      </w:r>
      <w:r>
        <w:rPr>
          <w:rFonts w:hint="eastAsia" w:hAnsi="宋体"/>
          <w:color w:val="auto"/>
          <w:spacing w:val="-6"/>
          <w:sz w:val="24"/>
          <w:highlight w:val="none"/>
          <w:lang w:eastAsia="zh-CN"/>
        </w:rPr>
        <w:t>合计</w:t>
      </w:r>
      <w:r>
        <w:rPr>
          <w:rFonts w:hint="eastAsia" w:ascii="宋体" w:hAnsi="宋体"/>
          <w:color w:val="auto"/>
          <w:sz w:val="24"/>
          <w:highlight w:val="none"/>
        </w:rPr>
        <w:t>”与“</w:t>
      </w:r>
      <w:r>
        <w:rPr>
          <w:rFonts w:hint="eastAsia" w:ascii="宋体" w:hAnsi="宋体"/>
          <w:color w:val="auto"/>
          <w:sz w:val="24"/>
          <w:highlight w:val="none"/>
          <w:lang w:eastAsia="zh-CN"/>
        </w:rPr>
        <w:t>开标一览</w:t>
      </w:r>
      <w:r>
        <w:rPr>
          <w:rFonts w:hint="eastAsia" w:ascii="宋体" w:hAnsi="宋体"/>
          <w:color w:val="auto"/>
          <w:sz w:val="24"/>
          <w:highlight w:val="none"/>
        </w:rPr>
        <w:t>表”中的“</w:t>
      </w:r>
      <w:r>
        <w:rPr>
          <w:rFonts w:hint="eastAsia" w:hAnsi="宋体"/>
          <w:color w:val="auto"/>
          <w:spacing w:val="-6"/>
          <w:sz w:val="24"/>
          <w:highlight w:val="none"/>
          <w:lang w:val="en-US" w:eastAsia="zh-CN"/>
        </w:rPr>
        <w:t>投标</w:t>
      </w:r>
      <w:r>
        <w:rPr>
          <w:rFonts w:hint="eastAsia" w:hAnsi="宋体"/>
          <w:color w:val="auto"/>
          <w:spacing w:val="-6"/>
          <w:sz w:val="24"/>
          <w:highlight w:val="none"/>
          <w:lang w:eastAsia="zh-CN"/>
        </w:rPr>
        <w:t>报价</w:t>
      </w:r>
      <w:r>
        <w:rPr>
          <w:rFonts w:hint="eastAsia" w:ascii="宋体" w:hAnsi="宋体"/>
          <w:color w:val="auto"/>
          <w:sz w:val="24"/>
          <w:highlight w:val="none"/>
        </w:rPr>
        <w:t>”一致。各子项分别报价</w:t>
      </w:r>
      <w:r>
        <w:rPr>
          <w:rFonts w:hint="eastAsia" w:ascii="宋体" w:hAnsi="宋体"/>
          <w:color w:val="auto"/>
          <w:sz w:val="24"/>
          <w:highlight w:val="none"/>
          <w:lang w:eastAsia="zh-CN"/>
        </w:rPr>
        <w:t>；</w:t>
      </w:r>
    </w:p>
    <w:p w14:paraId="10379DDE">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2.</w:t>
      </w:r>
      <w:r>
        <w:rPr>
          <w:rFonts w:hint="eastAsia" w:ascii="宋体" w:hAnsi="宋体"/>
          <w:color w:val="auto"/>
          <w:sz w:val="24"/>
          <w:highlight w:val="none"/>
        </w:rPr>
        <w:t>供应商</w:t>
      </w:r>
      <w:r>
        <w:rPr>
          <w:rFonts w:hint="eastAsia" w:ascii="宋体" w:hAnsi="宋体"/>
          <w:color w:val="auto"/>
          <w:sz w:val="24"/>
          <w:highlight w:val="none"/>
          <w:lang w:eastAsia="zh-CN"/>
        </w:rPr>
        <w:t>可</w:t>
      </w:r>
      <w:r>
        <w:rPr>
          <w:rFonts w:hint="eastAsia" w:ascii="宋体" w:hAnsi="宋体"/>
          <w:color w:val="auto"/>
          <w:sz w:val="24"/>
          <w:highlight w:val="none"/>
        </w:rPr>
        <w:t>根据</w:t>
      </w:r>
      <w:r>
        <w:rPr>
          <w:rFonts w:hint="eastAsia" w:ascii="宋体" w:hAnsi="宋体"/>
          <w:color w:val="auto"/>
          <w:sz w:val="24"/>
          <w:highlight w:val="none"/>
          <w:lang w:eastAsia="zh-CN"/>
        </w:rPr>
        <w:t>招标</w:t>
      </w:r>
      <w:r>
        <w:rPr>
          <w:rFonts w:hint="eastAsia" w:ascii="宋体" w:hAnsi="宋体"/>
          <w:color w:val="auto"/>
          <w:sz w:val="24"/>
          <w:highlight w:val="none"/>
        </w:rPr>
        <w:t>内容及要求自行</w:t>
      </w:r>
      <w:r>
        <w:rPr>
          <w:rFonts w:hint="eastAsia" w:ascii="宋体" w:hAnsi="宋体"/>
          <w:color w:val="auto"/>
          <w:sz w:val="24"/>
          <w:highlight w:val="none"/>
          <w:lang w:eastAsia="zh-CN"/>
        </w:rPr>
        <w:t>增加或细化表格内容。</w:t>
      </w:r>
    </w:p>
    <w:p w14:paraId="7D923AB1">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eastAsia" w:ascii="宋体" w:hAnsi="宋体"/>
          <w:color w:val="auto"/>
          <w:sz w:val="24"/>
          <w:highlight w:val="none"/>
          <w:lang w:val="en-US" w:eastAsia="zh-CN"/>
        </w:rPr>
      </w:pPr>
      <w:r>
        <w:rPr>
          <w:rFonts w:hint="eastAsia" w:ascii="宋体" w:hAnsi="宋体"/>
          <w:color w:val="auto"/>
          <w:sz w:val="24"/>
          <w:highlight w:val="none"/>
          <w:lang w:val="en-US" w:eastAsia="zh-CN"/>
        </w:rPr>
        <w:t>3.须明确不同岗位餐厅工作人员每人每月费用（含税）。</w:t>
      </w:r>
    </w:p>
    <w:p w14:paraId="79E230CD">
      <w:pPr>
        <w:pStyle w:val="16"/>
        <w:rPr>
          <w:rFonts w:hint="eastAsia" w:hAnsi="宋体"/>
          <w:color w:val="auto"/>
          <w:sz w:val="24"/>
          <w:szCs w:val="24"/>
          <w:highlight w:val="none"/>
        </w:rPr>
      </w:pPr>
    </w:p>
    <w:p w14:paraId="4C77FA8C">
      <w:pPr>
        <w:pStyle w:val="16"/>
        <w:rPr>
          <w:rFonts w:hint="eastAsia" w:hAnsi="宋体"/>
          <w:color w:val="auto"/>
          <w:sz w:val="24"/>
          <w:szCs w:val="24"/>
          <w:highlight w:val="none"/>
        </w:rPr>
      </w:pPr>
    </w:p>
    <w:p w14:paraId="0B5BC9DB">
      <w:pPr>
        <w:rPr>
          <w:rFonts w:ascii="宋体" w:hAnsi="宋体" w:eastAsia="宋体" w:cs="宋体"/>
          <w:color w:val="auto"/>
          <w:sz w:val="24"/>
          <w:szCs w:val="24"/>
          <w:highlight w:val="none"/>
          <w:lang w:eastAsia="zh-CN"/>
        </w:rPr>
      </w:pPr>
    </w:p>
    <w:p w14:paraId="12C38D9D">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w:t>
      </w:r>
      <w:r>
        <w:rPr>
          <w:rFonts w:hint="eastAsia" w:ascii="宋体" w:hAnsi="宋体" w:cs="宋体"/>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eastAsia="zh-CN"/>
        </w:rPr>
        <w:t xml:space="preserve">                            </w:t>
      </w:r>
    </w:p>
    <w:p w14:paraId="77A5B99E">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74A0CEAF">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742D596B">
      <w:pPr>
        <w:pStyle w:val="15"/>
        <w:jc w:val="center"/>
        <w:rPr>
          <w:rFonts w:hint="eastAsia"/>
          <w:highlight w:val="none"/>
        </w:rPr>
      </w:pPr>
    </w:p>
    <w:p w14:paraId="712FA548">
      <w:pPr>
        <w:pStyle w:val="15"/>
        <w:jc w:val="both"/>
        <w:rPr>
          <w:rFonts w:hint="eastAsia"/>
          <w:highlight w:val="none"/>
        </w:rPr>
      </w:pPr>
    </w:p>
    <w:p w14:paraId="3E0E4FDD">
      <w:pPr>
        <w:pStyle w:val="3"/>
        <w:jc w:val="center"/>
        <w:rPr>
          <w:rFonts w:hint="eastAsia" w:ascii="宋体" w:hAnsi="宋体" w:eastAsia="宋体" w:cs="宋体"/>
          <w:b/>
          <w:bCs/>
          <w:highlight w:val="none"/>
        </w:rPr>
        <w:sectPr>
          <w:headerReference r:id="rId16" w:type="default"/>
          <w:footerReference r:id="rId17" w:type="default"/>
          <w:footerReference r:id="rId18" w:type="even"/>
          <w:pgSz w:w="11906" w:h="16838"/>
          <w:pgMar w:top="1417" w:right="1083" w:bottom="1417" w:left="1083" w:header="851" w:footer="964" w:gutter="0"/>
          <w:pgNumType w:fmt="decimal"/>
          <w:cols w:space="720" w:num="1"/>
          <w:docGrid w:type="linesAndChars" w:linePitch="420" w:charSpace="0"/>
        </w:sectPr>
      </w:pPr>
    </w:p>
    <w:p w14:paraId="6D23A158">
      <w:pPr>
        <w:pStyle w:val="3"/>
        <w:jc w:val="center"/>
        <w:rPr>
          <w:rFonts w:hint="eastAsia" w:ascii="宋体" w:hAnsi="宋体" w:eastAsia="宋体" w:cs="宋体"/>
          <w:b/>
          <w:bCs/>
          <w:highlight w:val="none"/>
        </w:rPr>
      </w:pPr>
      <w:r>
        <w:rPr>
          <w:rFonts w:hint="eastAsia" w:ascii="宋体" w:hAnsi="宋体" w:eastAsia="宋体" w:cs="宋体"/>
          <w:b/>
          <w:bCs/>
          <w:highlight w:val="none"/>
        </w:rPr>
        <w:t>第三部分  资格证明文件</w:t>
      </w:r>
    </w:p>
    <w:p w14:paraId="69A7D16F">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7F190BB6">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04D1393D">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56B4167C">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6575539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0953050E">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15D009FC">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63B7D480">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4057ECE2">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24C4B4B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369710B6">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230548DD">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3E30D6A8">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0E9E4502">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563C3E27">
      <w:pPr>
        <w:rPr>
          <w:rFonts w:hint="eastAsia" w:ascii="宋体" w:hAnsi="宋体" w:cs="宋体"/>
          <w:color w:val="000000"/>
          <w:sz w:val="24"/>
          <w:highlight w:val="none"/>
          <w:lang w:val="en-US" w:eastAsia="zh-CN"/>
        </w:rPr>
      </w:pPr>
    </w:p>
    <w:p w14:paraId="36552176">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AB7FD94">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143"/>
        <w:gridCol w:w="2139"/>
        <w:gridCol w:w="181"/>
        <w:gridCol w:w="2139"/>
        <w:gridCol w:w="2272"/>
      </w:tblGrid>
      <w:tr w14:paraId="4224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2500E671">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1406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7952B15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79F7C179">
            <w:pPr>
              <w:tabs>
                <w:tab w:val="left" w:pos="210"/>
              </w:tabs>
              <w:spacing w:line="320" w:lineRule="exact"/>
              <w:jc w:val="center"/>
              <w:rPr>
                <w:rFonts w:hint="eastAsia" w:ascii="宋体" w:hAnsi="宋体" w:eastAsia="宋体" w:cs="宋体"/>
                <w:color w:val="auto"/>
                <w:kern w:val="0"/>
                <w:sz w:val="24"/>
                <w:highlight w:val="none"/>
              </w:rPr>
            </w:pPr>
          </w:p>
          <w:p w14:paraId="158D1B9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6FCA60A5">
            <w:pPr>
              <w:tabs>
                <w:tab w:val="left" w:pos="210"/>
              </w:tabs>
              <w:spacing w:line="320" w:lineRule="exact"/>
              <w:jc w:val="center"/>
              <w:rPr>
                <w:rFonts w:hint="eastAsia" w:ascii="宋体" w:hAnsi="宋体" w:eastAsia="宋体" w:cs="宋体"/>
                <w:color w:val="auto"/>
                <w:kern w:val="0"/>
                <w:sz w:val="24"/>
                <w:highlight w:val="none"/>
              </w:rPr>
            </w:pPr>
          </w:p>
          <w:p w14:paraId="2050ABE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5B907E5F">
            <w:pPr>
              <w:tabs>
                <w:tab w:val="left" w:pos="210"/>
              </w:tabs>
              <w:spacing w:line="320" w:lineRule="exact"/>
              <w:jc w:val="center"/>
              <w:rPr>
                <w:rFonts w:hint="eastAsia" w:ascii="宋体" w:hAnsi="宋体" w:eastAsia="宋体" w:cs="宋体"/>
                <w:color w:val="auto"/>
                <w:kern w:val="0"/>
                <w:sz w:val="24"/>
                <w:highlight w:val="none"/>
              </w:rPr>
            </w:pPr>
          </w:p>
          <w:p w14:paraId="781C5EF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10759E6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6018695F">
            <w:pPr>
              <w:tabs>
                <w:tab w:val="left" w:pos="210"/>
              </w:tabs>
              <w:spacing w:line="320" w:lineRule="exact"/>
              <w:jc w:val="center"/>
              <w:rPr>
                <w:rFonts w:hint="eastAsia" w:ascii="宋体" w:hAnsi="宋体" w:eastAsia="宋体" w:cs="宋体"/>
                <w:color w:val="auto"/>
                <w:kern w:val="0"/>
                <w:sz w:val="24"/>
                <w:highlight w:val="none"/>
              </w:rPr>
            </w:pPr>
          </w:p>
        </w:tc>
      </w:tr>
      <w:tr w14:paraId="0BF7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23CD28A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458908A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47758208">
            <w:pPr>
              <w:tabs>
                <w:tab w:val="left" w:pos="210"/>
              </w:tabs>
              <w:spacing w:line="320" w:lineRule="exact"/>
              <w:jc w:val="center"/>
              <w:rPr>
                <w:rFonts w:hint="eastAsia" w:ascii="宋体" w:hAnsi="宋体" w:eastAsia="宋体" w:cs="宋体"/>
                <w:color w:val="auto"/>
                <w:kern w:val="0"/>
                <w:sz w:val="24"/>
                <w:highlight w:val="none"/>
              </w:rPr>
            </w:pPr>
          </w:p>
        </w:tc>
      </w:tr>
      <w:tr w14:paraId="51BA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30069029">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6345F7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3D247B1A">
            <w:pPr>
              <w:tabs>
                <w:tab w:val="left" w:pos="210"/>
              </w:tabs>
              <w:spacing w:line="320" w:lineRule="exact"/>
              <w:jc w:val="center"/>
              <w:rPr>
                <w:rFonts w:hint="eastAsia" w:ascii="宋体" w:hAnsi="宋体" w:eastAsia="宋体" w:cs="宋体"/>
                <w:color w:val="auto"/>
                <w:kern w:val="0"/>
                <w:sz w:val="24"/>
                <w:highlight w:val="none"/>
              </w:rPr>
            </w:pPr>
          </w:p>
        </w:tc>
      </w:tr>
      <w:tr w14:paraId="0C8A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16F9AFD2">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09D685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12785716">
            <w:pPr>
              <w:tabs>
                <w:tab w:val="left" w:pos="210"/>
              </w:tabs>
              <w:spacing w:line="320" w:lineRule="exact"/>
              <w:jc w:val="center"/>
              <w:rPr>
                <w:rFonts w:hint="eastAsia" w:ascii="宋体" w:hAnsi="宋体" w:eastAsia="宋体" w:cs="宋体"/>
                <w:color w:val="auto"/>
                <w:kern w:val="0"/>
                <w:sz w:val="24"/>
                <w:highlight w:val="none"/>
              </w:rPr>
            </w:pPr>
          </w:p>
        </w:tc>
      </w:tr>
      <w:tr w14:paraId="7D19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5CE7561B">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25A635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1264DAA7">
            <w:pPr>
              <w:tabs>
                <w:tab w:val="left" w:pos="210"/>
              </w:tabs>
              <w:spacing w:line="320" w:lineRule="exact"/>
              <w:rPr>
                <w:rFonts w:hint="eastAsia" w:ascii="宋体" w:hAnsi="宋体" w:eastAsia="宋体" w:cs="宋体"/>
                <w:color w:val="auto"/>
                <w:kern w:val="0"/>
                <w:sz w:val="24"/>
                <w:highlight w:val="none"/>
              </w:rPr>
            </w:pPr>
          </w:p>
        </w:tc>
      </w:tr>
      <w:tr w14:paraId="3280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74B7FBAE">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127A39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4D4A8733">
            <w:pPr>
              <w:tabs>
                <w:tab w:val="left" w:pos="210"/>
              </w:tabs>
              <w:spacing w:line="320" w:lineRule="exact"/>
              <w:jc w:val="center"/>
              <w:rPr>
                <w:rFonts w:hint="eastAsia" w:ascii="宋体" w:hAnsi="宋体" w:eastAsia="宋体" w:cs="宋体"/>
                <w:color w:val="auto"/>
                <w:kern w:val="0"/>
                <w:sz w:val="24"/>
                <w:highlight w:val="none"/>
              </w:rPr>
            </w:pPr>
          </w:p>
        </w:tc>
      </w:tr>
      <w:tr w14:paraId="7AF8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24BF22C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6D77D40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46131CEE">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0F4B311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52CDB571">
            <w:pPr>
              <w:tabs>
                <w:tab w:val="left" w:pos="210"/>
              </w:tabs>
              <w:spacing w:line="320" w:lineRule="exact"/>
              <w:jc w:val="center"/>
              <w:rPr>
                <w:rFonts w:hint="eastAsia" w:ascii="宋体" w:hAnsi="宋体" w:eastAsia="宋体" w:cs="宋体"/>
                <w:color w:val="auto"/>
                <w:kern w:val="0"/>
                <w:sz w:val="24"/>
                <w:highlight w:val="none"/>
              </w:rPr>
            </w:pPr>
          </w:p>
        </w:tc>
      </w:tr>
      <w:tr w14:paraId="01BA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53433A0C">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4A0081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2096FCAE">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57359C5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4A9F0817">
            <w:pPr>
              <w:tabs>
                <w:tab w:val="left" w:pos="210"/>
              </w:tabs>
              <w:spacing w:line="320" w:lineRule="exact"/>
              <w:jc w:val="center"/>
              <w:rPr>
                <w:rFonts w:hint="eastAsia" w:ascii="宋体" w:hAnsi="宋体" w:eastAsia="宋体" w:cs="宋体"/>
                <w:color w:val="auto"/>
                <w:kern w:val="0"/>
                <w:sz w:val="24"/>
                <w:highlight w:val="none"/>
              </w:rPr>
            </w:pPr>
          </w:p>
        </w:tc>
      </w:tr>
      <w:tr w14:paraId="5E53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73E74A1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B18E00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518B6F66">
            <w:pPr>
              <w:tabs>
                <w:tab w:val="left" w:pos="210"/>
              </w:tabs>
              <w:spacing w:line="320" w:lineRule="exact"/>
              <w:jc w:val="center"/>
              <w:rPr>
                <w:rFonts w:hint="eastAsia" w:ascii="宋体" w:hAnsi="宋体" w:eastAsia="宋体" w:cs="宋体"/>
                <w:color w:val="auto"/>
                <w:kern w:val="0"/>
                <w:sz w:val="24"/>
                <w:highlight w:val="none"/>
              </w:rPr>
            </w:pPr>
          </w:p>
        </w:tc>
      </w:tr>
      <w:tr w14:paraId="2F62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53281BA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03FBE91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2F8EC66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74B5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0B3AC2C4">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02E5C860">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259D6C1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6D163AC3">
            <w:pPr>
              <w:tabs>
                <w:tab w:val="left" w:pos="210"/>
              </w:tabs>
              <w:spacing w:line="320" w:lineRule="exact"/>
              <w:jc w:val="center"/>
              <w:rPr>
                <w:rFonts w:hint="eastAsia" w:ascii="宋体" w:hAnsi="宋体" w:eastAsia="宋体" w:cs="宋体"/>
                <w:color w:val="auto"/>
                <w:kern w:val="0"/>
                <w:sz w:val="24"/>
                <w:highlight w:val="none"/>
              </w:rPr>
            </w:pPr>
          </w:p>
          <w:p w14:paraId="7B303DCE">
            <w:pPr>
              <w:tabs>
                <w:tab w:val="left" w:pos="210"/>
              </w:tabs>
              <w:spacing w:line="320" w:lineRule="exact"/>
              <w:jc w:val="center"/>
              <w:rPr>
                <w:rFonts w:hint="eastAsia" w:ascii="宋体" w:hAnsi="宋体" w:eastAsia="宋体" w:cs="宋体"/>
                <w:color w:val="auto"/>
                <w:kern w:val="0"/>
                <w:sz w:val="24"/>
                <w:highlight w:val="none"/>
              </w:rPr>
            </w:pPr>
          </w:p>
          <w:p w14:paraId="28B164CD">
            <w:pPr>
              <w:tabs>
                <w:tab w:val="left" w:pos="210"/>
              </w:tabs>
              <w:spacing w:line="320" w:lineRule="exact"/>
              <w:jc w:val="center"/>
              <w:rPr>
                <w:rFonts w:hint="eastAsia" w:ascii="宋体" w:hAnsi="宋体" w:eastAsia="宋体" w:cs="宋体"/>
                <w:color w:val="auto"/>
                <w:kern w:val="0"/>
                <w:sz w:val="24"/>
                <w:highlight w:val="none"/>
              </w:rPr>
            </w:pPr>
          </w:p>
          <w:p w14:paraId="076B5922">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11B7BEA4">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522E41BC">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1FFF1F45">
      <w:pPr>
        <w:pStyle w:val="16"/>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0842F3B9">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4744FFBF">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1781BA84">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636B8472">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48291AD5">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733CCC8C">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013545E7">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38FA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6C61FD80">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4B0B5BF9">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25D87274">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520A1C08">
      <w:pPr>
        <w:pStyle w:val="16"/>
        <w:spacing w:line="500" w:lineRule="exact"/>
        <w:ind w:firstLine="720"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47E01E0B">
      <w:pPr>
        <w:pStyle w:val="16"/>
        <w:spacing w:line="500" w:lineRule="exact"/>
        <w:ind w:firstLine="720" w:firstLineChars="300"/>
        <w:jc w:val="left"/>
        <w:rPr>
          <w:rFonts w:hint="eastAsia" w:ascii="宋体" w:hAnsi="宋体" w:cs="宋体"/>
          <w:b/>
          <w:bCs/>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4D660171">
      <w:pPr>
        <w:rPr>
          <w:rFonts w:hint="eastAsia" w:ascii="宋体" w:hAnsi="宋体" w:eastAsia="宋体" w:cs="宋体"/>
          <w:color w:val="auto"/>
          <w:highlight w:val="none"/>
        </w:rPr>
      </w:pPr>
    </w:p>
    <w:p w14:paraId="24A24562">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3"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79F9570B">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1EC2719C">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79F44ABF">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15714C76">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0D41AC34">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48BF0E20">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374512C9">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08861458">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43EC0EFE">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2C1C9A99">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795B869D">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79A62732">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4D049A2B">
      <w:pPr>
        <w:pStyle w:val="19"/>
        <w:rPr>
          <w:rFonts w:hint="eastAsia" w:ascii="宋体" w:hAnsi="宋体" w:eastAsia="宋体" w:cs="宋体"/>
          <w:color w:val="auto"/>
          <w:highlight w:val="none"/>
        </w:rPr>
      </w:pPr>
    </w:p>
    <w:p w14:paraId="53FC7038">
      <w:pPr>
        <w:pStyle w:val="19"/>
        <w:rPr>
          <w:rFonts w:hint="eastAsia" w:ascii="宋体" w:hAnsi="宋体" w:eastAsia="宋体" w:cs="宋体"/>
          <w:color w:val="auto"/>
          <w:highlight w:val="none"/>
        </w:rPr>
      </w:pPr>
    </w:p>
    <w:p w14:paraId="387611A2">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24D3DD19">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25105AD1">
      <w:pPr>
        <w:spacing w:before="480" w:beforeLines="200" w:line="360" w:lineRule="auto"/>
        <w:ind w:firstLine="3120"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5C6B1277">
      <w:pPr>
        <w:bidi w:val="0"/>
        <w:rPr>
          <w:rFonts w:hint="eastAsia" w:ascii="宋体" w:hAnsi="宋体" w:eastAsia="宋体" w:cs="宋体"/>
          <w:color w:val="auto"/>
          <w:highlight w:val="none"/>
          <w:lang w:eastAsia="zh-CN"/>
        </w:rPr>
      </w:pPr>
    </w:p>
    <w:p w14:paraId="3AED95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3"/>
      <w:r>
        <w:rPr>
          <w:rFonts w:hint="eastAsia" w:ascii="宋体" w:hAnsi="宋体" w:eastAsia="宋体" w:cs="宋体"/>
          <w:b/>
          <w:bCs/>
          <w:sz w:val="24"/>
          <w:szCs w:val="24"/>
          <w:highlight w:val="none"/>
          <w:lang w:val="en-US" w:eastAsia="zh-CN"/>
        </w:rPr>
        <w:br w:type="page"/>
      </w:r>
      <w:r>
        <w:rPr>
          <w:rFonts w:hint="eastAsia" w:ascii="宋体" w:hAnsi="宋体" w:eastAsia="宋体" w:cs="宋体"/>
          <w:b/>
          <w:bCs/>
          <w:color w:val="auto"/>
          <w:sz w:val="24"/>
          <w:highlight w:val="none"/>
          <w:lang w:val="en-US" w:eastAsia="zh-CN"/>
        </w:rPr>
        <w:t>5.须提供有效的《食品经营许可证》。</w:t>
      </w:r>
    </w:p>
    <w:p w14:paraId="31B48460">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162246FD">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73E1A7D2">
      <w:pPr>
        <w:numPr>
          <w:ilvl w:val="0"/>
          <w:numId w:val="2"/>
        </w:numPr>
        <w:ind w:firstLine="480" w:firstLineChars="200"/>
        <w:jc w:val="center"/>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w:t>
      </w:r>
    </w:p>
    <w:p w14:paraId="0B54768E">
      <w:pPr>
        <w:numPr>
          <w:ilvl w:val="0"/>
          <w:numId w:val="0"/>
        </w:numPr>
        <w:jc w:val="both"/>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小微企业，并按要求提供声明函。</w:t>
      </w:r>
    </w:p>
    <w:p w14:paraId="3741FE6C">
      <w:pPr>
        <w:numPr>
          <w:ilvl w:val="0"/>
          <w:numId w:val="0"/>
        </w:numPr>
        <w:jc w:val="both"/>
        <w:outlineLvl w:val="9"/>
        <w:rPr>
          <w:rFonts w:hint="eastAsia" w:ascii="宋体" w:hAnsi="宋体" w:eastAsia="宋体" w:cs="宋体"/>
          <w:b/>
          <w:bCs/>
          <w:sz w:val="24"/>
          <w:szCs w:val="24"/>
          <w:highlight w:val="none"/>
          <w:lang w:val="en-US" w:eastAsia="zh-CN"/>
        </w:rPr>
      </w:pPr>
    </w:p>
    <w:p w14:paraId="45E8D074">
      <w:pPr>
        <w:numPr>
          <w:ilvl w:val="0"/>
          <w:numId w:val="0"/>
        </w:numPr>
        <w:jc w:val="both"/>
        <w:outlineLvl w:val="9"/>
        <w:rPr>
          <w:rFonts w:hint="eastAsia" w:ascii="宋体" w:hAnsi="宋体" w:eastAsia="宋体" w:cs="宋体"/>
          <w:b/>
          <w:bCs/>
          <w:sz w:val="24"/>
          <w:szCs w:val="24"/>
          <w:highlight w:val="none"/>
          <w:lang w:val="en-US" w:eastAsia="zh-CN"/>
        </w:rPr>
        <w:sectPr>
          <w:pgSz w:w="11906" w:h="16838"/>
          <w:pgMar w:top="1417" w:right="1083" w:bottom="1417" w:left="1083" w:header="851" w:footer="964" w:gutter="0"/>
          <w:pgNumType w:fmt="decimal"/>
          <w:cols w:space="720" w:num="1"/>
          <w:docGrid w:type="linesAndChars" w:linePitch="420" w:charSpace="0"/>
        </w:sectPr>
      </w:pPr>
    </w:p>
    <w:p w14:paraId="162286EE">
      <w:pPr>
        <w:pStyle w:val="24"/>
        <w:spacing w:before="0" w:beforeAutospacing="0" w:after="0" w:after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color w:val="auto"/>
          <w:kern w:val="2"/>
          <w:sz w:val="28"/>
          <w:szCs w:val="28"/>
          <w:highlight w:val="none"/>
          <w:lang w:val="en-US" w:eastAsia="zh-CN" w:bidi="ar-SA"/>
        </w:rPr>
        <w:t>本项目属于专门面向中小微企业采购</w:t>
      </w:r>
    </w:p>
    <w:p w14:paraId="365F0140">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3B1750B5">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4D70FCF9">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餐饮业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31DBA579">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餐饮业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16843980">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61EB0577">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1C66EAC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1522392F">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24459F99">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1B99CE38">
      <w:pPr>
        <w:keepNext w:val="0"/>
        <w:keepLines w:val="0"/>
        <w:pageBreakBefore w:val="0"/>
        <w:widowControl/>
        <w:kinsoku/>
        <w:wordWrap/>
        <w:overflowPunct/>
        <w:topLinePunct w:val="0"/>
        <w:autoSpaceDE/>
        <w:autoSpaceDN/>
        <w:bidi w:val="0"/>
        <w:adjustRightInd/>
        <w:snapToGrid/>
        <w:spacing w:line="312" w:lineRule="auto"/>
        <w:ind w:firstLine="6000"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348F8116">
      <w:pPr>
        <w:keepNext w:val="0"/>
        <w:keepLines w:val="0"/>
        <w:pageBreakBefore w:val="0"/>
        <w:widowControl/>
        <w:kinsoku/>
        <w:wordWrap/>
        <w:overflowPunct/>
        <w:topLinePunct w:val="0"/>
        <w:autoSpaceDE/>
        <w:autoSpaceDN/>
        <w:bidi w:val="0"/>
        <w:adjustRightInd/>
        <w:snapToGrid/>
        <w:spacing w:line="312" w:lineRule="auto"/>
        <w:ind w:firstLine="6000"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7DB42AB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附件2</w:t>
      </w:r>
    </w:p>
    <w:p w14:paraId="0F171EC7">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52826CF1">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46372677">
      <w:pPr>
        <w:pStyle w:val="24"/>
        <w:spacing w:line="360" w:lineRule="auto"/>
        <w:ind w:firstLine="480" w:firstLineChars="200"/>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注：非监狱企业不提供此证明文件</w:t>
      </w:r>
    </w:p>
    <w:p w14:paraId="61564D32">
      <w:pPr>
        <w:rPr>
          <w:rFonts w:hint="eastAsia" w:ascii="宋体" w:hAnsi="宋体" w:eastAsia="宋体" w:cs="宋体"/>
          <w:sz w:val="24"/>
          <w:szCs w:val="24"/>
          <w:highlight w:val="none"/>
        </w:rPr>
      </w:pPr>
    </w:p>
    <w:p w14:paraId="423AECC6">
      <w:pPr>
        <w:rPr>
          <w:rFonts w:hint="eastAsia" w:ascii="宋体" w:hAnsi="宋体" w:eastAsia="宋体" w:cs="宋体"/>
          <w:sz w:val="24"/>
          <w:szCs w:val="24"/>
          <w:highlight w:val="none"/>
        </w:rPr>
      </w:pPr>
    </w:p>
    <w:p w14:paraId="104CFC38">
      <w:pPr>
        <w:rPr>
          <w:rFonts w:hint="eastAsia" w:ascii="宋体" w:hAnsi="宋体" w:eastAsia="宋体" w:cs="宋体"/>
          <w:sz w:val="24"/>
          <w:szCs w:val="24"/>
          <w:highlight w:val="none"/>
        </w:rPr>
      </w:pPr>
    </w:p>
    <w:p w14:paraId="4B7B2133">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附件3</w:t>
      </w:r>
    </w:p>
    <w:p w14:paraId="1A5B1242">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4C408052">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4B24D2C2">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0AC66022">
      <w:pPr>
        <w:numPr>
          <w:ilvl w:val="0"/>
          <w:numId w:val="0"/>
        </w:numPr>
        <w:jc w:val="both"/>
        <w:outlineLvl w:val="9"/>
        <w:rPr>
          <w:rFonts w:hint="eastAsia" w:ascii="宋体" w:hAnsi="宋体" w:eastAsia="宋体" w:cs="宋体"/>
          <w:b/>
          <w:bCs/>
          <w:sz w:val="24"/>
          <w:szCs w:val="24"/>
          <w:highlight w:val="none"/>
          <w:lang w:val="en-US" w:eastAsia="zh-CN"/>
        </w:rPr>
        <w:sectPr>
          <w:pgSz w:w="11906" w:h="16838"/>
          <w:pgMar w:top="1417" w:right="1083" w:bottom="1417" w:left="1083" w:header="851" w:footer="964" w:gutter="0"/>
          <w:pgNumType w:fmt="decimal"/>
          <w:cols w:space="720" w:num="1"/>
          <w:docGrid w:type="linesAndChars" w:linePitch="420" w:charSpace="0"/>
        </w:sectPr>
      </w:pPr>
    </w:p>
    <w:p w14:paraId="2E7136C2">
      <w:pPr>
        <w:pStyle w:val="3"/>
        <w:numPr>
          <w:ilvl w:val="0"/>
          <w:numId w:val="0"/>
        </w:numPr>
        <w:ind w:firstLine="640" w:firstLineChars="20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val="en-US" w:eastAsia="zh-CN" w:bidi="ar-SA"/>
        </w:rPr>
        <w:t>第四部分  供应商概况</w:t>
      </w:r>
    </w:p>
    <w:p w14:paraId="3DF4458F">
      <w:pPr>
        <w:pStyle w:val="97"/>
        <w:spacing w:before="210" w:after="210"/>
        <w:ind w:left="0" w:leftChars="0" w:firstLine="0" w:firstLineChars="0"/>
        <w:jc w:val="left"/>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14:paraId="72D5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08776E8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6385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7E3FA5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3809" w:type="pct"/>
            <w:gridSpan w:val="5"/>
            <w:noWrap w:val="0"/>
            <w:vAlign w:val="top"/>
          </w:tcPr>
          <w:p w14:paraId="09F0BFA3">
            <w:pPr>
              <w:ind w:firstLine="0"/>
              <w:jc w:val="both"/>
              <w:rPr>
                <w:rFonts w:hint="eastAsia" w:ascii="宋体" w:hAnsi="宋体" w:eastAsia="宋体" w:cs="宋体"/>
                <w:kern w:val="2"/>
                <w:sz w:val="24"/>
                <w:szCs w:val="24"/>
                <w:highlight w:val="none"/>
              </w:rPr>
            </w:pPr>
          </w:p>
        </w:tc>
      </w:tr>
      <w:tr w14:paraId="684A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9210BC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1361" w:type="pct"/>
            <w:gridSpan w:val="2"/>
            <w:noWrap w:val="0"/>
            <w:vAlign w:val="top"/>
          </w:tcPr>
          <w:p w14:paraId="022A5028">
            <w:pPr>
              <w:ind w:firstLine="0"/>
              <w:jc w:val="both"/>
              <w:rPr>
                <w:rFonts w:hint="eastAsia" w:ascii="宋体" w:hAnsi="宋体" w:eastAsia="宋体" w:cs="宋体"/>
                <w:kern w:val="2"/>
                <w:sz w:val="24"/>
                <w:szCs w:val="24"/>
                <w:highlight w:val="none"/>
              </w:rPr>
            </w:pPr>
          </w:p>
        </w:tc>
        <w:tc>
          <w:tcPr>
            <w:tcW w:w="795" w:type="pct"/>
            <w:noWrap w:val="0"/>
            <w:vAlign w:val="top"/>
          </w:tcPr>
          <w:p w14:paraId="49570CD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1651" w:type="pct"/>
            <w:gridSpan w:val="2"/>
            <w:noWrap w:val="0"/>
            <w:vAlign w:val="top"/>
          </w:tcPr>
          <w:p w14:paraId="071EB992">
            <w:pPr>
              <w:ind w:firstLine="0"/>
              <w:jc w:val="both"/>
              <w:rPr>
                <w:rFonts w:hint="eastAsia" w:ascii="宋体" w:hAnsi="宋体" w:eastAsia="宋体" w:cs="宋体"/>
                <w:kern w:val="2"/>
                <w:sz w:val="24"/>
                <w:szCs w:val="24"/>
                <w:highlight w:val="none"/>
              </w:rPr>
            </w:pPr>
          </w:p>
        </w:tc>
      </w:tr>
      <w:tr w14:paraId="6A7F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810466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1361" w:type="pct"/>
            <w:gridSpan w:val="2"/>
            <w:noWrap w:val="0"/>
            <w:vAlign w:val="top"/>
          </w:tcPr>
          <w:p w14:paraId="29814530">
            <w:pPr>
              <w:ind w:firstLine="0"/>
              <w:jc w:val="both"/>
              <w:rPr>
                <w:rFonts w:hint="eastAsia" w:ascii="宋体" w:hAnsi="宋体" w:eastAsia="宋体" w:cs="宋体"/>
                <w:kern w:val="2"/>
                <w:sz w:val="24"/>
                <w:szCs w:val="24"/>
                <w:highlight w:val="none"/>
              </w:rPr>
            </w:pPr>
          </w:p>
        </w:tc>
        <w:tc>
          <w:tcPr>
            <w:tcW w:w="795" w:type="pct"/>
            <w:noWrap w:val="0"/>
            <w:vAlign w:val="top"/>
          </w:tcPr>
          <w:p w14:paraId="116B860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1651" w:type="pct"/>
            <w:gridSpan w:val="2"/>
            <w:noWrap w:val="0"/>
            <w:vAlign w:val="top"/>
          </w:tcPr>
          <w:p w14:paraId="0B3B901D">
            <w:pPr>
              <w:ind w:firstLine="0"/>
              <w:jc w:val="both"/>
              <w:rPr>
                <w:rFonts w:hint="eastAsia" w:ascii="宋体" w:hAnsi="宋体" w:eastAsia="宋体" w:cs="宋体"/>
                <w:kern w:val="2"/>
                <w:sz w:val="24"/>
                <w:szCs w:val="24"/>
                <w:highlight w:val="none"/>
              </w:rPr>
            </w:pPr>
          </w:p>
        </w:tc>
      </w:tr>
      <w:tr w14:paraId="53A1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C7184B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w:t>
            </w:r>
          </w:p>
        </w:tc>
        <w:tc>
          <w:tcPr>
            <w:tcW w:w="1361" w:type="pct"/>
            <w:gridSpan w:val="2"/>
            <w:noWrap w:val="0"/>
            <w:vAlign w:val="top"/>
          </w:tcPr>
          <w:p w14:paraId="19B061B1">
            <w:pPr>
              <w:ind w:firstLine="0"/>
              <w:jc w:val="both"/>
              <w:rPr>
                <w:rFonts w:hint="eastAsia" w:ascii="宋体" w:hAnsi="宋体" w:eastAsia="宋体" w:cs="宋体"/>
                <w:kern w:val="2"/>
                <w:sz w:val="24"/>
                <w:szCs w:val="24"/>
                <w:highlight w:val="none"/>
              </w:rPr>
            </w:pPr>
          </w:p>
        </w:tc>
        <w:tc>
          <w:tcPr>
            <w:tcW w:w="795" w:type="pct"/>
            <w:noWrap w:val="0"/>
            <w:vAlign w:val="top"/>
          </w:tcPr>
          <w:p w14:paraId="11CE307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1651" w:type="pct"/>
            <w:gridSpan w:val="2"/>
            <w:noWrap w:val="0"/>
            <w:vAlign w:val="top"/>
          </w:tcPr>
          <w:p w14:paraId="3544B82F">
            <w:pPr>
              <w:ind w:firstLine="0"/>
              <w:jc w:val="both"/>
              <w:rPr>
                <w:rFonts w:hint="eastAsia" w:ascii="宋体" w:hAnsi="宋体" w:eastAsia="宋体" w:cs="宋体"/>
                <w:kern w:val="2"/>
                <w:sz w:val="24"/>
                <w:szCs w:val="24"/>
                <w:highlight w:val="none"/>
              </w:rPr>
            </w:pPr>
          </w:p>
        </w:tc>
      </w:tr>
      <w:tr w14:paraId="53CC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CB934F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基本存款账户开户银行</w:t>
            </w:r>
          </w:p>
        </w:tc>
        <w:tc>
          <w:tcPr>
            <w:tcW w:w="1361" w:type="pct"/>
            <w:gridSpan w:val="2"/>
            <w:noWrap w:val="0"/>
            <w:vAlign w:val="top"/>
          </w:tcPr>
          <w:p w14:paraId="79B3D8CC">
            <w:pPr>
              <w:ind w:firstLine="0"/>
              <w:jc w:val="both"/>
              <w:rPr>
                <w:rFonts w:hint="eastAsia" w:ascii="宋体" w:hAnsi="宋体" w:eastAsia="宋体" w:cs="宋体"/>
                <w:kern w:val="2"/>
                <w:sz w:val="24"/>
                <w:szCs w:val="24"/>
                <w:highlight w:val="none"/>
              </w:rPr>
            </w:pPr>
          </w:p>
        </w:tc>
        <w:tc>
          <w:tcPr>
            <w:tcW w:w="795" w:type="pct"/>
            <w:noWrap w:val="0"/>
            <w:vAlign w:val="top"/>
          </w:tcPr>
          <w:p w14:paraId="019AF56B">
            <w:pPr>
              <w:ind w:firstLine="0"/>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基本存款</w:t>
            </w:r>
          </w:p>
          <w:p w14:paraId="4BE86BE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账户账号</w:t>
            </w:r>
          </w:p>
        </w:tc>
        <w:tc>
          <w:tcPr>
            <w:tcW w:w="1651" w:type="pct"/>
            <w:gridSpan w:val="2"/>
            <w:noWrap w:val="0"/>
            <w:vAlign w:val="top"/>
          </w:tcPr>
          <w:p w14:paraId="27A23386">
            <w:pPr>
              <w:ind w:firstLine="0"/>
              <w:jc w:val="both"/>
              <w:rPr>
                <w:rFonts w:hint="eastAsia" w:ascii="宋体" w:hAnsi="宋体" w:eastAsia="宋体" w:cs="宋体"/>
                <w:kern w:val="2"/>
                <w:sz w:val="24"/>
                <w:szCs w:val="24"/>
                <w:highlight w:val="none"/>
              </w:rPr>
            </w:pPr>
          </w:p>
        </w:tc>
      </w:tr>
      <w:tr w14:paraId="40CC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9DF2E8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上年度营业收入*</w:t>
            </w:r>
          </w:p>
        </w:tc>
        <w:tc>
          <w:tcPr>
            <w:tcW w:w="1361" w:type="pct"/>
            <w:gridSpan w:val="2"/>
            <w:noWrap w:val="0"/>
            <w:vAlign w:val="top"/>
          </w:tcPr>
          <w:p w14:paraId="04C5CB32">
            <w:pPr>
              <w:ind w:firstLine="0"/>
              <w:jc w:val="both"/>
              <w:rPr>
                <w:rFonts w:hint="eastAsia" w:ascii="宋体" w:hAnsi="宋体" w:eastAsia="宋体" w:cs="宋体"/>
                <w:kern w:val="2"/>
                <w:sz w:val="24"/>
                <w:szCs w:val="24"/>
                <w:highlight w:val="none"/>
              </w:rPr>
            </w:pPr>
          </w:p>
        </w:tc>
        <w:tc>
          <w:tcPr>
            <w:tcW w:w="795" w:type="pct"/>
            <w:noWrap w:val="0"/>
            <w:vAlign w:val="top"/>
          </w:tcPr>
          <w:p w14:paraId="5809828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1651" w:type="pct"/>
            <w:gridSpan w:val="2"/>
            <w:noWrap w:val="0"/>
            <w:vAlign w:val="top"/>
          </w:tcPr>
          <w:p w14:paraId="0A53F53B">
            <w:pPr>
              <w:ind w:firstLine="0"/>
              <w:jc w:val="both"/>
              <w:rPr>
                <w:rFonts w:hint="eastAsia" w:ascii="宋体" w:hAnsi="宋体" w:eastAsia="宋体" w:cs="宋体"/>
                <w:kern w:val="2"/>
                <w:sz w:val="24"/>
                <w:szCs w:val="24"/>
                <w:highlight w:val="none"/>
              </w:rPr>
            </w:pPr>
          </w:p>
        </w:tc>
      </w:tr>
      <w:tr w14:paraId="0E43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71131C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3809" w:type="pct"/>
            <w:gridSpan w:val="5"/>
            <w:noWrap w:val="0"/>
            <w:vAlign w:val="top"/>
          </w:tcPr>
          <w:p w14:paraId="0AE535EC">
            <w:pPr>
              <w:ind w:firstLine="0"/>
              <w:jc w:val="both"/>
              <w:rPr>
                <w:rFonts w:hint="eastAsia" w:ascii="宋体" w:hAnsi="宋体" w:eastAsia="宋体" w:cs="宋体"/>
                <w:kern w:val="2"/>
                <w:sz w:val="24"/>
                <w:szCs w:val="24"/>
                <w:highlight w:val="none"/>
              </w:rPr>
            </w:pPr>
          </w:p>
        </w:tc>
      </w:tr>
      <w:tr w14:paraId="12E4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4D0599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1361" w:type="pct"/>
            <w:gridSpan w:val="2"/>
            <w:noWrap w:val="0"/>
            <w:vAlign w:val="top"/>
          </w:tcPr>
          <w:p w14:paraId="36EDC83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795" w:type="pct"/>
            <w:noWrap w:val="0"/>
            <w:vAlign w:val="top"/>
          </w:tcPr>
          <w:p w14:paraId="299A607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1651" w:type="pct"/>
            <w:gridSpan w:val="2"/>
            <w:noWrap w:val="0"/>
            <w:vAlign w:val="top"/>
          </w:tcPr>
          <w:p w14:paraId="071D5F6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1C33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0B32A2B">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33225A5F">
            <w:pPr>
              <w:ind w:firstLine="0"/>
              <w:jc w:val="both"/>
              <w:rPr>
                <w:rFonts w:hint="eastAsia" w:ascii="宋体" w:hAnsi="宋体" w:eastAsia="宋体" w:cs="宋体"/>
                <w:kern w:val="2"/>
                <w:sz w:val="24"/>
                <w:szCs w:val="24"/>
                <w:highlight w:val="none"/>
              </w:rPr>
            </w:pPr>
          </w:p>
        </w:tc>
        <w:tc>
          <w:tcPr>
            <w:tcW w:w="795" w:type="pct"/>
            <w:noWrap w:val="0"/>
            <w:vAlign w:val="top"/>
          </w:tcPr>
          <w:p w14:paraId="35C81ADD">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0B16A4B4">
            <w:pPr>
              <w:ind w:firstLine="0"/>
              <w:jc w:val="both"/>
              <w:rPr>
                <w:rFonts w:hint="eastAsia" w:ascii="宋体" w:hAnsi="宋体" w:eastAsia="宋体" w:cs="宋体"/>
                <w:kern w:val="2"/>
                <w:sz w:val="24"/>
                <w:szCs w:val="24"/>
                <w:highlight w:val="none"/>
              </w:rPr>
            </w:pPr>
          </w:p>
        </w:tc>
      </w:tr>
      <w:tr w14:paraId="075C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545933B">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24D3C2BD">
            <w:pPr>
              <w:ind w:firstLine="0"/>
              <w:jc w:val="both"/>
              <w:rPr>
                <w:rFonts w:hint="eastAsia" w:ascii="宋体" w:hAnsi="宋体" w:eastAsia="宋体" w:cs="宋体"/>
                <w:kern w:val="2"/>
                <w:sz w:val="24"/>
                <w:szCs w:val="24"/>
                <w:highlight w:val="none"/>
              </w:rPr>
            </w:pPr>
          </w:p>
        </w:tc>
        <w:tc>
          <w:tcPr>
            <w:tcW w:w="795" w:type="pct"/>
            <w:noWrap w:val="0"/>
            <w:vAlign w:val="top"/>
          </w:tcPr>
          <w:p w14:paraId="60C537A3">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2130B389">
            <w:pPr>
              <w:ind w:firstLine="0"/>
              <w:jc w:val="both"/>
              <w:rPr>
                <w:rFonts w:hint="eastAsia" w:ascii="宋体" w:hAnsi="宋体" w:eastAsia="宋体" w:cs="宋体"/>
                <w:kern w:val="2"/>
                <w:sz w:val="24"/>
                <w:szCs w:val="24"/>
                <w:highlight w:val="none"/>
              </w:rPr>
            </w:pPr>
          </w:p>
        </w:tc>
      </w:tr>
      <w:tr w14:paraId="7C45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05670E9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6541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noWrap w:val="0"/>
            <w:vAlign w:val="top"/>
          </w:tcPr>
          <w:p w14:paraId="79D8014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558" w:type="pct"/>
            <w:vMerge w:val="restart"/>
            <w:noWrap w:val="0"/>
            <w:vAlign w:val="top"/>
          </w:tcPr>
          <w:p w14:paraId="2C0B9831">
            <w:pPr>
              <w:ind w:firstLine="0"/>
              <w:jc w:val="both"/>
              <w:rPr>
                <w:rFonts w:hint="eastAsia" w:ascii="宋体" w:hAnsi="宋体" w:eastAsia="宋体" w:cs="宋体"/>
                <w:kern w:val="2"/>
                <w:sz w:val="24"/>
                <w:szCs w:val="24"/>
                <w:highlight w:val="none"/>
              </w:rPr>
            </w:pPr>
          </w:p>
        </w:tc>
        <w:tc>
          <w:tcPr>
            <w:tcW w:w="803" w:type="pct"/>
            <w:noWrap w:val="0"/>
            <w:vAlign w:val="top"/>
          </w:tcPr>
          <w:p w14:paraId="6C36436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管理人员数量</w:t>
            </w:r>
          </w:p>
        </w:tc>
        <w:tc>
          <w:tcPr>
            <w:tcW w:w="795" w:type="pct"/>
            <w:noWrap w:val="0"/>
            <w:vAlign w:val="top"/>
          </w:tcPr>
          <w:p w14:paraId="185EA105">
            <w:pPr>
              <w:ind w:firstLine="0"/>
              <w:jc w:val="both"/>
              <w:rPr>
                <w:rFonts w:hint="eastAsia" w:ascii="宋体" w:hAnsi="宋体" w:eastAsia="宋体" w:cs="宋体"/>
                <w:kern w:val="2"/>
                <w:sz w:val="24"/>
                <w:szCs w:val="24"/>
                <w:highlight w:val="none"/>
              </w:rPr>
            </w:pPr>
          </w:p>
        </w:tc>
        <w:tc>
          <w:tcPr>
            <w:tcW w:w="825" w:type="pct"/>
            <w:noWrap w:val="0"/>
            <w:vAlign w:val="top"/>
          </w:tcPr>
          <w:p w14:paraId="3E93730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专业技术人员数量</w:t>
            </w:r>
          </w:p>
        </w:tc>
        <w:tc>
          <w:tcPr>
            <w:tcW w:w="826" w:type="pct"/>
            <w:noWrap w:val="0"/>
            <w:vAlign w:val="top"/>
          </w:tcPr>
          <w:p w14:paraId="055A7A2F">
            <w:pPr>
              <w:ind w:firstLine="0"/>
              <w:jc w:val="both"/>
              <w:rPr>
                <w:rFonts w:hint="eastAsia" w:ascii="宋体" w:hAnsi="宋体" w:eastAsia="宋体" w:cs="宋体"/>
                <w:kern w:val="2"/>
                <w:sz w:val="24"/>
                <w:szCs w:val="24"/>
                <w:highlight w:val="none"/>
              </w:rPr>
            </w:pPr>
          </w:p>
        </w:tc>
      </w:tr>
      <w:tr w14:paraId="4ACB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noWrap w:val="0"/>
            <w:vAlign w:val="top"/>
          </w:tcPr>
          <w:p w14:paraId="3DCD436C">
            <w:pPr>
              <w:ind w:firstLine="0"/>
              <w:jc w:val="both"/>
              <w:rPr>
                <w:rFonts w:hint="eastAsia" w:ascii="宋体" w:hAnsi="宋体" w:eastAsia="宋体" w:cs="宋体"/>
                <w:kern w:val="2"/>
                <w:sz w:val="24"/>
                <w:szCs w:val="24"/>
                <w:highlight w:val="none"/>
              </w:rPr>
            </w:pPr>
          </w:p>
        </w:tc>
        <w:tc>
          <w:tcPr>
            <w:tcW w:w="558" w:type="pct"/>
            <w:vMerge w:val="continue"/>
            <w:noWrap w:val="0"/>
            <w:vAlign w:val="top"/>
          </w:tcPr>
          <w:p w14:paraId="54D6AF68">
            <w:pPr>
              <w:ind w:firstLine="0"/>
              <w:jc w:val="both"/>
              <w:rPr>
                <w:rFonts w:hint="eastAsia" w:ascii="宋体" w:hAnsi="宋体" w:eastAsia="宋体" w:cs="宋体"/>
                <w:kern w:val="2"/>
                <w:sz w:val="24"/>
                <w:szCs w:val="24"/>
                <w:highlight w:val="none"/>
              </w:rPr>
            </w:pPr>
          </w:p>
        </w:tc>
        <w:tc>
          <w:tcPr>
            <w:tcW w:w="803" w:type="pct"/>
            <w:noWrap w:val="0"/>
            <w:vAlign w:val="top"/>
          </w:tcPr>
          <w:p w14:paraId="193F917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残疾人数量</w:t>
            </w:r>
          </w:p>
        </w:tc>
        <w:tc>
          <w:tcPr>
            <w:tcW w:w="795" w:type="pct"/>
            <w:noWrap w:val="0"/>
            <w:vAlign w:val="top"/>
          </w:tcPr>
          <w:p w14:paraId="480CF580">
            <w:pPr>
              <w:ind w:firstLine="0"/>
              <w:jc w:val="both"/>
              <w:rPr>
                <w:rFonts w:hint="eastAsia" w:ascii="宋体" w:hAnsi="宋体" w:eastAsia="宋体" w:cs="宋体"/>
                <w:kern w:val="2"/>
                <w:sz w:val="24"/>
                <w:szCs w:val="24"/>
                <w:highlight w:val="none"/>
              </w:rPr>
            </w:pPr>
          </w:p>
        </w:tc>
        <w:tc>
          <w:tcPr>
            <w:tcW w:w="825" w:type="pct"/>
            <w:noWrap w:val="0"/>
            <w:vAlign w:val="top"/>
          </w:tcPr>
          <w:p w14:paraId="3F2EF28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少数民族数量</w:t>
            </w:r>
          </w:p>
        </w:tc>
        <w:tc>
          <w:tcPr>
            <w:tcW w:w="826" w:type="pct"/>
            <w:noWrap w:val="0"/>
            <w:vAlign w:val="top"/>
          </w:tcPr>
          <w:p w14:paraId="69559E65">
            <w:pPr>
              <w:ind w:firstLine="0"/>
              <w:jc w:val="both"/>
              <w:rPr>
                <w:rFonts w:hint="eastAsia" w:ascii="宋体" w:hAnsi="宋体" w:eastAsia="宋体" w:cs="宋体"/>
                <w:kern w:val="2"/>
                <w:sz w:val="24"/>
                <w:szCs w:val="24"/>
                <w:highlight w:val="none"/>
              </w:rPr>
            </w:pPr>
          </w:p>
        </w:tc>
      </w:tr>
      <w:tr w14:paraId="13AE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447B167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1CD7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B8D29D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3809" w:type="pct"/>
            <w:gridSpan w:val="5"/>
            <w:noWrap w:val="0"/>
            <w:vAlign w:val="top"/>
          </w:tcPr>
          <w:p w14:paraId="41105FF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197A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73DB89C">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71760F10">
            <w:pPr>
              <w:ind w:firstLine="0"/>
              <w:jc w:val="both"/>
              <w:rPr>
                <w:rFonts w:hint="eastAsia" w:ascii="宋体" w:hAnsi="宋体" w:eastAsia="宋体" w:cs="宋体"/>
                <w:kern w:val="2"/>
                <w:sz w:val="24"/>
                <w:szCs w:val="24"/>
                <w:highlight w:val="none"/>
              </w:rPr>
            </w:pPr>
          </w:p>
        </w:tc>
      </w:tr>
      <w:tr w14:paraId="18D4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F1A7E58">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24EF3C5A">
            <w:pPr>
              <w:ind w:firstLine="0"/>
              <w:jc w:val="both"/>
              <w:rPr>
                <w:rFonts w:hint="eastAsia" w:ascii="宋体" w:hAnsi="宋体" w:eastAsia="宋体" w:cs="宋体"/>
                <w:kern w:val="2"/>
                <w:sz w:val="24"/>
                <w:szCs w:val="24"/>
                <w:highlight w:val="none"/>
              </w:rPr>
            </w:pPr>
          </w:p>
        </w:tc>
      </w:tr>
      <w:tr w14:paraId="10A4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4A7044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3809" w:type="pct"/>
            <w:gridSpan w:val="5"/>
            <w:noWrap w:val="0"/>
            <w:vAlign w:val="top"/>
          </w:tcPr>
          <w:p w14:paraId="54A237E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799F405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145ADE7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236B666C">
      <w:pPr>
        <w:rPr>
          <w:rFonts w:hint="eastAsia" w:ascii="宋体" w:hAnsi="宋体" w:eastAsia="宋体" w:cs="宋体"/>
          <w:sz w:val="32"/>
          <w:szCs w:val="32"/>
          <w:highlight w:val="none"/>
        </w:rPr>
      </w:pPr>
      <w:r>
        <w:rPr>
          <w:rFonts w:hint="eastAsia" w:ascii="宋体" w:hAnsi="宋体" w:eastAsia="宋体" w:cs="宋体"/>
          <w:highlight w:val="none"/>
        </w:rPr>
        <w:br w:type="page"/>
      </w:r>
    </w:p>
    <w:p w14:paraId="2EF8C45E">
      <w:pPr>
        <w:pStyle w:val="3"/>
        <w:numPr>
          <w:ilvl w:val="0"/>
          <w:numId w:val="0"/>
        </w:numPr>
        <w:ind w:firstLine="640" w:firstLineChars="200"/>
        <w:jc w:val="center"/>
        <w:rPr>
          <w:rFonts w:hint="eastAsia" w:ascii="宋体" w:hAnsi="宋体" w:eastAsia="宋体" w:cs="宋体"/>
          <w:b/>
          <w:bCs/>
          <w:sz w:val="32"/>
          <w:szCs w:val="32"/>
          <w:highlight w:val="none"/>
          <w:lang w:val="en-US" w:eastAsia="zh-CN" w:bidi="ar-SA"/>
        </w:rPr>
      </w:pPr>
      <w:r>
        <w:rPr>
          <w:rFonts w:hint="eastAsia" w:ascii="宋体" w:hAnsi="宋体" w:eastAsia="宋体" w:cs="宋体"/>
          <w:b/>
          <w:bCs/>
          <w:sz w:val="32"/>
          <w:szCs w:val="32"/>
          <w:highlight w:val="none"/>
          <w:lang w:val="en-US" w:eastAsia="zh-CN"/>
        </w:rPr>
        <w:t>第五部分  供应商参加政府采购活动承诺书</w:t>
      </w:r>
    </w:p>
    <w:p w14:paraId="6EC0EF6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未签署下列承诺书的，将被视为无效投标，其责任由供应商自行承担。</w:t>
      </w:r>
    </w:p>
    <w:p w14:paraId="4860D74A">
      <w:pPr>
        <w:pStyle w:val="4"/>
        <w:ind w:left="0" w:leftChars="0" w:right="0" w:righ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28"/>
          <w:szCs w:val="28"/>
          <w:highlight w:val="none"/>
        </w:rPr>
        <w:t>（一）质量安全责任承诺书</w:t>
      </w:r>
    </w:p>
    <w:p w14:paraId="1DF198B2">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2E3DEBB5">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5F1B547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72A4906C">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5FCC9A12">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3BC038E4">
      <w:pPr>
        <w:spacing w:line="560" w:lineRule="exact"/>
        <w:ind w:firstLine="480" w:firstLineChars="200"/>
        <w:jc w:val="both"/>
        <w:rPr>
          <w:rFonts w:hint="eastAsia" w:ascii="宋体" w:hAnsi="宋体" w:eastAsia="宋体" w:cs="宋体"/>
          <w:sz w:val="24"/>
          <w:szCs w:val="24"/>
          <w:highlight w:val="none"/>
        </w:rPr>
      </w:pPr>
    </w:p>
    <w:p w14:paraId="7075737C">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1C3D2F23">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693978A7">
      <w:pPr>
        <w:spacing w:line="560" w:lineRule="exact"/>
        <w:ind w:firstLine="480" w:firstLineChars="200"/>
        <w:jc w:val="both"/>
        <w:rPr>
          <w:rFonts w:hint="eastAsia" w:ascii="宋体" w:hAnsi="宋体" w:eastAsia="宋体" w:cs="宋体"/>
          <w:sz w:val="24"/>
          <w:szCs w:val="24"/>
          <w:highlight w:val="none"/>
        </w:rPr>
      </w:pPr>
    </w:p>
    <w:p w14:paraId="7C003981">
      <w:pPr>
        <w:rPr>
          <w:rFonts w:hint="eastAsia" w:ascii="宋体" w:hAnsi="宋体" w:eastAsia="宋体" w:cs="宋体"/>
          <w:highlight w:val="none"/>
        </w:rPr>
      </w:pPr>
      <w:r>
        <w:rPr>
          <w:rFonts w:hint="eastAsia" w:ascii="宋体" w:hAnsi="宋体" w:eastAsia="宋体" w:cs="宋体"/>
          <w:highlight w:val="none"/>
        </w:rPr>
        <w:br w:type="page"/>
      </w:r>
    </w:p>
    <w:p w14:paraId="5DE92596">
      <w:pPr>
        <w:pStyle w:val="4"/>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（二）参加政府采购活动行为自律承诺书</w:t>
      </w:r>
    </w:p>
    <w:p w14:paraId="00765C9E">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2CE76ED4">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2457C77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1B1E031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3EA905D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21A21D94">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529A51D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739A3BB2">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5D3F33F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2B3009E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4BA7C4C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01406E07">
      <w:pPr>
        <w:spacing w:line="560" w:lineRule="exact"/>
        <w:ind w:firstLine="480" w:firstLineChars="200"/>
        <w:jc w:val="both"/>
        <w:rPr>
          <w:rFonts w:hint="eastAsia" w:ascii="宋体" w:hAnsi="宋体" w:eastAsia="宋体" w:cs="宋体"/>
          <w:sz w:val="24"/>
          <w:szCs w:val="24"/>
          <w:highlight w:val="none"/>
        </w:rPr>
      </w:pPr>
    </w:p>
    <w:p w14:paraId="45C78A6D">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34E9DCA7">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1070A3ED">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rPr>
        <w:t>第六部分  投标方案</w:t>
      </w:r>
    </w:p>
    <w:p w14:paraId="6A76C80D">
      <w:pPr>
        <w:pStyle w:val="97"/>
        <w:spacing w:before="210" w:after="210"/>
        <w:ind w:firstLine="640"/>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0B4A89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12E1BD02">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29D8B194">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技术条款</w:t>
            </w:r>
          </w:p>
        </w:tc>
        <w:tc>
          <w:tcPr>
            <w:tcW w:w="1325" w:type="pct"/>
            <w:tcBorders>
              <w:top w:val="single" w:color="auto" w:sz="12" w:space="0"/>
              <w:bottom w:val="single" w:color="auto" w:sz="2" w:space="0"/>
            </w:tcBorders>
            <w:shd w:val="clear" w:color="auto" w:fill="F1F1F1"/>
            <w:noWrap w:val="0"/>
            <w:vAlign w:val="center"/>
          </w:tcPr>
          <w:p w14:paraId="7E7CF1DF">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noWrap w:val="0"/>
            <w:vAlign w:val="center"/>
          </w:tcPr>
          <w:p w14:paraId="6DD9E44B">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投标文件技术响应</w:t>
            </w:r>
          </w:p>
        </w:tc>
        <w:tc>
          <w:tcPr>
            <w:tcW w:w="535" w:type="pct"/>
            <w:tcBorders>
              <w:top w:val="single" w:color="auto" w:sz="12" w:space="0"/>
              <w:bottom w:val="single" w:color="auto" w:sz="2" w:space="0"/>
            </w:tcBorders>
            <w:shd w:val="clear" w:color="auto" w:fill="F1F1F1"/>
            <w:noWrap w:val="0"/>
            <w:vAlign w:val="center"/>
          </w:tcPr>
          <w:p w14:paraId="60FA74BC">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48AED37C">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3BA789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21E13D9F">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0F3E820E">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4216D8D7">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6EE93E52">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7B615217">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7CEA62B4">
            <w:pPr>
              <w:spacing w:line="560" w:lineRule="exact"/>
              <w:jc w:val="center"/>
              <w:rPr>
                <w:rFonts w:hint="eastAsia" w:ascii="宋体" w:hAnsi="宋体" w:eastAsia="宋体" w:cs="宋体"/>
                <w:sz w:val="24"/>
                <w:szCs w:val="24"/>
                <w:highlight w:val="none"/>
              </w:rPr>
            </w:pPr>
          </w:p>
        </w:tc>
      </w:tr>
      <w:tr w14:paraId="138DA6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F33DDD5">
            <w:pPr>
              <w:spacing w:line="560" w:lineRule="exact"/>
              <w:jc w:val="center"/>
              <w:rPr>
                <w:rFonts w:hint="eastAsia" w:ascii="宋体" w:hAnsi="宋体" w:eastAsia="宋体" w:cs="宋体"/>
                <w:sz w:val="24"/>
                <w:szCs w:val="24"/>
                <w:highlight w:val="none"/>
              </w:rPr>
            </w:pPr>
          </w:p>
        </w:tc>
        <w:tc>
          <w:tcPr>
            <w:tcW w:w="903" w:type="pct"/>
            <w:noWrap w:val="0"/>
            <w:vAlign w:val="center"/>
          </w:tcPr>
          <w:p w14:paraId="565AE72A">
            <w:pPr>
              <w:spacing w:line="560" w:lineRule="exact"/>
              <w:jc w:val="center"/>
              <w:rPr>
                <w:rFonts w:hint="eastAsia" w:ascii="宋体" w:hAnsi="宋体" w:eastAsia="宋体" w:cs="宋体"/>
                <w:sz w:val="24"/>
                <w:szCs w:val="24"/>
                <w:highlight w:val="none"/>
              </w:rPr>
            </w:pPr>
          </w:p>
        </w:tc>
        <w:tc>
          <w:tcPr>
            <w:tcW w:w="1325" w:type="pct"/>
            <w:noWrap w:val="0"/>
            <w:vAlign w:val="center"/>
          </w:tcPr>
          <w:p w14:paraId="4F50171A">
            <w:pPr>
              <w:spacing w:line="560" w:lineRule="exact"/>
              <w:jc w:val="center"/>
              <w:rPr>
                <w:rFonts w:hint="eastAsia" w:ascii="宋体" w:hAnsi="宋体" w:eastAsia="宋体" w:cs="宋体"/>
                <w:sz w:val="24"/>
                <w:szCs w:val="24"/>
                <w:highlight w:val="none"/>
              </w:rPr>
            </w:pPr>
          </w:p>
        </w:tc>
        <w:tc>
          <w:tcPr>
            <w:tcW w:w="1259" w:type="pct"/>
            <w:noWrap w:val="0"/>
            <w:vAlign w:val="center"/>
          </w:tcPr>
          <w:p w14:paraId="57D3C679">
            <w:pPr>
              <w:spacing w:line="560" w:lineRule="exact"/>
              <w:jc w:val="center"/>
              <w:rPr>
                <w:rFonts w:hint="eastAsia" w:ascii="宋体" w:hAnsi="宋体" w:eastAsia="宋体" w:cs="宋体"/>
                <w:sz w:val="24"/>
                <w:szCs w:val="24"/>
                <w:highlight w:val="none"/>
              </w:rPr>
            </w:pPr>
          </w:p>
        </w:tc>
        <w:tc>
          <w:tcPr>
            <w:tcW w:w="535" w:type="pct"/>
            <w:noWrap w:val="0"/>
            <w:vAlign w:val="center"/>
          </w:tcPr>
          <w:p w14:paraId="78E78B39">
            <w:pPr>
              <w:spacing w:line="560" w:lineRule="exact"/>
              <w:jc w:val="center"/>
              <w:rPr>
                <w:rFonts w:hint="eastAsia" w:ascii="宋体" w:hAnsi="宋体" w:eastAsia="宋体" w:cs="宋体"/>
                <w:sz w:val="24"/>
                <w:szCs w:val="24"/>
                <w:highlight w:val="none"/>
              </w:rPr>
            </w:pPr>
          </w:p>
        </w:tc>
        <w:tc>
          <w:tcPr>
            <w:tcW w:w="620" w:type="pct"/>
            <w:noWrap w:val="0"/>
            <w:vAlign w:val="center"/>
          </w:tcPr>
          <w:p w14:paraId="3EF0910F">
            <w:pPr>
              <w:spacing w:line="560" w:lineRule="exact"/>
              <w:jc w:val="center"/>
              <w:rPr>
                <w:rFonts w:hint="eastAsia" w:ascii="宋体" w:hAnsi="宋体" w:eastAsia="宋体" w:cs="宋体"/>
                <w:sz w:val="24"/>
                <w:szCs w:val="24"/>
                <w:highlight w:val="none"/>
              </w:rPr>
            </w:pPr>
          </w:p>
        </w:tc>
      </w:tr>
      <w:tr w14:paraId="7DEA81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0186207">
            <w:pPr>
              <w:spacing w:line="560" w:lineRule="exact"/>
              <w:jc w:val="center"/>
              <w:rPr>
                <w:rFonts w:hint="eastAsia" w:ascii="宋体" w:hAnsi="宋体" w:eastAsia="宋体" w:cs="宋体"/>
                <w:sz w:val="24"/>
                <w:szCs w:val="24"/>
                <w:highlight w:val="none"/>
              </w:rPr>
            </w:pPr>
          </w:p>
        </w:tc>
        <w:tc>
          <w:tcPr>
            <w:tcW w:w="903" w:type="pct"/>
            <w:noWrap w:val="0"/>
            <w:vAlign w:val="center"/>
          </w:tcPr>
          <w:p w14:paraId="44CBE48E">
            <w:pPr>
              <w:spacing w:line="560" w:lineRule="exact"/>
              <w:jc w:val="center"/>
              <w:rPr>
                <w:rFonts w:hint="eastAsia" w:ascii="宋体" w:hAnsi="宋体" w:eastAsia="宋体" w:cs="宋体"/>
                <w:sz w:val="24"/>
                <w:szCs w:val="24"/>
                <w:highlight w:val="none"/>
              </w:rPr>
            </w:pPr>
          </w:p>
        </w:tc>
        <w:tc>
          <w:tcPr>
            <w:tcW w:w="1325" w:type="pct"/>
            <w:noWrap w:val="0"/>
            <w:vAlign w:val="center"/>
          </w:tcPr>
          <w:p w14:paraId="05CC5B33">
            <w:pPr>
              <w:spacing w:line="560" w:lineRule="exact"/>
              <w:jc w:val="center"/>
              <w:rPr>
                <w:rFonts w:hint="eastAsia" w:ascii="宋体" w:hAnsi="宋体" w:eastAsia="宋体" w:cs="宋体"/>
                <w:sz w:val="24"/>
                <w:szCs w:val="24"/>
                <w:highlight w:val="none"/>
              </w:rPr>
            </w:pPr>
          </w:p>
        </w:tc>
        <w:tc>
          <w:tcPr>
            <w:tcW w:w="1259" w:type="pct"/>
            <w:noWrap w:val="0"/>
            <w:vAlign w:val="center"/>
          </w:tcPr>
          <w:p w14:paraId="79EB5DA8">
            <w:pPr>
              <w:spacing w:line="560" w:lineRule="exact"/>
              <w:jc w:val="center"/>
              <w:rPr>
                <w:rFonts w:hint="eastAsia" w:ascii="宋体" w:hAnsi="宋体" w:eastAsia="宋体" w:cs="宋体"/>
                <w:sz w:val="24"/>
                <w:szCs w:val="24"/>
                <w:highlight w:val="none"/>
              </w:rPr>
            </w:pPr>
          </w:p>
        </w:tc>
        <w:tc>
          <w:tcPr>
            <w:tcW w:w="535" w:type="pct"/>
            <w:noWrap w:val="0"/>
            <w:vAlign w:val="center"/>
          </w:tcPr>
          <w:p w14:paraId="1EF917E6">
            <w:pPr>
              <w:spacing w:line="560" w:lineRule="exact"/>
              <w:jc w:val="center"/>
              <w:rPr>
                <w:rFonts w:hint="eastAsia" w:ascii="宋体" w:hAnsi="宋体" w:eastAsia="宋体" w:cs="宋体"/>
                <w:sz w:val="24"/>
                <w:szCs w:val="24"/>
                <w:highlight w:val="none"/>
              </w:rPr>
            </w:pPr>
          </w:p>
        </w:tc>
        <w:tc>
          <w:tcPr>
            <w:tcW w:w="620" w:type="pct"/>
            <w:noWrap w:val="0"/>
            <w:vAlign w:val="center"/>
          </w:tcPr>
          <w:p w14:paraId="7DBCBBD4">
            <w:pPr>
              <w:spacing w:line="560" w:lineRule="exact"/>
              <w:jc w:val="center"/>
              <w:rPr>
                <w:rFonts w:hint="eastAsia" w:ascii="宋体" w:hAnsi="宋体" w:eastAsia="宋体" w:cs="宋体"/>
                <w:sz w:val="24"/>
                <w:szCs w:val="24"/>
                <w:highlight w:val="none"/>
              </w:rPr>
            </w:pPr>
          </w:p>
        </w:tc>
      </w:tr>
      <w:tr w14:paraId="329DE8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1980CF06">
            <w:pPr>
              <w:spacing w:line="560" w:lineRule="exact"/>
              <w:jc w:val="center"/>
              <w:rPr>
                <w:rFonts w:hint="eastAsia" w:ascii="宋体" w:hAnsi="宋体" w:eastAsia="宋体" w:cs="宋体"/>
                <w:sz w:val="24"/>
                <w:szCs w:val="24"/>
                <w:highlight w:val="none"/>
              </w:rPr>
            </w:pPr>
          </w:p>
        </w:tc>
        <w:tc>
          <w:tcPr>
            <w:tcW w:w="903" w:type="pct"/>
            <w:noWrap w:val="0"/>
            <w:vAlign w:val="center"/>
          </w:tcPr>
          <w:p w14:paraId="306C059F">
            <w:pPr>
              <w:spacing w:line="560" w:lineRule="exact"/>
              <w:jc w:val="center"/>
              <w:rPr>
                <w:rFonts w:hint="eastAsia" w:ascii="宋体" w:hAnsi="宋体" w:eastAsia="宋体" w:cs="宋体"/>
                <w:sz w:val="24"/>
                <w:szCs w:val="24"/>
                <w:highlight w:val="none"/>
              </w:rPr>
            </w:pPr>
          </w:p>
        </w:tc>
        <w:tc>
          <w:tcPr>
            <w:tcW w:w="1325" w:type="pct"/>
            <w:noWrap w:val="0"/>
            <w:vAlign w:val="center"/>
          </w:tcPr>
          <w:p w14:paraId="419F53D9">
            <w:pPr>
              <w:spacing w:line="560" w:lineRule="exact"/>
              <w:jc w:val="center"/>
              <w:rPr>
                <w:rFonts w:hint="eastAsia" w:ascii="宋体" w:hAnsi="宋体" w:eastAsia="宋体" w:cs="宋体"/>
                <w:sz w:val="24"/>
                <w:szCs w:val="24"/>
                <w:highlight w:val="none"/>
              </w:rPr>
            </w:pPr>
          </w:p>
        </w:tc>
        <w:tc>
          <w:tcPr>
            <w:tcW w:w="1259" w:type="pct"/>
            <w:noWrap w:val="0"/>
            <w:vAlign w:val="center"/>
          </w:tcPr>
          <w:p w14:paraId="048513E0">
            <w:pPr>
              <w:spacing w:line="560" w:lineRule="exact"/>
              <w:jc w:val="center"/>
              <w:rPr>
                <w:rFonts w:hint="eastAsia" w:ascii="宋体" w:hAnsi="宋体" w:eastAsia="宋体" w:cs="宋体"/>
                <w:sz w:val="24"/>
                <w:szCs w:val="24"/>
                <w:highlight w:val="none"/>
              </w:rPr>
            </w:pPr>
          </w:p>
        </w:tc>
        <w:tc>
          <w:tcPr>
            <w:tcW w:w="535" w:type="pct"/>
            <w:noWrap w:val="0"/>
            <w:vAlign w:val="center"/>
          </w:tcPr>
          <w:p w14:paraId="6E2A6ECA">
            <w:pPr>
              <w:spacing w:line="560" w:lineRule="exact"/>
              <w:jc w:val="center"/>
              <w:rPr>
                <w:rFonts w:hint="eastAsia" w:ascii="宋体" w:hAnsi="宋体" w:eastAsia="宋体" w:cs="宋体"/>
                <w:sz w:val="24"/>
                <w:szCs w:val="24"/>
                <w:highlight w:val="none"/>
              </w:rPr>
            </w:pPr>
          </w:p>
        </w:tc>
        <w:tc>
          <w:tcPr>
            <w:tcW w:w="620" w:type="pct"/>
            <w:noWrap w:val="0"/>
            <w:vAlign w:val="center"/>
          </w:tcPr>
          <w:p w14:paraId="6727BA15">
            <w:pPr>
              <w:spacing w:line="560" w:lineRule="exact"/>
              <w:jc w:val="center"/>
              <w:rPr>
                <w:rFonts w:hint="eastAsia" w:ascii="宋体" w:hAnsi="宋体" w:eastAsia="宋体" w:cs="宋体"/>
                <w:sz w:val="24"/>
                <w:szCs w:val="24"/>
                <w:highlight w:val="none"/>
              </w:rPr>
            </w:pPr>
          </w:p>
        </w:tc>
      </w:tr>
      <w:tr w14:paraId="0920F0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145DE88E">
            <w:pPr>
              <w:spacing w:line="560" w:lineRule="exact"/>
              <w:jc w:val="center"/>
              <w:rPr>
                <w:rFonts w:hint="eastAsia" w:ascii="宋体" w:hAnsi="宋体" w:eastAsia="宋体" w:cs="宋体"/>
                <w:sz w:val="24"/>
                <w:szCs w:val="24"/>
                <w:highlight w:val="none"/>
              </w:rPr>
            </w:pPr>
          </w:p>
        </w:tc>
        <w:tc>
          <w:tcPr>
            <w:tcW w:w="903" w:type="pct"/>
            <w:noWrap w:val="0"/>
            <w:vAlign w:val="center"/>
          </w:tcPr>
          <w:p w14:paraId="0948E765">
            <w:pPr>
              <w:spacing w:line="560" w:lineRule="exact"/>
              <w:jc w:val="center"/>
              <w:rPr>
                <w:rFonts w:hint="eastAsia" w:ascii="宋体" w:hAnsi="宋体" w:eastAsia="宋体" w:cs="宋体"/>
                <w:sz w:val="24"/>
                <w:szCs w:val="24"/>
                <w:highlight w:val="none"/>
              </w:rPr>
            </w:pPr>
          </w:p>
        </w:tc>
        <w:tc>
          <w:tcPr>
            <w:tcW w:w="1325" w:type="pct"/>
            <w:noWrap w:val="0"/>
            <w:vAlign w:val="center"/>
          </w:tcPr>
          <w:p w14:paraId="544AA541">
            <w:pPr>
              <w:spacing w:line="560" w:lineRule="exact"/>
              <w:jc w:val="center"/>
              <w:rPr>
                <w:rFonts w:hint="eastAsia" w:ascii="宋体" w:hAnsi="宋体" w:eastAsia="宋体" w:cs="宋体"/>
                <w:sz w:val="24"/>
                <w:szCs w:val="24"/>
                <w:highlight w:val="none"/>
              </w:rPr>
            </w:pPr>
          </w:p>
        </w:tc>
        <w:tc>
          <w:tcPr>
            <w:tcW w:w="1259" w:type="pct"/>
            <w:noWrap w:val="0"/>
            <w:vAlign w:val="center"/>
          </w:tcPr>
          <w:p w14:paraId="32F3DC80">
            <w:pPr>
              <w:spacing w:line="560" w:lineRule="exact"/>
              <w:jc w:val="center"/>
              <w:rPr>
                <w:rFonts w:hint="eastAsia" w:ascii="宋体" w:hAnsi="宋体" w:eastAsia="宋体" w:cs="宋体"/>
                <w:sz w:val="24"/>
                <w:szCs w:val="24"/>
                <w:highlight w:val="none"/>
              </w:rPr>
            </w:pPr>
          </w:p>
        </w:tc>
        <w:tc>
          <w:tcPr>
            <w:tcW w:w="535" w:type="pct"/>
            <w:noWrap w:val="0"/>
            <w:vAlign w:val="center"/>
          </w:tcPr>
          <w:p w14:paraId="36535C7F">
            <w:pPr>
              <w:spacing w:line="560" w:lineRule="exact"/>
              <w:jc w:val="center"/>
              <w:rPr>
                <w:rFonts w:hint="eastAsia" w:ascii="宋体" w:hAnsi="宋体" w:eastAsia="宋体" w:cs="宋体"/>
                <w:sz w:val="24"/>
                <w:szCs w:val="24"/>
                <w:highlight w:val="none"/>
              </w:rPr>
            </w:pPr>
          </w:p>
        </w:tc>
        <w:tc>
          <w:tcPr>
            <w:tcW w:w="620" w:type="pct"/>
            <w:noWrap w:val="0"/>
            <w:vAlign w:val="center"/>
          </w:tcPr>
          <w:p w14:paraId="28A47EA0">
            <w:pPr>
              <w:spacing w:line="560" w:lineRule="exact"/>
              <w:jc w:val="center"/>
              <w:rPr>
                <w:rFonts w:hint="eastAsia" w:ascii="宋体" w:hAnsi="宋体" w:eastAsia="宋体" w:cs="宋体"/>
                <w:sz w:val="24"/>
                <w:szCs w:val="24"/>
                <w:highlight w:val="none"/>
              </w:rPr>
            </w:pPr>
          </w:p>
        </w:tc>
      </w:tr>
      <w:tr w14:paraId="35A65D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5573992">
            <w:pPr>
              <w:spacing w:line="560" w:lineRule="exact"/>
              <w:jc w:val="center"/>
              <w:rPr>
                <w:rFonts w:hint="eastAsia" w:ascii="宋体" w:hAnsi="宋体" w:eastAsia="宋体" w:cs="宋体"/>
                <w:sz w:val="24"/>
                <w:szCs w:val="24"/>
                <w:highlight w:val="none"/>
              </w:rPr>
            </w:pPr>
          </w:p>
        </w:tc>
        <w:tc>
          <w:tcPr>
            <w:tcW w:w="903" w:type="pct"/>
            <w:noWrap w:val="0"/>
            <w:vAlign w:val="center"/>
          </w:tcPr>
          <w:p w14:paraId="26A8717C">
            <w:pPr>
              <w:spacing w:line="560" w:lineRule="exact"/>
              <w:jc w:val="center"/>
              <w:rPr>
                <w:rFonts w:hint="eastAsia" w:ascii="宋体" w:hAnsi="宋体" w:eastAsia="宋体" w:cs="宋体"/>
                <w:sz w:val="24"/>
                <w:szCs w:val="24"/>
                <w:highlight w:val="none"/>
              </w:rPr>
            </w:pPr>
          </w:p>
        </w:tc>
        <w:tc>
          <w:tcPr>
            <w:tcW w:w="1325" w:type="pct"/>
            <w:noWrap w:val="0"/>
            <w:vAlign w:val="center"/>
          </w:tcPr>
          <w:p w14:paraId="59C80449">
            <w:pPr>
              <w:spacing w:line="560" w:lineRule="exact"/>
              <w:jc w:val="center"/>
              <w:rPr>
                <w:rFonts w:hint="eastAsia" w:ascii="宋体" w:hAnsi="宋体" w:eastAsia="宋体" w:cs="宋体"/>
                <w:sz w:val="24"/>
                <w:szCs w:val="24"/>
                <w:highlight w:val="none"/>
              </w:rPr>
            </w:pPr>
          </w:p>
        </w:tc>
        <w:tc>
          <w:tcPr>
            <w:tcW w:w="1259" w:type="pct"/>
            <w:noWrap w:val="0"/>
            <w:vAlign w:val="center"/>
          </w:tcPr>
          <w:p w14:paraId="1E5A9AFE">
            <w:pPr>
              <w:spacing w:line="560" w:lineRule="exact"/>
              <w:jc w:val="center"/>
              <w:rPr>
                <w:rFonts w:hint="eastAsia" w:ascii="宋体" w:hAnsi="宋体" w:eastAsia="宋体" w:cs="宋体"/>
                <w:sz w:val="24"/>
                <w:szCs w:val="24"/>
                <w:highlight w:val="none"/>
              </w:rPr>
            </w:pPr>
          </w:p>
        </w:tc>
        <w:tc>
          <w:tcPr>
            <w:tcW w:w="535" w:type="pct"/>
            <w:noWrap w:val="0"/>
            <w:vAlign w:val="center"/>
          </w:tcPr>
          <w:p w14:paraId="6F28EEB5">
            <w:pPr>
              <w:spacing w:line="560" w:lineRule="exact"/>
              <w:jc w:val="center"/>
              <w:rPr>
                <w:rFonts w:hint="eastAsia" w:ascii="宋体" w:hAnsi="宋体" w:eastAsia="宋体" w:cs="宋体"/>
                <w:sz w:val="24"/>
                <w:szCs w:val="24"/>
                <w:highlight w:val="none"/>
              </w:rPr>
            </w:pPr>
          </w:p>
        </w:tc>
        <w:tc>
          <w:tcPr>
            <w:tcW w:w="620" w:type="pct"/>
            <w:noWrap w:val="0"/>
            <w:vAlign w:val="center"/>
          </w:tcPr>
          <w:p w14:paraId="6F45E841">
            <w:pPr>
              <w:spacing w:line="560" w:lineRule="exact"/>
              <w:jc w:val="center"/>
              <w:rPr>
                <w:rFonts w:hint="eastAsia" w:ascii="宋体" w:hAnsi="宋体" w:eastAsia="宋体" w:cs="宋体"/>
                <w:sz w:val="24"/>
                <w:szCs w:val="24"/>
                <w:highlight w:val="none"/>
              </w:rPr>
            </w:pPr>
          </w:p>
        </w:tc>
      </w:tr>
      <w:tr w14:paraId="75F211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6CC497E">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72AB61BE">
            <w:pPr>
              <w:spacing w:line="560" w:lineRule="exact"/>
              <w:jc w:val="both"/>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auto"/>
                <w:sz w:val="24"/>
                <w:szCs w:val="24"/>
                <w:highlight w:val="none"/>
              </w:rPr>
              <w:t>对第三章</w:t>
            </w:r>
            <w:r>
              <w:rPr>
                <w:rFonts w:hint="eastAsia" w:ascii="宋体" w:hAnsi="宋体" w:eastAsia="宋体" w:cs="宋体"/>
                <w:color w:val="auto"/>
                <w:sz w:val="24"/>
                <w:szCs w:val="24"/>
                <w:highlight w:val="none"/>
                <w:lang w:eastAsia="zh-CN"/>
              </w:rPr>
              <w:t>招标内容及</w:t>
            </w:r>
            <w:r>
              <w:rPr>
                <w:rFonts w:hint="eastAsia" w:ascii="宋体" w:hAnsi="宋体" w:eastAsia="宋体" w:cs="宋体"/>
                <w:color w:val="auto"/>
                <w:sz w:val="24"/>
                <w:szCs w:val="24"/>
                <w:highlight w:val="none"/>
              </w:rPr>
              <w:t>要求做出响应。</w:t>
            </w:r>
          </w:p>
          <w:p w14:paraId="6408CCF3">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08E43A9C">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76B0958A">
      <w:pPr>
        <w:spacing w:line="24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2EE8D0B6">
      <w:pPr>
        <w:spacing w:line="24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13689BCA">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5FCCBB66">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484D193A">
      <w:pPr>
        <w:spacing w:line="560" w:lineRule="exact"/>
        <w:ind w:firstLine="60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554E2563">
      <w:pPr>
        <w:pStyle w:val="15"/>
        <w:keepNext w:val="0"/>
        <w:keepLines w:val="0"/>
        <w:pageBreakBefore w:val="0"/>
        <w:widowControl/>
        <w:kinsoku/>
        <w:wordWrap/>
        <w:overflowPunct/>
        <w:topLinePunct w:val="0"/>
        <w:autoSpaceDE/>
        <w:autoSpaceDN/>
        <w:bidi w:val="0"/>
        <w:adjustRightInd/>
        <w:snapToGrid/>
        <w:ind w:firstLine="600" w:firstLineChars="250"/>
        <w:textAlignment w:val="auto"/>
        <w:rPr>
          <w:rFonts w:hint="eastAsia"/>
          <w:b/>
          <w:bCs/>
          <w:color w:val="auto"/>
          <w:highlight w:val="none"/>
          <w:lang w:eastAsia="zh-CN"/>
        </w:rPr>
      </w:pPr>
      <w:r>
        <w:rPr>
          <w:rFonts w:hint="eastAsia"/>
          <w:b/>
          <w:bCs/>
          <w:color w:val="auto"/>
          <w:highlight w:val="none"/>
          <w:lang w:eastAsia="zh-CN"/>
        </w:rPr>
        <w:t>根据本项目“第二章 供应商须知”中的〖评审要素及分值一览表〗提供。</w:t>
      </w:r>
    </w:p>
    <w:p w14:paraId="08F3AAD0">
      <w:pPr>
        <w:bidi w:val="0"/>
        <w:spacing w:line="240" w:lineRule="auto"/>
        <w:rPr>
          <w:rFonts w:hint="eastAsia"/>
          <w:highlight w:val="none"/>
        </w:rPr>
      </w:pPr>
      <w:r>
        <w:rPr>
          <w:rFonts w:hint="eastAsia"/>
          <w:highlight w:val="none"/>
        </w:rPr>
        <w:br w:type="page"/>
      </w:r>
    </w:p>
    <w:p w14:paraId="7D33BF44">
      <w:pPr>
        <w:pStyle w:val="97"/>
        <w:spacing w:before="210" w:after="210"/>
        <w:ind w:left="0" w:leftChars="0" w:firstLine="0" w:firstLineChars="0"/>
        <w:outlineLvl w:val="2"/>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7901AC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3E129E6C">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6A6CFCB1">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noWrap w:val="0"/>
            <w:vAlign w:val="center"/>
          </w:tcPr>
          <w:p w14:paraId="5CB7B353">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noWrap w:val="0"/>
            <w:vAlign w:val="center"/>
          </w:tcPr>
          <w:p w14:paraId="71B9B831">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noWrap w:val="0"/>
            <w:vAlign w:val="center"/>
          </w:tcPr>
          <w:p w14:paraId="393CAC1A">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41FCAD40">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246FDB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620149BA">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06219073">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04CE0BA5">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151AE0E0">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08567D8C">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4EC36A9D">
            <w:pPr>
              <w:spacing w:line="560" w:lineRule="exact"/>
              <w:jc w:val="center"/>
              <w:rPr>
                <w:rFonts w:hint="eastAsia" w:ascii="宋体" w:hAnsi="宋体" w:eastAsia="宋体" w:cs="宋体"/>
                <w:sz w:val="24"/>
                <w:szCs w:val="24"/>
                <w:highlight w:val="none"/>
              </w:rPr>
            </w:pPr>
          </w:p>
        </w:tc>
      </w:tr>
      <w:tr w14:paraId="42DA0B1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FF1BEBF">
            <w:pPr>
              <w:spacing w:line="560" w:lineRule="exact"/>
              <w:jc w:val="center"/>
              <w:rPr>
                <w:rFonts w:hint="eastAsia" w:ascii="宋体" w:hAnsi="宋体" w:eastAsia="宋体" w:cs="宋体"/>
                <w:sz w:val="24"/>
                <w:szCs w:val="24"/>
                <w:highlight w:val="none"/>
              </w:rPr>
            </w:pPr>
          </w:p>
        </w:tc>
        <w:tc>
          <w:tcPr>
            <w:tcW w:w="903" w:type="pct"/>
            <w:noWrap w:val="0"/>
            <w:vAlign w:val="center"/>
          </w:tcPr>
          <w:p w14:paraId="1F9A7581">
            <w:pPr>
              <w:spacing w:line="560" w:lineRule="exact"/>
              <w:jc w:val="center"/>
              <w:rPr>
                <w:rFonts w:hint="eastAsia" w:ascii="宋体" w:hAnsi="宋体" w:eastAsia="宋体" w:cs="宋体"/>
                <w:sz w:val="24"/>
                <w:szCs w:val="24"/>
                <w:highlight w:val="none"/>
              </w:rPr>
            </w:pPr>
          </w:p>
        </w:tc>
        <w:tc>
          <w:tcPr>
            <w:tcW w:w="1325" w:type="pct"/>
            <w:noWrap w:val="0"/>
            <w:vAlign w:val="center"/>
          </w:tcPr>
          <w:p w14:paraId="4BE6BC61">
            <w:pPr>
              <w:spacing w:line="560" w:lineRule="exact"/>
              <w:jc w:val="center"/>
              <w:rPr>
                <w:rFonts w:hint="eastAsia" w:ascii="宋体" w:hAnsi="宋体" w:eastAsia="宋体" w:cs="宋体"/>
                <w:sz w:val="24"/>
                <w:szCs w:val="24"/>
                <w:highlight w:val="none"/>
              </w:rPr>
            </w:pPr>
          </w:p>
        </w:tc>
        <w:tc>
          <w:tcPr>
            <w:tcW w:w="1259" w:type="pct"/>
            <w:noWrap w:val="0"/>
            <w:vAlign w:val="center"/>
          </w:tcPr>
          <w:p w14:paraId="34D97E91">
            <w:pPr>
              <w:spacing w:line="560" w:lineRule="exact"/>
              <w:jc w:val="center"/>
              <w:rPr>
                <w:rFonts w:hint="eastAsia" w:ascii="宋体" w:hAnsi="宋体" w:eastAsia="宋体" w:cs="宋体"/>
                <w:sz w:val="24"/>
                <w:szCs w:val="24"/>
                <w:highlight w:val="none"/>
              </w:rPr>
            </w:pPr>
          </w:p>
        </w:tc>
        <w:tc>
          <w:tcPr>
            <w:tcW w:w="535" w:type="pct"/>
            <w:noWrap w:val="0"/>
            <w:vAlign w:val="center"/>
          </w:tcPr>
          <w:p w14:paraId="09399207">
            <w:pPr>
              <w:spacing w:line="560" w:lineRule="exact"/>
              <w:jc w:val="center"/>
              <w:rPr>
                <w:rFonts w:hint="eastAsia" w:ascii="宋体" w:hAnsi="宋体" w:eastAsia="宋体" w:cs="宋体"/>
                <w:sz w:val="24"/>
                <w:szCs w:val="24"/>
                <w:highlight w:val="none"/>
              </w:rPr>
            </w:pPr>
          </w:p>
        </w:tc>
        <w:tc>
          <w:tcPr>
            <w:tcW w:w="620" w:type="pct"/>
            <w:noWrap w:val="0"/>
            <w:vAlign w:val="center"/>
          </w:tcPr>
          <w:p w14:paraId="31E3C85F">
            <w:pPr>
              <w:spacing w:line="560" w:lineRule="exact"/>
              <w:jc w:val="center"/>
              <w:rPr>
                <w:rFonts w:hint="eastAsia" w:ascii="宋体" w:hAnsi="宋体" w:eastAsia="宋体" w:cs="宋体"/>
                <w:sz w:val="24"/>
                <w:szCs w:val="24"/>
                <w:highlight w:val="none"/>
              </w:rPr>
            </w:pPr>
          </w:p>
        </w:tc>
      </w:tr>
      <w:tr w14:paraId="10B7C4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F345A20">
            <w:pPr>
              <w:spacing w:line="560" w:lineRule="exact"/>
              <w:jc w:val="center"/>
              <w:rPr>
                <w:rFonts w:hint="eastAsia" w:ascii="宋体" w:hAnsi="宋体" w:eastAsia="宋体" w:cs="宋体"/>
                <w:sz w:val="24"/>
                <w:szCs w:val="24"/>
                <w:highlight w:val="none"/>
              </w:rPr>
            </w:pPr>
          </w:p>
        </w:tc>
        <w:tc>
          <w:tcPr>
            <w:tcW w:w="903" w:type="pct"/>
            <w:noWrap w:val="0"/>
            <w:vAlign w:val="center"/>
          </w:tcPr>
          <w:p w14:paraId="0C074F3C">
            <w:pPr>
              <w:spacing w:line="560" w:lineRule="exact"/>
              <w:jc w:val="center"/>
              <w:rPr>
                <w:rFonts w:hint="eastAsia" w:ascii="宋体" w:hAnsi="宋体" w:eastAsia="宋体" w:cs="宋体"/>
                <w:sz w:val="24"/>
                <w:szCs w:val="24"/>
                <w:highlight w:val="none"/>
              </w:rPr>
            </w:pPr>
          </w:p>
        </w:tc>
        <w:tc>
          <w:tcPr>
            <w:tcW w:w="1325" w:type="pct"/>
            <w:noWrap w:val="0"/>
            <w:vAlign w:val="center"/>
          </w:tcPr>
          <w:p w14:paraId="4B00B4C7">
            <w:pPr>
              <w:spacing w:line="560" w:lineRule="exact"/>
              <w:jc w:val="center"/>
              <w:rPr>
                <w:rFonts w:hint="eastAsia" w:ascii="宋体" w:hAnsi="宋体" w:eastAsia="宋体" w:cs="宋体"/>
                <w:sz w:val="24"/>
                <w:szCs w:val="24"/>
                <w:highlight w:val="none"/>
              </w:rPr>
            </w:pPr>
          </w:p>
        </w:tc>
        <w:tc>
          <w:tcPr>
            <w:tcW w:w="1259" w:type="pct"/>
            <w:noWrap w:val="0"/>
            <w:vAlign w:val="center"/>
          </w:tcPr>
          <w:p w14:paraId="073797C1">
            <w:pPr>
              <w:spacing w:line="560" w:lineRule="exact"/>
              <w:jc w:val="center"/>
              <w:rPr>
                <w:rFonts w:hint="eastAsia" w:ascii="宋体" w:hAnsi="宋体" w:eastAsia="宋体" w:cs="宋体"/>
                <w:sz w:val="24"/>
                <w:szCs w:val="24"/>
                <w:highlight w:val="none"/>
              </w:rPr>
            </w:pPr>
          </w:p>
        </w:tc>
        <w:tc>
          <w:tcPr>
            <w:tcW w:w="535" w:type="pct"/>
            <w:noWrap w:val="0"/>
            <w:vAlign w:val="center"/>
          </w:tcPr>
          <w:p w14:paraId="15E7B892">
            <w:pPr>
              <w:spacing w:line="560" w:lineRule="exact"/>
              <w:jc w:val="center"/>
              <w:rPr>
                <w:rFonts w:hint="eastAsia" w:ascii="宋体" w:hAnsi="宋体" w:eastAsia="宋体" w:cs="宋体"/>
                <w:sz w:val="24"/>
                <w:szCs w:val="24"/>
                <w:highlight w:val="none"/>
              </w:rPr>
            </w:pPr>
          </w:p>
        </w:tc>
        <w:tc>
          <w:tcPr>
            <w:tcW w:w="620" w:type="pct"/>
            <w:noWrap w:val="0"/>
            <w:vAlign w:val="center"/>
          </w:tcPr>
          <w:p w14:paraId="538D4C61">
            <w:pPr>
              <w:spacing w:line="560" w:lineRule="exact"/>
              <w:jc w:val="center"/>
              <w:rPr>
                <w:rFonts w:hint="eastAsia" w:ascii="宋体" w:hAnsi="宋体" w:eastAsia="宋体" w:cs="宋体"/>
                <w:sz w:val="24"/>
                <w:szCs w:val="24"/>
                <w:highlight w:val="none"/>
              </w:rPr>
            </w:pPr>
          </w:p>
        </w:tc>
      </w:tr>
      <w:tr w14:paraId="6841B8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8B45992">
            <w:pPr>
              <w:spacing w:line="560" w:lineRule="exact"/>
              <w:jc w:val="center"/>
              <w:rPr>
                <w:rFonts w:hint="eastAsia" w:ascii="宋体" w:hAnsi="宋体" w:eastAsia="宋体" w:cs="宋体"/>
                <w:sz w:val="24"/>
                <w:szCs w:val="24"/>
                <w:highlight w:val="none"/>
              </w:rPr>
            </w:pPr>
          </w:p>
        </w:tc>
        <w:tc>
          <w:tcPr>
            <w:tcW w:w="903" w:type="pct"/>
            <w:noWrap w:val="0"/>
            <w:vAlign w:val="center"/>
          </w:tcPr>
          <w:p w14:paraId="2FB7401F">
            <w:pPr>
              <w:spacing w:line="560" w:lineRule="exact"/>
              <w:jc w:val="center"/>
              <w:rPr>
                <w:rFonts w:hint="eastAsia" w:ascii="宋体" w:hAnsi="宋体" w:eastAsia="宋体" w:cs="宋体"/>
                <w:sz w:val="24"/>
                <w:szCs w:val="24"/>
                <w:highlight w:val="none"/>
              </w:rPr>
            </w:pPr>
          </w:p>
        </w:tc>
        <w:tc>
          <w:tcPr>
            <w:tcW w:w="1325" w:type="pct"/>
            <w:noWrap w:val="0"/>
            <w:vAlign w:val="center"/>
          </w:tcPr>
          <w:p w14:paraId="0F8FA483">
            <w:pPr>
              <w:spacing w:line="560" w:lineRule="exact"/>
              <w:jc w:val="center"/>
              <w:rPr>
                <w:rFonts w:hint="eastAsia" w:ascii="宋体" w:hAnsi="宋体" w:eastAsia="宋体" w:cs="宋体"/>
                <w:sz w:val="24"/>
                <w:szCs w:val="24"/>
                <w:highlight w:val="none"/>
              </w:rPr>
            </w:pPr>
          </w:p>
        </w:tc>
        <w:tc>
          <w:tcPr>
            <w:tcW w:w="1259" w:type="pct"/>
            <w:noWrap w:val="0"/>
            <w:vAlign w:val="center"/>
          </w:tcPr>
          <w:p w14:paraId="0EAF877A">
            <w:pPr>
              <w:spacing w:line="560" w:lineRule="exact"/>
              <w:jc w:val="center"/>
              <w:rPr>
                <w:rFonts w:hint="eastAsia" w:ascii="宋体" w:hAnsi="宋体" w:eastAsia="宋体" w:cs="宋体"/>
                <w:sz w:val="24"/>
                <w:szCs w:val="24"/>
                <w:highlight w:val="none"/>
              </w:rPr>
            </w:pPr>
          </w:p>
        </w:tc>
        <w:tc>
          <w:tcPr>
            <w:tcW w:w="535" w:type="pct"/>
            <w:noWrap w:val="0"/>
            <w:vAlign w:val="center"/>
          </w:tcPr>
          <w:p w14:paraId="050C92AA">
            <w:pPr>
              <w:spacing w:line="560" w:lineRule="exact"/>
              <w:jc w:val="center"/>
              <w:rPr>
                <w:rFonts w:hint="eastAsia" w:ascii="宋体" w:hAnsi="宋体" w:eastAsia="宋体" w:cs="宋体"/>
                <w:sz w:val="24"/>
                <w:szCs w:val="24"/>
                <w:highlight w:val="none"/>
              </w:rPr>
            </w:pPr>
          </w:p>
        </w:tc>
        <w:tc>
          <w:tcPr>
            <w:tcW w:w="620" w:type="pct"/>
            <w:noWrap w:val="0"/>
            <w:vAlign w:val="center"/>
          </w:tcPr>
          <w:p w14:paraId="14A78A95">
            <w:pPr>
              <w:spacing w:line="560" w:lineRule="exact"/>
              <w:jc w:val="center"/>
              <w:rPr>
                <w:rFonts w:hint="eastAsia" w:ascii="宋体" w:hAnsi="宋体" w:eastAsia="宋体" w:cs="宋体"/>
                <w:sz w:val="24"/>
                <w:szCs w:val="24"/>
                <w:highlight w:val="none"/>
              </w:rPr>
            </w:pPr>
          </w:p>
        </w:tc>
      </w:tr>
      <w:tr w14:paraId="488861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D7541CE">
            <w:pPr>
              <w:spacing w:line="560" w:lineRule="exact"/>
              <w:jc w:val="center"/>
              <w:rPr>
                <w:rFonts w:hint="eastAsia" w:ascii="宋体" w:hAnsi="宋体" w:eastAsia="宋体" w:cs="宋体"/>
                <w:sz w:val="24"/>
                <w:szCs w:val="24"/>
                <w:highlight w:val="none"/>
              </w:rPr>
            </w:pPr>
          </w:p>
        </w:tc>
        <w:tc>
          <w:tcPr>
            <w:tcW w:w="903" w:type="pct"/>
            <w:noWrap w:val="0"/>
            <w:vAlign w:val="center"/>
          </w:tcPr>
          <w:p w14:paraId="276F5E1F">
            <w:pPr>
              <w:spacing w:line="560" w:lineRule="exact"/>
              <w:jc w:val="center"/>
              <w:rPr>
                <w:rFonts w:hint="eastAsia" w:ascii="宋体" w:hAnsi="宋体" w:eastAsia="宋体" w:cs="宋体"/>
                <w:sz w:val="24"/>
                <w:szCs w:val="24"/>
                <w:highlight w:val="none"/>
              </w:rPr>
            </w:pPr>
          </w:p>
        </w:tc>
        <w:tc>
          <w:tcPr>
            <w:tcW w:w="1325" w:type="pct"/>
            <w:noWrap w:val="0"/>
            <w:vAlign w:val="center"/>
          </w:tcPr>
          <w:p w14:paraId="12E4E89F">
            <w:pPr>
              <w:spacing w:line="560" w:lineRule="exact"/>
              <w:jc w:val="center"/>
              <w:rPr>
                <w:rFonts w:hint="eastAsia" w:ascii="宋体" w:hAnsi="宋体" w:eastAsia="宋体" w:cs="宋体"/>
                <w:sz w:val="24"/>
                <w:szCs w:val="24"/>
                <w:highlight w:val="none"/>
              </w:rPr>
            </w:pPr>
          </w:p>
        </w:tc>
        <w:tc>
          <w:tcPr>
            <w:tcW w:w="1259" w:type="pct"/>
            <w:noWrap w:val="0"/>
            <w:vAlign w:val="center"/>
          </w:tcPr>
          <w:p w14:paraId="585DEF7F">
            <w:pPr>
              <w:spacing w:line="560" w:lineRule="exact"/>
              <w:jc w:val="center"/>
              <w:rPr>
                <w:rFonts w:hint="eastAsia" w:ascii="宋体" w:hAnsi="宋体" w:eastAsia="宋体" w:cs="宋体"/>
                <w:sz w:val="24"/>
                <w:szCs w:val="24"/>
                <w:highlight w:val="none"/>
              </w:rPr>
            </w:pPr>
          </w:p>
        </w:tc>
        <w:tc>
          <w:tcPr>
            <w:tcW w:w="535" w:type="pct"/>
            <w:noWrap w:val="0"/>
            <w:vAlign w:val="center"/>
          </w:tcPr>
          <w:p w14:paraId="2B5D7000">
            <w:pPr>
              <w:spacing w:line="560" w:lineRule="exact"/>
              <w:jc w:val="center"/>
              <w:rPr>
                <w:rFonts w:hint="eastAsia" w:ascii="宋体" w:hAnsi="宋体" w:eastAsia="宋体" w:cs="宋体"/>
                <w:sz w:val="24"/>
                <w:szCs w:val="24"/>
                <w:highlight w:val="none"/>
              </w:rPr>
            </w:pPr>
          </w:p>
        </w:tc>
        <w:tc>
          <w:tcPr>
            <w:tcW w:w="620" w:type="pct"/>
            <w:noWrap w:val="0"/>
            <w:vAlign w:val="center"/>
          </w:tcPr>
          <w:p w14:paraId="5E22E57D">
            <w:pPr>
              <w:spacing w:line="560" w:lineRule="exact"/>
              <w:jc w:val="center"/>
              <w:rPr>
                <w:rFonts w:hint="eastAsia" w:ascii="宋体" w:hAnsi="宋体" w:eastAsia="宋体" w:cs="宋体"/>
                <w:sz w:val="24"/>
                <w:szCs w:val="24"/>
                <w:highlight w:val="none"/>
              </w:rPr>
            </w:pPr>
          </w:p>
        </w:tc>
      </w:tr>
      <w:tr w14:paraId="4CBBDB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828D3CB">
            <w:pPr>
              <w:spacing w:line="560" w:lineRule="exact"/>
              <w:jc w:val="center"/>
              <w:rPr>
                <w:rFonts w:hint="eastAsia" w:ascii="宋体" w:hAnsi="宋体" w:eastAsia="宋体" w:cs="宋体"/>
                <w:sz w:val="24"/>
                <w:szCs w:val="24"/>
                <w:highlight w:val="none"/>
              </w:rPr>
            </w:pPr>
          </w:p>
        </w:tc>
        <w:tc>
          <w:tcPr>
            <w:tcW w:w="903" w:type="pct"/>
            <w:noWrap w:val="0"/>
            <w:vAlign w:val="center"/>
          </w:tcPr>
          <w:p w14:paraId="522C2AB5">
            <w:pPr>
              <w:spacing w:line="560" w:lineRule="exact"/>
              <w:jc w:val="center"/>
              <w:rPr>
                <w:rFonts w:hint="eastAsia" w:ascii="宋体" w:hAnsi="宋体" w:eastAsia="宋体" w:cs="宋体"/>
                <w:sz w:val="24"/>
                <w:szCs w:val="24"/>
                <w:highlight w:val="none"/>
              </w:rPr>
            </w:pPr>
          </w:p>
        </w:tc>
        <w:tc>
          <w:tcPr>
            <w:tcW w:w="1325" w:type="pct"/>
            <w:noWrap w:val="0"/>
            <w:vAlign w:val="center"/>
          </w:tcPr>
          <w:p w14:paraId="1BE1C3AD">
            <w:pPr>
              <w:spacing w:line="560" w:lineRule="exact"/>
              <w:jc w:val="center"/>
              <w:rPr>
                <w:rFonts w:hint="eastAsia" w:ascii="宋体" w:hAnsi="宋体" w:eastAsia="宋体" w:cs="宋体"/>
                <w:sz w:val="24"/>
                <w:szCs w:val="24"/>
                <w:highlight w:val="none"/>
              </w:rPr>
            </w:pPr>
          </w:p>
        </w:tc>
        <w:tc>
          <w:tcPr>
            <w:tcW w:w="1259" w:type="pct"/>
            <w:noWrap w:val="0"/>
            <w:vAlign w:val="center"/>
          </w:tcPr>
          <w:p w14:paraId="56A44E99">
            <w:pPr>
              <w:spacing w:line="560" w:lineRule="exact"/>
              <w:jc w:val="center"/>
              <w:rPr>
                <w:rFonts w:hint="eastAsia" w:ascii="宋体" w:hAnsi="宋体" w:eastAsia="宋体" w:cs="宋体"/>
                <w:sz w:val="24"/>
                <w:szCs w:val="24"/>
                <w:highlight w:val="none"/>
              </w:rPr>
            </w:pPr>
          </w:p>
        </w:tc>
        <w:tc>
          <w:tcPr>
            <w:tcW w:w="535" w:type="pct"/>
            <w:noWrap w:val="0"/>
            <w:vAlign w:val="center"/>
          </w:tcPr>
          <w:p w14:paraId="082AD6D2">
            <w:pPr>
              <w:spacing w:line="560" w:lineRule="exact"/>
              <w:jc w:val="center"/>
              <w:rPr>
                <w:rFonts w:hint="eastAsia" w:ascii="宋体" w:hAnsi="宋体" w:eastAsia="宋体" w:cs="宋体"/>
                <w:sz w:val="24"/>
                <w:szCs w:val="24"/>
                <w:highlight w:val="none"/>
              </w:rPr>
            </w:pPr>
          </w:p>
        </w:tc>
        <w:tc>
          <w:tcPr>
            <w:tcW w:w="620" w:type="pct"/>
            <w:noWrap w:val="0"/>
            <w:vAlign w:val="center"/>
          </w:tcPr>
          <w:p w14:paraId="2F9A4D13">
            <w:pPr>
              <w:spacing w:line="560" w:lineRule="exact"/>
              <w:jc w:val="center"/>
              <w:rPr>
                <w:rFonts w:hint="eastAsia" w:ascii="宋体" w:hAnsi="宋体" w:eastAsia="宋体" w:cs="宋体"/>
                <w:sz w:val="24"/>
                <w:szCs w:val="24"/>
                <w:highlight w:val="none"/>
              </w:rPr>
            </w:pPr>
          </w:p>
        </w:tc>
      </w:tr>
      <w:tr w14:paraId="361BBB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197D8132">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24432E23">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w:t>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rPr>
              <w:t>的商务要求</w:t>
            </w:r>
            <w:r>
              <w:rPr>
                <w:rFonts w:hint="eastAsia" w:ascii="宋体" w:hAnsi="宋体" w:eastAsia="宋体" w:cs="宋体"/>
                <w:sz w:val="24"/>
                <w:szCs w:val="24"/>
                <w:highlight w:val="none"/>
              </w:rPr>
              <w:t>做出响应。</w:t>
            </w:r>
          </w:p>
          <w:p w14:paraId="4059258F">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3A9836BD">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759C5BF2">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2A16A224">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4B52E20D">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0DE1A4D">
      <w:pPr>
        <w:spacing w:line="560" w:lineRule="exact"/>
        <w:ind w:firstLine="480" w:firstLineChars="200"/>
        <w:jc w:val="both"/>
        <w:rPr>
          <w:rFonts w:hint="eastAsia" w:ascii="宋体" w:hAnsi="宋体" w:eastAsia="宋体" w:cs="宋体"/>
          <w:sz w:val="24"/>
          <w:szCs w:val="24"/>
          <w:highlight w:val="none"/>
        </w:rPr>
      </w:pPr>
    </w:p>
    <w:p w14:paraId="439A2DA9">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sectPr>
          <w:pgSz w:w="11906" w:h="16838"/>
          <w:pgMar w:top="1417" w:right="1083" w:bottom="1417" w:left="1083" w:header="851" w:footer="964" w:gutter="0"/>
          <w:pgNumType w:fmt="decimal"/>
          <w:cols w:space="720" w:num="1"/>
          <w:docGrid w:type="linesAndChars" w:linePitch="420" w:charSpace="0"/>
        </w:sectPr>
      </w:pPr>
    </w:p>
    <w:p w14:paraId="0987BB2B">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bookmarkStart w:id="24" w:name="_GoBack"/>
      <w:bookmarkEnd w:id="24"/>
      <w:r>
        <w:rPr>
          <w:rFonts w:hint="eastAsia" w:ascii="宋体" w:hAnsi="宋体" w:eastAsia="宋体" w:cs="宋体"/>
          <w:sz w:val="28"/>
          <w:szCs w:val="28"/>
          <w:highlight w:val="none"/>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14:paraId="482766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noWrap w:val="0"/>
            <w:vAlign w:val="center"/>
          </w:tcPr>
          <w:p w14:paraId="19E36FC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873" w:type="pct"/>
            <w:tcBorders>
              <w:top w:val="single" w:color="auto" w:sz="12" w:space="0"/>
              <w:bottom w:val="single" w:color="auto" w:sz="2" w:space="0"/>
            </w:tcBorders>
            <w:shd w:val="clear" w:color="auto" w:fill="F1F1F1"/>
            <w:noWrap w:val="0"/>
            <w:vAlign w:val="center"/>
          </w:tcPr>
          <w:p w14:paraId="3B15795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条款名称</w:t>
            </w:r>
          </w:p>
        </w:tc>
        <w:tc>
          <w:tcPr>
            <w:tcW w:w="1419" w:type="pct"/>
            <w:tcBorders>
              <w:top w:val="single" w:color="auto" w:sz="12" w:space="0"/>
              <w:bottom w:val="single" w:color="auto" w:sz="2" w:space="0"/>
            </w:tcBorders>
            <w:shd w:val="clear" w:color="auto" w:fill="F1F1F1"/>
            <w:noWrap w:val="0"/>
            <w:vAlign w:val="center"/>
          </w:tcPr>
          <w:p w14:paraId="09A191D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招标文件合同条款明细</w:t>
            </w:r>
          </w:p>
        </w:tc>
        <w:tc>
          <w:tcPr>
            <w:tcW w:w="1427" w:type="pct"/>
            <w:tcBorders>
              <w:top w:val="single" w:color="auto" w:sz="12" w:space="0"/>
              <w:bottom w:val="single" w:color="auto" w:sz="2" w:space="0"/>
            </w:tcBorders>
            <w:shd w:val="clear" w:color="auto" w:fill="F1F1F1"/>
            <w:noWrap w:val="0"/>
            <w:vAlign w:val="center"/>
          </w:tcPr>
          <w:p w14:paraId="283A6B2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投标文件合同条款响应</w:t>
            </w:r>
          </w:p>
        </w:tc>
        <w:tc>
          <w:tcPr>
            <w:tcW w:w="722" w:type="pct"/>
            <w:tcBorders>
              <w:top w:val="single" w:color="auto" w:sz="12" w:space="0"/>
              <w:bottom w:val="single" w:color="auto" w:sz="2" w:space="0"/>
            </w:tcBorders>
            <w:shd w:val="clear" w:color="auto" w:fill="F1F1F1"/>
            <w:noWrap w:val="0"/>
            <w:vAlign w:val="center"/>
          </w:tcPr>
          <w:p w14:paraId="5CD209D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响应说明</w:t>
            </w:r>
          </w:p>
        </w:tc>
      </w:tr>
      <w:tr w14:paraId="6C3E0A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noWrap w:val="0"/>
            <w:vAlign w:val="center"/>
          </w:tcPr>
          <w:p w14:paraId="598CDB99">
            <w:pPr>
              <w:jc w:val="center"/>
              <w:rPr>
                <w:rFonts w:hint="eastAsia" w:ascii="宋体" w:hAnsi="宋体" w:eastAsia="宋体" w:cs="宋体"/>
                <w:sz w:val="24"/>
                <w:szCs w:val="24"/>
                <w:highlight w:val="none"/>
              </w:rPr>
            </w:pPr>
          </w:p>
        </w:tc>
        <w:tc>
          <w:tcPr>
            <w:tcW w:w="873" w:type="pct"/>
            <w:tcBorders>
              <w:top w:val="single" w:color="auto" w:sz="2" w:space="0"/>
            </w:tcBorders>
            <w:noWrap w:val="0"/>
            <w:vAlign w:val="center"/>
          </w:tcPr>
          <w:p w14:paraId="6094A688">
            <w:pPr>
              <w:jc w:val="center"/>
              <w:rPr>
                <w:rFonts w:hint="eastAsia" w:ascii="宋体" w:hAnsi="宋体" w:eastAsia="宋体" w:cs="宋体"/>
                <w:sz w:val="24"/>
                <w:szCs w:val="24"/>
                <w:highlight w:val="none"/>
              </w:rPr>
            </w:pPr>
          </w:p>
        </w:tc>
        <w:tc>
          <w:tcPr>
            <w:tcW w:w="1419" w:type="pct"/>
            <w:tcBorders>
              <w:top w:val="single" w:color="auto" w:sz="2" w:space="0"/>
            </w:tcBorders>
            <w:noWrap w:val="0"/>
            <w:vAlign w:val="center"/>
          </w:tcPr>
          <w:p w14:paraId="52CD0B64">
            <w:pPr>
              <w:jc w:val="center"/>
              <w:rPr>
                <w:rFonts w:hint="eastAsia" w:ascii="宋体" w:hAnsi="宋体" w:eastAsia="宋体" w:cs="宋体"/>
                <w:sz w:val="24"/>
                <w:szCs w:val="24"/>
                <w:highlight w:val="none"/>
              </w:rPr>
            </w:pPr>
          </w:p>
        </w:tc>
        <w:tc>
          <w:tcPr>
            <w:tcW w:w="1427" w:type="pct"/>
            <w:tcBorders>
              <w:top w:val="single" w:color="auto" w:sz="2" w:space="0"/>
            </w:tcBorders>
            <w:noWrap w:val="0"/>
            <w:vAlign w:val="center"/>
          </w:tcPr>
          <w:p w14:paraId="64B7697E">
            <w:pPr>
              <w:jc w:val="center"/>
              <w:rPr>
                <w:rFonts w:hint="eastAsia" w:ascii="宋体" w:hAnsi="宋体" w:eastAsia="宋体" w:cs="宋体"/>
                <w:sz w:val="24"/>
                <w:szCs w:val="24"/>
                <w:highlight w:val="none"/>
              </w:rPr>
            </w:pPr>
          </w:p>
        </w:tc>
        <w:tc>
          <w:tcPr>
            <w:tcW w:w="722" w:type="pct"/>
            <w:tcBorders>
              <w:top w:val="single" w:color="auto" w:sz="2" w:space="0"/>
            </w:tcBorders>
            <w:noWrap w:val="0"/>
            <w:vAlign w:val="center"/>
          </w:tcPr>
          <w:p w14:paraId="3D03CC0A">
            <w:pPr>
              <w:jc w:val="center"/>
              <w:rPr>
                <w:rFonts w:hint="eastAsia" w:ascii="宋体" w:hAnsi="宋体" w:eastAsia="宋体" w:cs="宋体"/>
                <w:sz w:val="24"/>
                <w:szCs w:val="24"/>
                <w:highlight w:val="none"/>
              </w:rPr>
            </w:pPr>
          </w:p>
        </w:tc>
      </w:tr>
      <w:tr w14:paraId="2E989C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62146D50">
            <w:pPr>
              <w:jc w:val="center"/>
              <w:rPr>
                <w:rFonts w:hint="eastAsia" w:ascii="宋体" w:hAnsi="宋体" w:eastAsia="宋体" w:cs="宋体"/>
                <w:sz w:val="24"/>
                <w:szCs w:val="24"/>
                <w:highlight w:val="none"/>
              </w:rPr>
            </w:pPr>
          </w:p>
        </w:tc>
        <w:tc>
          <w:tcPr>
            <w:tcW w:w="873" w:type="pct"/>
            <w:noWrap w:val="0"/>
            <w:vAlign w:val="center"/>
          </w:tcPr>
          <w:p w14:paraId="10D22ABB">
            <w:pPr>
              <w:jc w:val="center"/>
              <w:rPr>
                <w:rFonts w:hint="eastAsia" w:ascii="宋体" w:hAnsi="宋体" w:eastAsia="宋体" w:cs="宋体"/>
                <w:sz w:val="24"/>
                <w:szCs w:val="24"/>
                <w:highlight w:val="none"/>
              </w:rPr>
            </w:pPr>
          </w:p>
        </w:tc>
        <w:tc>
          <w:tcPr>
            <w:tcW w:w="1419" w:type="pct"/>
            <w:noWrap w:val="0"/>
            <w:vAlign w:val="center"/>
          </w:tcPr>
          <w:p w14:paraId="6400A889">
            <w:pPr>
              <w:jc w:val="center"/>
              <w:rPr>
                <w:rFonts w:hint="eastAsia" w:ascii="宋体" w:hAnsi="宋体" w:eastAsia="宋体" w:cs="宋体"/>
                <w:sz w:val="24"/>
                <w:szCs w:val="24"/>
                <w:highlight w:val="none"/>
              </w:rPr>
            </w:pPr>
          </w:p>
        </w:tc>
        <w:tc>
          <w:tcPr>
            <w:tcW w:w="1427" w:type="pct"/>
            <w:noWrap w:val="0"/>
            <w:vAlign w:val="center"/>
          </w:tcPr>
          <w:p w14:paraId="07F9A206">
            <w:pPr>
              <w:jc w:val="center"/>
              <w:rPr>
                <w:rFonts w:hint="eastAsia" w:ascii="宋体" w:hAnsi="宋体" w:eastAsia="宋体" w:cs="宋体"/>
                <w:sz w:val="24"/>
                <w:szCs w:val="24"/>
                <w:highlight w:val="none"/>
              </w:rPr>
            </w:pPr>
          </w:p>
        </w:tc>
        <w:tc>
          <w:tcPr>
            <w:tcW w:w="722" w:type="pct"/>
            <w:noWrap w:val="0"/>
            <w:vAlign w:val="center"/>
          </w:tcPr>
          <w:p w14:paraId="732D3291">
            <w:pPr>
              <w:jc w:val="center"/>
              <w:rPr>
                <w:rFonts w:hint="eastAsia" w:ascii="宋体" w:hAnsi="宋体" w:eastAsia="宋体" w:cs="宋体"/>
                <w:sz w:val="24"/>
                <w:szCs w:val="24"/>
                <w:highlight w:val="none"/>
              </w:rPr>
            </w:pPr>
          </w:p>
        </w:tc>
      </w:tr>
      <w:tr w14:paraId="6CD4F9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342BAD42">
            <w:pPr>
              <w:jc w:val="center"/>
              <w:rPr>
                <w:rFonts w:hint="eastAsia" w:ascii="宋体" w:hAnsi="宋体" w:eastAsia="宋体" w:cs="宋体"/>
                <w:sz w:val="24"/>
                <w:szCs w:val="24"/>
                <w:highlight w:val="none"/>
              </w:rPr>
            </w:pPr>
          </w:p>
        </w:tc>
        <w:tc>
          <w:tcPr>
            <w:tcW w:w="873" w:type="pct"/>
            <w:noWrap w:val="0"/>
            <w:vAlign w:val="center"/>
          </w:tcPr>
          <w:p w14:paraId="7ACC1374">
            <w:pPr>
              <w:jc w:val="center"/>
              <w:rPr>
                <w:rFonts w:hint="eastAsia" w:ascii="宋体" w:hAnsi="宋体" w:eastAsia="宋体" w:cs="宋体"/>
                <w:sz w:val="24"/>
                <w:szCs w:val="24"/>
                <w:highlight w:val="none"/>
              </w:rPr>
            </w:pPr>
          </w:p>
        </w:tc>
        <w:tc>
          <w:tcPr>
            <w:tcW w:w="1419" w:type="pct"/>
            <w:noWrap w:val="0"/>
            <w:vAlign w:val="center"/>
          </w:tcPr>
          <w:p w14:paraId="7B03E43F">
            <w:pPr>
              <w:jc w:val="center"/>
              <w:rPr>
                <w:rFonts w:hint="eastAsia" w:ascii="宋体" w:hAnsi="宋体" w:eastAsia="宋体" w:cs="宋体"/>
                <w:sz w:val="24"/>
                <w:szCs w:val="24"/>
                <w:highlight w:val="none"/>
              </w:rPr>
            </w:pPr>
          </w:p>
        </w:tc>
        <w:tc>
          <w:tcPr>
            <w:tcW w:w="1427" w:type="pct"/>
            <w:noWrap w:val="0"/>
            <w:vAlign w:val="center"/>
          </w:tcPr>
          <w:p w14:paraId="7C2F8ADA">
            <w:pPr>
              <w:jc w:val="center"/>
              <w:rPr>
                <w:rFonts w:hint="eastAsia" w:ascii="宋体" w:hAnsi="宋体" w:eastAsia="宋体" w:cs="宋体"/>
                <w:sz w:val="24"/>
                <w:szCs w:val="24"/>
                <w:highlight w:val="none"/>
              </w:rPr>
            </w:pPr>
          </w:p>
        </w:tc>
        <w:tc>
          <w:tcPr>
            <w:tcW w:w="722" w:type="pct"/>
            <w:noWrap w:val="0"/>
            <w:vAlign w:val="center"/>
          </w:tcPr>
          <w:p w14:paraId="500EFD07">
            <w:pPr>
              <w:jc w:val="center"/>
              <w:rPr>
                <w:rFonts w:hint="eastAsia" w:ascii="宋体" w:hAnsi="宋体" w:eastAsia="宋体" w:cs="宋体"/>
                <w:sz w:val="24"/>
                <w:szCs w:val="24"/>
                <w:highlight w:val="none"/>
              </w:rPr>
            </w:pPr>
          </w:p>
        </w:tc>
      </w:tr>
      <w:tr w14:paraId="2B0096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75FF6407">
            <w:pPr>
              <w:jc w:val="center"/>
              <w:rPr>
                <w:rFonts w:hint="eastAsia" w:ascii="宋体" w:hAnsi="宋体" w:eastAsia="宋体" w:cs="宋体"/>
                <w:sz w:val="24"/>
                <w:szCs w:val="24"/>
                <w:highlight w:val="none"/>
              </w:rPr>
            </w:pPr>
          </w:p>
        </w:tc>
        <w:tc>
          <w:tcPr>
            <w:tcW w:w="873" w:type="pct"/>
            <w:noWrap w:val="0"/>
            <w:vAlign w:val="center"/>
          </w:tcPr>
          <w:p w14:paraId="33C5B82D">
            <w:pPr>
              <w:jc w:val="center"/>
              <w:rPr>
                <w:rFonts w:hint="eastAsia" w:ascii="宋体" w:hAnsi="宋体" w:eastAsia="宋体" w:cs="宋体"/>
                <w:sz w:val="24"/>
                <w:szCs w:val="24"/>
                <w:highlight w:val="none"/>
              </w:rPr>
            </w:pPr>
          </w:p>
        </w:tc>
        <w:tc>
          <w:tcPr>
            <w:tcW w:w="1419" w:type="pct"/>
            <w:noWrap w:val="0"/>
            <w:vAlign w:val="center"/>
          </w:tcPr>
          <w:p w14:paraId="1D5F4F12">
            <w:pPr>
              <w:jc w:val="center"/>
              <w:rPr>
                <w:rFonts w:hint="eastAsia" w:ascii="宋体" w:hAnsi="宋体" w:eastAsia="宋体" w:cs="宋体"/>
                <w:sz w:val="24"/>
                <w:szCs w:val="24"/>
                <w:highlight w:val="none"/>
              </w:rPr>
            </w:pPr>
          </w:p>
        </w:tc>
        <w:tc>
          <w:tcPr>
            <w:tcW w:w="1427" w:type="pct"/>
            <w:noWrap w:val="0"/>
            <w:vAlign w:val="center"/>
          </w:tcPr>
          <w:p w14:paraId="4C1EFC22">
            <w:pPr>
              <w:jc w:val="center"/>
              <w:rPr>
                <w:rFonts w:hint="eastAsia" w:ascii="宋体" w:hAnsi="宋体" w:eastAsia="宋体" w:cs="宋体"/>
                <w:sz w:val="24"/>
                <w:szCs w:val="24"/>
                <w:highlight w:val="none"/>
              </w:rPr>
            </w:pPr>
          </w:p>
        </w:tc>
        <w:tc>
          <w:tcPr>
            <w:tcW w:w="722" w:type="pct"/>
            <w:noWrap w:val="0"/>
            <w:vAlign w:val="center"/>
          </w:tcPr>
          <w:p w14:paraId="7354A920">
            <w:pPr>
              <w:jc w:val="center"/>
              <w:rPr>
                <w:rFonts w:hint="eastAsia" w:ascii="宋体" w:hAnsi="宋体" w:eastAsia="宋体" w:cs="宋体"/>
                <w:sz w:val="24"/>
                <w:szCs w:val="24"/>
                <w:highlight w:val="none"/>
              </w:rPr>
            </w:pPr>
          </w:p>
        </w:tc>
      </w:tr>
      <w:tr w14:paraId="279D1F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71E7B912">
            <w:pPr>
              <w:jc w:val="center"/>
              <w:rPr>
                <w:rFonts w:hint="eastAsia" w:ascii="宋体" w:hAnsi="宋体" w:eastAsia="宋体" w:cs="宋体"/>
                <w:sz w:val="24"/>
                <w:szCs w:val="24"/>
                <w:highlight w:val="none"/>
              </w:rPr>
            </w:pPr>
          </w:p>
        </w:tc>
        <w:tc>
          <w:tcPr>
            <w:tcW w:w="873" w:type="pct"/>
            <w:noWrap w:val="0"/>
            <w:vAlign w:val="center"/>
          </w:tcPr>
          <w:p w14:paraId="52AA4BFF">
            <w:pPr>
              <w:jc w:val="center"/>
              <w:rPr>
                <w:rFonts w:hint="eastAsia" w:ascii="宋体" w:hAnsi="宋体" w:eastAsia="宋体" w:cs="宋体"/>
                <w:sz w:val="24"/>
                <w:szCs w:val="24"/>
                <w:highlight w:val="none"/>
              </w:rPr>
            </w:pPr>
          </w:p>
        </w:tc>
        <w:tc>
          <w:tcPr>
            <w:tcW w:w="1419" w:type="pct"/>
            <w:noWrap w:val="0"/>
            <w:vAlign w:val="center"/>
          </w:tcPr>
          <w:p w14:paraId="77D939A0">
            <w:pPr>
              <w:jc w:val="center"/>
              <w:rPr>
                <w:rFonts w:hint="eastAsia" w:ascii="宋体" w:hAnsi="宋体" w:eastAsia="宋体" w:cs="宋体"/>
                <w:sz w:val="24"/>
                <w:szCs w:val="24"/>
                <w:highlight w:val="none"/>
              </w:rPr>
            </w:pPr>
          </w:p>
        </w:tc>
        <w:tc>
          <w:tcPr>
            <w:tcW w:w="1427" w:type="pct"/>
            <w:noWrap w:val="0"/>
            <w:vAlign w:val="center"/>
          </w:tcPr>
          <w:p w14:paraId="26657300">
            <w:pPr>
              <w:jc w:val="center"/>
              <w:rPr>
                <w:rFonts w:hint="eastAsia" w:ascii="宋体" w:hAnsi="宋体" w:eastAsia="宋体" w:cs="宋体"/>
                <w:sz w:val="24"/>
                <w:szCs w:val="24"/>
                <w:highlight w:val="none"/>
              </w:rPr>
            </w:pPr>
          </w:p>
        </w:tc>
        <w:tc>
          <w:tcPr>
            <w:tcW w:w="722" w:type="pct"/>
            <w:noWrap w:val="0"/>
            <w:vAlign w:val="center"/>
          </w:tcPr>
          <w:p w14:paraId="5C52F3E1">
            <w:pPr>
              <w:jc w:val="center"/>
              <w:rPr>
                <w:rFonts w:hint="eastAsia" w:ascii="宋体" w:hAnsi="宋体" w:eastAsia="宋体" w:cs="宋体"/>
                <w:sz w:val="24"/>
                <w:szCs w:val="24"/>
                <w:highlight w:val="none"/>
              </w:rPr>
            </w:pPr>
          </w:p>
        </w:tc>
      </w:tr>
      <w:tr w14:paraId="326B3B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00EC985C">
            <w:pPr>
              <w:jc w:val="center"/>
              <w:rPr>
                <w:rFonts w:hint="eastAsia" w:ascii="宋体" w:hAnsi="宋体" w:eastAsia="宋体" w:cs="宋体"/>
                <w:sz w:val="24"/>
                <w:szCs w:val="24"/>
                <w:highlight w:val="none"/>
              </w:rPr>
            </w:pPr>
          </w:p>
        </w:tc>
        <w:tc>
          <w:tcPr>
            <w:tcW w:w="873" w:type="pct"/>
            <w:noWrap w:val="0"/>
            <w:vAlign w:val="center"/>
          </w:tcPr>
          <w:p w14:paraId="444959CB">
            <w:pPr>
              <w:jc w:val="center"/>
              <w:rPr>
                <w:rFonts w:hint="eastAsia" w:ascii="宋体" w:hAnsi="宋体" w:eastAsia="宋体" w:cs="宋体"/>
                <w:sz w:val="24"/>
                <w:szCs w:val="24"/>
                <w:highlight w:val="none"/>
              </w:rPr>
            </w:pPr>
          </w:p>
        </w:tc>
        <w:tc>
          <w:tcPr>
            <w:tcW w:w="1419" w:type="pct"/>
            <w:noWrap w:val="0"/>
            <w:vAlign w:val="center"/>
          </w:tcPr>
          <w:p w14:paraId="415AF4F1">
            <w:pPr>
              <w:jc w:val="center"/>
              <w:rPr>
                <w:rFonts w:hint="eastAsia" w:ascii="宋体" w:hAnsi="宋体" w:eastAsia="宋体" w:cs="宋体"/>
                <w:sz w:val="24"/>
                <w:szCs w:val="24"/>
                <w:highlight w:val="none"/>
              </w:rPr>
            </w:pPr>
          </w:p>
        </w:tc>
        <w:tc>
          <w:tcPr>
            <w:tcW w:w="1427" w:type="pct"/>
            <w:noWrap w:val="0"/>
            <w:vAlign w:val="center"/>
          </w:tcPr>
          <w:p w14:paraId="74BA3EEB">
            <w:pPr>
              <w:jc w:val="center"/>
              <w:rPr>
                <w:rFonts w:hint="eastAsia" w:ascii="宋体" w:hAnsi="宋体" w:eastAsia="宋体" w:cs="宋体"/>
                <w:sz w:val="24"/>
                <w:szCs w:val="24"/>
                <w:highlight w:val="none"/>
              </w:rPr>
            </w:pPr>
          </w:p>
        </w:tc>
        <w:tc>
          <w:tcPr>
            <w:tcW w:w="722" w:type="pct"/>
            <w:noWrap w:val="0"/>
            <w:vAlign w:val="center"/>
          </w:tcPr>
          <w:p w14:paraId="47AF3139">
            <w:pPr>
              <w:jc w:val="center"/>
              <w:rPr>
                <w:rFonts w:hint="eastAsia" w:ascii="宋体" w:hAnsi="宋体" w:eastAsia="宋体" w:cs="宋体"/>
                <w:sz w:val="24"/>
                <w:szCs w:val="24"/>
                <w:highlight w:val="none"/>
              </w:rPr>
            </w:pPr>
          </w:p>
        </w:tc>
      </w:tr>
      <w:tr w14:paraId="5130E9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65B5DF0">
            <w:pPr>
              <w:jc w:val="center"/>
              <w:rPr>
                <w:rFonts w:hint="eastAsia" w:ascii="宋体" w:hAnsi="宋体" w:eastAsia="宋体" w:cs="宋体"/>
                <w:sz w:val="24"/>
                <w:szCs w:val="24"/>
                <w:highlight w:val="none"/>
              </w:rPr>
            </w:pPr>
          </w:p>
        </w:tc>
        <w:tc>
          <w:tcPr>
            <w:tcW w:w="873" w:type="pct"/>
            <w:noWrap w:val="0"/>
            <w:vAlign w:val="center"/>
          </w:tcPr>
          <w:p w14:paraId="5CDEA8D8">
            <w:pPr>
              <w:jc w:val="center"/>
              <w:rPr>
                <w:rFonts w:hint="eastAsia" w:ascii="宋体" w:hAnsi="宋体" w:eastAsia="宋体" w:cs="宋体"/>
                <w:sz w:val="24"/>
                <w:szCs w:val="24"/>
                <w:highlight w:val="none"/>
              </w:rPr>
            </w:pPr>
          </w:p>
        </w:tc>
        <w:tc>
          <w:tcPr>
            <w:tcW w:w="1419" w:type="pct"/>
            <w:noWrap w:val="0"/>
            <w:vAlign w:val="center"/>
          </w:tcPr>
          <w:p w14:paraId="62456953">
            <w:pPr>
              <w:jc w:val="center"/>
              <w:rPr>
                <w:rFonts w:hint="eastAsia" w:ascii="宋体" w:hAnsi="宋体" w:eastAsia="宋体" w:cs="宋体"/>
                <w:sz w:val="24"/>
                <w:szCs w:val="24"/>
                <w:highlight w:val="none"/>
              </w:rPr>
            </w:pPr>
          </w:p>
        </w:tc>
        <w:tc>
          <w:tcPr>
            <w:tcW w:w="1427" w:type="pct"/>
            <w:noWrap w:val="0"/>
            <w:vAlign w:val="center"/>
          </w:tcPr>
          <w:p w14:paraId="3EE5DC3D">
            <w:pPr>
              <w:jc w:val="center"/>
              <w:rPr>
                <w:rFonts w:hint="eastAsia" w:ascii="宋体" w:hAnsi="宋体" w:eastAsia="宋体" w:cs="宋体"/>
                <w:sz w:val="24"/>
                <w:szCs w:val="24"/>
                <w:highlight w:val="none"/>
              </w:rPr>
            </w:pPr>
          </w:p>
        </w:tc>
        <w:tc>
          <w:tcPr>
            <w:tcW w:w="722" w:type="pct"/>
            <w:noWrap w:val="0"/>
            <w:vAlign w:val="center"/>
          </w:tcPr>
          <w:p w14:paraId="01E67DC8">
            <w:pPr>
              <w:jc w:val="center"/>
              <w:rPr>
                <w:rFonts w:hint="eastAsia" w:ascii="宋体" w:hAnsi="宋体" w:eastAsia="宋体" w:cs="宋体"/>
                <w:sz w:val="24"/>
                <w:szCs w:val="24"/>
                <w:highlight w:val="none"/>
              </w:rPr>
            </w:pPr>
          </w:p>
        </w:tc>
      </w:tr>
      <w:tr w14:paraId="29BBBA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1530663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442" w:type="pct"/>
            <w:gridSpan w:val="4"/>
            <w:noWrap w:val="0"/>
            <w:vAlign w:val="center"/>
          </w:tcPr>
          <w:p w14:paraId="51E9AC7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完全接受”的条款无需在本表中列出，按表下方所做“声明”执行；对于需要供应商填报的内容，以及“不能接受”或“有条件接受”的条款，则应写明该条款名称及条款明细、以及供应商所能接受的条件。</w:t>
            </w:r>
          </w:p>
          <w:p w14:paraId="5A29D0B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2．因表格空间因有限，不足以容纳响应内容时，允许在表后进行响应，但须在表中注明引用位置，如“见本表下方3.1.1”。</w:t>
            </w:r>
          </w:p>
        </w:tc>
      </w:tr>
    </w:tbl>
    <w:p w14:paraId="4BD15A1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1A4E90DC">
      <w:pPr>
        <w:spacing w:line="560" w:lineRule="exact"/>
        <w:ind w:firstLine="480" w:firstLineChars="200"/>
        <w:jc w:val="both"/>
        <w:rPr>
          <w:rFonts w:hint="eastAsia"/>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4EB246A8">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70F52C06">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A56D767">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sz w:val="28"/>
          <w:szCs w:val="28"/>
          <w:highlight w:val="none"/>
        </w:rPr>
        <w:t>（四）其他需要供应商提供的材料</w:t>
      </w:r>
    </w:p>
    <w:p w14:paraId="6F50A400">
      <w:pPr>
        <w:spacing w:line="560" w:lineRule="exact"/>
        <w:ind w:firstLine="48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041"/>
        <w:gridCol w:w="1361"/>
        <w:gridCol w:w="26"/>
        <w:gridCol w:w="1467"/>
        <w:gridCol w:w="18"/>
        <w:gridCol w:w="8"/>
        <w:gridCol w:w="1697"/>
        <w:gridCol w:w="1874"/>
        <w:gridCol w:w="1220"/>
      </w:tblGrid>
      <w:tr w14:paraId="69CC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noWrap w:val="0"/>
            <w:vAlign w:val="center"/>
          </w:tcPr>
          <w:p w14:paraId="039DF2B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项目负责人</w:t>
            </w:r>
          </w:p>
        </w:tc>
      </w:tr>
      <w:tr w14:paraId="376C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A2ABDB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610195D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22A1E27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51" w:type="pct"/>
            <w:gridSpan w:val="2"/>
            <w:noWrap w:val="0"/>
            <w:vAlign w:val="center"/>
          </w:tcPr>
          <w:p w14:paraId="26F86FD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67" w:type="pct"/>
            <w:gridSpan w:val="3"/>
            <w:noWrap w:val="0"/>
            <w:vAlign w:val="center"/>
          </w:tcPr>
          <w:p w14:paraId="2FF4DAC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tcBorders>
              <w:right w:val="single" w:color="auto" w:sz="2" w:space="0"/>
            </w:tcBorders>
            <w:noWrap w:val="0"/>
            <w:vAlign w:val="center"/>
          </w:tcPr>
          <w:p w14:paraId="7810F87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left w:val="single" w:color="auto" w:sz="2" w:space="0"/>
              <w:right w:val="single" w:color="auto" w:sz="12" w:space="0"/>
            </w:tcBorders>
            <w:noWrap w:val="0"/>
            <w:vAlign w:val="center"/>
          </w:tcPr>
          <w:p w14:paraId="06CDBB4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7FBC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99D7A3A">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49ED9334">
            <w:pPr>
              <w:jc w:val="both"/>
              <w:rPr>
                <w:rFonts w:hint="eastAsia" w:ascii="宋体" w:hAnsi="宋体" w:eastAsia="宋体" w:cs="宋体"/>
                <w:sz w:val="24"/>
                <w:szCs w:val="24"/>
                <w:highlight w:val="none"/>
              </w:rPr>
            </w:pPr>
          </w:p>
        </w:tc>
        <w:tc>
          <w:tcPr>
            <w:tcW w:w="685" w:type="pct"/>
            <w:noWrap w:val="0"/>
            <w:vAlign w:val="center"/>
          </w:tcPr>
          <w:p w14:paraId="547BAF55">
            <w:pPr>
              <w:jc w:val="both"/>
              <w:rPr>
                <w:rFonts w:hint="eastAsia" w:ascii="宋体" w:hAnsi="宋体" w:eastAsia="宋体" w:cs="宋体"/>
                <w:sz w:val="24"/>
                <w:szCs w:val="24"/>
                <w:highlight w:val="none"/>
              </w:rPr>
            </w:pPr>
          </w:p>
        </w:tc>
        <w:tc>
          <w:tcPr>
            <w:tcW w:w="751" w:type="pct"/>
            <w:gridSpan w:val="2"/>
            <w:noWrap w:val="0"/>
            <w:vAlign w:val="center"/>
          </w:tcPr>
          <w:p w14:paraId="32DB3EF5">
            <w:pPr>
              <w:jc w:val="both"/>
              <w:rPr>
                <w:rFonts w:hint="eastAsia" w:ascii="宋体" w:hAnsi="宋体" w:eastAsia="宋体" w:cs="宋体"/>
                <w:sz w:val="24"/>
                <w:szCs w:val="24"/>
                <w:highlight w:val="none"/>
              </w:rPr>
            </w:pPr>
          </w:p>
        </w:tc>
        <w:tc>
          <w:tcPr>
            <w:tcW w:w="867" w:type="pct"/>
            <w:gridSpan w:val="3"/>
            <w:noWrap w:val="0"/>
            <w:vAlign w:val="center"/>
          </w:tcPr>
          <w:p w14:paraId="5DC12D83">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6928FD27">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2FBEBABD">
            <w:pPr>
              <w:jc w:val="both"/>
              <w:rPr>
                <w:rFonts w:hint="eastAsia" w:ascii="宋体" w:hAnsi="宋体" w:eastAsia="宋体" w:cs="宋体"/>
                <w:sz w:val="24"/>
                <w:szCs w:val="24"/>
                <w:highlight w:val="none"/>
              </w:rPr>
            </w:pPr>
          </w:p>
        </w:tc>
      </w:tr>
      <w:tr w14:paraId="3DBA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0862589">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60601EE5">
            <w:pPr>
              <w:jc w:val="both"/>
              <w:rPr>
                <w:rFonts w:hint="eastAsia" w:ascii="宋体" w:hAnsi="宋体" w:eastAsia="宋体" w:cs="宋体"/>
                <w:sz w:val="24"/>
                <w:szCs w:val="24"/>
                <w:highlight w:val="none"/>
              </w:rPr>
            </w:pPr>
          </w:p>
        </w:tc>
        <w:tc>
          <w:tcPr>
            <w:tcW w:w="685" w:type="pct"/>
            <w:noWrap w:val="0"/>
            <w:vAlign w:val="center"/>
          </w:tcPr>
          <w:p w14:paraId="7991272A">
            <w:pPr>
              <w:jc w:val="both"/>
              <w:rPr>
                <w:rFonts w:hint="eastAsia" w:ascii="宋体" w:hAnsi="宋体" w:eastAsia="宋体" w:cs="宋体"/>
                <w:sz w:val="24"/>
                <w:szCs w:val="24"/>
                <w:highlight w:val="none"/>
              </w:rPr>
            </w:pPr>
          </w:p>
        </w:tc>
        <w:tc>
          <w:tcPr>
            <w:tcW w:w="751" w:type="pct"/>
            <w:gridSpan w:val="2"/>
            <w:noWrap w:val="0"/>
            <w:vAlign w:val="center"/>
          </w:tcPr>
          <w:p w14:paraId="4D341D27">
            <w:pPr>
              <w:jc w:val="both"/>
              <w:rPr>
                <w:rFonts w:hint="eastAsia" w:ascii="宋体" w:hAnsi="宋体" w:eastAsia="宋体" w:cs="宋体"/>
                <w:sz w:val="24"/>
                <w:szCs w:val="24"/>
                <w:highlight w:val="none"/>
              </w:rPr>
            </w:pPr>
          </w:p>
        </w:tc>
        <w:tc>
          <w:tcPr>
            <w:tcW w:w="867" w:type="pct"/>
            <w:gridSpan w:val="3"/>
            <w:noWrap w:val="0"/>
            <w:vAlign w:val="center"/>
          </w:tcPr>
          <w:p w14:paraId="476B02DC">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5D35792A">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51629217">
            <w:pPr>
              <w:jc w:val="both"/>
              <w:rPr>
                <w:rFonts w:hint="eastAsia" w:ascii="宋体" w:hAnsi="宋体" w:eastAsia="宋体" w:cs="宋体"/>
                <w:sz w:val="24"/>
                <w:szCs w:val="24"/>
                <w:highlight w:val="none"/>
              </w:rPr>
            </w:pPr>
          </w:p>
        </w:tc>
      </w:tr>
      <w:tr w14:paraId="7B3C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502E0D6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管理人员</w:t>
            </w:r>
          </w:p>
        </w:tc>
      </w:tr>
      <w:tr w14:paraId="7287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FBC5A4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49B1C36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5AA80A8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60" w:type="pct"/>
            <w:gridSpan w:val="3"/>
            <w:noWrap w:val="0"/>
            <w:vAlign w:val="center"/>
          </w:tcPr>
          <w:p w14:paraId="5E86EE2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8" w:type="pct"/>
            <w:gridSpan w:val="2"/>
            <w:noWrap w:val="0"/>
            <w:vAlign w:val="center"/>
          </w:tcPr>
          <w:p w14:paraId="3B95244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noWrap w:val="0"/>
            <w:vAlign w:val="center"/>
          </w:tcPr>
          <w:p w14:paraId="4E11E94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4062FDA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069C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FCA32E2">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6588E730">
            <w:pPr>
              <w:jc w:val="both"/>
              <w:rPr>
                <w:rFonts w:hint="eastAsia" w:ascii="宋体" w:hAnsi="宋体" w:eastAsia="宋体" w:cs="宋体"/>
                <w:sz w:val="24"/>
                <w:szCs w:val="24"/>
                <w:highlight w:val="none"/>
              </w:rPr>
            </w:pPr>
          </w:p>
        </w:tc>
        <w:tc>
          <w:tcPr>
            <w:tcW w:w="685" w:type="pct"/>
            <w:noWrap w:val="0"/>
            <w:vAlign w:val="center"/>
          </w:tcPr>
          <w:p w14:paraId="4C767A76">
            <w:pPr>
              <w:jc w:val="both"/>
              <w:rPr>
                <w:rFonts w:hint="eastAsia" w:ascii="宋体" w:hAnsi="宋体" w:eastAsia="宋体" w:cs="宋体"/>
                <w:sz w:val="24"/>
                <w:szCs w:val="24"/>
                <w:highlight w:val="none"/>
              </w:rPr>
            </w:pPr>
          </w:p>
        </w:tc>
        <w:tc>
          <w:tcPr>
            <w:tcW w:w="760" w:type="pct"/>
            <w:gridSpan w:val="3"/>
            <w:noWrap w:val="0"/>
            <w:vAlign w:val="center"/>
          </w:tcPr>
          <w:p w14:paraId="22B86AC0">
            <w:pPr>
              <w:jc w:val="both"/>
              <w:rPr>
                <w:rFonts w:hint="eastAsia" w:ascii="宋体" w:hAnsi="宋体" w:eastAsia="宋体" w:cs="宋体"/>
                <w:sz w:val="24"/>
                <w:szCs w:val="24"/>
                <w:highlight w:val="none"/>
              </w:rPr>
            </w:pPr>
          </w:p>
        </w:tc>
        <w:tc>
          <w:tcPr>
            <w:tcW w:w="858" w:type="pct"/>
            <w:gridSpan w:val="2"/>
            <w:noWrap w:val="0"/>
            <w:vAlign w:val="center"/>
          </w:tcPr>
          <w:p w14:paraId="42C2C6DE">
            <w:pPr>
              <w:jc w:val="both"/>
              <w:rPr>
                <w:rFonts w:hint="eastAsia" w:ascii="宋体" w:hAnsi="宋体" w:eastAsia="宋体" w:cs="宋体"/>
                <w:sz w:val="24"/>
                <w:szCs w:val="24"/>
                <w:highlight w:val="none"/>
              </w:rPr>
            </w:pPr>
          </w:p>
        </w:tc>
        <w:tc>
          <w:tcPr>
            <w:tcW w:w="943" w:type="pct"/>
            <w:noWrap w:val="0"/>
            <w:vAlign w:val="center"/>
          </w:tcPr>
          <w:p w14:paraId="30A69FD9">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6B0540AA">
            <w:pPr>
              <w:jc w:val="both"/>
              <w:rPr>
                <w:rFonts w:hint="eastAsia" w:ascii="宋体" w:hAnsi="宋体" w:eastAsia="宋体" w:cs="宋体"/>
                <w:sz w:val="24"/>
                <w:szCs w:val="24"/>
                <w:highlight w:val="none"/>
              </w:rPr>
            </w:pPr>
          </w:p>
        </w:tc>
      </w:tr>
      <w:tr w14:paraId="1661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19B966C">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74E75B81">
            <w:pPr>
              <w:jc w:val="both"/>
              <w:rPr>
                <w:rFonts w:hint="eastAsia" w:ascii="宋体" w:hAnsi="宋体" w:eastAsia="宋体" w:cs="宋体"/>
                <w:sz w:val="24"/>
                <w:szCs w:val="24"/>
                <w:highlight w:val="none"/>
              </w:rPr>
            </w:pPr>
          </w:p>
        </w:tc>
        <w:tc>
          <w:tcPr>
            <w:tcW w:w="685" w:type="pct"/>
            <w:noWrap w:val="0"/>
            <w:vAlign w:val="center"/>
          </w:tcPr>
          <w:p w14:paraId="35B71E89">
            <w:pPr>
              <w:jc w:val="both"/>
              <w:rPr>
                <w:rFonts w:hint="eastAsia" w:ascii="宋体" w:hAnsi="宋体" w:eastAsia="宋体" w:cs="宋体"/>
                <w:sz w:val="24"/>
                <w:szCs w:val="24"/>
                <w:highlight w:val="none"/>
              </w:rPr>
            </w:pPr>
          </w:p>
        </w:tc>
        <w:tc>
          <w:tcPr>
            <w:tcW w:w="760" w:type="pct"/>
            <w:gridSpan w:val="3"/>
            <w:noWrap w:val="0"/>
            <w:vAlign w:val="center"/>
          </w:tcPr>
          <w:p w14:paraId="1718F77D">
            <w:pPr>
              <w:jc w:val="both"/>
              <w:rPr>
                <w:rFonts w:hint="eastAsia" w:ascii="宋体" w:hAnsi="宋体" w:eastAsia="宋体" w:cs="宋体"/>
                <w:sz w:val="24"/>
                <w:szCs w:val="24"/>
                <w:highlight w:val="none"/>
              </w:rPr>
            </w:pPr>
          </w:p>
        </w:tc>
        <w:tc>
          <w:tcPr>
            <w:tcW w:w="858" w:type="pct"/>
            <w:gridSpan w:val="2"/>
            <w:noWrap w:val="0"/>
            <w:vAlign w:val="center"/>
          </w:tcPr>
          <w:p w14:paraId="244C84EF">
            <w:pPr>
              <w:jc w:val="both"/>
              <w:rPr>
                <w:rFonts w:hint="eastAsia" w:ascii="宋体" w:hAnsi="宋体" w:eastAsia="宋体" w:cs="宋体"/>
                <w:sz w:val="24"/>
                <w:szCs w:val="24"/>
                <w:highlight w:val="none"/>
              </w:rPr>
            </w:pPr>
          </w:p>
        </w:tc>
        <w:tc>
          <w:tcPr>
            <w:tcW w:w="943" w:type="pct"/>
            <w:noWrap w:val="0"/>
            <w:vAlign w:val="center"/>
          </w:tcPr>
          <w:p w14:paraId="32D8734A">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2AEE8519">
            <w:pPr>
              <w:jc w:val="both"/>
              <w:rPr>
                <w:rFonts w:hint="eastAsia" w:ascii="宋体" w:hAnsi="宋体" w:eastAsia="宋体" w:cs="宋体"/>
                <w:sz w:val="24"/>
                <w:szCs w:val="24"/>
                <w:highlight w:val="none"/>
              </w:rPr>
            </w:pPr>
          </w:p>
        </w:tc>
      </w:tr>
      <w:tr w14:paraId="4AE2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0161AF2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技术人员/服务人员</w:t>
            </w:r>
          </w:p>
        </w:tc>
      </w:tr>
      <w:tr w14:paraId="2BA0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4F3CB9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45EBE8A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0CFE3E9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00E3945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42A9F4F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457E558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072B4A7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4D37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78D1760">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2A588356">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17941DF0">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6B3792EB">
            <w:pPr>
              <w:jc w:val="both"/>
              <w:rPr>
                <w:rFonts w:hint="eastAsia" w:ascii="宋体" w:hAnsi="宋体" w:eastAsia="宋体" w:cs="宋体"/>
                <w:sz w:val="24"/>
                <w:szCs w:val="24"/>
                <w:highlight w:val="none"/>
              </w:rPr>
            </w:pPr>
          </w:p>
        </w:tc>
        <w:tc>
          <w:tcPr>
            <w:tcW w:w="854" w:type="pct"/>
            <w:noWrap w:val="0"/>
            <w:vAlign w:val="center"/>
          </w:tcPr>
          <w:p w14:paraId="15C02D89">
            <w:pPr>
              <w:jc w:val="both"/>
              <w:rPr>
                <w:rFonts w:hint="eastAsia" w:ascii="宋体" w:hAnsi="宋体" w:eastAsia="宋体" w:cs="宋体"/>
                <w:sz w:val="24"/>
                <w:szCs w:val="24"/>
                <w:highlight w:val="none"/>
              </w:rPr>
            </w:pPr>
          </w:p>
        </w:tc>
        <w:tc>
          <w:tcPr>
            <w:tcW w:w="943" w:type="pct"/>
            <w:noWrap w:val="0"/>
            <w:vAlign w:val="center"/>
          </w:tcPr>
          <w:p w14:paraId="4B34E8EB">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1C82E781">
            <w:pPr>
              <w:jc w:val="both"/>
              <w:rPr>
                <w:rFonts w:hint="eastAsia" w:ascii="宋体" w:hAnsi="宋体" w:eastAsia="宋体" w:cs="宋体"/>
                <w:sz w:val="24"/>
                <w:szCs w:val="24"/>
                <w:highlight w:val="none"/>
              </w:rPr>
            </w:pPr>
          </w:p>
        </w:tc>
      </w:tr>
      <w:tr w14:paraId="0F13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750C6B6">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6430F47E">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10F02233">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532AE128">
            <w:pPr>
              <w:jc w:val="both"/>
              <w:rPr>
                <w:rFonts w:hint="eastAsia" w:ascii="宋体" w:hAnsi="宋体" w:eastAsia="宋体" w:cs="宋体"/>
                <w:sz w:val="24"/>
                <w:szCs w:val="24"/>
                <w:highlight w:val="none"/>
              </w:rPr>
            </w:pPr>
          </w:p>
        </w:tc>
        <w:tc>
          <w:tcPr>
            <w:tcW w:w="854" w:type="pct"/>
            <w:noWrap w:val="0"/>
            <w:vAlign w:val="center"/>
          </w:tcPr>
          <w:p w14:paraId="500EF841">
            <w:pPr>
              <w:jc w:val="both"/>
              <w:rPr>
                <w:rFonts w:hint="eastAsia" w:ascii="宋体" w:hAnsi="宋体" w:eastAsia="宋体" w:cs="宋体"/>
                <w:sz w:val="24"/>
                <w:szCs w:val="24"/>
                <w:highlight w:val="none"/>
              </w:rPr>
            </w:pPr>
          </w:p>
        </w:tc>
        <w:tc>
          <w:tcPr>
            <w:tcW w:w="943" w:type="pct"/>
            <w:noWrap w:val="0"/>
            <w:vAlign w:val="center"/>
          </w:tcPr>
          <w:p w14:paraId="2BC0CE21">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47C19D2B">
            <w:pPr>
              <w:jc w:val="both"/>
              <w:rPr>
                <w:rFonts w:hint="eastAsia" w:ascii="宋体" w:hAnsi="宋体" w:eastAsia="宋体" w:cs="宋体"/>
                <w:sz w:val="24"/>
                <w:szCs w:val="24"/>
                <w:highlight w:val="none"/>
              </w:rPr>
            </w:pPr>
          </w:p>
        </w:tc>
      </w:tr>
      <w:tr w14:paraId="6AE0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09BBAC4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辅助人员</w:t>
            </w:r>
          </w:p>
        </w:tc>
      </w:tr>
      <w:tr w14:paraId="7067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3D711C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06D162B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300FD18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0E0861C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7E80E2C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3692D42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27170D4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4A7C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02AEB4D">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4C66F685">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6B2B3B3B">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31792744">
            <w:pPr>
              <w:jc w:val="both"/>
              <w:rPr>
                <w:rFonts w:hint="eastAsia" w:ascii="宋体" w:hAnsi="宋体" w:eastAsia="宋体" w:cs="宋体"/>
                <w:sz w:val="24"/>
                <w:szCs w:val="24"/>
                <w:highlight w:val="none"/>
              </w:rPr>
            </w:pPr>
          </w:p>
        </w:tc>
        <w:tc>
          <w:tcPr>
            <w:tcW w:w="854" w:type="pct"/>
            <w:noWrap w:val="0"/>
            <w:vAlign w:val="center"/>
          </w:tcPr>
          <w:p w14:paraId="60515F3E">
            <w:pPr>
              <w:jc w:val="both"/>
              <w:rPr>
                <w:rFonts w:hint="eastAsia" w:ascii="宋体" w:hAnsi="宋体" w:eastAsia="宋体" w:cs="宋体"/>
                <w:sz w:val="24"/>
                <w:szCs w:val="24"/>
                <w:highlight w:val="none"/>
              </w:rPr>
            </w:pPr>
          </w:p>
        </w:tc>
        <w:tc>
          <w:tcPr>
            <w:tcW w:w="943" w:type="pct"/>
            <w:noWrap w:val="0"/>
            <w:vAlign w:val="center"/>
          </w:tcPr>
          <w:p w14:paraId="7642C4C9">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7502A9EA">
            <w:pPr>
              <w:jc w:val="both"/>
              <w:rPr>
                <w:rFonts w:hint="eastAsia" w:ascii="宋体" w:hAnsi="宋体" w:eastAsia="宋体" w:cs="宋体"/>
                <w:sz w:val="24"/>
                <w:szCs w:val="24"/>
                <w:highlight w:val="none"/>
              </w:rPr>
            </w:pPr>
          </w:p>
        </w:tc>
      </w:tr>
      <w:tr w14:paraId="405D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26420BA">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0328B0E5">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6B942683">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5E3ED931">
            <w:pPr>
              <w:jc w:val="both"/>
              <w:rPr>
                <w:rFonts w:hint="eastAsia" w:ascii="宋体" w:hAnsi="宋体" w:eastAsia="宋体" w:cs="宋体"/>
                <w:sz w:val="24"/>
                <w:szCs w:val="24"/>
                <w:highlight w:val="none"/>
              </w:rPr>
            </w:pPr>
          </w:p>
        </w:tc>
        <w:tc>
          <w:tcPr>
            <w:tcW w:w="854" w:type="pct"/>
            <w:noWrap w:val="0"/>
            <w:vAlign w:val="center"/>
          </w:tcPr>
          <w:p w14:paraId="44A22A01">
            <w:pPr>
              <w:jc w:val="both"/>
              <w:rPr>
                <w:rFonts w:hint="eastAsia" w:ascii="宋体" w:hAnsi="宋体" w:eastAsia="宋体" w:cs="宋体"/>
                <w:sz w:val="24"/>
                <w:szCs w:val="24"/>
                <w:highlight w:val="none"/>
              </w:rPr>
            </w:pPr>
          </w:p>
        </w:tc>
        <w:tc>
          <w:tcPr>
            <w:tcW w:w="943" w:type="pct"/>
            <w:noWrap w:val="0"/>
            <w:vAlign w:val="center"/>
          </w:tcPr>
          <w:p w14:paraId="30362287">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2C04ACB4">
            <w:pPr>
              <w:jc w:val="both"/>
              <w:rPr>
                <w:rFonts w:hint="eastAsia" w:ascii="宋体" w:hAnsi="宋体" w:eastAsia="宋体" w:cs="宋体"/>
                <w:sz w:val="24"/>
                <w:szCs w:val="24"/>
                <w:highlight w:val="none"/>
              </w:rPr>
            </w:pPr>
          </w:p>
        </w:tc>
      </w:tr>
      <w:tr w14:paraId="1F76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noWrap w:val="0"/>
            <w:vAlign w:val="center"/>
          </w:tcPr>
          <w:p w14:paraId="559ABEB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383" w:type="pct"/>
            <w:gridSpan w:val="9"/>
            <w:tcBorders>
              <w:left w:val="single" w:color="auto" w:sz="6" w:space="0"/>
              <w:bottom w:val="single" w:color="auto" w:sz="12" w:space="0"/>
              <w:right w:val="single" w:color="auto" w:sz="12" w:space="0"/>
            </w:tcBorders>
            <w:noWrap w:val="0"/>
            <w:vAlign w:val="center"/>
          </w:tcPr>
          <w:p w14:paraId="5AB4174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1．表格行数不足时请自行扩展。</w:t>
            </w:r>
          </w:p>
          <w:p w14:paraId="429BBEB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2．表中所列“项目负责人、管理人员、技术人员/服务人员、辅助人员”仅为示例，供应商可根据招标文件要求自行安排人员类别。</w:t>
            </w:r>
          </w:p>
          <w:p w14:paraId="058B72F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3．招标文件对人员“资格\学历\职称”提出要求的，应在本表下方附相应的“资格证\学历证\职称证”等证明文件。</w:t>
            </w:r>
          </w:p>
        </w:tc>
      </w:tr>
    </w:tbl>
    <w:p w14:paraId="735CC845">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2DDD46FE">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0EF2D32">
      <w:pPr>
        <w:spacing w:line="560" w:lineRule="exact"/>
        <w:ind w:firstLine="48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．业绩</w:t>
      </w:r>
    </w:p>
    <w:p w14:paraId="32C74D24">
      <w:pPr>
        <w:spacing w:line="560" w:lineRule="exact"/>
        <w:ind w:firstLine="480" w:firstLineChars="200"/>
        <w:jc w:val="both"/>
        <w:rPr>
          <w:rFonts w:hint="eastAsia" w:ascii="宋体" w:hAnsi="宋体" w:eastAsia="宋体" w:cs="宋体"/>
          <w:sz w:val="24"/>
          <w:szCs w:val="24"/>
          <w:highlight w:val="none"/>
        </w:rPr>
      </w:pPr>
    </w:p>
    <w:p w14:paraId="0105858F">
      <w:pPr>
        <w:spacing w:line="560" w:lineRule="exact"/>
        <w:ind w:firstLine="480" w:firstLineChars="200"/>
        <w:jc w:val="both"/>
        <w:rPr>
          <w:rFonts w:hint="eastAsia" w:ascii="宋体" w:hAnsi="宋体" w:eastAsia="宋体" w:cs="宋体"/>
          <w:sz w:val="24"/>
          <w:szCs w:val="24"/>
          <w:highlight w:val="none"/>
        </w:rPr>
      </w:pPr>
    </w:p>
    <w:p w14:paraId="6D9D5150">
      <w:pPr>
        <w:spacing w:line="560" w:lineRule="exact"/>
        <w:ind w:firstLine="480" w:firstLineChars="200"/>
        <w:jc w:val="both"/>
        <w:rPr>
          <w:rFonts w:hint="eastAsia" w:ascii="宋体" w:hAnsi="宋体" w:eastAsia="宋体" w:cs="宋体"/>
          <w:sz w:val="24"/>
          <w:szCs w:val="24"/>
          <w:highlight w:val="none"/>
        </w:rPr>
      </w:pPr>
    </w:p>
    <w:p w14:paraId="1663F06D">
      <w:pPr>
        <w:spacing w:line="560" w:lineRule="exact"/>
        <w:ind w:firstLine="480" w:firstLineChars="200"/>
        <w:jc w:val="both"/>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.其他（根据招标文件要求自行补充）</w:t>
      </w:r>
    </w:p>
    <w:p w14:paraId="23AB2206">
      <w:pPr>
        <w:rPr>
          <w:rFonts w:hint="eastAsia" w:ascii="宋体" w:hAnsi="宋体" w:eastAsia="宋体" w:cs="宋体"/>
          <w:highlight w:val="none"/>
        </w:rPr>
      </w:pPr>
    </w:p>
    <w:sectPr>
      <w:pgSz w:w="11906" w:h="16838"/>
      <w:pgMar w:top="1417" w:right="1083" w:bottom="1417" w:left="1083" w:header="851" w:footer="964" w:gutter="0"/>
      <w:pgNumType w:fmt="decimal"/>
      <w:cols w:space="720"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D05DD">
    <w:pPr>
      <w:pStyle w:val="1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4E913">
    <w:pPr>
      <w:pStyle w:val="1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C8E785">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EfNsckBAACb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lvchJeUOG5x4pfv3y4/fl1+fiXL&#10;V1mgPkCNeXcBM9Pw1g+YPPsBnZn3oKLNX2REMI7ynq/yyiERkR+tV+t1hSGBsfmC+OzheYiQ3klv&#10;STYaGnF+RVZ++gBpTJ1TcjXnb7UxZYbG/eVAzOxhufexx2ylYT9MhPa+PSOfHkffUIebTol571DZ&#10;vCWzEWdjPxvHEPWhK2uU60F4c0zYROktVxhhp8I4s8Ju2q+8FH/eS9bD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AR82xyQEAAJsDAAAOAAAAAAAAAAEAIAAAAB4BAABkcnMvZTJvRG9j&#10;LnhtbFBLBQYAAAAABgAGAFkBAABZBQAAAAA=&#10;">
              <v:fill on="f" focussize="0,0"/>
              <v:stroke on="f"/>
              <v:imagedata o:title=""/>
              <o:lock v:ext="edit" aspectratio="f"/>
              <v:textbox inset="0mm,0mm,0mm,0mm" style="mso-fit-shape-to-text:t;">
                <w:txbxContent>
                  <w:p w14:paraId="5BC8E785">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AADD6">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02130C6">
                          <w:pPr>
                            <w:pStyle w:val="19"/>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14:paraId="302130C6">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61A7A">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B583068">
                          <w:pPr>
                            <w:pStyle w:val="19"/>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1PsblAQAAyAMAAA4AAABkcnMvZTJvRG9jLnhtbK1TzY7TMBC+I/EO&#10;lu802SJWVdR0BVSLkBAgLTyA6ziNJf/JM21SHgDegBMX7jxXn2PHTtJFy2UPXJKxZ/zN930er28G&#10;a9hRRdDe1fxqUXKmnPSNdvuaf/1y+2LFGaBwjTDeqZqfFPCbzfNn6z5Uauk7bxoVGYE4qPpQ8w4x&#10;VEUBslNWwMIH5SjZ+mgF0jLuiyaKntCtKZZleV30PjYheqkAaHc7JvmEGJ8C6NtWS7X18mCVwxE1&#10;KiOQJEGnA/BNZtu2SuKntgWFzNSclGL+UhOKd+lbbNai2kcROi0nCuIpFB5pskI7anqB2goU7BD1&#10;P1BWy+jBt7iQ3hajkOwIqbgqH3lz14mgshayGsLFdPh/sPLj8XNkuqFJIEucsHTj558/zr/+nH9/&#10;Z8vkTx+gorK7QIU4vPED1c77QJtJ9tBGm/4kiFGeoE4Xd9WATKZDq+VqVVJKUm5eEH7xcDxEwHfK&#10;W5aCmke6vuyqOH4AHEvnktTN+VttTL5C41hf8+uXr8p84JIhcOOoRxIxkk0RDrthUrbzzYmE0YOg&#10;hp2P3zjraRxq7mj6OTPvHblNpHEO4hzs5kA4SQdrjpyN4VscJ+wQot53eeYSXQivD0iUs5JEY+w9&#10;saMLzl5Mw5gm6O91rnp4gJ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0lY7tAAAAAFAQAADwAA&#10;AAAAAAABACAAAAAiAAAAZHJzL2Rvd25yZXYueG1sUEsBAhQAFAAAAAgAh07iQER1PsblAQAAyAMA&#10;AA4AAAAAAAAAAQAgAAAAHwEAAGRycy9lMm9Eb2MueG1sUEsFBgAAAAAGAAYAWQEAAHYFAAAAAA==&#10;">
              <v:fill on="f" focussize="0,0"/>
              <v:stroke on="f" weight="0.5pt"/>
              <v:imagedata o:title=""/>
              <o:lock v:ext="edit" aspectratio="f"/>
              <v:textbox inset="0mm,0mm,0mm,0mm" style="mso-fit-shape-to-text:t;">
                <w:txbxContent>
                  <w:p w14:paraId="6B583068">
                    <w:pPr>
                      <w:pStyle w:val="1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25ACA">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7AE1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83459">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58F86">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F5A2B98">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1BbrnAQAAxwMAAA4AAABkcnMvZTJvRG9jLnhtbK1TS27bMBDdF8gd&#10;CO5rKW4buILpoI2RokDRBkhzAJqiLAL8YUhbcg/Q3qCrbrrPuXyODCnJCdJNFt1IQ87Mm3lvhsvL&#10;3miylxCUs4yez0pKpBWuVnbL6N3369cLSkLktubaWcnoQQZ6uTp7tex8JeeudbqWQBDEhqrzjLYx&#10;+qoogmil4WHmvLTobBwYHvEI26IG3iG60cW8LC+KzkHtwQkZAt6uBycdEeElgK5plJBrJ3ZG2jig&#10;gtQ8IqXQKh/oKnfbNFLEb00TZCSaUWQa8xeLoL1J32K15NUWuG+VGFvgL2nhGSfDlcWiJ6g1j5zs&#10;QP0DZZQAF1wTZ8KZYiCSFUEW5+UzbW5b7mXmglIHfxI9/D9Y8XV/A0TVjL6nxHKDAz/+/nX8c3/8&#10;+5O8TfJ0PlQYdesxLvYfXY9LM90HvEys+wZM+iMfgn4U93ASV/aRiJS0mC8WJboE+qYD4heP6R5C&#10;/CSdIclgFHB6WVS+/xLiEDqFpGrWXSut8wS1JR2jF2/elTnh5EFwbbFGIjE0m6zYb/qR2cbVBySG&#10;7wELtg5+UNLhNjBqcfkp0Z8tip0WZzJgMjaTwa3AREYjJYN5FYcF23lQ2zavXGo3+A+7iC1nJqmN&#10;ofbYHc43azHuYlqgp+cc9fj+V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wbUFuucBAADH&#10;AwAADgAAAAAAAAABACAAAAAfAQAAZHJzL2Uyb0RvYy54bWxQSwUGAAAAAAYABgBZAQAAeAUAAAAA&#10;">
              <v:fill on="f" focussize="0,0"/>
              <v:stroke on="f" weight="0.5pt"/>
              <v:imagedata o:title=""/>
              <o:lock v:ext="edit" aspectratio="f"/>
              <v:textbox inset="0mm,0mm,0mm,0mm" style="mso-fit-shape-to-text:t;">
                <w:txbxContent>
                  <w:p w14:paraId="4F5A2B98">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4B9FB">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6F52E5">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ZJ7pMkBAACb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VhS4rjFiV++f7v8+HX5+ZUs&#10;X2eB+gA15j0EzEzDnR8wefYDOjPvQUWbv8iIYBzlPV/llUMiIj9ar9brCkMCY/MF8dnj8xAhvZXe&#10;kmw0NOL8iqz89B7SmDqn5GrO32tjygyN+8uBmNnDcu9jj9lKw36YCO19e0Y+PY6+oQ43nRLzzqGy&#10;eUtmI87GfjaOIepDV9Yo14Nwe0zYROktVxhhp8I4s8Ju2q+8FH/eS9bj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VknukyQEAAJsDAAAOAAAAAAAAAAEAIAAAAB4BAABkcnMvZTJvRG9j&#10;LnhtbFBLBQYAAAAABgAGAFkBAABZBQAAAAA=&#10;">
              <v:fill on="f" focussize="0,0"/>
              <v:stroke on="f"/>
              <v:imagedata o:title=""/>
              <o:lock v:ext="edit" aspectratio="f"/>
              <v:textbox inset="0mm,0mm,0mm,0mm" style="mso-fit-shape-to-text:t;">
                <w:txbxContent>
                  <w:p w14:paraId="3B6F52E5">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F5ED7">
    <w:pPr>
      <w:pStyle w:val="1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5C29F3D">
                          <w:pPr>
                            <w:pStyle w:val="1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PoMTSAQAAowMAAA4AAABkcnMvZTJvRG9jLnhtbK1TwY7TMBC9I/EP&#10;lu802bKsqqjpClQtQkKAtMsHuI7TWLI9lsdt0h+AP+DEhTvf1e9g7CRdtFz2wMWZ8YzfzHszWd8O&#10;1rCjCqjB1fxqUXKmnIRGu33Nvz7cvVpxhlG4RhhwquYnhfx28/LFuveVWkIHplGBEYjDqvc172L0&#10;VVGg7JQVuACvHAVbCFZEcsO+aILoCd2aYlmWN0UPofEBpEKk2+0Y5BNieA4gtK2WagvyYJWLI2pQ&#10;RkSihJ32yDe527ZVMn5uW1SRmZoT05hPKkL2Lp3FZi2qfRC+03JqQTynhSecrNCOil6gtiIKdgj6&#10;HyirZQCENi4k2GIkkhUhFlflE23uO+FV5kJSo7+Ijv8PVn46fglMN7QJ15w5YWni5x/fzz9/n399&#10;Y9dJn95jRWn3nhLj8A4Gyp3vkS4T7aENNn2JEKM4qXu6qKuGyGR6tFquViWFJMVmh/CLx+c+YHyv&#10;wLJk1DzQ+LKq4vgR45g6p6RqDu60MXmExrG+5jev35T5wSVC4MZRjURibDZZcdgNE7MdNCci1tMK&#10;1NzRxnNmPjhSOG3LbITZ2M3GwQe97/I6pU7Qvz1E6iY3mSqMsFNhml2mOe1ZWo6//Zz1+G9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1E+gxNIBAACjAwAADgAAAAAAAAABACAAAAAfAQAA&#10;ZHJzL2Uyb0RvYy54bWxQSwUGAAAAAAYABgBZAQAAYwUAAAAA&#10;">
              <v:fill on="f" focussize="0,0"/>
              <v:stroke on="f" weight="0.5pt"/>
              <v:imagedata o:title=""/>
              <o:lock v:ext="edit" aspectratio="f"/>
              <v:textbox inset="0mm,0mm,0mm,0mm" style="mso-fit-shape-to-text:t;">
                <w:txbxContent>
                  <w:p w14:paraId="45C29F3D">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F077C">
    <w:pPr>
      <w:pStyle w:val="1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0196A">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xCMVckBAACbAwAADgAAAGRycy9lMm9Eb2MueG1srVPNjtMwEL4j8Q6W&#10;79RpJ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lvchJeUOG5x4pfv3y4/fl1+fiXL&#10;11mgPkCNeXcBM9Pw1g+YPPsBnZn3oKLNX2REMI7ynq/yyiERkR+tV+t1hSGBsfmC+OzheYiQ3klv&#10;STYaGnF+RVZ++gBpTJ1TcjXnb7UxZYbG/eVAzOxhufexx2ylYT9MhPa+PSOfHkffUIebTol571DZ&#10;vCWzEWdjPxvHEPWhK2uU60F4c0zYROktVxhhp8I4s8Ju2q+8FH/eS9bD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3EIxVyQEAAJsDAAAOAAAAAAAAAAEAIAAAAB4BAABkcnMvZTJvRG9j&#10;LnhtbFBLBQYAAAAABgAGAFkBAABZBQAAAAA=&#10;">
              <v:fill on="f" focussize="0,0"/>
              <v:stroke on="f"/>
              <v:imagedata o:title=""/>
              <o:lock v:ext="edit" aspectratio="f"/>
              <v:textbox inset="0mm,0mm,0mm,0mm" style="mso-fit-shape-to-text:t;">
                <w:txbxContent>
                  <w:p w14:paraId="76A0196A">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2B311">
    <w:pPr>
      <w:pStyle w:val="1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F180FCE">
                          <w:pPr>
                            <w:pStyle w:val="1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37TvRAQAAowMAAA4AAABkcnMvZTJvRG9jLnhtbK1TzY7TMBC+I/EO&#10;lu802QKrKmq6WlQtQkKAtPAAruM0lvynGbdJXwDegBMX7jxXn4Oxk3TRctnDXpwZz/ib+b6ZrG8G&#10;a9hRAWrvan61KDlTTvpGu33Nv329e7XiDKNwjTDeqZqfFPKbzcsX6z5Uauk7bxoFjEAcVn2oeRdj&#10;qIoCZaeswIUPylGw9WBFJBf2RQOiJ3RrimVZXhe9hyaAlwqRbrdjkE+I8BRA37Zaqq2XB6tcHFFB&#10;GRGJEnY6IN/kbttWyfi5bVFFZmpOTGM+qQjZu3QWm7Wo9iBCp+XUgnhKC484WaEdFb1AbUUU7AD6&#10;PyirJXj0bVxIb4uRSFaEWFyVj7S570RQmQtJjeEiOj4frPx0/AJMN7QJS86csDTx888f519/zr+/&#10;szdJnz5gRWn3gRLj8M4PlDvfI10m2kMLNn2JEKM4qXu6qKuGyGR6tFquViWFJMVmh/CLh+cBML5X&#10;3rJk1BxofFlVcfyIcUydU1I15++0MXmExrG+5tev35b5wSVC4MZRjURibDZZcdgNE7Odb05ErKcV&#10;qLmjjefMfHCkcNqW2YDZ2M3GIYDed3mdUicYbg+RuslNpgoj7FSYZpdpTnuWluNfP2c9/Fu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BLd+070QEAAKMDAAAOAAAAAAAAAAEAIAAAAB8BAABk&#10;cnMvZTJvRG9jLnhtbFBLBQYAAAAABgAGAFkBAABiBQAAAAA=&#10;">
              <v:fill on="f" focussize="0,0"/>
              <v:stroke on="f" weight="0.5pt"/>
              <v:imagedata o:title=""/>
              <o:lock v:ext="edit" aspectratio="f"/>
              <v:textbox inset="0mm,0mm,0mm,0mm" style="mso-fit-shape-to-text:t;">
                <w:txbxContent>
                  <w:p w14:paraId="4F180FCE">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2879B">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E6226">
    <w:pPr>
      <w:pStyle w:val="20"/>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0F1AB">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78892">
    <w:pPr>
      <w:pStyle w:val="20"/>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4101B"/>
    <w:multiLevelType w:val="singleLevel"/>
    <w:tmpl w:val="B414101B"/>
    <w:lvl w:ilvl="0" w:tentative="0">
      <w:start w:val="6"/>
      <w:numFmt w:val="decimal"/>
      <w:lvlText w:val="%1."/>
      <w:lvlJc w:val="left"/>
      <w:pPr>
        <w:tabs>
          <w:tab w:val="left" w:pos="312"/>
        </w:tabs>
      </w:pPr>
    </w:lvl>
  </w:abstractNum>
  <w:abstractNum w:abstractNumId="1">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7A23BE"/>
    <w:rsid w:val="018345E4"/>
    <w:rsid w:val="01852FBD"/>
    <w:rsid w:val="01A06D45"/>
    <w:rsid w:val="01A808A2"/>
    <w:rsid w:val="01BC0965"/>
    <w:rsid w:val="01DB1C83"/>
    <w:rsid w:val="01EA2131"/>
    <w:rsid w:val="01F42D45"/>
    <w:rsid w:val="01FD3B42"/>
    <w:rsid w:val="021D08C9"/>
    <w:rsid w:val="02380249"/>
    <w:rsid w:val="023E7FCC"/>
    <w:rsid w:val="024912E2"/>
    <w:rsid w:val="025A670A"/>
    <w:rsid w:val="02A15559"/>
    <w:rsid w:val="02B756B9"/>
    <w:rsid w:val="03210B08"/>
    <w:rsid w:val="03211304"/>
    <w:rsid w:val="03640CC9"/>
    <w:rsid w:val="040C7CEC"/>
    <w:rsid w:val="04161DF0"/>
    <w:rsid w:val="04165EFB"/>
    <w:rsid w:val="04AB57AE"/>
    <w:rsid w:val="05104339"/>
    <w:rsid w:val="051412A1"/>
    <w:rsid w:val="051908A9"/>
    <w:rsid w:val="05365943"/>
    <w:rsid w:val="05441904"/>
    <w:rsid w:val="05481BC6"/>
    <w:rsid w:val="05886C0F"/>
    <w:rsid w:val="05EA1433"/>
    <w:rsid w:val="05F4071B"/>
    <w:rsid w:val="062F73CE"/>
    <w:rsid w:val="064C74E9"/>
    <w:rsid w:val="06724002"/>
    <w:rsid w:val="06A375A9"/>
    <w:rsid w:val="06B42EA7"/>
    <w:rsid w:val="06F22B07"/>
    <w:rsid w:val="070E664D"/>
    <w:rsid w:val="07382B49"/>
    <w:rsid w:val="076A3DAC"/>
    <w:rsid w:val="077961C6"/>
    <w:rsid w:val="07B22C04"/>
    <w:rsid w:val="07BB0737"/>
    <w:rsid w:val="07C46CC8"/>
    <w:rsid w:val="07EA1DFF"/>
    <w:rsid w:val="07F46244"/>
    <w:rsid w:val="080649A5"/>
    <w:rsid w:val="08290A63"/>
    <w:rsid w:val="082C3238"/>
    <w:rsid w:val="08594641"/>
    <w:rsid w:val="08686B00"/>
    <w:rsid w:val="08994C82"/>
    <w:rsid w:val="08F16230"/>
    <w:rsid w:val="09173BE2"/>
    <w:rsid w:val="095C4949"/>
    <w:rsid w:val="097924AD"/>
    <w:rsid w:val="098132AC"/>
    <w:rsid w:val="09C54786"/>
    <w:rsid w:val="09CB306A"/>
    <w:rsid w:val="09F2400E"/>
    <w:rsid w:val="0A0D1961"/>
    <w:rsid w:val="0A5A419D"/>
    <w:rsid w:val="0A826F4F"/>
    <w:rsid w:val="0AB94A33"/>
    <w:rsid w:val="0AC413A1"/>
    <w:rsid w:val="0ACC7409"/>
    <w:rsid w:val="0AEC3153"/>
    <w:rsid w:val="0B147F71"/>
    <w:rsid w:val="0B1549D5"/>
    <w:rsid w:val="0B1A6380"/>
    <w:rsid w:val="0B4340AA"/>
    <w:rsid w:val="0B5E7C7B"/>
    <w:rsid w:val="0B5F4097"/>
    <w:rsid w:val="0B651BC6"/>
    <w:rsid w:val="0B6E5AC7"/>
    <w:rsid w:val="0BD555F6"/>
    <w:rsid w:val="0C6133EF"/>
    <w:rsid w:val="0C68068F"/>
    <w:rsid w:val="0C77413A"/>
    <w:rsid w:val="0CED3C2C"/>
    <w:rsid w:val="0D0335ED"/>
    <w:rsid w:val="0D4D0739"/>
    <w:rsid w:val="0DE85C35"/>
    <w:rsid w:val="0E4B1BB0"/>
    <w:rsid w:val="0E4B4EB3"/>
    <w:rsid w:val="0E7262FB"/>
    <w:rsid w:val="0EC3241C"/>
    <w:rsid w:val="0ED14613"/>
    <w:rsid w:val="0F052A35"/>
    <w:rsid w:val="0F1C22E2"/>
    <w:rsid w:val="0F2410E0"/>
    <w:rsid w:val="0F91589E"/>
    <w:rsid w:val="0F9359BF"/>
    <w:rsid w:val="0FB32534"/>
    <w:rsid w:val="10037741"/>
    <w:rsid w:val="10097201"/>
    <w:rsid w:val="10152312"/>
    <w:rsid w:val="104C057B"/>
    <w:rsid w:val="104E518D"/>
    <w:rsid w:val="104F742D"/>
    <w:rsid w:val="105A3F0A"/>
    <w:rsid w:val="107101A9"/>
    <w:rsid w:val="107960B1"/>
    <w:rsid w:val="10F0623A"/>
    <w:rsid w:val="10F54AC6"/>
    <w:rsid w:val="11354535"/>
    <w:rsid w:val="114A3B4D"/>
    <w:rsid w:val="11755C50"/>
    <w:rsid w:val="11E31E03"/>
    <w:rsid w:val="12020C04"/>
    <w:rsid w:val="12775458"/>
    <w:rsid w:val="127B5307"/>
    <w:rsid w:val="12BB485E"/>
    <w:rsid w:val="12E36E79"/>
    <w:rsid w:val="12EA2F3A"/>
    <w:rsid w:val="12FB3F33"/>
    <w:rsid w:val="1304734C"/>
    <w:rsid w:val="131858BE"/>
    <w:rsid w:val="13257202"/>
    <w:rsid w:val="13734DAF"/>
    <w:rsid w:val="13E443CD"/>
    <w:rsid w:val="147E55D3"/>
    <w:rsid w:val="1499029D"/>
    <w:rsid w:val="14BF17D8"/>
    <w:rsid w:val="14D721DA"/>
    <w:rsid w:val="15126972"/>
    <w:rsid w:val="151A7746"/>
    <w:rsid w:val="15802E15"/>
    <w:rsid w:val="15E52C78"/>
    <w:rsid w:val="15ED7DB6"/>
    <w:rsid w:val="163730CA"/>
    <w:rsid w:val="16705666"/>
    <w:rsid w:val="16804BD0"/>
    <w:rsid w:val="16995DF6"/>
    <w:rsid w:val="16B0631F"/>
    <w:rsid w:val="16B72867"/>
    <w:rsid w:val="16C50FB2"/>
    <w:rsid w:val="16DB1CA1"/>
    <w:rsid w:val="16EE51E3"/>
    <w:rsid w:val="17207642"/>
    <w:rsid w:val="17231A63"/>
    <w:rsid w:val="175E0C74"/>
    <w:rsid w:val="17766966"/>
    <w:rsid w:val="17914195"/>
    <w:rsid w:val="17AE42AD"/>
    <w:rsid w:val="180D3552"/>
    <w:rsid w:val="182201B4"/>
    <w:rsid w:val="182855F1"/>
    <w:rsid w:val="18F35D67"/>
    <w:rsid w:val="19183BAB"/>
    <w:rsid w:val="193C34F7"/>
    <w:rsid w:val="195938BF"/>
    <w:rsid w:val="195A7AFF"/>
    <w:rsid w:val="197B143D"/>
    <w:rsid w:val="1A2F4EE2"/>
    <w:rsid w:val="1A5A1D34"/>
    <w:rsid w:val="1A6F21FC"/>
    <w:rsid w:val="1A7F1D1C"/>
    <w:rsid w:val="1A857F62"/>
    <w:rsid w:val="1A8B01F5"/>
    <w:rsid w:val="1A980A99"/>
    <w:rsid w:val="1A9E5B80"/>
    <w:rsid w:val="1AC251EA"/>
    <w:rsid w:val="1AC904C5"/>
    <w:rsid w:val="1ACB4B33"/>
    <w:rsid w:val="1AE24E9D"/>
    <w:rsid w:val="1BB37B8D"/>
    <w:rsid w:val="1BD46B71"/>
    <w:rsid w:val="1BF14E41"/>
    <w:rsid w:val="1C1B23C7"/>
    <w:rsid w:val="1C4049E1"/>
    <w:rsid w:val="1C8D2AFB"/>
    <w:rsid w:val="1CB9601D"/>
    <w:rsid w:val="1CE66C3A"/>
    <w:rsid w:val="1D43465E"/>
    <w:rsid w:val="1D450848"/>
    <w:rsid w:val="1D640CB3"/>
    <w:rsid w:val="1DD2622D"/>
    <w:rsid w:val="1E083917"/>
    <w:rsid w:val="1E6278A6"/>
    <w:rsid w:val="1E687389"/>
    <w:rsid w:val="1EEF7FE2"/>
    <w:rsid w:val="1F7A0C65"/>
    <w:rsid w:val="1FEB48B1"/>
    <w:rsid w:val="201631A1"/>
    <w:rsid w:val="203A5E3A"/>
    <w:rsid w:val="205611AE"/>
    <w:rsid w:val="205848BD"/>
    <w:rsid w:val="205A5997"/>
    <w:rsid w:val="20C8006E"/>
    <w:rsid w:val="21052421"/>
    <w:rsid w:val="210D2D95"/>
    <w:rsid w:val="21232A10"/>
    <w:rsid w:val="216E1D66"/>
    <w:rsid w:val="21887344"/>
    <w:rsid w:val="21FD7450"/>
    <w:rsid w:val="220E0B27"/>
    <w:rsid w:val="22316C03"/>
    <w:rsid w:val="229C55F7"/>
    <w:rsid w:val="229C744B"/>
    <w:rsid w:val="22AA4043"/>
    <w:rsid w:val="22E0799A"/>
    <w:rsid w:val="232B60B4"/>
    <w:rsid w:val="23C019F6"/>
    <w:rsid w:val="24370164"/>
    <w:rsid w:val="24701E59"/>
    <w:rsid w:val="24A21B60"/>
    <w:rsid w:val="24D21AAA"/>
    <w:rsid w:val="25164BFC"/>
    <w:rsid w:val="2535428B"/>
    <w:rsid w:val="25363A4E"/>
    <w:rsid w:val="254259F1"/>
    <w:rsid w:val="25695674"/>
    <w:rsid w:val="259971DA"/>
    <w:rsid w:val="25A07695"/>
    <w:rsid w:val="25A54C35"/>
    <w:rsid w:val="25B10E34"/>
    <w:rsid w:val="25B86A75"/>
    <w:rsid w:val="25BA7C7E"/>
    <w:rsid w:val="25C1582D"/>
    <w:rsid w:val="25C85ADE"/>
    <w:rsid w:val="25D03E3D"/>
    <w:rsid w:val="262416A4"/>
    <w:rsid w:val="264653D0"/>
    <w:rsid w:val="26572D4C"/>
    <w:rsid w:val="26E0627B"/>
    <w:rsid w:val="26E47A85"/>
    <w:rsid w:val="26F33B35"/>
    <w:rsid w:val="271B0BF0"/>
    <w:rsid w:val="27384086"/>
    <w:rsid w:val="27452D6D"/>
    <w:rsid w:val="278B30CD"/>
    <w:rsid w:val="27BC3414"/>
    <w:rsid w:val="28173165"/>
    <w:rsid w:val="281F6A3D"/>
    <w:rsid w:val="28BD138E"/>
    <w:rsid w:val="28D62AF2"/>
    <w:rsid w:val="290556B4"/>
    <w:rsid w:val="29257B04"/>
    <w:rsid w:val="29354DAB"/>
    <w:rsid w:val="299D21BC"/>
    <w:rsid w:val="29A547A1"/>
    <w:rsid w:val="29C41A08"/>
    <w:rsid w:val="29C430AC"/>
    <w:rsid w:val="29C50F13"/>
    <w:rsid w:val="29C64887"/>
    <w:rsid w:val="29CC115B"/>
    <w:rsid w:val="29E5070F"/>
    <w:rsid w:val="29EF4215"/>
    <w:rsid w:val="2A231CA8"/>
    <w:rsid w:val="2A273E6F"/>
    <w:rsid w:val="2AAE4D9D"/>
    <w:rsid w:val="2ACF55A8"/>
    <w:rsid w:val="2B164352"/>
    <w:rsid w:val="2B476EFC"/>
    <w:rsid w:val="2BBA1C2C"/>
    <w:rsid w:val="2BC03D34"/>
    <w:rsid w:val="2BC34EC4"/>
    <w:rsid w:val="2C260F85"/>
    <w:rsid w:val="2CF512F3"/>
    <w:rsid w:val="2D067BEC"/>
    <w:rsid w:val="2D0C2B61"/>
    <w:rsid w:val="2D363880"/>
    <w:rsid w:val="2D6C3DB8"/>
    <w:rsid w:val="2E1B251B"/>
    <w:rsid w:val="2E23750C"/>
    <w:rsid w:val="2EC76F67"/>
    <w:rsid w:val="2EC92CDF"/>
    <w:rsid w:val="2EF97E15"/>
    <w:rsid w:val="2F68739C"/>
    <w:rsid w:val="2FBF5EF2"/>
    <w:rsid w:val="2FDB1217"/>
    <w:rsid w:val="2FE83EF8"/>
    <w:rsid w:val="2FF344B8"/>
    <w:rsid w:val="30040642"/>
    <w:rsid w:val="3029612C"/>
    <w:rsid w:val="3056529F"/>
    <w:rsid w:val="3082143F"/>
    <w:rsid w:val="309858E6"/>
    <w:rsid w:val="309A26ED"/>
    <w:rsid w:val="30CC19E5"/>
    <w:rsid w:val="30D35E4E"/>
    <w:rsid w:val="30E72BFB"/>
    <w:rsid w:val="30EE414A"/>
    <w:rsid w:val="31275097"/>
    <w:rsid w:val="313D63DB"/>
    <w:rsid w:val="319E0B3E"/>
    <w:rsid w:val="31CE7EC4"/>
    <w:rsid w:val="31E7004C"/>
    <w:rsid w:val="32134D79"/>
    <w:rsid w:val="322C54FD"/>
    <w:rsid w:val="327B2543"/>
    <w:rsid w:val="32C10A18"/>
    <w:rsid w:val="32D92BBC"/>
    <w:rsid w:val="33102F8D"/>
    <w:rsid w:val="331C20F3"/>
    <w:rsid w:val="332205C8"/>
    <w:rsid w:val="335039CF"/>
    <w:rsid w:val="33585F3A"/>
    <w:rsid w:val="33837C6B"/>
    <w:rsid w:val="33D53E1A"/>
    <w:rsid w:val="34034483"/>
    <w:rsid w:val="343C3F54"/>
    <w:rsid w:val="34A3014E"/>
    <w:rsid w:val="34AC1F61"/>
    <w:rsid w:val="34AC650B"/>
    <w:rsid w:val="34C401D1"/>
    <w:rsid w:val="350A3DDD"/>
    <w:rsid w:val="35317453"/>
    <w:rsid w:val="354E4E4E"/>
    <w:rsid w:val="35543992"/>
    <w:rsid w:val="355A4B75"/>
    <w:rsid w:val="355C0AD5"/>
    <w:rsid w:val="35680EB3"/>
    <w:rsid w:val="359E7435"/>
    <w:rsid w:val="35ED6E95"/>
    <w:rsid w:val="35FC7E3E"/>
    <w:rsid w:val="360A60B7"/>
    <w:rsid w:val="361508C3"/>
    <w:rsid w:val="36323189"/>
    <w:rsid w:val="36586B29"/>
    <w:rsid w:val="36612E47"/>
    <w:rsid w:val="3699568D"/>
    <w:rsid w:val="36DB5CA6"/>
    <w:rsid w:val="36E274F9"/>
    <w:rsid w:val="36F778E7"/>
    <w:rsid w:val="371E578B"/>
    <w:rsid w:val="375A27C9"/>
    <w:rsid w:val="375B2AA3"/>
    <w:rsid w:val="377A66D7"/>
    <w:rsid w:val="377C2FE5"/>
    <w:rsid w:val="37E70466"/>
    <w:rsid w:val="381B7B07"/>
    <w:rsid w:val="38303DCF"/>
    <w:rsid w:val="388C6998"/>
    <w:rsid w:val="38A50703"/>
    <w:rsid w:val="38E86458"/>
    <w:rsid w:val="38F37552"/>
    <w:rsid w:val="393C05D6"/>
    <w:rsid w:val="39427F44"/>
    <w:rsid w:val="3945087F"/>
    <w:rsid w:val="394C69E7"/>
    <w:rsid w:val="394F0285"/>
    <w:rsid w:val="39505360"/>
    <w:rsid w:val="399432C0"/>
    <w:rsid w:val="39954FDB"/>
    <w:rsid w:val="399670D3"/>
    <w:rsid w:val="39CD186A"/>
    <w:rsid w:val="39D3395B"/>
    <w:rsid w:val="39D709A6"/>
    <w:rsid w:val="39DA2903"/>
    <w:rsid w:val="39DE1D35"/>
    <w:rsid w:val="3A461688"/>
    <w:rsid w:val="3A8C21FC"/>
    <w:rsid w:val="3AB46F3A"/>
    <w:rsid w:val="3AD82C28"/>
    <w:rsid w:val="3AD9074E"/>
    <w:rsid w:val="3B2A599F"/>
    <w:rsid w:val="3B660234"/>
    <w:rsid w:val="3B7B4C27"/>
    <w:rsid w:val="3BA54E3E"/>
    <w:rsid w:val="3BB64C1C"/>
    <w:rsid w:val="3C342D9B"/>
    <w:rsid w:val="3CF51B82"/>
    <w:rsid w:val="3D347473"/>
    <w:rsid w:val="3D400FA1"/>
    <w:rsid w:val="3D4A1818"/>
    <w:rsid w:val="3D9559C0"/>
    <w:rsid w:val="3DA57E9B"/>
    <w:rsid w:val="3DEC17B9"/>
    <w:rsid w:val="3E88226F"/>
    <w:rsid w:val="3E9C5D1B"/>
    <w:rsid w:val="3EF95BA7"/>
    <w:rsid w:val="3F586BC5"/>
    <w:rsid w:val="3F5F4CCF"/>
    <w:rsid w:val="3F6F42A9"/>
    <w:rsid w:val="3FDD483D"/>
    <w:rsid w:val="3FF86DBE"/>
    <w:rsid w:val="40141BC7"/>
    <w:rsid w:val="40450345"/>
    <w:rsid w:val="40A26D62"/>
    <w:rsid w:val="40B01F51"/>
    <w:rsid w:val="40EF444E"/>
    <w:rsid w:val="40F36398"/>
    <w:rsid w:val="40FE0F0E"/>
    <w:rsid w:val="41087DA2"/>
    <w:rsid w:val="41607EC4"/>
    <w:rsid w:val="416367FB"/>
    <w:rsid w:val="41BC5B41"/>
    <w:rsid w:val="41C87C39"/>
    <w:rsid w:val="41E57FFA"/>
    <w:rsid w:val="4242307D"/>
    <w:rsid w:val="427664C2"/>
    <w:rsid w:val="42AE7D3A"/>
    <w:rsid w:val="42C05DDB"/>
    <w:rsid w:val="42DE4B54"/>
    <w:rsid w:val="42E25FFF"/>
    <w:rsid w:val="42E94F7C"/>
    <w:rsid w:val="43375DF4"/>
    <w:rsid w:val="4358220E"/>
    <w:rsid w:val="43E45AF4"/>
    <w:rsid w:val="43F82ECA"/>
    <w:rsid w:val="44623DBC"/>
    <w:rsid w:val="44AB201A"/>
    <w:rsid w:val="44D107B7"/>
    <w:rsid w:val="451330CC"/>
    <w:rsid w:val="4518783B"/>
    <w:rsid w:val="453C5F9E"/>
    <w:rsid w:val="45817B4F"/>
    <w:rsid w:val="4642004E"/>
    <w:rsid w:val="46596B37"/>
    <w:rsid w:val="4660675D"/>
    <w:rsid w:val="46674E60"/>
    <w:rsid w:val="46683089"/>
    <w:rsid w:val="46770F87"/>
    <w:rsid w:val="46B36752"/>
    <w:rsid w:val="46F45FAF"/>
    <w:rsid w:val="473E5925"/>
    <w:rsid w:val="47530CE0"/>
    <w:rsid w:val="476741EB"/>
    <w:rsid w:val="47F70466"/>
    <w:rsid w:val="48065DB2"/>
    <w:rsid w:val="48621A93"/>
    <w:rsid w:val="48C5709F"/>
    <w:rsid w:val="49105A7D"/>
    <w:rsid w:val="49514E3C"/>
    <w:rsid w:val="4972319F"/>
    <w:rsid w:val="498A37A7"/>
    <w:rsid w:val="498D150F"/>
    <w:rsid w:val="49F91A85"/>
    <w:rsid w:val="4A4E5109"/>
    <w:rsid w:val="4A4E6A63"/>
    <w:rsid w:val="4A8E048D"/>
    <w:rsid w:val="4AB1135A"/>
    <w:rsid w:val="4AB82869"/>
    <w:rsid w:val="4ACC65DF"/>
    <w:rsid w:val="4B207C5E"/>
    <w:rsid w:val="4B6422B6"/>
    <w:rsid w:val="4B8025FD"/>
    <w:rsid w:val="4B9D1FFC"/>
    <w:rsid w:val="4BA14F5C"/>
    <w:rsid w:val="4BB26B7D"/>
    <w:rsid w:val="4BD0684C"/>
    <w:rsid w:val="4BE83DFC"/>
    <w:rsid w:val="4C625235"/>
    <w:rsid w:val="4C980790"/>
    <w:rsid w:val="4CA02E7A"/>
    <w:rsid w:val="4CB614C5"/>
    <w:rsid w:val="4CF626D0"/>
    <w:rsid w:val="4D2424A4"/>
    <w:rsid w:val="4D7E21EA"/>
    <w:rsid w:val="4D9E4CE9"/>
    <w:rsid w:val="4DF20539"/>
    <w:rsid w:val="4DFC4A28"/>
    <w:rsid w:val="4E0256F8"/>
    <w:rsid w:val="4E4F73B4"/>
    <w:rsid w:val="4E50267E"/>
    <w:rsid w:val="4E5D3049"/>
    <w:rsid w:val="4E8B0864"/>
    <w:rsid w:val="4E8F31A6"/>
    <w:rsid w:val="4E9E4212"/>
    <w:rsid w:val="4ED85325"/>
    <w:rsid w:val="4EEA4880"/>
    <w:rsid w:val="4EEB70E8"/>
    <w:rsid w:val="4F015A34"/>
    <w:rsid w:val="4F2443CB"/>
    <w:rsid w:val="50642410"/>
    <w:rsid w:val="507C0E3C"/>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E52FC3"/>
    <w:rsid w:val="52F14A71"/>
    <w:rsid w:val="534D2CEE"/>
    <w:rsid w:val="53887714"/>
    <w:rsid w:val="53BC772E"/>
    <w:rsid w:val="53C438F2"/>
    <w:rsid w:val="53FB2F47"/>
    <w:rsid w:val="54017EEF"/>
    <w:rsid w:val="540F7CC5"/>
    <w:rsid w:val="543A5BEB"/>
    <w:rsid w:val="543D1653"/>
    <w:rsid w:val="54506385"/>
    <w:rsid w:val="54913993"/>
    <w:rsid w:val="54B46D2D"/>
    <w:rsid w:val="54EA346C"/>
    <w:rsid w:val="54F40207"/>
    <w:rsid w:val="55550950"/>
    <w:rsid w:val="5555290C"/>
    <w:rsid w:val="55DB3350"/>
    <w:rsid w:val="55E73FD5"/>
    <w:rsid w:val="561F23C8"/>
    <w:rsid w:val="5621502B"/>
    <w:rsid w:val="564621E6"/>
    <w:rsid w:val="5653730A"/>
    <w:rsid w:val="569F0011"/>
    <w:rsid w:val="5705216A"/>
    <w:rsid w:val="570D3D70"/>
    <w:rsid w:val="574B719F"/>
    <w:rsid w:val="575625C6"/>
    <w:rsid w:val="575D053A"/>
    <w:rsid w:val="57753B29"/>
    <w:rsid w:val="57AA1051"/>
    <w:rsid w:val="57BC7823"/>
    <w:rsid w:val="5831358A"/>
    <w:rsid w:val="58350A83"/>
    <w:rsid w:val="585B2F03"/>
    <w:rsid w:val="588D53BE"/>
    <w:rsid w:val="58BD6097"/>
    <w:rsid w:val="592E105D"/>
    <w:rsid w:val="593212FE"/>
    <w:rsid w:val="59481573"/>
    <w:rsid w:val="596B467B"/>
    <w:rsid w:val="59867087"/>
    <w:rsid w:val="598915A6"/>
    <w:rsid w:val="59D9354F"/>
    <w:rsid w:val="59F757E6"/>
    <w:rsid w:val="59FE2A1F"/>
    <w:rsid w:val="5A235F34"/>
    <w:rsid w:val="5A387DC2"/>
    <w:rsid w:val="5A5C770E"/>
    <w:rsid w:val="5A957D82"/>
    <w:rsid w:val="5AA62968"/>
    <w:rsid w:val="5AD54636"/>
    <w:rsid w:val="5B0B1E06"/>
    <w:rsid w:val="5B4F313F"/>
    <w:rsid w:val="5B7D45EA"/>
    <w:rsid w:val="5BD20B76"/>
    <w:rsid w:val="5BD65D63"/>
    <w:rsid w:val="5C2917C9"/>
    <w:rsid w:val="5CB3733F"/>
    <w:rsid w:val="5CBD4BB2"/>
    <w:rsid w:val="5CE90E9E"/>
    <w:rsid w:val="5D3B1851"/>
    <w:rsid w:val="5D860856"/>
    <w:rsid w:val="5D871691"/>
    <w:rsid w:val="5E6E536B"/>
    <w:rsid w:val="5EA31B38"/>
    <w:rsid w:val="5EEB4428"/>
    <w:rsid w:val="5F3C1128"/>
    <w:rsid w:val="5F5E1B86"/>
    <w:rsid w:val="5F816B3B"/>
    <w:rsid w:val="5F91367F"/>
    <w:rsid w:val="5FBA29C5"/>
    <w:rsid w:val="5FEC6D13"/>
    <w:rsid w:val="60190A70"/>
    <w:rsid w:val="608F2EE2"/>
    <w:rsid w:val="60C95589"/>
    <w:rsid w:val="612D4D53"/>
    <w:rsid w:val="615F317C"/>
    <w:rsid w:val="617050B9"/>
    <w:rsid w:val="61926DDD"/>
    <w:rsid w:val="62175534"/>
    <w:rsid w:val="621F43E9"/>
    <w:rsid w:val="623507B5"/>
    <w:rsid w:val="623B46F0"/>
    <w:rsid w:val="62540044"/>
    <w:rsid w:val="625B223E"/>
    <w:rsid w:val="625C7814"/>
    <w:rsid w:val="62C76F5B"/>
    <w:rsid w:val="636968FC"/>
    <w:rsid w:val="63CD1056"/>
    <w:rsid w:val="63DC7EBB"/>
    <w:rsid w:val="63F10F9A"/>
    <w:rsid w:val="642E1C76"/>
    <w:rsid w:val="64542A70"/>
    <w:rsid w:val="64923598"/>
    <w:rsid w:val="64A31301"/>
    <w:rsid w:val="64BE79CE"/>
    <w:rsid w:val="64F27480"/>
    <w:rsid w:val="65072324"/>
    <w:rsid w:val="65423703"/>
    <w:rsid w:val="65601E8C"/>
    <w:rsid w:val="657C5222"/>
    <w:rsid w:val="659C46CE"/>
    <w:rsid w:val="65F76125"/>
    <w:rsid w:val="65F8635A"/>
    <w:rsid w:val="66363A30"/>
    <w:rsid w:val="666A0329"/>
    <w:rsid w:val="66967370"/>
    <w:rsid w:val="66BB1AFB"/>
    <w:rsid w:val="66E31E89"/>
    <w:rsid w:val="66EF6A80"/>
    <w:rsid w:val="674D3CE9"/>
    <w:rsid w:val="67582877"/>
    <w:rsid w:val="67797A29"/>
    <w:rsid w:val="6792167D"/>
    <w:rsid w:val="67BD350F"/>
    <w:rsid w:val="683C5CF5"/>
    <w:rsid w:val="68534DEC"/>
    <w:rsid w:val="68A74F49"/>
    <w:rsid w:val="68E24AEE"/>
    <w:rsid w:val="68F3424F"/>
    <w:rsid w:val="692C0E45"/>
    <w:rsid w:val="69454812"/>
    <w:rsid w:val="6951757E"/>
    <w:rsid w:val="69586B7B"/>
    <w:rsid w:val="6967075D"/>
    <w:rsid w:val="69C550B4"/>
    <w:rsid w:val="69FA13E7"/>
    <w:rsid w:val="6A2B09DC"/>
    <w:rsid w:val="6A2D5A65"/>
    <w:rsid w:val="6A4B47ED"/>
    <w:rsid w:val="6A6376B8"/>
    <w:rsid w:val="6A7755A9"/>
    <w:rsid w:val="6AC84FD1"/>
    <w:rsid w:val="6B5B689E"/>
    <w:rsid w:val="6B8C3A28"/>
    <w:rsid w:val="6BAE6F51"/>
    <w:rsid w:val="6BED6C60"/>
    <w:rsid w:val="6BEE7306"/>
    <w:rsid w:val="6BFB42D8"/>
    <w:rsid w:val="6C1D7BEB"/>
    <w:rsid w:val="6C28157C"/>
    <w:rsid w:val="6C4611A4"/>
    <w:rsid w:val="6C4B6506"/>
    <w:rsid w:val="6C561B1F"/>
    <w:rsid w:val="6CF43042"/>
    <w:rsid w:val="6CFC73C8"/>
    <w:rsid w:val="6D1E4BE6"/>
    <w:rsid w:val="6D242654"/>
    <w:rsid w:val="6D4F725D"/>
    <w:rsid w:val="6D555865"/>
    <w:rsid w:val="6D70286F"/>
    <w:rsid w:val="6DB93944"/>
    <w:rsid w:val="6DBC675B"/>
    <w:rsid w:val="6DD61BC7"/>
    <w:rsid w:val="6DDC0427"/>
    <w:rsid w:val="6E14078A"/>
    <w:rsid w:val="6E283E10"/>
    <w:rsid w:val="6E3F4BB9"/>
    <w:rsid w:val="6E3F7887"/>
    <w:rsid w:val="6E525EE2"/>
    <w:rsid w:val="6E625D89"/>
    <w:rsid w:val="6E9F3C9F"/>
    <w:rsid w:val="6F101C89"/>
    <w:rsid w:val="6F2B6AD3"/>
    <w:rsid w:val="6F685621"/>
    <w:rsid w:val="6F9C2B61"/>
    <w:rsid w:val="6FEE07C1"/>
    <w:rsid w:val="700510C2"/>
    <w:rsid w:val="700649E3"/>
    <w:rsid w:val="702B672C"/>
    <w:rsid w:val="70765881"/>
    <w:rsid w:val="70D53633"/>
    <w:rsid w:val="70D73178"/>
    <w:rsid w:val="70DC7D22"/>
    <w:rsid w:val="710E3FA6"/>
    <w:rsid w:val="71294435"/>
    <w:rsid w:val="713779A1"/>
    <w:rsid w:val="71912C7F"/>
    <w:rsid w:val="71C650B7"/>
    <w:rsid w:val="71C761FE"/>
    <w:rsid w:val="71CF1988"/>
    <w:rsid w:val="72190E55"/>
    <w:rsid w:val="72503520"/>
    <w:rsid w:val="72777FE9"/>
    <w:rsid w:val="72DE4300"/>
    <w:rsid w:val="72E560B4"/>
    <w:rsid w:val="73335CBB"/>
    <w:rsid w:val="73821344"/>
    <w:rsid w:val="73EA5560"/>
    <w:rsid w:val="74161F51"/>
    <w:rsid w:val="744D3038"/>
    <w:rsid w:val="74516218"/>
    <w:rsid w:val="74644DBD"/>
    <w:rsid w:val="74C36260"/>
    <w:rsid w:val="756107BC"/>
    <w:rsid w:val="75834F63"/>
    <w:rsid w:val="759C7DD3"/>
    <w:rsid w:val="75DF0C59"/>
    <w:rsid w:val="75FD3BFF"/>
    <w:rsid w:val="763D7A3F"/>
    <w:rsid w:val="765A0D7E"/>
    <w:rsid w:val="765F74DF"/>
    <w:rsid w:val="766A4304"/>
    <w:rsid w:val="769A6A08"/>
    <w:rsid w:val="76A943A2"/>
    <w:rsid w:val="76F45FD6"/>
    <w:rsid w:val="76F60028"/>
    <w:rsid w:val="77493ED3"/>
    <w:rsid w:val="775B7CD8"/>
    <w:rsid w:val="775C0D72"/>
    <w:rsid w:val="77F05635"/>
    <w:rsid w:val="77F65547"/>
    <w:rsid w:val="780D4FB8"/>
    <w:rsid w:val="785018A3"/>
    <w:rsid w:val="7855420A"/>
    <w:rsid w:val="785D3F2D"/>
    <w:rsid w:val="786E0A50"/>
    <w:rsid w:val="787D49D6"/>
    <w:rsid w:val="78C97718"/>
    <w:rsid w:val="7945759A"/>
    <w:rsid w:val="795D123B"/>
    <w:rsid w:val="7987101F"/>
    <w:rsid w:val="79C93160"/>
    <w:rsid w:val="79CC5C0E"/>
    <w:rsid w:val="79D008FA"/>
    <w:rsid w:val="79E36920"/>
    <w:rsid w:val="7A101AB7"/>
    <w:rsid w:val="7A7E219D"/>
    <w:rsid w:val="7AE02DF1"/>
    <w:rsid w:val="7B0F54EB"/>
    <w:rsid w:val="7B252618"/>
    <w:rsid w:val="7B3E72C4"/>
    <w:rsid w:val="7B64029B"/>
    <w:rsid w:val="7B8B781D"/>
    <w:rsid w:val="7BF0649A"/>
    <w:rsid w:val="7C163879"/>
    <w:rsid w:val="7C581C2C"/>
    <w:rsid w:val="7C921634"/>
    <w:rsid w:val="7CA46A66"/>
    <w:rsid w:val="7CC04412"/>
    <w:rsid w:val="7CF4552D"/>
    <w:rsid w:val="7D07647A"/>
    <w:rsid w:val="7D2D1C58"/>
    <w:rsid w:val="7D43322A"/>
    <w:rsid w:val="7D6C22BD"/>
    <w:rsid w:val="7D6C452F"/>
    <w:rsid w:val="7D90323E"/>
    <w:rsid w:val="7DA74646"/>
    <w:rsid w:val="7DE01D7D"/>
    <w:rsid w:val="7E256D04"/>
    <w:rsid w:val="7E2C609E"/>
    <w:rsid w:val="7ED74932"/>
    <w:rsid w:val="7EE37ECB"/>
    <w:rsid w:val="7EE477AF"/>
    <w:rsid w:val="7F0E3679"/>
    <w:rsid w:val="7F6320EC"/>
    <w:rsid w:val="7FAF16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sz w:val="24"/>
      <w:szCs w:val="24"/>
      <w:lang w:val="en-US" w:eastAsia="zh-CN" w:bidi="ar-SA"/>
    </w:rPr>
  </w:style>
  <w:style w:type="paragraph" w:styleId="2">
    <w:name w:val="heading 1"/>
    <w:basedOn w:val="1"/>
    <w:next w:val="1"/>
    <w:link w:val="37"/>
    <w:qFormat/>
    <w:uiPriority w:val="9"/>
    <w:pPr>
      <w:spacing w:line="360" w:lineRule="auto"/>
      <w:jc w:val="center"/>
      <w:outlineLvl w:val="0"/>
    </w:pPr>
    <w:rPr>
      <w:rFonts w:ascii="方正小标宋_GBK" w:hAnsi="仿宋" w:eastAsia="方正小标宋_GBK"/>
      <w:sz w:val="44"/>
      <w:szCs w:val="44"/>
    </w:rPr>
  </w:style>
  <w:style w:type="paragraph" w:styleId="3">
    <w:name w:val="heading 2"/>
    <w:basedOn w:val="1"/>
    <w:next w:val="1"/>
    <w:link w:val="38"/>
    <w:unhideWhenUsed/>
    <w:qFormat/>
    <w:uiPriority w:val="9"/>
    <w:pPr>
      <w:spacing w:line="560" w:lineRule="exact"/>
      <w:ind w:firstLine="640" w:firstLineChars="200"/>
      <w:jc w:val="both"/>
      <w:outlineLvl w:val="1"/>
    </w:pPr>
    <w:rPr>
      <w:rFonts w:ascii="楷体" w:hAnsi="楷体" w:eastAsia="黑体"/>
      <w:sz w:val="32"/>
      <w:szCs w:val="32"/>
    </w:rPr>
  </w:style>
  <w:style w:type="paragraph" w:styleId="4">
    <w:name w:val="heading 3"/>
    <w:basedOn w:val="1"/>
    <w:next w:val="1"/>
    <w:link w:val="39"/>
    <w:unhideWhenUsed/>
    <w:qFormat/>
    <w:uiPriority w:val="9"/>
    <w:pPr>
      <w:spacing w:line="560" w:lineRule="exact"/>
      <w:jc w:val="center"/>
      <w:outlineLvl w:val="2"/>
    </w:pPr>
    <w:rPr>
      <w:rFonts w:ascii="方正小标宋_GBK" w:hAnsi="仿宋" w:eastAsia="方正小标宋_GBK"/>
      <w:sz w:val="36"/>
      <w:szCs w:val="36"/>
    </w:rPr>
  </w:style>
  <w:style w:type="paragraph" w:styleId="5">
    <w:name w:val="heading 4"/>
    <w:basedOn w:val="1"/>
    <w:next w:val="1"/>
    <w:link w:val="40"/>
    <w:unhideWhenUsed/>
    <w:qFormat/>
    <w:uiPriority w:val="9"/>
    <w:pPr>
      <w:keepNext/>
      <w:numPr>
        <w:ilvl w:val="3"/>
        <w:numId w:val="1"/>
      </w:numPr>
      <w:spacing w:before="240" w:after="60"/>
      <w:outlineLvl w:val="3"/>
    </w:pPr>
    <w:rPr>
      <w:rFonts w:cs="Times New Roman"/>
      <w:b/>
      <w:bCs/>
      <w:sz w:val="28"/>
      <w:szCs w:val="28"/>
    </w:rPr>
  </w:style>
  <w:style w:type="paragraph" w:styleId="6">
    <w:name w:val="heading 5"/>
    <w:basedOn w:val="1"/>
    <w:next w:val="1"/>
    <w:link w:val="41"/>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42"/>
    <w:unhideWhenUsed/>
    <w:qFormat/>
    <w:uiPriority w:val="9"/>
    <w:pPr>
      <w:numPr>
        <w:ilvl w:val="5"/>
        <w:numId w:val="1"/>
      </w:numPr>
      <w:spacing w:before="240" w:after="60"/>
      <w:outlineLvl w:val="5"/>
    </w:pPr>
    <w:rPr>
      <w:rFonts w:cs="Times New Roman"/>
      <w:b/>
      <w:bCs/>
      <w:sz w:val="22"/>
      <w:szCs w:val="22"/>
    </w:rPr>
  </w:style>
  <w:style w:type="paragraph" w:styleId="8">
    <w:name w:val="heading 7"/>
    <w:basedOn w:val="1"/>
    <w:next w:val="1"/>
    <w:link w:val="43"/>
    <w:unhideWhenUsed/>
    <w:qFormat/>
    <w:uiPriority w:val="9"/>
    <w:pPr>
      <w:numPr>
        <w:ilvl w:val="6"/>
        <w:numId w:val="1"/>
      </w:numPr>
      <w:spacing w:before="240" w:after="60"/>
      <w:outlineLvl w:val="6"/>
    </w:pPr>
  </w:style>
  <w:style w:type="paragraph" w:styleId="9">
    <w:name w:val="heading 8"/>
    <w:basedOn w:val="1"/>
    <w:next w:val="1"/>
    <w:link w:val="44"/>
    <w:unhideWhenUsed/>
    <w:qFormat/>
    <w:uiPriority w:val="9"/>
    <w:pPr>
      <w:numPr>
        <w:ilvl w:val="7"/>
        <w:numId w:val="1"/>
      </w:numPr>
      <w:spacing w:before="240" w:after="60"/>
      <w:outlineLvl w:val="7"/>
    </w:pPr>
    <w:rPr>
      <w:rFonts w:cs="Times New Roman"/>
      <w:i/>
      <w:iCs/>
    </w:rPr>
  </w:style>
  <w:style w:type="paragraph" w:styleId="10">
    <w:name w:val="heading 9"/>
    <w:basedOn w:val="1"/>
    <w:next w:val="1"/>
    <w:link w:val="45"/>
    <w:unhideWhenUsed/>
    <w:qFormat/>
    <w:uiPriority w:val="9"/>
    <w:pPr>
      <w:numPr>
        <w:ilvl w:val="8"/>
        <w:numId w:val="1"/>
      </w:numPr>
      <w:spacing w:before="240" w:after="60"/>
      <w:outlineLvl w:val="8"/>
    </w:pPr>
    <w:rPr>
      <w:rFonts w:ascii="Calibri Light" w:hAnsi="Calibri Light" w:eastAsia="宋体" w:cs="Times New Roman"/>
      <w:sz w:val="22"/>
      <w:szCs w:val="2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unhideWhenUsed/>
    <w:qFormat/>
    <w:uiPriority w:val="35"/>
    <w:rPr>
      <w:rFonts w:ascii="Calibri Light" w:hAnsi="Calibri Light" w:eastAsia="黑体" w:cs="Times New Roman"/>
      <w:sz w:val="20"/>
      <w:szCs w:val="20"/>
    </w:rPr>
  </w:style>
  <w:style w:type="paragraph" w:styleId="13">
    <w:name w:val="Document Map"/>
    <w:basedOn w:val="1"/>
    <w:link w:val="46"/>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47"/>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48"/>
    <w:unhideWhenUsed/>
    <w:qFormat/>
    <w:uiPriority w:val="99"/>
    <w:pPr>
      <w:ind w:left="100" w:leftChars="2500"/>
    </w:pPr>
  </w:style>
  <w:style w:type="paragraph" w:styleId="18">
    <w:name w:val="Balloon Text"/>
    <w:basedOn w:val="1"/>
    <w:link w:val="49"/>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52"/>
    <w:qFormat/>
    <w:uiPriority w:val="11"/>
    <w:pPr>
      <w:keepNext/>
      <w:spacing w:before="50" w:beforeLines="50" w:after="50" w:afterLines="50"/>
      <w:jc w:val="center"/>
      <w:outlineLvl w:val="1"/>
    </w:pPr>
    <w:rPr>
      <w:rFonts w:ascii="Calibri" w:hAnsi="Calibri" w:eastAsia="黑体" w:cs="Times New Roman"/>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53"/>
    <w:qFormat/>
    <w:uiPriority w:val="10"/>
    <w:pPr>
      <w:spacing w:before="240" w:after="60"/>
      <w:jc w:val="center"/>
      <w:outlineLvl w:val="0"/>
    </w:pPr>
    <w:rPr>
      <w:rFonts w:ascii="Calibri Light" w:hAnsi="Calibri Light" w:eastAsia="宋体" w:cs="Times New Roman"/>
      <w:b/>
      <w:bCs/>
      <w:kern w:val="28"/>
      <w:sz w:val="32"/>
      <w:szCs w:val="32"/>
    </w:rPr>
  </w:style>
  <w:style w:type="paragraph" w:styleId="26">
    <w:name w:val="annotation subject"/>
    <w:basedOn w:val="14"/>
    <w:next w:val="14"/>
    <w:link w:val="54"/>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unhideWhenUsed/>
    <w:qFormat/>
    <w:uiPriority w:val="99"/>
    <w:rPr>
      <w:color w:val="954F72"/>
      <w:u w:val="single"/>
    </w:rPr>
  </w:style>
  <w:style w:type="character" w:styleId="34">
    <w:name w:val="Emphasis"/>
    <w:basedOn w:val="30"/>
    <w:qFormat/>
    <w:uiPriority w:val="20"/>
    <w:rPr>
      <w:rFonts w:ascii="Calibri" w:hAnsi="Calibri"/>
      <w:b/>
      <w:i/>
      <w:iCs/>
    </w:rPr>
  </w:style>
  <w:style w:type="character" w:styleId="35">
    <w:name w:val="Hyperlink"/>
    <w:basedOn w:val="30"/>
    <w:unhideWhenUsed/>
    <w:qFormat/>
    <w:uiPriority w:val="99"/>
    <w:rPr>
      <w:color w:val="0563C1"/>
      <w:u w:val="single"/>
    </w:rPr>
  </w:style>
  <w:style w:type="character" w:styleId="36">
    <w:name w:val="annotation reference"/>
    <w:basedOn w:val="30"/>
    <w:unhideWhenUsed/>
    <w:qFormat/>
    <w:uiPriority w:val="99"/>
    <w:rPr>
      <w:sz w:val="21"/>
      <w:szCs w:val="21"/>
    </w:rPr>
  </w:style>
  <w:style w:type="character" w:customStyle="1" w:styleId="37">
    <w:name w:val="标题 1 字符"/>
    <w:basedOn w:val="30"/>
    <w:link w:val="2"/>
    <w:qFormat/>
    <w:uiPriority w:val="9"/>
    <w:rPr>
      <w:rFonts w:ascii="方正小标宋_GBK" w:hAnsi="仿宋" w:eastAsia="方正小标宋_GBK"/>
      <w:sz w:val="44"/>
      <w:szCs w:val="44"/>
    </w:rPr>
  </w:style>
  <w:style w:type="character" w:customStyle="1" w:styleId="38">
    <w:name w:val="标题 2 字符"/>
    <w:basedOn w:val="30"/>
    <w:link w:val="3"/>
    <w:qFormat/>
    <w:uiPriority w:val="9"/>
    <w:rPr>
      <w:rFonts w:ascii="楷体" w:hAnsi="楷体" w:eastAsia="黑体"/>
      <w:sz w:val="32"/>
      <w:szCs w:val="32"/>
    </w:rPr>
  </w:style>
  <w:style w:type="character" w:customStyle="1" w:styleId="39">
    <w:name w:val="标题 3 字符"/>
    <w:basedOn w:val="30"/>
    <w:link w:val="4"/>
    <w:qFormat/>
    <w:uiPriority w:val="9"/>
    <w:rPr>
      <w:rFonts w:ascii="方正小标宋_GBK" w:hAnsi="仿宋" w:eastAsia="方正小标宋_GBK"/>
      <w:sz w:val="36"/>
      <w:szCs w:val="36"/>
    </w:rPr>
  </w:style>
  <w:style w:type="character" w:customStyle="1" w:styleId="40">
    <w:name w:val="标题 4 字符"/>
    <w:basedOn w:val="30"/>
    <w:link w:val="5"/>
    <w:semiHidden/>
    <w:qFormat/>
    <w:uiPriority w:val="9"/>
    <w:rPr>
      <w:rFonts w:cs="Times New Roman"/>
      <w:b/>
      <w:bCs/>
      <w:sz w:val="28"/>
      <w:szCs w:val="28"/>
    </w:rPr>
  </w:style>
  <w:style w:type="character" w:customStyle="1" w:styleId="41">
    <w:name w:val="标题 5 字符"/>
    <w:basedOn w:val="30"/>
    <w:link w:val="6"/>
    <w:semiHidden/>
    <w:qFormat/>
    <w:uiPriority w:val="9"/>
    <w:rPr>
      <w:b/>
      <w:bCs/>
      <w:i/>
      <w:iCs/>
      <w:sz w:val="26"/>
      <w:szCs w:val="26"/>
    </w:rPr>
  </w:style>
  <w:style w:type="character" w:customStyle="1" w:styleId="42">
    <w:name w:val="标题 6 字符"/>
    <w:basedOn w:val="30"/>
    <w:link w:val="7"/>
    <w:semiHidden/>
    <w:qFormat/>
    <w:uiPriority w:val="9"/>
    <w:rPr>
      <w:rFonts w:cs="Times New Roman"/>
      <w:b/>
      <w:bCs/>
    </w:rPr>
  </w:style>
  <w:style w:type="character" w:customStyle="1" w:styleId="43">
    <w:name w:val="标题 7 字符"/>
    <w:basedOn w:val="30"/>
    <w:link w:val="8"/>
    <w:semiHidden/>
    <w:qFormat/>
    <w:uiPriority w:val="9"/>
    <w:rPr>
      <w:sz w:val="24"/>
      <w:szCs w:val="24"/>
    </w:rPr>
  </w:style>
  <w:style w:type="character" w:customStyle="1" w:styleId="44">
    <w:name w:val="标题 8 字符"/>
    <w:basedOn w:val="30"/>
    <w:link w:val="9"/>
    <w:semiHidden/>
    <w:qFormat/>
    <w:uiPriority w:val="9"/>
    <w:rPr>
      <w:rFonts w:cs="Times New Roman"/>
      <w:i/>
      <w:iCs/>
      <w:sz w:val="24"/>
      <w:szCs w:val="24"/>
    </w:rPr>
  </w:style>
  <w:style w:type="character" w:customStyle="1" w:styleId="45">
    <w:name w:val="标题 9 字符"/>
    <w:basedOn w:val="30"/>
    <w:link w:val="10"/>
    <w:semiHidden/>
    <w:qFormat/>
    <w:uiPriority w:val="9"/>
    <w:rPr>
      <w:rFonts w:ascii="Calibri Light" w:hAnsi="Calibri Light" w:eastAsia="宋体" w:cs="Times New Roman"/>
    </w:rPr>
  </w:style>
  <w:style w:type="character" w:customStyle="1" w:styleId="46">
    <w:name w:val="文档结构图 字符"/>
    <w:basedOn w:val="30"/>
    <w:link w:val="13"/>
    <w:semiHidden/>
    <w:qFormat/>
    <w:uiPriority w:val="99"/>
    <w:rPr>
      <w:rFonts w:ascii="宋体" w:hAnsi="Calibri Light" w:eastAsia="宋体" w:cs="Calibri Light"/>
      <w:kern w:val="2"/>
      <w:sz w:val="18"/>
      <w:szCs w:val="18"/>
    </w:rPr>
  </w:style>
  <w:style w:type="character" w:customStyle="1" w:styleId="47">
    <w:name w:val="批注文字 字符"/>
    <w:basedOn w:val="30"/>
    <w:link w:val="14"/>
    <w:qFormat/>
    <w:uiPriority w:val="99"/>
    <w:rPr>
      <w:rFonts w:ascii="Calibri Light" w:hAnsi="Calibri Light" w:eastAsia="华文仿宋" w:cs="Calibri Light"/>
      <w:kern w:val="2"/>
      <w:sz w:val="28"/>
      <w:szCs w:val="28"/>
    </w:rPr>
  </w:style>
  <w:style w:type="character" w:customStyle="1" w:styleId="48">
    <w:name w:val="日期 字符"/>
    <w:basedOn w:val="30"/>
    <w:link w:val="17"/>
    <w:semiHidden/>
    <w:qFormat/>
    <w:uiPriority w:val="99"/>
    <w:rPr>
      <w:rFonts w:ascii="华文仿宋" w:hAnsi="华文仿宋" w:eastAsia="华文仿宋"/>
      <w:sz w:val="28"/>
      <w:szCs w:val="28"/>
    </w:rPr>
  </w:style>
  <w:style w:type="character" w:customStyle="1" w:styleId="49">
    <w:name w:val="批注框文本 字符"/>
    <w:basedOn w:val="30"/>
    <w:link w:val="18"/>
    <w:semiHidden/>
    <w:qFormat/>
    <w:uiPriority w:val="99"/>
    <w:rPr>
      <w:sz w:val="18"/>
      <w:szCs w:val="18"/>
    </w:rPr>
  </w:style>
  <w:style w:type="character" w:customStyle="1" w:styleId="50">
    <w:name w:val="页脚 字符"/>
    <w:basedOn w:val="30"/>
    <w:link w:val="19"/>
    <w:qFormat/>
    <w:uiPriority w:val="99"/>
    <w:rPr>
      <w:rFonts w:ascii="华文仿宋" w:hAnsi="华文仿宋" w:eastAsia="华文仿宋"/>
      <w:sz w:val="18"/>
      <w:szCs w:val="18"/>
    </w:rPr>
  </w:style>
  <w:style w:type="character" w:customStyle="1" w:styleId="51">
    <w:name w:val="页眉 字符"/>
    <w:basedOn w:val="30"/>
    <w:link w:val="20"/>
    <w:qFormat/>
    <w:uiPriority w:val="0"/>
    <w:rPr>
      <w:rFonts w:ascii="华文仿宋" w:hAnsi="华文仿宋" w:eastAsia="华文仿宋"/>
      <w:sz w:val="18"/>
      <w:szCs w:val="18"/>
    </w:rPr>
  </w:style>
  <w:style w:type="character" w:customStyle="1" w:styleId="52">
    <w:name w:val="副标题 字符"/>
    <w:basedOn w:val="30"/>
    <w:link w:val="22"/>
    <w:qFormat/>
    <w:uiPriority w:val="11"/>
    <w:rPr>
      <w:rFonts w:ascii="Calibri" w:hAnsi="Calibri" w:eastAsia="黑体" w:cs="Times New Roman"/>
      <w:sz w:val="32"/>
      <w:szCs w:val="24"/>
    </w:rPr>
  </w:style>
  <w:style w:type="character" w:customStyle="1" w:styleId="53">
    <w:name w:val="标题 字符"/>
    <w:basedOn w:val="30"/>
    <w:link w:val="25"/>
    <w:qFormat/>
    <w:uiPriority w:val="10"/>
    <w:rPr>
      <w:rFonts w:ascii="Calibri Light" w:hAnsi="Calibri Light" w:eastAsia="宋体" w:cs="Times New Roman"/>
      <w:b/>
      <w:bCs/>
      <w:kern w:val="28"/>
      <w:sz w:val="32"/>
      <w:szCs w:val="32"/>
    </w:rPr>
  </w:style>
  <w:style w:type="character" w:customStyle="1" w:styleId="54">
    <w:name w:val="批注主题 字符"/>
    <w:basedOn w:val="47"/>
    <w:link w:val="26"/>
    <w:semiHidden/>
    <w:qFormat/>
    <w:uiPriority w:val="99"/>
    <w:rPr>
      <w:rFonts w:ascii="Calibri Light" w:hAnsi="Calibri Light" w:eastAsia="华文仿宋" w:cs="Calibri Light"/>
      <w:b/>
      <w:bCs/>
      <w:kern w:val="2"/>
      <w:sz w:val="28"/>
      <w:szCs w:val="28"/>
    </w:rPr>
  </w:style>
  <w:style w:type="paragraph" w:customStyle="1" w:styleId="55">
    <w:name w:val="※封面大标题"/>
    <w:basedOn w:val="1"/>
    <w:next w:val="1"/>
    <w:qFormat/>
    <w:uiPriority w:val="0"/>
    <w:pPr>
      <w:jc w:val="center"/>
    </w:pPr>
    <w:rPr>
      <w:rFonts w:ascii="华文中宋" w:hAnsi="华文中宋" w:eastAsia="华文中宋"/>
      <w:sz w:val="96"/>
      <w:szCs w:val="96"/>
    </w:rPr>
  </w:style>
  <w:style w:type="paragraph" w:customStyle="1" w:styleId="56">
    <w:name w:val="※封面题颌"/>
    <w:basedOn w:val="1"/>
    <w:next w:val="1"/>
    <w:qFormat/>
    <w:uiPriority w:val="0"/>
    <w:pPr>
      <w:jc w:val="center"/>
    </w:pPr>
    <w:rPr>
      <w:rFonts w:ascii="Calibri Light" w:hAnsi="Calibri Light" w:eastAsia="华文仿宋"/>
      <w:sz w:val="36"/>
      <w:szCs w:val="36"/>
    </w:rPr>
  </w:style>
  <w:style w:type="paragraph" w:customStyle="1" w:styleId="57">
    <w:name w:val="※封面题眉"/>
    <w:basedOn w:val="1"/>
    <w:next w:val="55"/>
    <w:qFormat/>
    <w:uiPriority w:val="0"/>
    <w:pPr>
      <w:jc w:val="center"/>
    </w:pPr>
    <w:rPr>
      <w:rFonts w:ascii="华文仿宋" w:hAnsi="华文仿宋" w:eastAsia="华文仿宋"/>
      <w:sz w:val="52"/>
      <w:szCs w:val="28"/>
    </w:rPr>
  </w:style>
  <w:style w:type="paragraph" w:customStyle="1" w:styleId="5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6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6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6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63">
    <w:name w:val="※小标题 一"/>
    <w:basedOn w:val="62"/>
    <w:next w:val="62"/>
    <w:qFormat/>
    <w:uiPriority w:val="0"/>
    <w:pPr>
      <w:spacing w:before="120" w:line="240" w:lineRule="auto"/>
      <w:outlineLvl w:val="2"/>
    </w:pPr>
    <w:rPr>
      <w:b/>
      <w:color w:val="1F3864"/>
      <w:sz w:val="32"/>
    </w:rPr>
  </w:style>
  <w:style w:type="paragraph" w:customStyle="1" w:styleId="64">
    <w:name w:val="※小标题（1）"/>
    <w:basedOn w:val="1"/>
    <w:next w:val="6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65">
    <w:name w:val="※小标题（一）"/>
    <w:basedOn w:val="1"/>
    <w:next w:val="6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6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8">
    <w:name w:val="※页眉"/>
    <w:basedOn w:val="62"/>
    <w:qFormat/>
    <w:uiPriority w:val="0"/>
    <w:pPr>
      <w:pBdr>
        <w:bottom w:val="single" w:color="auto" w:sz="4" w:space="1"/>
      </w:pBdr>
      <w:spacing w:line="240" w:lineRule="atLeast"/>
      <w:jc w:val="right"/>
    </w:pPr>
    <w:rPr>
      <w:rFonts w:ascii="宋体" w:hAnsi="宋体" w:eastAsia="宋体"/>
      <w:sz w:val="18"/>
    </w:rPr>
  </w:style>
  <w:style w:type="paragraph" w:customStyle="1" w:styleId="69">
    <w:name w:val="※章节标题（第X章）"/>
    <w:basedOn w:val="1"/>
    <w:qFormat/>
    <w:uiPriority w:val="0"/>
    <w:pPr>
      <w:jc w:val="center"/>
      <w:outlineLvl w:val="0"/>
    </w:pPr>
    <w:rPr>
      <w:rFonts w:ascii="Calibri Light" w:hAnsi="Calibri Light" w:eastAsia="黑体"/>
      <w:sz w:val="36"/>
      <w:szCs w:val="28"/>
    </w:rPr>
  </w:style>
  <w:style w:type="paragraph" w:customStyle="1" w:styleId="70">
    <w:name w:val="※章节标题（第Y部分）"/>
    <w:basedOn w:val="1"/>
    <w:next w:val="1"/>
    <w:qFormat/>
    <w:uiPriority w:val="0"/>
    <w:pPr>
      <w:jc w:val="center"/>
      <w:outlineLvl w:val="1"/>
    </w:pPr>
    <w:rPr>
      <w:rFonts w:ascii="Calibri Light" w:hAnsi="Calibri Light" w:eastAsia="黑体"/>
      <w:color w:val="1F4E79"/>
      <w:sz w:val="32"/>
      <w:szCs w:val="36"/>
    </w:rPr>
  </w:style>
  <w:style w:type="paragraph" w:customStyle="1" w:styleId="71">
    <w:name w:val="※章节标题（第Z部分分项）"/>
    <w:basedOn w:val="70"/>
    <w:qFormat/>
    <w:uiPriority w:val="0"/>
    <w:pPr>
      <w:outlineLvl w:val="2"/>
    </w:pPr>
  </w:style>
  <w:style w:type="paragraph" w:customStyle="1" w:styleId="7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73">
    <w:name w:val="※正文（缩进2）"/>
    <w:basedOn w:val="62"/>
    <w:qFormat/>
    <w:uiPriority w:val="0"/>
    <w:pPr>
      <w:ind w:firstLine="200" w:firstLineChars="200"/>
    </w:pPr>
  </w:style>
  <w:style w:type="paragraph" w:customStyle="1" w:styleId="74">
    <w:name w:val="※正文（缩进4）"/>
    <w:basedOn w:val="62"/>
    <w:qFormat/>
    <w:uiPriority w:val="0"/>
    <w:pPr>
      <w:ind w:firstLine="400" w:firstLineChars="400"/>
    </w:pPr>
  </w:style>
  <w:style w:type="paragraph" w:styleId="75">
    <w:name w:val="No Spacing"/>
    <w:basedOn w:val="1"/>
    <w:qFormat/>
    <w:uiPriority w:val="1"/>
    <w:rPr>
      <w:szCs w:val="32"/>
    </w:rPr>
  </w:style>
  <w:style w:type="paragraph" w:styleId="76">
    <w:name w:val="List Paragraph"/>
    <w:basedOn w:val="1"/>
    <w:qFormat/>
    <w:uiPriority w:val="0"/>
    <w:pPr>
      <w:ind w:left="720"/>
      <w:contextualSpacing/>
    </w:pPr>
  </w:style>
  <w:style w:type="paragraph" w:styleId="77">
    <w:name w:val="Quote"/>
    <w:basedOn w:val="1"/>
    <w:next w:val="1"/>
    <w:link w:val="78"/>
    <w:qFormat/>
    <w:uiPriority w:val="29"/>
    <w:rPr>
      <w:i/>
    </w:rPr>
  </w:style>
  <w:style w:type="character" w:customStyle="1" w:styleId="78">
    <w:name w:val="引用 字符"/>
    <w:basedOn w:val="30"/>
    <w:link w:val="77"/>
    <w:qFormat/>
    <w:uiPriority w:val="29"/>
    <w:rPr>
      <w:i/>
      <w:sz w:val="24"/>
      <w:szCs w:val="24"/>
    </w:rPr>
  </w:style>
  <w:style w:type="paragraph" w:styleId="79">
    <w:name w:val="Intense Quote"/>
    <w:basedOn w:val="1"/>
    <w:next w:val="1"/>
    <w:link w:val="80"/>
    <w:qFormat/>
    <w:uiPriority w:val="30"/>
    <w:pPr>
      <w:ind w:left="720" w:right="720"/>
    </w:pPr>
    <w:rPr>
      <w:b/>
      <w:i/>
      <w:szCs w:val="22"/>
    </w:rPr>
  </w:style>
  <w:style w:type="character" w:customStyle="1" w:styleId="80">
    <w:name w:val="明显引用 字符"/>
    <w:basedOn w:val="30"/>
    <w:link w:val="79"/>
    <w:qFormat/>
    <w:uiPriority w:val="30"/>
    <w:rPr>
      <w:b/>
      <w:i/>
      <w:sz w:val="24"/>
    </w:rPr>
  </w:style>
  <w:style w:type="character" w:customStyle="1" w:styleId="81">
    <w:name w:val="Subtle Emphasis"/>
    <w:qFormat/>
    <w:uiPriority w:val="19"/>
    <w:rPr>
      <w:i/>
      <w:color w:val="595959"/>
    </w:rPr>
  </w:style>
  <w:style w:type="character" w:customStyle="1" w:styleId="82">
    <w:name w:val="Intense Emphasis"/>
    <w:basedOn w:val="30"/>
    <w:qFormat/>
    <w:uiPriority w:val="21"/>
    <w:rPr>
      <w:b/>
      <w:i/>
      <w:sz w:val="24"/>
      <w:szCs w:val="24"/>
      <w:u w:val="single"/>
    </w:rPr>
  </w:style>
  <w:style w:type="character" w:customStyle="1" w:styleId="83">
    <w:name w:val="Subtle Reference"/>
    <w:basedOn w:val="30"/>
    <w:qFormat/>
    <w:uiPriority w:val="31"/>
    <w:rPr>
      <w:sz w:val="24"/>
      <w:szCs w:val="24"/>
      <w:u w:val="single"/>
    </w:rPr>
  </w:style>
  <w:style w:type="character" w:customStyle="1" w:styleId="84">
    <w:name w:val="Intense Reference"/>
    <w:basedOn w:val="30"/>
    <w:qFormat/>
    <w:uiPriority w:val="32"/>
    <w:rPr>
      <w:b/>
      <w:sz w:val="24"/>
      <w:u w:val="single"/>
    </w:rPr>
  </w:style>
  <w:style w:type="character" w:customStyle="1" w:styleId="85">
    <w:name w:val="Book Title"/>
    <w:basedOn w:val="30"/>
    <w:qFormat/>
    <w:uiPriority w:val="33"/>
    <w:rPr>
      <w:rFonts w:ascii="Calibri Light" w:hAnsi="Calibri Light" w:eastAsia="宋体"/>
      <w:b/>
      <w:i/>
      <w:sz w:val="24"/>
      <w:szCs w:val="24"/>
    </w:rPr>
  </w:style>
  <w:style w:type="paragraph" w:customStyle="1" w:styleId="86">
    <w:name w:val="TOC Heading"/>
    <w:basedOn w:val="2"/>
    <w:next w:val="1"/>
    <w:unhideWhenUsed/>
    <w:qFormat/>
    <w:uiPriority w:val="39"/>
    <w:pPr>
      <w:outlineLvl w:val="9"/>
    </w:pPr>
  </w:style>
  <w:style w:type="paragraph" w:customStyle="1" w:styleId="87">
    <w:name w:val="@正文"/>
    <w:basedOn w:val="62"/>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0"/>
    <w:semiHidden/>
    <w:qFormat/>
    <w:uiPriority w:val="99"/>
    <w:rPr>
      <w:rFonts w:cs="Calibri Light"/>
      <w:sz w:val="18"/>
      <w:szCs w:val="18"/>
    </w:rPr>
  </w:style>
  <w:style w:type="character" w:customStyle="1" w:styleId="92">
    <w:name w:val="页脚 Char1"/>
    <w:basedOn w:val="30"/>
    <w:semiHidden/>
    <w:qFormat/>
    <w:uiPriority w:val="99"/>
    <w:rPr>
      <w:rFonts w:cs="Calibri Light"/>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unhideWhenUsed/>
    <w:qFormat/>
    <w:uiPriority w:val="99"/>
    <w:rPr>
      <w:color w:val="605E5C"/>
      <w:shd w:val="clear" w:color="auto" w:fill="E1DFDD"/>
    </w:rPr>
  </w:style>
  <w:style w:type="paragraph" w:customStyle="1" w:styleId="95">
    <w:name w:val="样式1"/>
    <w:basedOn w:val="4"/>
    <w:link w:val="96"/>
    <w:qFormat/>
    <w:uiPriority w:val="0"/>
    <w:pPr>
      <w:jc w:val="left"/>
    </w:pPr>
    <w:rPr>
      <w:rFonts w:eastAsia="楷体"/>
      <w:sz w:val="32"/>
    </w:rPr>
  </w:style>
  <w:style w:type="character" w:customStyle="1" w:styleId="96">
    <w:name w:val="样式1 字符"/>
    <w:basedOn w:val="38"/>
    <w:link w:val="95"/>
    <w:qFormat/>
    <w:uiPriority w:val="0"/>
    <w:rPr>
      <w:rFonts w:ascii="方正小标宋_GBK" w:hAnsi="仿宋" w:eastAsia="楷体"/>
      <w:sz w:val="32"/>
      <w:szCs w:val="36"/>
    </w:rPr>
  </w:style>
  <w:style w:type="paragraph" w:customStyle="1" w:styleId="97">
    <w:name w:val="样式2"/>
    <w:basedOn w:val="89"/>
    <w:link w:val="98"/>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2 字符"/>
    <w:basedOn w:val="30"/>
    <w:link w:val="97"/>
    <w:qFormat/>
    <w:uiPriority w:val="0"/>
    <w:rPr>
      <w:rFonts w:ascii="仿宋_GB2312" w:hAnsi="仿宋" w:eastAsia="仿宋_GB2312"/>
      <w:b/>
      <w:bCs/>
      <w:kern w:val="32"/>
      <w:sz w:val="32"/>
      <w:szCs w:val="32"/>
    </w:rPr>
  </w:style>
  <w:style w:type="paragraph" w:customStyle="1" w:styleId="99">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100">
    <w:name w:val="样式3 字符"/>
    <w:basedOn w:val="30"/>
    <w:link w:val="99"/>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87</Pages>
  <Words>7874</Words>
  <Characters>8909</Characters>
  <Lines>1035</Lines>
  <Paragraphs>716</Paragraphs>
  <TotalTime>1</TotalTime>
  <ScaleCrop>false</ScaleCrop>
  <LinksUpToDate>false</LinksUpToDate>
  <CharactersWithSpaces>8997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2024-12-18T08:56:00Z</cp:lastPrinted>
  <dcterms:modified xsi:type="dcterms:W3CDTF">2025-07-30T05:52:17Z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C52DF4FD8A644C4FACBED20411EB919F_13</vt:lpwstr>
  </property>
  <property fmtid="{D5CDD505-2E9C-101B-9397-08002B2CF9AE}" pid="4" name="KSOTemplateDocerSaveRecord">
    <vt:lpwstr>eyJoZGlkIjoiOGU1M2EwZjk1NzIzYThhYTZjMWFlMzBjNzk0ZDI2MDMiLCJ1c2VySWQiOiIzMjExNjMxODcifQ==</vt:lpwstr>
  </property>
</Properties>
</file>