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77E1">
      <w:pPr>
        <w:pStyle w:val="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、项目概况</w:t>
      </w:r>
    </w:p>
    <w:p w14:paraId="7E048C0C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</w:rPr>
        <w:t>目前执法范围51.5平方公里，工作模式分长白班和倒班模式（四班三运转），现有执法车辆共计58台（其中面包车45台，皮卡7台，拖车1台，金杯客车3台，日产帕拉丁1台，传祺1台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根据工作需要，现需采购车辆燃油。</w:t>
      </w:r>
    </w:p>
    <w:p w14:paraId="17CD4592">
      <w:pPr>
        <w:pStyle w:val="4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二、项目要求</w:t>
      </w:r>
    </w:p>
    <w:p w14:paraId="77853061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燃油型号要求：提供92#号汽油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柴油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1A826E78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油品质量要求：油品符合现行国家标准，保质保量，检验合格；</w:t>
      </w:r>
    </w:p>
    <w:p w14:paraId="2EB0E25E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服务及安全要求：</w:t>
      </w:r>
    </w:p>
    <w:p w14:paraId="6F753180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3-1、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供应商需提供24小时全天候安全、快捷加油服务；</w:t>
      </w:r>
    </w:p>
    <w:p w14:paraId="5AD7D866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3-2、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供应商工作人员需执行凭卡加油管理制度，对采购人加油时违反规定等其他行为，有权拒绝并及时向采购人反映；</w:t>
      </w:r>
    </w:p>
    <w:p w14:paraId="456BA219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3-3、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供应商需认真落实消防安全责任制，确保加油车辆在加油时的安全，如因供应商安全生产措施不力，造成车辆损失的，负赔偿责任；</w:t>
      </w:r>
    </w:p>
    <w:p w14:paraId="6F8E5290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3-4、</w:t>
      </w:r>
      <w:r>
        <w:rPr>
          <w:rFonts w:hint="eastAsia" w:ascii="仿宋_GB2312" w:hAnsi="仿宋_GB2312" w:eastAsia="仿宋_GB2312" w:cs="仿宋_GB2312"/>
          <w:sz w:val="28"/>
          <w:szCs w:val="28"/>
        </w:rPr>
        <w:t>为减少采购人车辆在加油途中的路线绕行、行路交通违法行为等，供应商需在位于曲江新区及曲江沿线设有固定加油站点。</w:t>
      </w:r>
    </w:p>
    <w:p w14:paraId="7454C516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、服务期限：一年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2025-07-21T08:39:40Z</dcterms:created>
  <dc:creator>Administrator</dc:creator>
  <cp:lastModifiedBy>高蕊玲</cp:lastModifiedBy>
  <dcterms:modified xsi:type="dcterms:W3CDTF">2025-07-21T08:39:54Z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eyJoZGlkIjoiOWNkODk0Yzk4YThhZTUxYjE4YjI3ZGQ1ZWZmMWIzMGUiLCJ1c2VySWQiOiIxNjY0MTM3NDI2In0=</vt:lpwstr>
  </property>
  <property fmtid="{D5CDD505-2E9C-101B-9397-08002B2CF9AE}" pid="4" name="ICV">
    <vt:lpwstr>E653006C3BD446C599E76A7C5A25C0EB_12</vt:lpwstr>
  </property>
</Properties>
</file>