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版本号：SXLX25-01-064Z(F)(二次)20250815001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雁塔区2026年庭院供热管道老化更新改造项目管勘评估(二次)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SXLX25-01-064Z(F)(二次)</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雁塔区2026年庭院供热管道老化更新改造项目管勘评估(二次)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SXLX25-01-064Z(F)(二次)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雁塔区2026年庭院供热管道老化更新改造项目管勘评估(二次)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约59个小区的供热庭院管道、住宅楼内供热公共管道及换热站等设备设施进行勘查检测，并出具评估报告；配合并促进采购人完成2026年雁塔区庭院供热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采购包1（雁塔区2026年庭院供热管道老化更新改造项目管勘评估）：属于专门面向小微企业采购。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1、供应商资质要求：供应商具有有效的《中华人民共和国特种设备检验检测机构核准证》（综合检验机构甲类）核准项目至少包含DD2、DD3，且具有无损检测资质常规四项CG和辐射安全许可证。</w:t>
      </w:r>
    </w:p>
    <w:p>
      <w:pPr>
        <w:pStyle w:val="null3"/>
      </w:pPr>
      <w:r>
        <w:rPr>
          <w:rFonts w:ascii="仿宋_GB2312" w:hAnsi="仿宋_GB2312" w:cs="仿宋_GB2312" w:eastAsia="仿宋_GB2312"/>
        </w:rPr>
        <w:t>2、拟派项目负责人资格要求：拟派项目负责人具有有效的压力管道检验师证书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关于进一步放开建设项目专项业务服务价格的通知》（发改价格〔2015〕299号）规定的标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color w:val="0A82E5"/>
          <w:shd w:fill="FFFFFF" w:val="clear"/>
        </w:rPr>
        <w:t>根据区域划分的责任范围，对约</w:t>
      </w:r>
      <w:r>
        <w:rPr>
          <w:rFonts w:ascii="仿宋_GB2312" w:hAnsi="仿宋_GB2312" w:cs="仿宋_GB2312" w:eastAsia="仿宋_GB2312"/>
          <w:sz w:val="18"/>
          <w:color w:val="0A82E5"/>
          <w:shd w:fill="FFFFFF" w:val="clear"/>
        </w:rPr>
        <w:t>59个小区的供热庭院管道、住宅楼内供热公共管道及换热站等设备设施进行勘查检测，并出具评估报告；配合并促进采购人完成2026年雁塔区庭院供热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雁塔区2026年庭院供热管道老化更新改造项目管勘评估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标的名称：雁塔区2026年庭院供热管道老化更新改造项目管勘评估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检测评估范围：</w:t>
            </w:r>
            <w:r>
              <w:rPr>
                <w:rFonts w:ascii="仿宋_GB2312" w:hAnsi="仿宋_GB2312" w:cs="仿宋_GB2312" w:eastAsia="仿宋_GB2312"/>
                <w:sz w:val="21"/>
                <w:color w:val="000000"/>
              </w:rPr>
              <w:t>根据区域划分的责任范围，对约</w:t>
            </w:r>
            <w:r>
              <w:rPr>
                <w:rFonts w:ascii="仿宋_GB2312" w:hAnsi="仿宋_GB2312" w:cs="仿宋_GB2312" w:eastAsia="仿宋_GB2312"/>
                <w:sz w:val="21"/>
                <w:color w:val="000000"/>
              </w:rPr>
              <w:t>59个小区的供热庭院管道、住宅楼内供热公共管道及换热站等设备设施进行勘查检测，并出具评估报告；配合并促进采购人完成2026年雁塔区庭院供热管道老化更新改造目标。</w:t>
            </w:r>
          </w:p>
          <w:p>
            <w:pPr>
              <w:pStyle w:val="null3"/>
              <w:ind w:firstLine="402"/>
              <w:jc w:val="both"/>
            </w:pPr>
            <w:r>
              <w:rPr>
                <w:rFonts w:ascii="仿宋_GB2312" w:hAnsi="仿宋_GB2312" w:cs="仿宋_GB2312" w:eastAsia="仿宋_GB2312"/>
                <w:sz w:val="20"/>
                <w:b/>
                <w:color w:val="000000"/>
              </w:rPr>
              <w:t>1.2检测评估原则：</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供热管道更新改造原则：</w:t>
            </w:r>
            <w:r>
              <w:rPr>
                <w:rFonts w:ascii="仿宋_GB2312" w:hAnsi="仿宋_GB2312" w:cs="仿宋_GB2312" w:eastAsia="仿宋_GB2312"/>
                <w:sz w:val="20"/>
                <w:color w:val="000000"/>
              </w:rPr>
              <w:t>(1)供热管网应保障供热安全、可靠、节能运行。运行15 年以上的供热管网（不含评估后可正常使用的管网）；使用年限不足15 年，但存在事故隐患的供热管网应进行更换；</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2）庭院管道应沿着道路中心线平行敷设，并应在车行道之外；穿过厂区的供热管道应敷设在易于检修和维护的位置。管道应尽量采用直埋敷设。干线应装设分段阀门，每条支干线起点应安装关闭阀门；</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3）庭院管道应力求短直，主干线应通过用户密集区，并靠近热负荷大的用户；管道走向宜平行小区的干道或建筑物；</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4）热力管道可与自来水，压力排水，通信线路共沟敷设，但热力管道敷设应高于自来水管道，且自来水管道应做防水和隔热；</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5）地上敷设热力管道和其他管道共架敷设时，应便于检修，且不得架设在腐蚀介质管道的下方；</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6）管道敷设坡度不应小于0.002，管道高点，低点应分别设置放气和洒水装置；</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7）供热系统室外管网输送效率低于90%，正常补水率大于总循环流量0.5%，应采用针对降低漏损，加强保温等方面对管网进行改造；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8）管网散热损失的要求。热力网必须保温，保温层外部应有保护层；</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管网失水率要求。按照《城镇供热系统安全运行规程》的要求，间接连接系统失水率应该控制在总循环水量的1%以内，直接连接系统失水率应该控制在总循环水量的2%以内。管网失水率控制目标为：一级管网失水率为总循环水量的0.3%以内，二级管网失水率为总循环水量的0.5%以内；</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10）供热管网安装水力平衡装置。庭院管道的分支处应安装水力平衡装置。减少水力失调，保障供热质量，水力平衡度应控制在0.9~1.2 范围内；</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11）供热管网改造完成后必须具备热计量要求，实现楼栋总计量的要求，安装楼栋热表（热力入口总表），平衡阀等设施；</w:t>
            </w:r>
          </w:p>
          <w:p>
            <w:pPr>
              <w:pStyle w:val="null3"/>
              <w:ind w:firstLine="602"/>
              <w:jc w:val="both"/>
            </w:pPr>
            <w:r>
              <w:rPr>
                <w:rFonts w:ascii="仿宋_GB2312" w:hAnsi="仿宋_GB2312" w:cs="仿宋_GB2312" w:eastAsia="仿宋_GB2312"/>
                <w:sz w:val="20"/>
                <w:b/>
                <w:color w:val="000000"/>
              </w:rPr>
              <w:t>（二）户内热力系统更新改造原则：</w:t>
            </w:r>
            <w:r>
              <w:rPr>
                <w:rFonts w:ascii="仿宋_GB2312" w:hAnsi="仿宋_GB2312" w:cs="仿宋_GB2312" w:eastAsia="仿宋_GB2312"/>
                <w:sz w:val="20"/>
                <w:color w:val="000000"/>
              </w:rPr>
              <w:t>（</w:t>
            </w:r>
            <w:r>
              <w:rPr>
                <w:rFonts w:ascii="仿宋_GB2312" w:hAnsi="仿宋_GB2312" w:cs="仿宋_GB2312" w:eastAsia="仿宋_GB2312"/>
                <w:sz w:val="20"/>
                <w:color w:val="000000"/>
              </w:rPr>
              <w:t>1）根据现行《既有居住建筑节能改造技术规程》JGJ/T129-2012节能改造应首先进行安全性评估，对主体结构的后续使用年限少于20 年的建筑，不宜单独进行节能改造；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节能改造前，应以建筑物耗热量指标为判定依据进行建筑围护结构性能化设计，实施全面节能改造后的建筑，在保证室内热舒适水平的前提下，建筑物耗热量指标不应高于《严寒和寒冷地区居住建筑节能设计标准》JGJ26-2010 的规定的计算值；实施部分节能改造后的建筑，其改造部分的性能或者效果应不低于现行行业标准《严寒和寒冷地区居住建筑节能设计标准》JGJ26-2010 的规定；</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3）供热节能改造和建筑围护结构节能改造应同步实施；</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4）节能改造时不应更改既有建筑主体结构构造；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5）供暖改造应在建筑物冬季供暖前完成，在供暖期内进行联合试运行和调试，安装调试不应降低原系统及设备的安全性能。建筑室温应达到设计要求，集中供暖系统应同时具有室温调节和热量计量基本功能；</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6）供暖改造后的集中供热系统的每栋建筑物热力入口处必须设置热计量表。</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7）栋建筑物热力入口处应安装静态平衡阀；</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8）对室内供暖系统在原供暖系统为垂直单管顺流系统时应改为垂直单管跨越式或者垂直双管系统，不宜改造为分户独立循环系统；</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9）室内供暖系统应设置性能可靠地室温控制装置，每组散热器的供水支管应安装散热器恒温阀；采用垂直单管跨越式系统时，恒温控制阀采用低阻两通或者三通阀。</w:t>
            </w:r>
          </w:p>
          <w:p>
            <w:pPr>
              <w:pStyle w:val="null3"/>
              <w:ind w:firstLine="495"/>
              <w:jc w:val="both"/>
            </w:pPr>
            <w:r>
              <w:rPr>
                <w:rFonts w:ascii="仿宋_GB2312" w:hAnsi="仿宋_GB2312" w:cs="仿宋_GB2312" w:eastAsia="仿宋_GB2312"/>
                <w:sz w:val="20"/>
                <w:b/>
                <w:color w:val="000000"/>
              </w:rPr>
              <w:t>1.3技术要求：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1）检验执行标准及规定（不限于）：</w:t>
            </w:r>
          </w:p>
          <w:p>
            <w:pPr>
              <w:pStyle w:val="null3"/>
              <w:spacing w:before="105" w:after="105"/>
              <w:ind w:firstLine="400"/>
              <w:jc w:val="both"/>
            </w:pPr>
            <w:r>
              <w:rPr>
                <w:rFonts w:ascii="仿宋_GB2312" w:hAnsi="仿宋_GB2312" w:cs="仿宋_GB2312" w:eastAsia="仿宋_GB2312"/>
                <w:sz w:val="20"/>
                <w:color w:val="000000"/>
              </w:rPr>
              <w:t>《埋地钢质管道直流干扰防护技术标准》</w:t>
            </w:r>
            <w:r>
              <w:rPr>
                <w:rFonts w:ascii="仿宋_GB2312" w:hAnsi="仿宋_GB2312" w:cs="仿宋_GB2312" w:eastAsia="仿宋_GB2312"/>
                <w:sz w:val="20"/>
                <w:color w:val="000000"/>
              </w:rPr>
              <w:t>GB 50991-2014</w:t>
            </w:r>
          </w:p>
          <w:p>
            <w:pPr>
              <w:pStyle w:val="null3"/>
              <w:spacing w:before="105" w:after="105"/>
              <w:ind w:firstLine="400"/>
              <w:jc w:val="both"/>
            </w:pPr>
            <w:r>
              <w:rPr>
                <w:rFonts w:ascii="仿宋_GB2312" w:hAnsi="仿宋_GB2312" w:cs="仿宋_GB2312" w:eastAsia="仿宋_GB2312"/>
                <w:sz w:val="20"/>
                <w:color w:val="000000"/>
              </w:rPr>
              <w:t>《固定式压力容器安全技术监察规程》</w:t>
            </w:r>
            <w:r>
              <w:rPr>
                <w:rFonts w:ascii="仿宋_GB2312" w:hAnsi="仿宋_GB2312" w:cs="仿宋_GB2312" w:eastAsia="仿宋_GB2312"/>
                <w:sz w:val="20"/>
                <w:color w:val="000000"/>
              </w:rPr>
              <w:t>TSG 21-2016</w:t>
            </w:r>
          </w:p>
          <w:p>
            <w:pPr>
              <w:pStyle w:val="null3"/>
              <w:spacing w:before="105" w:after="105"/>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-公用管道》TSG D7004-2010</w:t>
            </w:r>
          </w:p>
          <w:p>
            <w:pPr>
              <w:pStyle w:val="null3"/>
              <w:spacing w:before="105" w:after="105"/>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-工业管道》TSG D7005-2018</w:t>
            </w:r>
          </w:p>
          <w:p>
            <w:pPr>
              <w:pStyle w:val="null3"/>
              <w:spacing w:before="105" w:after="105"/>
              <w:ind w:firstLine="400"/>
              <w:jc w:val="both"/>
            </w:pPr>
            <w:r>
              <w:rPr>
                <w:rFonts w:ascii="仿宋_GB2312" w:hAnsi="仿宋_GB2312" w:cs="仿宋_GB2312" w:eastAsia="仿宋_GB2312"/>
                <w:sz w:val="20"/>
                <w:color w:val="000000"/>
              </w:rPr>
              <w:t>《压力管道规范公用管道》</w:t>
            </w:r>
            <w:r>
              <w:rPr>
                <w:rFonts w:ascii="仿宋_GB2312" w:hAnsi="仿宋_GB2312" w:cs="仿宋_GB2312" w:eastAsia="仿宋_GB2312"/>
                <w:sz w:val="20"/>
                <w:color w:val="000000"/>
              </w:rPr>
              <w:t>GB/T 38942-2020</w:t>
            </w:r>
          </w:p>
          <w:p>
            <w:pPr>
              <w:pStyle w:val="null3"/>
              <w:spacing w:before="105" w:after="105"/>
              <w:ind w:firstLine="400"/>
              <w:jc w:val="both"/>
            </w:pPr>
            <w:r>
              <w:rPr>
                <w:rFonts w:ascii="仿宋_GB2312" w:hAnsi="仿宋_GB2312" w:cs="仿宋_GB2312" w:eastAsia="仿宋_GB2312"/>
                <w:sz w:val="20"/>
                <w:color w:val="000000"/>
              </w:rPr>
              <w:t>《埋地钢制管道腐蚀防护工程检验》</w:t>
            </w:r>
            <w:r>
              <w:rPr>
                <w:rFonts w:ascii="仿宋_GB2312" w:hAnsi="仿宋_GB2312" w:cs="仿宋_GB2312" w:eastAsia="仿宋_GB2312"/>
                <w:sz w:val="20"/>
                <w:color w:val="000000"/>
              </w:rPr>
              <w:t>GB/T 19285-2014</w:t>
            </w:r>
          </w:p>
          <w:p>
            <w:pPr>
              <w:pStyle w:val="null3"/>
              <w:spacing w:before="105" w:after="105"/>
              <w:ind w:firstLine="400"/>
              <w:jc w:val="both"/>
            </w:pPr>
            <w:r>
              <w:rPr>
                <w:rFonts w:ascii="仿宋_GB2312" w:hAnsi="仿宋_GB2312" w:cs="仿宋_GB2312" w:eastAsia="仿宋_GB2312"/>
                <w:sz w:val="20"/>
                <w:color w:val="000000"/>
              </w:rPr>
              <w:t>《在用含缺陷压力容器安全评定》</w:t>
            </w:r>
            <w:r>
              <w:rPr>
                <w:rFonts w:ascii="仿宋_GB2312" w:hAnsi="仿宋_GB2312" w:cs="仿宋_GB2312" w:eastAsia="仿宋_GB2312"/>
                <w:sz w:val="20"/>
                <w:color w:val="000000"/>
              </w:rPr>
              <w:t>GB/T 19624-2019</w:t>
            </w:r>
          </w:p>
          <w:p>
            <w:pPr>
              <w:pStyle w:val="null3"/>
              <w:spacing w:before="105" w:after="105"/>
              <w:ind w:firstLine="400"/>
              <w:jc w:val="both"/>
            </w:pPr>
            <w:r>
              <w:rPr>
                <w:rFonts w:ascii="仿宋_GB2312" w:hAnsi="仿宋_GB2312" w:cs="仿宋_GB2312" w:eastAsia="仿宋_GB2312"/>
                <w:sz w:val="20"/>
                <w:color w:val="000000"/>
              </w:rPr>
              <w:t>《埋地钢质管道交流干扰防护技术标准》</w:t>
            </w:r>
            <w:r>
              <w:rPr>
                <w:rFonts w:ascii="仿宋_GB2312" w:hAnsi="仿宋_GB2312" w:cs="仿宋_GB2312" w:eastAsia="仿宋_GB2312"/>
                <w:sz w:val="20"/>
                <w:color w:val="000000"/>
              </w:rPr>
              <w:t>GB/T 50698-2011</w:t>
            </w:r>
          </w:p>
          <w:p>
            <w:pPr>
              <w:pStyle w:val="null3"/>
              <w:spacing w:before="105" w:after="105"/>
              <w:ind w:firstLine="400"/>
              <w:jc w:val="both"/>
            </w:pPr>
            <w:r>
              <w:rPr>
                <w:rFonts w:ascii="仿宋_GB2312" w:hAnsi="仿宋_GB2312" w:cs="仿宋_GB2312" w:eastAsia="仿宋_GB2312"/>
                <w:sz w:val="20"/>
                <w:color w:val="000000"/>
              </w:rPr>
              <w:t>《埋地钢质管道风险评估方法》</w:t>
            </w:r>
            <w:r>
              <w:rPr>
                <w:rFonts w:ascii="仿宋_GB2312" w:hAnsi="仿宋_GB2312" w:cs="仿宋_GB2312" w:eastAsia="仿宋_GB2312"/>
                <w:sz w:val="20"/>
                <w:color w:val="000000"/>
              </w:rPr>
              <w:t>GB/T 27512-2011</w:t>
            </w:r>
          </w:p>
          <w:p>
            <w:pPr>
              <w:pStyle w:val="null3"/>
              <w:spacing w:before="105" w:after="105"/>
              <w:ind w:firstLine="400"/>
              <w:jc w:val="both"/>
            </w:pPr>
            <w:r>
              <w:rPr>
                <w:rFonts w:ascii="仿宋_GB2312" w:hAnsi="仿宋_GB2312" w:cs="仿宋_GB2312" w:eastAsia="仿宋_GB2312"/>
                <w:sz w:val="20"/>
                <w:color w:val="000000"/>
              </w:rPr>
              <w:t>《热塑性塑料管材拉伸性能测定</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1部分 试验方法总则》GB/T 8804.1-2003</w:t>
            </w:r>
          </w:p>
          <w:p>
            <w:pPr>
              <w:pStyle w:val="null3"/>
              <w:spacing w:before="105" w:after="105"/>
              <w:ind w:firstLine="400"/>
              <w:jc w:val="both"/>
            </w:pPr>
            <w:r>
              <w:rPr>
                <w:rFonts w:ascii="仿宋_GB2312" w:hAnsi="仿宋_GB2312" w:cs="仿宋_GB2312" w:eastAsia="仿宋_GB2312"/>
                <w:sz w:val="20"/>
                <w:color w:val="000000"/>
              </w:rPr>
              <w:t>设计、安装等资料文件。</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2）本次改造项目均为老旧小区的老居民楼，在考虑现行《西安市既有居住建筑节能改造技术规程》DB61/T71-2012 以及《供热系统节能改造技术规范》GB/T50893-2013 规范的前提下结合供热改造标准更新实际需求，根据现行规范的要求，对供热管道进行更新改造检测，并出具评估报告；</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3）室内供暖系统应安装分户计量装置，热计量装置应满足现行行业标准《供热计量技术规程》JGJ173 的规定；</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备独立开展供热管道勘察评估的技术力量和报告编制的领域经验，采取科学、针对性强的勘测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 国务院、陕西省、西安市等各级政府部门相关文件精神。</w:t>
            </w:r>
          </w:p>
          <w:p>
            <w:pPr>
              <w:pStyle w:val="null3"/>
              <w:ind w:firstLine="495"/>
              <w:jc w:val="both"/>
            </w:pPr>
            <w:r>
              <w:rPr>
                <w:rFonts w:ascii="仿宋_GB2312" w:hAnsi="仿宋_GB2312" w:cs="仿宋_GB2312" w:eastAsia="仿宋_GB2312"/>
                <w:sz w:val="20"/>
                <w:b/>
                <w:color w:val="000000"/>
              </w:rPr>
              <w:t>1.4进度要求：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spacing w:before="105" w:after="105"/>
              <w:ind w:firstLine="402"/>
              <w:jc w:val="left"/>
            </w:pPr>
            <w:r>
              <w:rPr>
                <w:rFonts w:ascii="仿宋_GB2312" w:hAnsi="仿宋_GB2312" w:cs="仿宋_GB2312" w:eastAsia="仿宋_GB2312"/>
                <w:sz w:val="20"/>
                <w:b/>
                <w:color w:val="000000"/>
              </w:rPr>
              <w:t>1.5服务要求：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3）服务方需根据服务实际情况编制服务方案，服务计划、进度安排、突发应急等方案措施；在如期保质保量完成服务的前提下，从实际出发作出有利于采购人的合理化建议和成本控制。</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5）服务过程中，严格遵守各种管理规定及规章制度，做到奉公守法、诚实守信、廉洁自律、安全文明；服务过程如发生工伤及意外事故由服务单位负责。</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7）严格按照国家、陕西省、西安市有关规定及采购人要求进行服务，不得随意更改或者变换服务内容，如服务过程中更有利于采购人的合理化建议，每项服务内容实施前应事先取得采购人的落实后方可实施；</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8）配合促进采购人安排的其他相关工作。</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9）服务结束，提供本项目相关所有服务的成果报告及归档资料。</w:t>
            </w:r>
          </w:p>
          <w:p>
            <w:pPr>
              <w:pStyle w:val="null3"/>
              <w:spacing w:before="105" w:after="105"/>
              <w:ind w:firstLine="402"/>
              <w:jc w:val="left"/>
            </w:pPr>
            <w:r>
              <w:rPr>
                <w:rFonts w:ascii="仿宋_GB2312" w:hAnsi="仿宋_GB2312" w:cs="仿宋_GB2312" w:eastAsia="仿宋_GB2312"/>
                <w:sz w:val="20"/>
                <w:b/>
                <w:color w:val="000000"/>
              </w:rPr>
              <w:t>1.6成果要求：</w:t>
            </w:r>
            <w:r>
              <w:rPr>
                <w:rFonts w:ascii="仿宋_GB2312" w:hAnsi="仿宋_GB2312" w:cs="仿宋_GB2312" w:eastAsia="仿宋_GB2312"/>
                <w:sz w:val="20"/>
                <w:color w:val="000000"/>
              </w:rPr>
              <w:t>依照规范标准编制检测成果报告，成果报告内容应当完整真实、科学严谨、思路清晰、具有代表性，符合庭院管道改造过程的实际现状。</w:t>
            </w:r>
          </w:p>
          <w:p>
            <w:pPr>
              <w:pStyle w:val="null3"/>
              <w:spacing w:before="105" w:after="105"/>
              <w:ind w:firstLine="402"/>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p>
          <w:p>
            <w:pPr>
              <w:pStyle w:val="null3"/>
              <w:spacing w:before="105" w:after="105"/>
              <w:ind w:firstLine="402"/>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安全管理人员、检验人员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测厚仪、四合一气体检测仪、磁粉检测仪、超声波检测仪、管道防腐层检测仪、硬度计、射线检测仪等）、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其他未列明（从业人员300人以下的为中小微型企业。其中，从业人员100人及以上的为中型企业；从业人员10人及以上的为小型企业；从业人员10人以下的为微型企业）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乙方提交报告正式文本，并协助甲方完成项目评估工作，待财政资金具备支付条件后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商务、技术文件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供应商具有有效的《中华人民共和国特种设备检验检测机构核准证》（综合检验机构甲类）核准项目至少包含DD2、DD3，且具有无损检测资质常规四项CG和辐射安全许可证。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拟派项目负责人具有有效的压力管道检验师证书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理解情况</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根据实施方案的①实施思路、②实施方法、③技术依据、④检测检验设备配备、⑤应急处理的响应程度。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根据对服务质量的①质量保证措施、②内部管理措施、③风险控制、④完成时效的响应程度。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根据对服务过程中的①成本控制措施和②有利于采购人的合理化建议的响应程度。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根据对服务过程中廉洁、保密制度措施的响应程度。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①拟派项目负责人持有特种设备无损检测人员证书（Ⅲ级）的得3分，其他情况不得分。 ②拟派项目负责人具有本行业累计工作时间 10年及以上的得3 分；5-10 年（含 5 年）的得 2分；3-5 年 （含 3 年）的得 1 分。 ③拟派项目负责人具有项目相关专业（机械、材料、特种设备）高级工程师及以上职称得2分。 说明：工作时间以人员证书初次取证时间为准。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①拟派技术负责人同时持有压力管道检验师和安全管理人员证书（A证）的得 2分，不满足不得分；技术负责人具有项目相关专业（机械、材料、特种设备）高级工程师及以上职称的得2分，不具备不得分，本项最高得4分。 ②拟派检验检测人员中每有 1 人持有特种设备管理人员证（A 证）或中级及以上职称的得1分，最高得3分。 说明：项目组成人员不含项目负责人，成员配备＜10人的不得分，证明材料以人员名单、证书、职称证等相关证明为依据。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具有2022年1月1日起至今（以合同签订时间为准）供热管道勘察评估（或供热管道定期检验）类项目业绩，业绩以合同扫描件（复印件）为依据；每提供1个业绩得1分，最多得5分。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