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1D5CE">
      <w:pPr>
        <w:jc w:val="center"/>
        <w:rPr>
          <w:rFonts w:hint="eastAsia" w:ascii="宋体" w:hAnsi="宋体" w:eastAsia="宋体" w:cs="宋体"/>
          <w:b/>
          <w:bCs/>
          <w:color w:val="auto"/>
          <w:sz w:val="72"/>
          <w:szCs w:val="144"/>
          <w:highlight w:val="none"/>
          <w:lang w:val="en-US" w:eastAsia="zh-CN"/>
        </w:rPr>
      </w:pPr>
    </w:p>
    <w:p w14:paraId="0823E833">
      <w:pPr>
        <w:jc w:val="center"/>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吴起县周湾镇2025年重点工程配套以工代赈</w:t>
      </w:r>
    </w:p>
    <w:p w14:paraId="1AF62B67">
      <w:pPr>
        <w:jc w:val="center"/>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示范项目</w:t>
      </w:r>
    </w:p>
    <w:p w14:paraId="2B99FCFF">
      <w:pPr>
        <w:jc w:val="center"/>
        <w:rPr>
          <w:rFonts w:hint="eastAsia" w:ascii="宋体" w:hAnsi="宋体" w:eastAsia="宋体" w:cs="宋体"/>
          <w:b/>
          <w:bCs/>
          <w:color w:val="auto"/>
          <w:sz w:val="72"/>
          <w:szCs w:val="144"/>
          <w:highlight w:val="none"/>
          <w:lang w:val="en-US" w:eastAsia="zh-CN"/>
        </w:rPr>
      </w:pPr>
    </w:p>
    <w:p w14:paraId="11219548">
      <w:pPr>
        <w:jc w:val="center"/>
        <w:rPr>
          <w:rFonts w:hint="eastAsia" w:ascii="宋体" w:hAnsi="宋体" w:eastAsia="宋体" w:cs="宋体"/>
          <w:b/>
          <w:bCs/>
          <w:color w:val="auto"/>
          <w:sz w:val="72"/>
          <w:szCs w:val="144"/>
          <w:highlight w:val="none"/>
          <w:lang w:val="en-US" w:eastAsia="zh-CN"/>
        </w:rPr>
      </w:pPr>
    </w:p>
    <w:p w14:paraId="1039E5BF">
      <w:pPr>
        <w:jc w:val="center"/>
        <w:rPr>
          <w:rFonts w:hint="eastAsia" w:ascii="宋体" w:hAnsi="宋体" w:eastAsia="宋体" w:cs="宋体"/>
          <w:b/>
          <w:bCs/>
          <w:color w:val="auto"/>
          <w:sz w:val="72"/>
          <w:szCs w:val="144"/>
          <w:highlight w:val="none"/>
          <w:lang w:val="en-US" w:eastAsia="zh-CN"/>
        </w:rPr>
      </w:pPr>
    </w:p>
    <w:p w14:paraId="39BC21C6">
      <w:pPr>
        <w:pStyle w:val="3"/>
        <w:rPr>
          <w:rFonts w:hint="eastAsia" w:ascii="宋体" w:hAnsi="宋体" w:eastAsia="宋体" w:cs="宋体"/>
          <w:b/>
          <w:bCs/>
          <w:color w:val="auto"/>
          <w:sz w:val="72"/>
          <w:szCs w:val="144"/>
          <w:highlight w:val="none"/>
          <w:lang w:val="en-US" w:eastAsia="zh-CN"/>
        </w:rPr>
      </w:pPr>
    </w:p>
    <w:p w14:paraId="4071FBA9">
      <w:pPr>
        <w:rPr>
          <w:rFonts w:hint="eastAsia"/>
          <w:color w:val="auto"/>
          <w:lang w:val="en-US" w:eastAsia="zh-CN"/>
        </w:rPr>
      </w:pPr>
    </w:p>
    <w:p w14:paraId="09FCAF0D">
      <w:pPr>
        <w:jc w:val="center"/>
        <w:rPr>
          <w:rFonts w:hint="eastAsia" w:ascii="宋体" w:hAnsi="宋体" w:eastAsia="宋体" w:cs="宋体"/>
          <w:b/>
          <w:bCs/>
          <w:color w:val="auto"/>
          <w:sz w:val="96"/>
          <w:szCs w:val="160"/>
          <w:highlight w:val="none"/>
          <w:lang w:val="en-US" w:eastAsia="zh-CN"/>
        </w:rPr>
      </w:pPr>
      <w:r>
        <w:rPr>
          <w:rFonts w:hint="eastAsia" w:ascii="宋体" w:hAnsi="宋体" w:eastAsia="宋体" w:cs="宋体"/>
          <w:b/>
          <w:bCs/>
          <w:i w:val="0"/>
          <w:iCs w:val="0"/>
          <w:color w:val="auto"/>
          <w:sz w:val="44"/>
          <w:szCs w:val="44"/>
          <w:highlight w:val="none"/>
          <w:lang w:val="en-US" w:eastAsia="zh-CN"/>
        </w:rPr>
        <w:t>竞争性磋商文件</w:t>
      </w:r>
    </w:p>
    <w:p w14:paraId="4FC124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（项目编号：HC-ZFCG-2025-030）</w:t>
      </w:r>
    </w:p>
    <w:p w14:paraId="5E15C9C9">
      <w:pPr>
        <w:jc w:val="center"/>
        <w:rPr>
          <w:rFonts w:hint="eastAsia" w:ascii="宋体" w:hAnsi="宋体" w:eastAsia="宋体" w:cs="宋体"/>
          <w:b/>
          <w:bCs/>
          <w:color w:val="auto"/>
          <w:sz w:val="72"/>
          <w:szCs w:val="144"/>
          <w:highlight w:val="none"/>
          <w:lang w:val="en-US" w:eastAsia="zh-CN"/>
        </w:rPr>
      </w:pPr>
    </w:p>
    <w:p w14:paraId="25524A55">
      <w:pPr>
        <w:jc w:val="center"/>
        <w:rPr>
          <w:rFonts w:hint="eastAsia" w:ascii="宋体" w:hAnsi="宋体" w:eastAsia="宋体" w:cs="宋体"/>
          <w:b/>
          <w:bCs/>
          <w:color w:val="auto"/>
          <w:sz w:val="72"/>
          <w:szCs w:val="144"/>
          <w:highlight w:val="none"/>
          <w:lang w:val="en-US" w:eastAsia="zh-CN"/>
        </w:rPr>
      </w:pPr>
    </w:p>
    <w:p w14:paraId="11529FBC">
      <w:pPr>
        <w:pStyle w:val="3"/>
        <w:rPr>
          <w:rFonts w:hint="eastAsia" w:ascii="宋体" w:hAnsi="宋体" w:eastAsia="宋体" w:cs="宋体"/>
          <w:b/>
          <w:bCs/>
          <w:color w:val="auto"/>
          <w:sz w:val="72"/>
          <w:szCs w:val="144"/>
          <w:highlight w:val="none"/>
          <w:lang w:val="en-US" w:eastAsia="zh-CN"/>
        </w:rPr>
      </w:pPr>
    </w:p>
    <w:p w14:paraId="1A5ACCDA">
      <w:pPr>
        <w:rPr>
          <w:rFonts w:hint="eastAsia" w:ascii="宋体" w:hAnsi="宋体" w:eastAsia="宋体" w:cs="宋体"/>
          <w:b/>
          <w:bCs/>
          <w:color w:val="auto"/>
          <w:sz w:val="72"/>
          <w:szCs w:val="144"/>
          <w:highlight w:val="none"/>
          <w:lang w:val="en-US" w:eastAsia="zh-CN"/>
        </w:rPr>
      </w:pPr>
    </w:p>
    <w:p w14:paraId="717277CA">
      <w:pPr>
        <w:pStyle w:val="3"/>
        <w:rPr>
          <w:rFonts w:hint="eastAsia"/>
          <w:color w:val="auto"/>
          <w:lang w:val="en-US" w:eastAsia="zh-CN"/>
        </w:rPr>
      </w:pPr>
    </w:p>
    <w:p w14:paraId="040184EE">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   购   人：吴起县周湾镇人民政府             </w:t>
      </w:r>
    </w:p>
    <w:p w14:paraId="0EC15F1A">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采购代理机构：华春建设工程项目管理有限责任公司     </w:t>
      </w:r>
    </w:p>
    <w:p w14:paraId="6376A958">
      <w:pPr>
        <w:keepNext w:val="0"/>
        <w:keepLines w:val="0"/>
        <w:pageBreakBefore w:val="0"/>
        <w:widowControl w:val="0"/>
        <w:kinsoku/>
        <w:wordWrap/>
        <w:overflowPunct/>
        <w:topLinePunct w:val="0"/>
        <w:autoSpaceDE/>
        <w:autoSpaceDN/>
        <w:bidi w:val="0"/>
        <w:adjustRightInd/>
        <w:snapToGrid/>
        <w:ind w:left="0" w:leftChars="0" w:firstLine="1063" w:firstLineChars="331"/>
        <w:textAlignment w:val="auto"/>
        <w:rPr>
          <w:rFonts w:hint="default"/>
          <w:color w:val="auto"/>
          <w:u w:val="single"/>
          <w:lang w:val="en-US" w:eastAsia="zh-CN"/>
        </w:rPr>
        <w:sectPr>
          <w:pgSz w:w="11906" w:h="16838"/>
          <w:pgMar w:top="1417" w:right="1417" w:bottom="1417" w:left="1417" w:header="851" w:footer="850" w:gutter="0"/>
          <w:pgNumType w:fmt="decimal"/>
          <w:cols w:space="425" w:num="1"/>
          <w:docGrid w:type="lines" w:linePitch="312" w:charSpace="0"/>
        </w:sectPr>
      </w:pPr>
      <w:r>
        <w:rPr>
          <w:rFonts w:hint="eastAsia"/>
          <w:b/>
          <w:bCs/>
          <w:color w:val="auto"/>
          <w:sz w:val="32"/>
          <w:szCs w:val="40"/>
          <w:u w:val="none"/>
          <w:lang w:val="en-US" w:eastAsia="zh-CN"/>
        </w:rPr>
        <w:t xml:space="preserve">日        期：二〇二五年八月               </w:t>
      </w:r>
    </w:p>
    <w:p w14:paraId="490A9EB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6C87298B">
      <w:pPr>
        <w:pStyle w:val="22"/>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eastAsia" w:ascii="宋体" w:hAnsi="宋体" w:eastAsia="宋体" w:cs="宋体"/>
          <w:bCs/>
          <w:color w:val="auto"/>
          <w:kern w:val="2"/>
          <w:sz w:val="21"/>
          <w:szCs w:val="32"/>
          <w:highlight w:val="none"/>
          <w:u w:val="none"/>
          <w:lang w:val="en-US" w:eastAsia="zh-CN" w:bidi="ar-SA"/>
        </w:rPr>
      </w:pPr>
      <w:bookmarkStart w:id="0" w:name="_Toc19520"/>
      <w:bookmarkStart w:id="1" w:name="_Toc75259334"/>
    </w:p>
    <w:p w14:paraId="4583B7A7">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TOC \o "1-1" \h \u </w:instrText>
      </w:r>
      <w:r>
        <w:rPr>
          <w:rFonts w:hint="eastAsia"/>
          <w:b/>
          <w:bCs/>
          <w:color w:val="auto"/>
          <w:sz w:val="28"/>
          <w:szCs w:val="36"/>
          <w:lang w:val="en-US" w:eastAsia="zh-CN"/>
        </w:rPr>
        <w:fldChar w:fldCharType="separate"/>
      </w: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_Toc25889 </w:instrText>
      </w:r>
      <w:r>
        <w:rPr>
          <w:rFonts w:hint="eastAsia"/>
          <w:b/>
          <w:bCs/>
          <w:color w:val="auto"/>
          <w:sz w:val="28"/>
          <w:szCs w:val="36"/>
          <w:lang w:val="en-US" w:eastAsia="zh-CN"/>
        </w:rPr>
        <w:fldChar w:fldCharType="separate"/>
      </w:r>
      <w:r>
        <w:rPr>
          <w:rFonts w:hint="eastAsia" w:ascii="宋体" w:hAnsi="宋体"/>
          <w:b/>
          <w:bCs/>
          <w:color w:val="auto"/>
          <w:sz w:val="28"/>
          <w:szCs w:val="44"/>
          <w:highlight w:val="none"/>
        </w:rPr>
        <w:t>第一部分</w:t>
      </w:r>
      <w:r>
        <w:rPr>
          <w:rFonts w:hint="eastAsia" w:ascii="宋体" w:hAnsi="宋体"/>
          <w:b/>
          <w:bCs/>
          <w:color w:val="auto"/>
          <w:sz w:val="28"/>
          <w:szCs w:val="44"/>
          <w:highlight w:val="none"/>
          <w:lang w:val="en-US" w:eastAsia="zh-CN"/>
        </w:rPr>
        <w:t xml:space="preserve"> 竞争性磋商</w:t>
      </w:r>
      <w:r>
        <w:rPr>
          <w:rFonts w:hint="eastAsia" w:ascii="宋体" w:hAnsi="宋体"/>
          <w:b/>
          <w:bCs/>
          <w:color w:val="auto"/>
          <w:sz w:val="28"/>
          <w:szCs w:val="44"/>
          <w:highlight w:val="none"/>
        </w:rPr>
        <w:t>公告</w:t>
      </w:r>
      <w:r>
        <w:rPr>
          <w:b/>
          <w:bCs/>
          <w:color w:val="auto"/>
          <w:sz w:val="28"/>
          <w:szCs w:val="36"/>
        </w:rPr>
        <w:tab/>
      </w:r>
      <w:r>
        <w:rPr>
          <w:b/>
          <w:bCs/>
          <w:color w:val="auto"/>
          <w:sz w:val="28"/>
          <w:szCs w:val="36"/>
        </w:rPr>
        <w:fldChar w:fldCharType="begin"/>
      </w:r>
      <w:r>
        <w:rPr>
          <w:b/>
          <w:bCs/>
          <w:color w:val="auto"/>
          <w:sz w:val="28"/>
          <w:szCs w:val="36"/>
        </w:rPr>
        <w:instrText xml:space="preserve"> PAGEREF _Toc25889 \h </w:instrText>
      </w:r>
      <w:r>
        <w:rPr>
          <w:b/>
          <w:bCs/>
          <w:color w:val="auto"/>
          <w:sz w:val="28"/>
          <w:szCs w:val="36"/>
        </w:rPr>
        <w:fldChar w:fldCharType="separate"/>
      </w:r>
      <w:r>
        <w:rPr>
          <w:b/>
          <w:bCs/>
          <w:color w:val="auto"/>
          <w:sz w:val="28"/>
          <w:szCs w:val="36"/>
        </w:rPr>
        <w:t>1</w:t>
      </w:r>
      <w:r>
        <w:rPr>
          <w:b/>
          <w:bCs/>
          <w:color w:val="auto"/>
          <w:sz w:val="28"/>
          <w:szCs w:val="36"/>
        </w:rPr>
        <w:fldChar w:fldCharType="end"/>
      </w:r>
      <w:r>
        <w:rPr>
          <w:rFonts w:hint="eastAsia"/>
          <w:b/>
          <w:bCs/>
          <w:color w:val="auto"/>
          <w:sz w:val="28"/>
          <w:szCs w:val="36"/>
          <w:lang w:val="en-US" w:eastAsia="zh-CN"/>
        </w:rPr>
        <w:fldChar w:fldCharType="end"/>
      </w:r>
    </w:p>
    <w:p w14:paraId="0EDA79A4">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_Toc8544 </w:instrText>
      </w:r>
      <w:r>
        <w:rPr>
          <w:rFonts w:hint="eastAsia"/>
          <w:b/>
          <w:bCs/>
          <w:color w:val="auto"/>
          <w:sz w:val="28"/>
          <w:szCs w:val="36"/>
          <w:lang w:val="en-US" w:eastAsia="zh-CN"/>
        </w:rPr>
        <w:fldChar w:fldCharType="separate"/>
      </w:r>
      <w:r>
        <w:rPr>
          <w:b/>
          <w:bCs/>
          <w:color w:val="auto"/>
          <w:sz w:val="28"/>
          <w:szCs w:val="44"/>
          <w:highlight w:val="none"/>
        </w:rPr>
        <w:t>第</w:t>
      </w:r>
      <w:r>
        <w:rPr>
          <w:rFonts w:hint="eastAsia"/>
          <w:b/>
          <w:bCs/>
          <w:color w:val="auto"/>
          <w:sz w:val="28"/>
          <w:szCs w:val="44"/>
          <w:highlight w:val="none"/>
          <w:lang w:val="en-US" w:eastAsia="zh-CN"/>
        </w:rPr>
        <w:t>二</w:t>
      </w:r>
      <w:r>
        <w:rPr>
          <w:b/>
          <w:bCs/>
          <w:color w:val="auto"/>
          <w:sz w:val="28"/>
          <w:szCs w:val="44"/>
          <w:highlight w:val="none"/>
        </w:rPr>
        <w:t>部分</w:t>
      </w:r>
      <w:r>
        <w:rPr>
          <w:rFonts w:hint="eastAsia"/>
          <w:b/>
          <w:bCs/>
          <w:color w:val="auto"/>
          <w:sz w:val="28"/>
          <w:szCs w:val="44"/>
          <w:highlight w:val="none"/>
          <w:lang w:val="en-US" w:eastAsia="zh-CN"/>
        </w:rPr>
        <w:t xml:space="preserve"> 磋商</w:t>
      </w:r>
      <w:r>
        <w:rPr>
          <w:b/>
          <w:bCs/>
          <w:color w:val="auto"/>
          <w:sz w:val="28"/>
          <w:szCs w:val="44"/>
          <w:highlight w:val="none"/>
        </w:rPr>
        <w:t>须知</w:t>
      </w:r>
      <w:r>
        <w:rPr>
          <w:rFonts w:hint="eastAsia"/>
          <w:b/>
          <w:bCs/>
          <w:color w:val="auto"/>
          <w:sz w:val="28"/>
          <w:szCs w:val="44"/>
          <w:highlight w:val="none"/>
          <w:lang w:val="en-US" w:eastAsia="zh-CN"/>
        </w:rPr>
        <w:t>前附表</w:t>
      </w:r>
      <w:r>
        <w:rPr>
          <w:b/>
          <w:bCs/>
          <w:color w:val="auto"/>
          <w:sz w:val="28"/>
          <w:szCs w:val="36"/>
        </w:rPr>
        <w:tab/>
      </w:r>
      <w:r>
        <w:rPr>
          <w:b/>
          <w:bCs/>
          <w:color w:val="auto"/>
          <w:sz w:val="28"/>
          <w:szCs w:val="36"/>
        </w:rPr>
        <w:fldChar w:fldCharType="begin"/>
      </w:r>
      <w:r>
        <w:rPr>
          <w:b/>
          <w:bCs/>
          <w:color w:val="auto"/>
          <w:sz w:val="28"/>
          <w:szCs w:val="36"/>
        </w:rPr>
        <w:instrText xml:space="preserve"> PAGEREF _Toc8544 \h </w:instrText>
      </w:r>
      <w:r>
        <w:rPr>
          <w:b/>
          <w:bCs/>
          <w:color w:val="auto"/>
          <w:sz w:val="28"/>
          <w:szCs w:val="36"/>
        </w:rPr>
        <w:fldChar w:fldCharType="separate"/>
      </w:r>
      <w:r>
        <w:rPr>
          <w:b/>
          <w:bCs/>
          <w:color w:val="auto"/>
          <w:sz w:val="28"/>
          <w:szCs w:val="36"/>
        </w:rPr>
        <w:t>5</w:t>
      </w:r>
      <w:r>
        <w:rPr>
          <w:b/>
          <w:bCs/>
          <w:color w:val="auto"/>
          <w:sz w:val="28"/>
          <w:szCs w:val="36"/>
        </w:rPr>
        <w:fldChar w:fldCharType="end"/>
      </w:r>
      <w:r>
        <w:rPr>
          <w:rFonts w:hint="eastAsia"/>
          <w:b/>
          <w:bCs/>
          <w:color w:val="auto"/>
          <w:sz w:val="28"/>
          <w:szCs w:val="36"/>
          <w:lang w:val="en-US" w:eastAsia="zh-CN"/>
        </w:rPr>
        <w:fldChar w:fldCharType="end"/>
      </w:r>
    </w:p>
    <w:p w14:paraId="2AE89D7E">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_Toc28564 </w:instrText>
      </w:r>
      <w:r>
        <w:rPr>
          <w:rFonts w:hint="eastAsia"/>
          <w:b/>
          <w:bCs/>
          <w:color w:val="auto"/>
          <w:sz w:val="28"/>
          <w:szCs w:val="36"/>
          <w:lang w:val="en-US" w:eastAsia="zh-CN"/>
        </w:rPr>
        <w:fldChar w:fldCharType="separate"/>
      </w:r>
      <w:r>
        <w:rPr>
          <w:b/>
          <w:bCs/>
          <w:color w:val="auto"/>
          <w:sz w:val="28"/>
          <w:szCs w:val="44"/>
          <w:highlight w:val="none"/>
        </w:rPr>
        <w:t>第</w:t>
      </w:r>
      <w:r>
        <w:rPr>
          <w:rFonts w:hint="eastAsia"/>
          <w:b/>
          <w:bCs/>
          <w:color w:val="auto"/>
          <w:sz w:val="28"/>
          <w:szCs w:val="44"/>
          <w:highlight w:val="none"/>
          <w:lang w:val="en-US" w:eastAsia="zh-CN"/>
        </w:rPr>
        <w:t>三</w:t>
      </w:r>
      <w:r>
        <w:rPr>
          <w:b/>
          <w:bCs/>
          <w:color w:val="auto"/>
          <w:sz w:val="28"/>
          <w:szCs w:val="44"/>
          <w:highlight w:val="none"/>
        </w:rPr>
        <w:t>部分</w:t>
      </w:r>
      <w:r>
        <w:rPr>
          <w:rFonts w:hint="eastAsia"/>
          <w:b/>
          <w:bCs/>
          <w:color w:val="auto"/>
          <w:sz w:val="28"/>
          <w:szCs w:val="44"/>
          <w:highlight w:val="none"/>
          <w:lang w:val="en-US" w:eastAsia="zh-CN"/>
        </w:rPr>
        <w:t xml:space="preserve"> 供应商</w:t>
      </w:r>
      <w:r>
        <w:rPr>
          <w:b/>
          <w:bCs/>
          <w:color w:val="auto"/>
          <w:sz w:val="28"/>
          <w:szCs w:val="44"/>
          <w:highlight w:val="none"/>
        </w:rPr>
        <w:t>须知</w:t>
      </w:r>
      <w:r>
        <w:rPr>
          <w:b/>
          <w:bCs/>
          <w:color w:val="auto"/>
          <w:sz w:val="28"/>
          <w:szCs w:val="36"/>
        </w:rPr>
        <w:tab/>
      </w:r>
      <w:r>
        <w:rPr>
          <w:b/>
          <w:bCs/>
          <w:color w:val="auto"/>
          <w:sz w:val="28"/>
          <w:szCs w:val="36"/>
        </w:rPr>
        <w:fldChar w:fldCharType="begin"/>
      </w:r>
      <w:r>
        <w:rPr>
          <w:b/>
          <w:bCs/>
          <w:color w:val="auto"/>
          <w:sz w:val="28"/>
          <w:szCs w:val="36"/>
        </w:rPr>
        <w:instrText xml:space="preserve"> PAGEREF _Toc28564 \h </w:instrText>
      </w:r>
      <w:r>
        <w:rPr>
          <w:b/>
          <w:bCs/>
          <w:color w:val="auto"/>
          <w:sz w:val="28"/>
          <w:szCs w:val="36"/>
        </w:rPr>
        <w:fldChar w:fldCharType="separate"/>
      </w:r>
      <w:r>
        <w:rPr>
          <w:b/>
          <w:bCs/>
          <w:color w:val="auto"/>
          <w:sz w:val="28"/>
          <w:szCs w:val="36"/>
        </w:rPr>
        <w:t>8</w:t>
      </w:r>
      <w:r>
        <w:rPr>
          <w:b/>
          <w:bCs/>
          <w:color w:val="auto"/>
          <w:sz w:val="28"/>
          <w:szCs w:val="36"/>
        </w:rPr>
        <w:fldChar w:fldCharType="end"/>
      </w:r>
      <w:r>
        <w:rPr>
          <w:rFonts w:hint="eastAsia"/>
          <w:b/>
          <w:bCs/>
          <w:color w:val="auto"/>
          <w:sz w:val="28"/>
          <w:szCs w:val="36"/>
          <w:lang w:val="en-US" w:eastAsia="zh-CN"/>
        </w:rPr>
        <w:fldChar w:fldCharType="end"/>
      </w:r>
    </w:p>
    <w:p w14:paraId="518215BF">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_Toc2709 </w:instrText>
      </w:r>
      <w:r>
        <w:rPr>
          <w:rFonts w:hint="eastAsia"/>
          <w:b/>
          <w:bCs/>
          <w:color w:val="auto"/>
          <w:sz w:val="28"/>
          <w:szCs w:val="36"/>
          <w:lang w:val="en-US" w:eastAsia="zh-CN"/>
        </w:rPr>
        <w:fldChar w:fldCharType="separate"/>
      </w:r>
      <w:r>
        <w:rPr>
          <w:rFonts w:hint="eastAsia" w:ascii="宋体" w:hAnsi="宋体"/>
          <w:b/>
          <w:bCs/>
          <w:color w:val="auto"/>
          <w:sz w:val="28"/>
          <w:szCs w:val="48"/>
          <w:highlight w:val="none"/>
        </w:rPr>
        <w:t>第</w:t>
      </w:r>
      <w:r>
        <w:rPr>
          <w:rFonts w:hint="eastAsia" w:ascii="宋体" w:hAnsi="宋体"/>
          <w:b/>
          <w:bCs/>
          <w:color w:val="auto"/>
          <w:sz w:val="28"/>
          <w:szCs w:val="48"/>
          <w:highlight w:val="none"/>
          <w:lang w:val="en-US" w:eastAsia="zh-CN"/>
        </w:rPr>
        <w:t>四</w:t>
      </w:r>
      <w:r>
        <w:rPr>
          <w:rFonts w:hint="eastAsia" w:ascii="宋体" w:hAnsi="宋体"/>
          <w:b/>
          <w:bCs/>
          <w:color w:val="auto"/>
          <w:sz w:val="28"/>
          <w:szCs w:val="48"/>
          <w:highlight w:val="none"/>
        </w:rPr>
        <w:t>部分</w:t>
      </w:r>
      <w:r>
        <w:rPr>
          <w:rFonts w:hint="eastAsia" w:ascii="宋体" w:hAnsi="宋体"/>
          <w:b/>
          <w:bCs/>
          <w:color w:val="auto"/>
          <w:sz w:val="28"/>
          <w:szCs w:val="48"/>
          <w:highlight w:val="none"/>
          <w:lang w:val="en-US" w:eastAsia="zh-CN"/>
        </w:rPr>
        <w:t xml:space="preserve"> </w:t>
      </w:r>
      <w:r>
        <w:rPr>
          <w:rFonts w:hint="eastAsia" w:ascii="宋体" w:hAnsi="宋体"/>
          <w:b/>
          <w:bCs/>
          <w:color w:val="auto"/>
          <w:sz w:val="28"/>
          <w:szCs w:val="48"/>
          <w:highlight w:val="none"/>
        </w:rPr>
        <w:t>采购</w:t>
      </w:r>
      <w:r>
        <w:rPr>
          <w:rFonts w:hint="eastAsia" w:ascii="宋体" w:hAnsi="宋体"/>
          <w:b/>
          <w:bCs/>
          <w:color w:val="auto"/>
          <w:sz w:val="28"/>
          <w:szCs w:val="48"/>
          <w:highlight w:val="none"/>
          <w:lang w:val="en-US" w:eastAsia="zh-CN"/>
        </w:rPr>
        <w:t>需求</w:t>
      </w:r>
      <w:r>
        <w:rPr>
          <w:b/>
          <w:bCs/>
          <w:color w:val="auto"/>
          <w:sz w:val="28"/>
          <w:szCs w:val="36"/>
        </w:rPr>
        <w:tab/>
      </w:r>
      <w:r>
        <w:rPr>
          <w:b/>
          <w:bCs/>
          <w:color w:val="auto"/>
          <w:sz w:val="28"/>
          <w:szCs w:val="36"/>
        </w:rPr>
        <w:fldChar w:fldCharType="begin"/>
      </w:r>
      <w:r>
        <w:rPr>
          <w:b/>
          <w:bCs/>
          <w:color w:val="auto"/>
          <w:sz w:val="28"/>
          <w:szCs w:val="36"/>
        </w:rPr>
        <w:instrText xml:space="preserve"> PAGEREF _Toc2709 \h </w:instrText>
      </w:r>
      <w:r>
        <w:rPr>
          <w:b/>
          <w:bCs/>
          <w:color w:val="auto"/>
          <w:sz w:val="28"/>
          <w:szCs w:val="36"/>
        </w:rPr>
        <w:fldChar w:fldCharType="separate"/>
      </w:r>
      <w:r>
        <w:rPr>
          <w:b/>
          <w:bCs/>
          <w:color w:val="auto"/>
          <w:sz w:val="28"/>
          <w:szCs w:val="36"/>
        </w:rPr>
        <w:t>25</w:t>
      </w:r>
      <w:r>
        <w:rPr>
          <w:b/>
          <w:bCs/>
          <w:color w:val="auto"/>
          <w:sz w:val="28"/>
          <w:szCs w:val="36"/>
        </w:rPr>
        <w:fldChar w:fldCharType="end"/>
      </w:r>
      <w:r>
        <w:rPr>
          <w:rFonts w:hint="eastAsia"/>
          <w:b/>
          <w:bCs/>
          <w:color w:val="auto"/>
          <w:sz w:val="28"/>
          <w:szCs w:val="36"/>
          <w:lang w:val="en-US" w:eastAsia="zh-CN"/>
        </w:rPr>
        <w:fldChar w:fldCharType="end"/>
      </w:r>
    </w:p>
    <w:p w14:paraId="6571975A">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_Toc15721 </w:instrText>
      </w:r>
      <w:r>
        <w:rPr>
          <w:rFonts w:hint="eastAsia"/>
          <w:b/>
          <w:bCs/>
          <w:color w:val="auto"/>
          <w:sz w:val="28"/>
          <w:szCs w:val="36"/>
          <w:lang w:val="en-US" w:eastAsia="zh-CN"/>
        </w:rPr>
        <w:fldChar w:fldCharType="separate"/>
      </w:r>
      <w:r>
        <w:rPr>
          <w:rFonts w:hint="eastAsia" w:ascii="宋体" w:hAnsi="宋体" w:eastAsia="宋体" w:cs="宋体"/>
          <w:b/>
          <w:bCs/>
          <w:color w:val="auto"/>
          <w:sz w:val="28"/>
          <w:szCs w:val="44"/>
          <w:highlight w:val="none"/>
          <w:lang w:val="en-US" w:eastAsia="zh-CN"/>
        </w:rPr>
        <w:t>第五部分 拟签订合同文本</w:t>
      </w:r>
      <w:r>
        <w:rPr>
          <w:b/>
          <w:bCs/>
          <w:color w:val="auto"/>
          <w:sz w:val="28"/>
          <w:szCs w:val="36"/>
        </w:rPr>
        <w:tab/>
      </w:r>
      <w:r>
        <w:rPr>
          <w:b/>
          <w:bCs/>
          <w:color w:val="auto"/>
          <w:sz w:val="28"/>
          <w:szCs w:val="36"/>
        </w:rPr>
        <w:fldChar w:fldCharType="begin"/>
      </w:r>
      <w:r>
        <w:rPr>
          <w:b/>
          <w:bCs/>
          <w:color w:val="auto"/>
          <w:sz w:val="28"/>
          <w:szCs w:val="36"/>
        </w:rPr>
        <w:instrText xml:space="preserve"> PAGEREF _Toc15721 \h </w:instrText>
      </w:r>
      <w:r>
        <w:rPr>
          <w:b/>
          <w:bCs/>
          <w:color w:val="auto"/>
          <w:sz w:val="28"/>
          <w:szCs w:val="36"/>
        </w:rPr>
        <w:fldChar w:fldCharType="separate"/>
      </w:r>
      <w:r>
        <w:rPr>
          <w:b/>
          <w:bCs/>
          <w:color w:val="auto"/>
          <w:sz w:val="28"/>
          <w:szCs w:val="36"/>
        </w:rPr>
        <w:t>26</w:t>
      </w:r>
      <w:r>
        <w:rPr>
          <w:b/>
          <w:bCs/>
          <w:color w:val="auto"/>
          <w:sz w:val="28"/>
          <w:szCs w:val="36"/>
        </w:rPr>
        <w:fldChar w:fldCharType="end"/>
      </w:r>
      <w:r>
        <w:rPr>
          <w:rFonts w:hint="eastAsia"/>
          <w:b/>
          <w:bCs/>
          <w:color w:val="auto"/>
          <w:sz w:val="28"/>
          <w:szCs w:val="36"/>
          <w:lang w:val="en-US" w:eastAsia="zh-CN"/>
        </w:rPr>
        <w:fldChar w:fldCharType="end"/>
      </w:r>
    </w:p>
    <w:p w14:paraId="1D3D0D37">
      <w:pPr>
        <w:pStyle w:val="22"/>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_Toc6998 </w:instrText>
      </w:r>
      <w:r>
        <w:rPr>
          <w:rFonts w:hint="eastAsia"/>
          <w:b/>
          <w:bCs/>
          <w:color w:val="auto"/>
          <w:sz w:val="28"/>
          <w:szCs w:val="36"/>
          <w:lang w:val="en-US" w:eastAsia="zh-CN"/>
        </w:rPr>
        <w:fldChar w:fldCharType="separate"/>
      </w:r>
      <w:r>
        <w:rPr>
          <w:rFonts w:hint="eastAsia" w:ascii="宋体" w:hAnsi="宋体" w:eastAsia="宋体" w:cs="宋体"/>
          <w:b/>
          <w:bCs/>
          <w:color w:val="auto"/>
          <w:sz w:val="28"/>
          <w:szCs w:val="44"/>
          <w:highlight w:val="none"/>
          <w:lang w:val="en-US" w:eastAsia="zh-CN"/>
        </w:rPr>
        <w:t>第六部分 响应文件格式</w:t>
      </w:r>
      <w:r>
        <w:rPr>
          <w:b/>
          <w:bCs/>
          <w:color w:val="auto"/>
          <w:sz w:val="28"/>
          <w:szCs w:val="36"/>
        </w:rPr>
        <w:tab/>
      </w:r>
      <w:r>
        <w:rPr>
          <w:b/>
          <w:bCs/>
          <w:color w:val="auto"/>
          <w:sz w:val="28"/>
          <w:szCs w:val="36"/>
        </w:rPr>
        <w:fldChar w:fldCharType="begin"/>
      </w:r>
      <w:r>
        <w:rPr>
          <w:b/>
          <w:bCs/>
          <w:color w:val="auto"/>
          <w:sz w:val="28"/>
          <w:szCs w:val="36"/>
        </w:rPr>
        <w:instrText xml:space="preserve"> PAGEREF _Toc6998 \h </w:instrText>
      </w:r>
      <w:r>
        <w:rPr>
          <w:b/>
          <w:bCs/>
          <w:color w:val="auto"/>
          <w:sz w:val="28"/>
          <w:szCs w:val="36"/>
        </w:rPr>
        <w:fldChar w:fldCharType="separate"/>
      </w:r>
      <w:r>
        <w:rPr>
          <w:b/>
          <w:bCs/>
          <w:color w:val="auto"/>
          <w:sz w:val="28"/>
          <w:szCs w:val="36"/>
        </w:rPr>
        <w:t>26</w:t>
      </w:r>
      <w:r>
        <w:rPr>
          <w:b/>
          <w:bCs/>
          <w:color w:val="auto"/>
          <w:sz w:val="28"/>
          <w:szCs w:val="36"/>
        </w:rPr>
        <w:fldChar w:fldCharType="end"/>
      </w:r>
      <w:r>
        <w:rPr>
          <w:rFonts w:hint="eastAsia"/>
          <w:b/>
          <w:bCs/>
          <w:color w:val="auto"/>
          <w:sz w:val="28"/>
          <w:szCs w:val="36"/>
          <w:lang w:val="en-US" w:eastAsia="zh-CN"/>
        </w:rPr>
        <w:fldChar w:fldCharType="end"/>
      </w:r>
    </w:p>
    <w:p w14:paraId="7BD74B2C">
      <w:pPr>
        <w:spacing w:line="600" w:lineRule="auto"/>
        <w:rPr>
          <w:rFonts w:hint="eastAsia"/>
          <w:b/>
          <w:bCs/>
          <w:color w:val="auto"/>
          <w:sz w:val="28"/>
          <w:szCs w:val="36"/>
          <w:lang w:val="en-US" w:eastAsia="zh-CN"/>
        </w:rPr>
        <w:sectPr>
          <w:headerReference r:id="rId3" w:type="default"/>
          <w:footerReference r:id="rId4" w:type="default"/>
          <w:pgSz w:w="11906" w:h="16838"/>
          <w:pgMar w:top="1417" w:right="1417" w:bottom="1417" w:left="1417" w:header="851" w:footer="850" w:gutter="0"/>
          <w:pgNumType w:fmt="decimal" w:start="1"/>
          <w:cols w:space="425" w:num="1"/>
          <w:docGrid w:type="lines" w:linePitch="312" w:charSpace="0"/>
        </w:sectPr>
      </w:pPr>
      <w:r>
        <w:rPr>
          <w:rFonts w:hint="eastAsia"/>
          <w:b/>
          <w:bCs/>
          <w:color w:val="auto"/>
          <w:sz w:val="28"/>
          <w:szCs w:val="36"/>
          <w:lang w:val="en-US" w:eastAsia="zh-CN"/>
        </w:rPr>
        <w:fldChar w:fldCharType="end"/>
      </w:r>
    </w:p>
    <w:p w14:paraId="0468DBD5">
      <w:pPr>
        <w:pStyle w:val="22"/>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center"/>
        <w:textAlignment w:val="auto"/>
        <w:outlineLvl w:val="0"/>
        <w:rPr>
          <w:rFonts w:hint="eastAsia" w:ascii="宋体" w:hAnsi="宋体"/>
          <w:b/>
          <w:color w:val="auto"/>
          <w:sz w:val="32"/>
          <w:szCs w:val="32"/>
          <w:highlight w:val="none"/>
        </w:rPr>
      </w:pPr>
      <w:bookmarkStart w:id="2" w:name="_Toc25889"/>
      <w:r>
        <w:rPr>
          <w:rFonts w:hint="eastAsia" w:ascii="宋体" w:hAnsi="宋体"/>
          <w:b/>
          <w:color w:val="auto"/>
          <w:sz w:val="32"/>
          <w:szCs w:val="32"/>
          <w:highlight w:val="none"/>
        </w:rPr>
        <w:t>第一部分</w:t>
      </w:r>
      <w:r>
        <w:rPr>
          <w:rFonts w:hint="eastAsia" w:ascii="宋体" w:hAnsi="宋体"/>
          <w:b/>
          <w:color w:val="auto"/>
          <w:sz w:val="32"/>
          <w:szCs w:val="32"/>
          <w:highlight w:val="none"/>
          <w:lang w:val="en-US" w:eastAsia="zh-CN"/>
        </w:rPr>
        <w:t xml:space="preserve"> 竞争性磋商</w:t>
      </w:r>
      <w:r>
        <w:rPr>
          <w:rFonts w:hint="eastAsia" w:ascii="宋体" w:hAnsi="宋体"/>
          <w:b/>
          <w:color w:val="auto"/>
          <w:sz w:val="32"/>
          <w:szCs w:val="32"/>
          <w:highlight w:val="none"/>
        </w:rPr>
        <w:t>公告</w:t>
      </w:r>
      <w:bookmarkEnd w:id="0"/>
      <w:bookmarkEnd w:id="1"/>
      <w:bookmarkEnd w:id="2"/>
    </w:p>
    <w:p w14:paraId="6D243AC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Fonts w:hint="eastAsia" w:ascii="宋体" w:hAnsi="宋体" w:eastAsia="宋体" w:cs="宋体"/>
          <w:b w:val="0"/>
          <w:bCs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项目概况</w:t>
      </w:r>
    </w:p>
    <w:p w14:paraId="637A1F9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吴起县周湾镇2025年重点工程配套以工代赈示范项目</w:t>
      </w:r>
      <w:r>
        <w:rPr>
          <w:rFonts w:hint="eastAsia" w:ascii="宋体" w:hAnsi="宋体" w:eastAsia="宋体" w:cs="宋体"/>
          <w:i w:val="0"/>
          <w:iCs w:val="0"/>
          <w:caps w:val="0"/>
          <w:color w:val="333333"/>
          <w:spacing w:val="0"/>
          <w:sz w:val="24"/>
          <w:szCs w:val="24"/>
          <w:shd w:val="clear" w:fill="FFFFFF"/>
          <w:vertAlign w:val="baseline"/>
        </w:rPr>
        <w:t>采购项目的潜在供应商应在延安市吴起县陈蒿湾石油小区门面房 A（2）4-1 四楼华春公司获取采购文件，并于2025年</w:t>
      </w:r>
      <w:r>
        <w:rPr>
          <w:rFonts w:hint="eastAsia"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月</w:t>
      </w:r>
      <w:r>
        <w:rPr>
          <w:rFonts w:hint="eastAsia"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日</w:t>
      </w:r>
      <w:r>
        <w:rPr>
          <w:rFonts w:hint="eastAsia" w:eastAsia="宋体" w:cs="宋体"/>
          <w:i w:val="0"/>
          <w:iCs w:val="0"/>
          <w:caps w:val="0"/>
          <w:color w:val="333333"/>
          <w:spacing w:val="0"/>
          <w:sz w:val="24"/>
          <w:szCs w:val="24"/>
          <w:shd w:val="clear" w:fill="FFFFFF"/>
          <w:vertAlign w:val="baseline"/>
          <w:lang w:val="en-US" w:eastAsia="zh-CN"/>
        </w:rPr>
        <w:t>15</w:t>
      </w:r>
      <w:r>
        <w:rPr>
          <w:rFonts w:hint="eastAsia" w:ascii="宋体" w:hAnsi="宋体" w:eastAsia="宋体" w:cs="宋体"/>
          <w:i w:val="0"/>
          <w:iCs w:val="0"/>
          <w:caps w:val="0"/>
          <w:color w:val="333333"/>
          <w:spacing w:val="0"/>
          <w:sz w:val="24"/>
          <w:szCs w:val="24"/>
          <w:shd w:val="clear" w:fill="FFFFFF"/>
          <w:vertAlign w:val="baseline"/>
        </w:rPr>
        <w:t>时</w:t>
      </w:r>
      <w:r>
        <w:rPr>
          <w:rFonts w:hint="eastAsia"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分（北京时间）前提交响应文件。</w:t>
      </w:r>
    </w:p>
    <w:p w14:paraId="4D3DBE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一、项目基本情况</w:t>
      </w:r>
    </w:p>
    <w:p w14:paraId="1660EBA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项目编号：HC-ZFCG-2025-030</w:t>
      </w:r>
    </w:p>
    <w:p w14:paraId="26793F7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w:t>
      </w:r>
      <w:bookmarkStart w:id="125" w:name="_GoBack"/>
      <w:r>
        <w:rPr>
          <w:rFonts w:hint="eastAsia" w:ascii="宋体" w:hAnsi="宋体" w:eastAsia="宋体" w:cs="宋体"/>
          <w:i w:val="0"/>
          <w:iCs w:val="0"/>
          <w:caps w:val="0"/>
          <w:color w:val="333333"/>
          <w:spacing w:val="0"/>
          <w:sz w:val="24"/>
          <w:szCs w:val="24"/>
          <w:shd w:val="clear" w:fill="FFFFFF"/>
          <w:vertAlign w:val="baseline"/>
          <w:lang w:eastAsia="zh-CN"/>
        </w:rPr>
        <w:t>吴起县周湾镇2025年重点工程配套以工代赈示范项目</w:t>
      </w:r>
      <w:bookmarkEnd w:id="125"/>
    </w:p>
    <w:p w14:paraId="5EAFF97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50C9E2A4">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val="en-US" w:eastAsia="zh-CN"/>
        </w:rPr>
        <w:t>7566900</w:t>
      </w:r>
      <w:r>
        <w:rPr>
          <w:rFonts w:hint="eastAsia" w:ascii="宋体" w:hAnsi="宋体" w:eastAsia="宋体" w:cs="宋体"/>
          <w:i w:val="0"/>
          <w:iCs w:val="0"/>
          <w:caps w:val="0"/>
          <w:color w:val="333333"/>
          <w:spacing w:val="0"/>
          <w:sz w:val="24"/>
          <w:szCs w:val="24"/>
          <w:shd w:val="clear" w:fill="FFFFFF"/>
          <w:vertAlign w:val="baseline"/>
        </w:rPr>
        <w:t>.00元</w:t>
      </w:r>
    </w:p>
    <w:p w14:paraId="05BC233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5D01560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吴起县周湾镇2025年重点工程配套以工代赈示范项目</w:t>
      </w:r>
      <w:r>
        <w:rPr>
          <w:rFonts w:hint="eastAsia" w:ascii="宋体" w:hAnsi="宋体" w:eastAsia="宋体" w:cs="宋体"/>
          <w:i w:val="0"/>
          <w:iCs w:val="0"/>
          <w:caps w:val="0"/>
          <w:color w:val="333333"/>
          <w:spacing w:val="0"/>
          <w:sz w:val="24"/>
          <w:szCs w:val="24"/>
          <w:shd w:val="clear" w:fill="FFFFFF"/>
          <w:vertAlign w:val="baseline"/>
        </w:rPr>
        <w:t>):</w:t>
      </w:r>
    </w:p>
    <w:p w14:paraId="1C7B6A5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shd w:val="clear" w:fill="FFFFFF"/>
          <w:vertAlign w:val="baseline"/>
          <w:lang w:val="en-US" w:eastAsia="zh-CN"/>
        </w:rPr>
        <w:t>7566900</w:t>
      </w:r>
      <w:r>
        <w:rPr>
          <w:rFonts w:hint="eastAsia" w:ascii="宋体" w:hAnsi="宋体" w:eastAsia="宋体" w:cs="宋体"/>
          <w:i w:val="0"/>
          <w:iCs w:val="0"/>
          <w:caps w:val="0"/>
          <w:color w:val="333333"/>
          <w:spacing w:val="0"/>
          <w:sz w:val="24"/>
          <w:szCs w:val="24"/>
          <w:shd w:val="clear" w:fill="FFFFFF"/>
          <w:vertAlign w:val="baseline"/>
        </w:rPr>
        <w:t>.00元</w:t>
      </w:r>
    </w:p>
    <w:p w14:paraId="29626D5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eastAsia="宋体" w:cs="宋体"/>
          <w:i w:val="0"/>
          <w:iCs w:val="0"/>
          <w:caps w:val="0"/>
          <w:color w:val="333333"/>
          <w:spacing w:val="0"/>
          <w:sz w:val="24"/>
          <w:szCs w:val="24"/>
          <w:shd w:val="clear" w:fill="FFFFFF"/>
          <w:vertAlign w:val="baseline"/>
          <w:lang w:val="en-US" w:eastAsia="zh-CN"/>
        </w:rPr>
        <w:t>7566900</w:t>
      </w:r>
      <w:r>
        <w:rPr>
          <w:rFonts w:hint="eastAsia" w:ascii="宋体" w:hAnsi="宋体" w:eastAsia="宋体" w:cs="宋体"/>
          <w:i w:val="0"/>
          <w:iCs w:val="0"/>
          <w:caps w:val="0"/>
          <w:color w:val="333333"/>
          <w:spacing w:val="0"/>
          <w:sz w:val="24"/>
          <w:szCs w:val="24"/>
          <w:shd w:val="clear" w:fill="FFFFFF"/>
          <w:vertAlign w:val="baseline"/>
        </w:rPr>
        <w:t>.00元</w:t>
      </w: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1"/>
        <w:gridCol w:w="1615"/>
        <w:gridCol w:w="3839"/>
        <w:gridCol w:w="722"/>
        <w:gridCol w:w="1142"/>
        <w:gridCol w:w="1441"/>
      </w:tblGrid>
      <w:tr w14:paraId="7BC3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02856">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7469DF">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09252E">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C17DEC">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6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338F2">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6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FA33B">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7F36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C08A06">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AA6788">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公路工程施工</w:t>
            </w:r>
          </w:p>
        </w:tc>
        <w:tc>
          <w:tcPr>
            <w:tcW w:w="21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271EC1">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吴起县周湾镇2025年重点工程配套以工代赈示范项目</w:t>
            </w:r>
          </w:p>
        </w:tc>
        <w:tc>
          <w:tcPr>
            <w:tcW w:w="3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1D21C3">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6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4D2B4">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6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AF7328">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7566900</w:t>
            </w:r>
            <w:r>
              <w:rPr>
                <w:rFonts w:hint="eastAsia" w:ascii="宋体" w:hAnsi="宋体" w:eastAsia="宋体" w:cs="宋体"/>
                <w:i w:val="0"/>
                <w:iCs w:val="0"/>
                <w:caps w:val="0"/>
                <w:color w:val="333333"/>
                <w:spacing w:val="0"/>
                <w:sz w:val="24"/>
                <w:szCs w:val="24"/>
                <w:shd w:val="clear" w:fill="FFFFFF"/>
                <w:vertAlign w:val="baseline"/>
              </w:rPr>
              <w:t>.00</w:t>
            </w:r>
          </w:p>
        </w:tc>
      </w:tr>
    </w:tbl>
    <w:p w14:paraId="472B2FD4">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956DBC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ascii="宋体" w:hAnsi="宋体" w:eastAsia="宋体" w:cs="宋体"/>
          <w:i w:val="0"/>
          <w:iCs w:val="0"/>
          <w:caps w:val="0"/>
          <w:color w:val="333333"/>
          <w:spacing w:val="0"/>
          <w:sz w:val="24"/>
          <w:szCs w:val="24"/>
          <w:shd w:val="clear" w:fill="FFFFFF"/>
          <w:vertAlign w:val="baseline"/>
          <w:lang w:val="en-US" w:eastAsia="zh-CN"/>
        </w:rPr>
        <w:t>60日历天</w:t>
      </w:r>
    </w:p>
    <w:p w14:paraId="7289C5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二、申请人的资格要求：</w:t>
      </w:r>
    </w:p>
    <w:p w14:paraId="5362150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5322C33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4A5AFF4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吴起县周湾镇2025年重点工程配套以工代赈示范项目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0C6BC1B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本项目专门面向中小企业采购，供应商须为中型、小型、微型企业，并提供《中小企业声明函》（采购标的对应所属行业为建筑业，声明函格式按照《政府采购促进中小企业发展管理办法》（财库〔2020〕46号）要求提供）。</w:t>
      </w:r>
    </w:p>
    <w:p w14:paraId="559D81AE">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依据《中华人民共和国政府采购法》和《中华人民共和国政府采购法实施条例》的有关规定，落实政府采购政策。 </w:t>
      </w:r>
    </w:p>
    <w:p w14:paraId="093C135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（1）《政府采购促进中小企业发展管理办法》的通知（财库〔2020〕46号）；</w:t>
      </w:r>
    </w:p>
    <w:p w14:paraId="0DEBAD6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（2）财政部司法部关于政府采购支持监狱企业发展有关问题的通知--财库〔2014〕6号；</w:t>
      </w:r>
    </w:p>
    <w:p w14:paraId="0B0B321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（3）《国务院办公厅关于建立政府强制采购节能产品制度的通知》--国办发〔2007〕51号；</w:t>
      </w:r>
    </w:p>
    <w:p w14:paraId="686E105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（4）《关于促进残疾人就业政府采购政策的通知》财库〔2017〕141号；</w:t>
      </w:r>
    </w:p>
    <w:p w14:paraId="27FE344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val="en-US" w:eastAsia="zh-CN"/>
        </w:rPr>
        <w:t>）《财政部 国务院扶贫办关于运用政府采购政策支持脱贫攻坚的通知》（财库〔2019〕27号）；</w:t>
      </w:r>
    </w:p>
    <w:p w14:paraId="489B1FA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）陕西省财政厅关于印发《陕西省中小企业政府采购信用融资办法》（陕财办采〔2018〕23号）；</w:t>
      </w:r>
    </w:p>
    <w:p w14:paraId="79014E3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）《财政部 发展改革委 生态环境部 市场监管总局关于调整优化节能产品、环境标志产品政府采购执行机制的通知》（财库〔2019〕9号）；</w:t>
      </w:r>
    </w:p>
    <w:p w14:paraId="03D1479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）《关于运用政府采购政策支持乡村产业振兴的通知》（财库〔2021〕19号）；</w:t>
      </w:r>
    </w:p>
    <w:p w14:paraId="302F96A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）其他需要落实的政府采购政策。</w:t>
      </w:r>
    </w:p>
    <w:p w14:paraId="7A631C2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1D62CF8C">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吴起县周湾镇2025年重点工程配套以工代赈示范项目</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7861EC34">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val="en-US" w:eastAsia="zh-CN"/>
        </w:rPr>
        <w:t>供应商须具有独立承担民事责任能力的法人或其他组织，提供合法有效的统一社会信用代码的营业执照或事业单位法人证书等国家规定的相关证明，自然人参与的提供其身份证明；</w:t>
      </w:r>
    </w:p>
    <w:p w14:paraId="42E0B09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（2）供应商须具有开户许可证或基本存款账户信息证明；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lang w:val="en-US" w:eastAsia="zh-CN"/>
        </w:rPr>
        <w:t xml:space="preserve">    （3）供应商需提供法定代表人委托授权书（法定代表人参加投标不需提供，但需要提供法定代表人身份证）及被授权人身份证；</w:t>
      </w:r>
    </w:p>
    <w:p w14:paraId="3005399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（4）供应商须具备公路工程施工总承包三级（含三级）及以上资质，并具有安全生产许可证</w:t>
      </w:r>
      <w:r>
        <w:rPr>
          <w:rFonts w:hint="eastAsia" w:cs="宋体"/>
          <w:i w:val="0"/>
          <w:iCs w:val="0"/>
          <w:caps w:val="0"/>
          <w:color w:val="333333"/>
          <w:spacing w:val="0"/>
          <w:sz w:val="24"/>
          <w:szCs w:val="24"/>
          <w:shd w:val="clear" w:fill="FFFFFF"/>
          <w:vertAlign w:val="baseline"/>
          <w:lang w:val="en-US" w:eastAsia="zh-CN"/>
        </w:rPr>
        <w:t>；</w:t>
      </w:r>
    </w:p>
    <w:p w14:paraId="0D8D37F0">
      <w:pPr>
        <w:pStyle w:val="47"/>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cs="宋体"/>
          <w:i w:val="0"/>
          <w:iCs w:val="0"/>
          <w:caps w:val="0"/>
          <w:color w:val="333333"/>
          <w:spacing w:val="0"/>
          <w:sz w:val="24"/>
          <w:szCs w:val="24"/>
          <w:shd w:val="clear" w:fill="FFFFFF"/>
          <w:vertAlign w:val="baseline"/>
          <w:lang w:val="en-US" w:eastAsia="zh-CN"/>
        </w:rPr>
        <w:t>（5）供应商拟派项目经理须具有公路工程专业二级及以上注册建造师资格和交通运输主管部门颁发的安全生产考核合格B证书，且无其他在建工程</w:t>
      </w:r>
      <w:r>
        <w:rPr>
          <w:rFonts w:hint="eastAsia" w:ascii="宋体" w:hAnsi="宋体" w:eastAsia="宋体" w:cs="宋体"/>
          <w:i w:val="0"/>
          <w:iCs w:val="0"/>
          <w:caps w:val="0"/>
          <w:color w:val="333333"/>
          <w:spacing w:val="0"/>
          <w:sz w:val="24"/>
          <w:szCs w:val="24"/>
          <w:shd w:val="clear" w:fill="FFFFFF"/>
          <w:vertAlign w:val="baseline"/>
          <w:lang w:val="en-US" w:eastAsia="zh-CN"/>
        </w:rPr>
        <w:t>；</w:t>
      </w:r>
    </w:p>
    <w:p w14:paraId="0673300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）供应商需提供提交响应文件截止日前近一年内至少一个月的纳税证明或完税证明，依法免税的单位应提供相关证明材料；</w:t>
      </w:r>
    </w:p>
    <w:p w14:paraId="5732374E">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）供应商需提供提交响应文件截止日前近一年内至少一个月的社会保障资金缴存单据或社保机构开具的社会保险参保缴费情况证明，依法不需要缴纳社会保资金的单位应提供相关证明材料； </w:t>
      </w:r>
    </w:p>
    <w:p w14:paraId="7AFD746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）供应商需提供2024年度经审计的财务报告，或其基本存款账户开户银行出具的资信证明及基本存款账户开户许可证(《基本存款账户信息》)；</w:t>
      </w:r>
    </w:p>
    <w:p w14:paraId="4021018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）供应商需提供参加本次政府采购活动前三年内在经营活动中没有重大违法记录的书面声明函；</w:t>
      </w:r>
    </w:p>
    <w:p w14:paraId="7D84EEE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68B3C0C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val="en-US" w:eastAsia="zh-CN"/>
        </w:rPr>
        <w:t>）单位负责人为同一人或者存在控股、管理关系的不同供应商，不得参加同一合同项下的政府采购活动；</w:t>
      </w:r>
    </w:p>
    <w:p w14:paraId="2554857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）本项目不接受联合体磋商。</w:t>
      </w:r>
    </w:p>
    <w:p w14:paraId="108EB8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三、获取采购文件</w:t>
      </w:r>
    </w:p>
    <w:p w14:paraId="75037A2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eastAsia="宋体" w:cs="宋体"/>
          <w:i w:val="0"/>
          <w:iCs w:val="0"/>
          <w:caps w:val="0"/>
          <w:color w:val="333333"/>
          <w:spacing w:val="0"/>
          <w:sz w:val="24"/>
          <w:szCs w:val="24"/>
          <w:shd w:val="clear" w:fill="FFFFFF"/>
          <w:vertAlign w:val="baseline"/>
          <w:lang w:val="en-US" w:eastAsia="zh-CN"/>
        </w:rPr>
        <w:t>21</w:t>
      </w:r>
      <w:r>
        <w:rPr>
          <w:rFonts w:hint="eastAsia" w:ascii="宋体" w:hAnsi="宋体" w:eastAsia="宋体" w:cs="宋体"/>
          <w:i w:val="0"/>
          <w:iCs w:val="0"/>
          <w:caps w:val="0"/>
          <w:color w:val="333333"/>
          <w:spacing w:val="0"/>
          <w:sz w:val="24"/>
          <w:szCs w:val="24"/>
          <w:shd w:val="clear" w:fill="FFFFFF"/>
          <w:vertAlign w:val="baseline"/>
        </w:rPr>
        <w:t>日至202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eastAsia="宋体" w:cs="宋体"/>
          <w:i w:val="0"/>
          <w:iCs w:val="0"/>
          <w:caps w:val="0"/>
          <w:color w:val="333333"/>
          <w:spacing w:val="0"/>
          <w:sz w:val="24"/>
          <w:szCs w:val="24"/>
          <w:shd w:val="clear" w:fill="FFFFFF"/>
          <w:vertAlign w:val="baseline"/>
          <w:lang w:val="en-US" w:eastAsia="zh-CN"/>
        </w:rPr>
        <w:t>27</w:t>
      </w:r>
      <w:r>
        <w:rPr>
          <w:rFonts w:hint="eastAsia" w:ascii="宋体" w:hAnsi="宋体" w:eastAsia="宋体" w:cs="宋体"/>
          <w:i w:val="0"/>
          <w:iCs w:val="0"/>
          <w:caps w:val="0"/>
          <w:color w:val="333333"/>
          <w:spacing w:val="0"/>
          <w:sz w:val="24"/>
          <w:szCs w:val="24"/>
          <w:shd w:val="clear" w:fill="FFFFFF"/>
          <w:vertAlign w:val="baseline"/>
        </w:rPr>
        <w:t>日，每天上午09:00:00至12:00:00，下午</w:t>
      </w:r>
      <w:r>
        <w:rPr>
          <w:rFonts w:hint="eastAsia" w:ascii="宋体" w:hAnsi="宋体" w:eastAsia="宋体" w:cs="宋体"/>
          <w:i w:val="0"/>
          <w:iCs w:val="0"/>
          <w:caps w:val="0"/>
          <w:color w:val="333333"/>
          <w:spacing w:val="0"/>
          <w:sz w:val="24"/>
          <w:szCs w:val="24"/>
          <w:shd w:val="clear" w:fill="FFFFFF"/>
          <w:vertAlign w:val="baseline"/>
          <w:lang w:val="en-US" w:eastAsia="zh-CN"/>
        </w:rPr>
        <w:t>15</w:t>
      </w:r>
      <w:r>
        <w:rPr>
          <w:rFonts w:hint="eastAsia" w:ascii="宋体" w:hAnsi="宋体" w:eastAsia="宋体" w:cs="宋体"/>
          <w:i w:val="0"/>
          <w:iCs w:val="0"/>
          <w:caps w:val="0"/>
          <w:color w:val="333333"/>
          <w:spacing w:val="0"/>
          <w:sz w:val="24"/>
          <w:szCs w:val="24"/>
          <w:shd w:val="clear" w:fill="FFFFFF"/>
          <w:vertAlign w:val="baseline"/>
        </w:rPr>
        <w:t>:00:00至</w:t>
      </w:r>
      <w:r>
        <w:rPr>
          <w:rFonts w:hint="eastAsia" w:ascii="宋体" w:hAnsi="宋体" w:eastAsia="宋体" w:cs="宋体"/>
          <w:i w:val="0"/>
          <w:iCs w:val="0"/>
          <w:caps w:val="0"/>
          <w:color w:val="333333"/>
          <w:spacing w:val="0"/>
          <w:sz w:val="24"/>
          <w:szCs w:val="24"/>
          <w:shd w:val="clear" w:fill="FFFFFF"/>
          <w:vertAlign w:val="baseline"/>
          <w:lang w:val="en-US" w:eastAsia="zh-CN"/>
        </w:rPr>
        <w:t>18</w:t>
      </w:r>
      <w:r>
        <w:rPr>
          <w:rFonts w:hint="eastAsia" w:ascii="宋体" w:hAnsi="宋体" w:eastAsia="宋体" w:cs="宋体"/>
          <w:i w:val="0"/>
          <w:iCs w:val="0"/>
          <w:caps w:val="0"/>
          <w:color w:val="333333"/>
          <w:spacing w:val="0"/>
          <w:sz w:val="24"/>
          <w:szCs w:val="24"/>
          <w:shd w:val="clear" w:fill="FFFFFF"/>
          <w:vertAlign w:val="baseline"/>
        </w:rPr>
        <w:t>:00:00（北京时间）</w:t>
      </w:r>
    </w:p>
    <w:p w14:paraId="45FC317D">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途径：延安市吴起县陈蒿湾石油小区门面房 A（2）4-1 四楼华春公司</w:t>
      </w:r>
    </w:p>
    <w:p w14:paraId="5D17857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00D5293B">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w:t>
      </w:r>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元</w:t>
      </w:r>
    </w:p>
    <w:p w14:paraId="0CD7F5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四、响应文件提交</w:t>
      </w:r>
    </w:p>
    <w:p w14:paraId="0B0BF1E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w:t>
      </w:r>
      <w:r>
        <w:rPr>
          <w:rFonts w:hint="eastAsia"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月</w:t>
      </w:r>
      <w:r>
        <w:rPr>
          <w:rFonts w:hint="eastAsia"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日</w:t>
      </w:r>
      <w:r>
        <w:rPr>
          <w:rFonts w:hint="eastAsia" w:eastAsia="宋体" w:cs="宋体"/>
          <w:i w:val="0"/>
          <w:iCs w:val="0"/>
          <w:caps w:val="0"/>
          <w:color w:val="333333"/>
          <w:spacing w:val="0"/>
          <w:sz w:val="24"/>
          <w:szCs w:val="24"/>
          <w:shd w:val="clear" w:fill="FFFFFF"/>
          <w:vertAlign w:val="baseline"/>
          <w:lang w:val="en-US" w:eastAsia="zh-CN"/>
        </w:rPr>
        <w:t>15</w:t>
      </w:r>
      <w:r>
        <w:rPr>
          <w:rFonts w:hint="eastAsia" w:ascii="宋体" w:hAnsi="宋体" w:eastAsia="宋体" w:cs="宋体"/>
          <w:i w:val="0"/>
          <w:iCs w:val="0"/>
          <w:caps w:val="0"/>
          <w:color w:val="333333"/>
          <w:spacing w:val="0"/>
          <w:sz w:val="24"/>
          <w:szCs w:val="24"/>
          <w:shd w:val="clear" w:fill="FFFFFF"/>
          <w:vertAlign w:val="baseline"/>
        </w:rPr>
        <w:t>时</w:t>
      </w:r>
      <w:r>
        <w:rPr>
          <w:rFonts w:hint="eastAsia"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分00秒（北京时间）</w:t>
      </w:r>
    </w:p>
    <w:p w14:paraId="6D2960F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地点：延安市吴起县陈蒿湾石油小区门面房 A（2）4-1 四楼华春公司</w:t>
      </w:r>
    </w:p>
    <w:p w14:paraId="2CF209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五、开启</w:t>
      </w:r>
    </w:p>
    <w:p w14:paraId="0542FA0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时间：2025年</w:t>
      </w:r>
      <w:r>
        <w:rPr>
          <w:rFonts w:hint="eastAsia"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月</w:t>
      </w:r>
      <w:r>
        <w:rPr>
          <w:rFonts w:hint="eastAsia"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日</w:t>
      </w:r>
      <w:r>
        <w:rPr>
          <w:rFonts w:hint="eastAsia" w:eastAsia="宋体" w:cs="宋体"/>
          <w:i w:val="0"/>
          <w:iCs w:val="0"/>
          <w:caps w:val="0"/>
          <w:color w:val="333333"/>
          <w:spacing w:val="0"/>
          <w:sz w:val="24"/>
          <w:szCs w:val="24"/>
          <w:shd w:val="clear" w:fill="FFFFFF"/>
          <w:vertAlign w:val="baseline"/>
          <w:lang w:val="en-US" w:eastAsia="zh-CN"/>
        </w:rPr>
        <w:t>15</w:t>
      </w:r>
      <w:r>
        <w:rPr>
          <w:rFonts w:hint="eastAsia" w:ascii="宋体" w:hAnsi="宋体" w:eastAsia="宋体" w:cs="宋体"/>
          <w:i w:val="0"/>
          <w:iCs w:val="0"/>
          <w:caps w:val="0"/>
          <w:color w:val="333333"/>
          <w:spacing w:val="0"/>
          <w:sz w:val="24"/>
          <w:szCs w:val="24"/>
          <w:shd w:val="clear" w:fill="FFFFFF"/>
          <w:vertAlign w:val="baseline"/>
        </w:rPr>
        <w:t>时</w:t>
      </w:r>
      <w:r>
        <w:rPr>
          <w:rFonts w:hint="eastAsia"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分00秒（北京时间）</w:t>
      </w:r>
    </w:p>
    <w:p w14:paraId="1250887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地点：延安市吴起县陈蒿湾石油小区门面房 A（2）4-1 四楼华春公司</w:t>
      </w:r>
    </w:p>
    <w:p w14:paraId="3AC729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六、公告期限</w:t>
      </w:r>
    </w:p>
    <w:p w14:paraId="777AD045">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0F9F2E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七、其他补充事宜</w:t>
      </w:r>
    </w:p>
    <w:p w14:paraId="4D96EAD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1.领取竞争性磋商文件时，请携带介绍信及本人有效身份证原件（加盖公章复印件一份）(现场领取）。</w:t>
      </w:r>
    </w:p>
    <w:p w14:paraId="722000C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2.请供应商按照陕西省财政厅关于政府采购供应商注册登记有关事项的通知中的要求，通过陕西省政府采购网注册登记加入陕西省政府采购供应商库。</w:t>
      </w:r>
    </w:p>
    <w:p w14:paraId="42E00A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4B6E20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128419B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val="en-US" w:eastAsia="zh-CN"/>
        </w:rPr>
        <w:t>吴起县周湾镇</w:t>
      </w:r>
      <w:r>
        <w:rPr>
          <w:rFonts w:hint="eastAsia" w:ascii="宋体" w:hAnsi="宋体" w:eastAsia="宋体" w:cs="宋体"/>
          <w:i w:val="0"/>
          <w:iCs w:val="0"/>
          <w:caps w:val="0"/>
          <w:color w:val="333333"/>
          <w:spacing w:val="0"/>
          <w:sz w:val="24"/>
          <w:szCs w:val="24"/>
          <w:shd w:val="clear" w:fill="FFFFFF"/>
          <w:vertAlign w:val="baseline"/>
        </w:rPr>
        <w:t>人民政府</w:t>
      </w:r>
    </w:p>
    <w:p w14:paraId="6E0230A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地址：陕西省延安市吴起县周湾镇周湾村</w:t>
      </w:r>
    </w:p>
    <w:p w14:paraId="7CD83BE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15529287079</w:t>
      </w:r>
    </w:p>
    <w:p w14:paraId="6F474B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7A83B5C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名称：华春建设工程项目管理有限责任公司</w:t>
      </w:r>
    </w:p>
    <w:p w14:paraId="01F1EE5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olor w:val="333333"/>
          <w:spacing w:val="0"/>
          <w:sz w:val="24"/>
          <w:szCs w:val="24"/>
          <w:shd w:val="clear" w:fill="FFFFFF"/>
          <w:vertAlign w:val="baseline"/>
        </w:rPr>
        <w:t>陕西省西安市雁塔区南二环西段58号成长大厦8楼</w:t>
      </w:r>
    </w:p>
    <w:p w14:paraId="5446BA7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15129112387</w:t>
      </w:r>
    </w:p>
    <w:p w14:paraId="64A056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71FBFC6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val="en-US" w:eastAsia="zh-CN"/>
        </w:rPr>
        <w:t>黄春丽</w:t>
      </w:r>
      <w:r>
        <w:rPr>
          <w:rFonts w:hint="eastAsia" w:ascii="宋体" w:hAnsi="宋体" w:eastAsia="宋体" w:cs="宋体"/>
          <w:i w:val="0"/>
          <w:iCs w:val="0"/>
          <w:caps w:val="0"/>
          <w:color w:val="333333"/>
          <w:spacing w:val="0"/>
          <w:sz w:val="24"/>
          <w:szCs w:val="24"/>
          <w:shd w:val="clear" w:fill="FFFFFF"/>
          <w:vertAlign w:val="baseline"/>
        </w:rPr>
        <w:t xml:space="preserve"> </w:t>
      </w:r>
    </w:p>
    <w:p w14:paraId="4779A64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i w:val="0"/>
          <w:iCs w:val="0"/>
          <w:caps w:val="0"/>
          <w:color w:val="333333"/>
          <w:spacing w:val="0"/>
          <w:sz w:val="24"/>
          <w:szCs w:val="24"/>
          <w:shd w:val="clear" w:fill="FFFFFF"/>
          <w:vertAlign w:val="baseline"/>
          <w:lang w:val="en-US" w:eastAsia="zh-CN"/>
        </w:rPr>
        <w:t>15129112387</w:t>
      </w:r>
    </w:p>
    <w:p w14:paraId="3CF788E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i w:val="0"/>
          <w:iCs w:val="0"/>
          <w:caps w:val="0"/>
          <w:color w:val="auto"/>
          <w:spacing w:val="0"/>
          <w:sz w:val="21"/>
          <w:szCs w:val="21"/>
          <w:shd w:val="clear" w:fill="FFFFFF"/>
        </w:rPr>
      </w:pPr>
    </w:p>
    <w:p w14:paraId="567550E8">
      <w:pPr>
        <w:outlineLvl w:val="9"/>
        <w:rPr>
          <w:rFonts w:hint="eastAsia"/>
          <w:color w:val="auto"/>
          <w:lang w:val="zh-CN"/>
        </w:rPr>
      </w:pPr>
    </w:p>
    <w:p w14:paraId="24C7BF7A">
      <w:pP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p>
    <w:p w14:paraId="12E2A0D3">
      <w:pPr>
        <w:pStyle w:val="22"/>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center"/>
        <w:textAlignment w:val="auto"/>
        <w:outlineLvl w:val="0"/>
        <w:rPr>
          <w:rFonts w:hint="eastAsia" w:ascii="宋体" w:hAnsi="宋体"/>
          <w:b/>
          <w:color w:val="auto"/>
          <w:sz w:val="32"/>
          <w:szCs w:val="32"/>
          <w:highlight w:val="none"/>
          <w:lang w:val="en-US" w:eastAsia="zh-CN"/>
        </w:rPr>
      </w:pPr>
      <w:bookmarkStart w:id="3" w:name="_Toc9063"/>
      <w:bookmarkStart w:id="4" w:name="_Toc8544"/>
      <w:bookmarkStart w:id="5" w:name="_Toc6767"/>
      <w:bookmarkStart w:id="6" w:name="_Toc75259335"/>
      <w:r>
        <w:rPr>
          <w:rFonts w:hint="eastAsia" w:ascii="宋体" w:hAnsi="宋体"/>
          <w:b/>
          <w:color w:val="auto"/>
          <w:sz w:val="32"/>
          <w:szCs w:val="32"/>
          <w:highlight w:val="none"/>
          <w:lang w:val="en-US" w:eastAsia="zh-CN"/>
        </w:rPr>
        <w:t>吴起县周湾镇人民政府吴起县周湾镇2025年重点工程配套以工代赈示范项目采购更正公告（第一次）</w:t>
      </w:r>
    </w:p>
    <w:p w14:paraId="27468A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一、项目基本情况</w:t>
      </w:r>
    </w:p>
    <w:p w14:paraId="2381DDAC">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原公告的采购项目编号：HC-ZFCG-2025-030</w:t>
      </w:r>
    </w:p>
    <w:p w14:paraId="7100A7F4">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原公告的采购项目名称：吴起县周湾镇2025年重点工程配套以工代赈示范项目</w:t>
      </w:r>
    </w:p>
    <w:p w14:paraId="0D809E0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首次公告日期：2025年08月20日</w:t>
      </w:r>
    </w:p>
    <w:p w14:paraId="1DAA0F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二、更正信息：</w:t>
      </w:r>
    </w:p>
    <w:p w14:paraId="16A0A3F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更正事项：采购公告</w:t>
      </w:r>
    </w:p>
    <w:p w14:paraId="679EBAB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更正原因：原竞争性磋商公告上的合同包最高限价有误。</w:t>
      </w:r>
    </w:p>
    <w:p w14:paraId="041AFA3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更正内容：</w:t>
      </w:r>
    </w:p>
    <w:p w14:paraId="2227B69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1.原竞争性磋商公告上的合同包最高限价为：7566900.00元，现变更为：7275608.00元。</w:t>
      </w:r>
    </w:p>
    <w:p w14:paraId="1764C134">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2.其他内容不变。</w:t>
      </w:r>
    </w:p>
    <w:p w14:paraId="42977AA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其他内容不变</w:t>
      </w:r>
    </w:p>
    <w:p w14:paraId="49908C6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更正日期：2025年08月</w:t>
      </w:r>
      <w:r>
        <w:rPr>
          <w:rFonts w:hint="eastAsia" w:eastAsia="宋体" w:cs="宋体"/>
          <w:i w:val="0"/>
          <w:iCs w:val="0"/>
          <w:caps w:val="0"/>
          <w:color w:val="auto"/>
          <w:spacing w:val="0"/>
          <w:sz w:val="24"/>
          <w:szCs w:val="24"/>
          <w:shd w:val="clear" w:fill="FFFFFF"/>
          <w:lang w:val="en-US" w:eastAsia="zh-CN"/>
        </w:rPr>
        <w:t>27</w:t>
      </w:r>
      <w:r>
        <w:rPr>
          <w:rFonts w:hint="eastAsia" w:ascii="宋体" w:hAnsi="宋体" w:eastAsia="宋体" w:cs="宋体"/>
          <w:i w:val="0"/>
          <w:iCs w:val="0"/>
          <w:caps w:val="0"/>
          <w:color w:val="auto"/>
          <w:spacing w:val="0"/>
          <w:sz w:val="24"/>
          <w:szCs w:val="24"/>
          <w:shd w:val="clear" w:fill="FFFFFF"/>
        </w:rPr>
        <w:t>日</w:t>
      </w:r>
    </w:p>
    <w:p w14:paraId="2A6B7E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三、其他补充事项</w:t>
      </w:r>
    </w:p>
    <w:p w14:paraId="641C178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1.领取竞争性磋商文件时，请携带介绍信及本人有效身份证原件（加盖公章复印件一份）(现场领取）。</w:t>
      </w:r>
    </w:p>
    <w:p w14:paraId="77BDE26C">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14:paraId="28E838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四、凡对本次公告内容提出询问，请按以下方式联系。</w:t>
      </w:r>
    </w:p>
    <w:p w14:paraId="7D303A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B24802E">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名称：吴起县周湾镇人民政府</w:t>
      </w:r>
    </w:p>
    <w:p w14:paraId="31BC43E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地址：陕西省延安市吴起县周湾镇周湾村</w:t>
      </w:r>
    </w:p>
    <w:p w14:paraId="5AB0F23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联系方式：15529287079</w:t>
      </w:r>
    </w:p>
    <w:p w14:paraId="1B50A80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31A765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名称：华春建设工程项目管理有限责任公司</w:t>
      </w:r>
    </w:p>
    <w:p w14:paraId="6E63793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地址：陕西省西安市雁塔区南二环西段58号成长大厦8楼</w:t>
      </w:r>
    </w:p>
    <w:p w14:paraId="0CC1F04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联系方式：15129112387</w:t>
      </w:r>
    </w:p>
    <w:p w14:paraId="1C844D8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C190DC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项目联系人：黄春丽</w:t>
      </w:r>
    </w:p>
    <w:p w14:paraId="1385E982">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电话：15129112387</w:t>
      </w:r>
    </w:p>
    <w:p w14:paraId="5546C385">
      <w:pPr>
        <w:pStyle w:val="22"/>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right="0" w:rightChars="0" w:firstLine="0" w:firstLineChars="0"/>
        <w:jc w:val="center"/>
        <w:textAlignment w:val="auto"/>
        <w:outlineLvl w:val="0"/>
        <w:rPr>
          <w:b/>
          <w:color w:val="auto"/>
          <w:sz w:val="32"/>
          <w:szCs w:val="32"/>
          <w:highlight w:val="none"/>
        </w:rPr>
      </w:pPr>
      <w:r>
        <w:rPr>
          <w:b/>
          <w:color w:val="auto"/>
          <w:sz w:val="32"/>
          <w:szCs w:val="32"/>
          <w:highlight w:val="none"/>
        </w:rPr>
        <w:br w:type="page"/>
      </w:r>
    </w:p>
    <w:p w14:paraId="2F5F7FCD">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Theme="minorEastAsia"/>
          <w:b/>
          <w:color w:val="auto"/>
          <w:sz w:val="32"/>
          <w:szCs w:val="32"/>
          <w:highlight w:val="none"/>
          <w:lang w:val="en-US" w:eastAsia="zh-CN"/>
        </w:rPr>
      </w:pPr>
      <w:r>
        <w:rPr>
          <w:b/>
          <w:color w:val="auto"/>
          <w:sz w:val="32"/>
          <w:szCs w:val="32"/>
          <w:highlight w:val="none"/>
        </w:rPr>
        <w:t>第</w:t>
      </w:r>
      <w:r>
        <w:rPr>
          <w:rFonts w:hint="eastAsia"/>
          <w:b/>
          <w:color w:val="auto"/>
          <w:sz w:val="32"/>
          <w:szCs w:val="32"/>
          <w:highlight w:val="none"/>
          <w:lang w:val="en-US" w:eastAsia="zh-CN"/>
        </w:rPr>
        <w:t>二</w:t>
      </w:r>
      <w:r>
        <w:rPr>
          <w:b/>
          <w:color w:val="auto"/>
          <w:sz w:val="32"/>
          <w:szCs w:val="32"/>
          <w:highlight w:val="none"/>
        </w:rPr>
        <w:t>部分</w:t>
      </w:r>
      <w:r>
        <w:rPr>
          <w:rFonts w:hint="eastAsia"/>
          <w:b/>
          <w:color w:val="auto"/>
          <w:sz w:val="32"/>
          <w:szCs w:val="32"/>
          <w:highlight w:val="none"/>
          <w:lang w:val="en-US" w:eastAsia="zh-CN"/>
        </w:rPr>
        <w:t xml:space="preserve"> 磋商</w:t>
      </w:r>
      <w:r>
        <w:rPr>
          <w:b/>
          <w:color w:val="auto"/>
          <w:sz w:val="32"/>
          <w:szCs w:val="32"/>
          <w:highlight w:val="none"/>
        </w:rPr>
        <w:t>须知</w:t>
      </w:r>
      <w:r>
        <w:rPr>
          <w:rFonts w:hint="eastAsia"/>
          <w:b/>
          <w:color w:val="auto"/>
          <w:sz w:val="32"/>
          <w:szCs w:val="32"/>
          <w:highlight w:val="none"/>
          <w:lang w:val="en-US" w:eastAsia="zh-CN"/>
        </w:rPr>
        <w:t>前附表</w:t>
      </w:r>
      <w:bookmarkEnd w:id="3"/>
      <w:bookmarkEnd w:id="4"/>
      <w:bookmarkEnd w:id="5"/>
    </w:p>
    <w:tbl>
      <w:tblPr>
        <w:tblStyle w:val="28"/>
        <w:tblW w:w="9107" w:type="dxa"/>
        <w:jc w:val="center"/>
        <w:tblLayout w:type="fixed"/>
        <w:tblCellMar>
          <w:top w:w="0" w:type="dxa"/>
          <w:left w:w="28" w:type="dxa"/>
          <w:bottom w:w="0" w:type="dxa"/>
          <w:right w:w="28" w:type="dxa"/>
        </w:tblCellMar>
      </w:tblPr>
      <w:tblGrid>
        <w:gridCol w:w="809"/>
        <w:gridCol w:w="1527"/>
        <w:gridCol w:w="6771"/>
      </w:tblGrid>
      <w:tr w14:paraId="3758C790">
        <w:tblPrEx>
          <w:tblCellMar>
            <w:top w:w="0" w:type="dxa"/>
            <w:left w:w="28" w:type="dxa"/>
            <w:bottom w:w="0" w:type="dxa"/>
            <w:right w:w="28" w:type="dxa"/>
          </w:tblCellMar>
        </w:tblPrEx>
        <w:trPr>
          <w:trHeight w:val="79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3F7BB4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27" w:type="dxa"/>
            <w:tcBorders>
              <w:top w:val="single" w:color="auto" w:sz="4" w:space="0"/>
              <w:left w:val="nil"/>
              <w:bottom w:val="single" w:color="auto" w:sz="4" w:space="0"/>
              <w:right w:val="single" w:color="auto" w:sz="4" w:space="0"/>
            </w:tcBorders>
            <w:vAlign w:val="center"/>
          </w:tcPr>
          <w:p w14:paraId="44BF2E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6771" w:type="dxa"/>
            <w:tcBorders>
              <w:top w:val="single" w:color="auto" w:sz="4" w:space="0"/>
              <w:left w:val="nil"/>
              <w:bottom w:val="single" w:color="auto" w:sz="4" w:space="0"/>
              <w:right w:val="single" w:color="auto" w:sz="4" w:space="0"/>
            </w:tcBorders>
            <w:vAlign w:val="center"/>
          </w:tcPr>
          <w:p w14:paraId="2DA7BA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 列 内 容</w:t>
            </w:r>
          </w:p>
        </w:tc>
      </w:tr>
      <w:tr w14:paraId="72178815">
        <w:tblPrEx>
          <w:tblCellMar>
            <w:top w:w="0" w:type="dxa"/>
            <w:left w:w="28" w:type="dxa"/>
            <w:bottom w:w="0" w:type="dxa"/>
            <w:right w:w="28" w:type="dxa"/>
          </w:tblCellMar>
        </w:tblPrEx>
        <w:trPr>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1C0A929">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7" w:type="dxa"/>
            <w:tcBorders>
              <w:top w:val="single" w:color="auto" w:sz="4" w:space="0"/>
              <w:left w:val="nil"/>
              <w:bottom w:val="single" w:color="auto" w:sz="4" w:space="0"/>
              <w:right w:val="single" w:color="auto" w:sz="4" w:space="0"/>
            </w:tcBorders>
            <w:vAlign w:val="center"/>
          </w:tcPr>
          <w:p w14:paraId="1C3A36F8">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71" w:type="dxa"/>
            <w:tcBorders>
              <w:top w:val="single" w:color="auto" w:sz="4" w:space="0"/>
              <w:left w:val="nil"/>
              <w:bottom w:val="single" w:color="auto" w:sz="4" w:space="0"/>
              <w:right w:val="single" w:color="auto" w:sz="4" w:space="0"/>
            </w:tcBorders>
            <w:vAlign w:val="center"/>
          </w:tcPr>
          <w:p w14:paraId="2B4177F5">
            <w:pPr>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吴起县周湾镇2025年重点工程配套以工代赈示范项目</w:t>
            </w:r>
          </w:p>
        </w:tc>
      </w:tr>
      <w:tr w14:paraId="0D4BB193">
        <w:tblPrEx>
          <w:tblCellMar>
            <w:top w:w="0" w:type="dxa"/>
            <w:left w:w="28" w:type="dxa"/>
            <w:bottom w:w="0" w:type="dxa"/>
            <w:right w:w="28" w:type="dxa"/>
          </w:tblCellMar>
        </w:tblPrEx>
        <w:trPr>
          <w:trHeight w:val="128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3EAA3B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7" w:type="dxa"/>
            <w:tcBorders>
              <w:top w:val="single" w:color="auto" w:sz="4" w:space="0"/>
              <w:left w:val="nil"/>
              <w:bottom w:val="single" w:color="auto" w:sz="4" w:space="0"/>
              <w:right w:val="single" w:color="auto" w:sz="4" w:space="0"/>
            </w:tcBorders>
            <w:vAlign w:val="center"/>
          </w:tcPr>
          <w:p w14:paraId="398AAF0A">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771" w:type="dxa"/>
            <w:tcBorders>
              <w:top w:val="single" w:color="auto" w:sz="4" w:space="0"/>
              <w:left w:val="nil"/>
              <w:bottom w:val="single" w:color="auto" w:sz="4" w:space="0"/>
              <w:right w:val="single" w:color="auto" w:sz="4" w:space="0"/>
            </w:tcBorders>
            <w:vAlign w:val="center"/>
          </w:tcPr>
          <w:p w14:paraId="3FBD6C57">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采购人名称：吴起县周湾镇人民政府</w:t>
            </w:r>
          </w:p>
          <w:p w14:paraId="19163B3C">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址：陕西省延安市吴起县周湾镇周湾村</w:t>
            </w:r>
          </w:p>
          <w:p w14:paraId="15BAF1F6">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联系人：齐天才 </w:t>
            </w:r>
          </w:p>
          <w:p w14:paraId="2E680380">
            <w:pPr>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话：15529287079</w:t>
            </w:r>
          </w:p>
        </w:tc>
      </w:tr>
      <w:tr w14:paraId="0C4F6874">
        <w:tblPrEx>
          <w:tblCellMar>
            <w:top w:w="0" w:type="dxa"/>
            <w:left w:w="28" w:type="dxa"/>
            <w:bottom w:w="0" w:type="dxa"/>
            <w:right w:w="28" w:type="dxa"/>
          </w:tblCellMar>
        </w:tblPrEx>
        <w:trPr>
          <w:trHeight w:val="20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3BF6C55">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7" w:type="dxa"/>
            <w:tcBorders>
              <w:top w:val="single" w:color="auto" w:sz="4" w:space="0"/>
              <w:left w:val="nil"/>
              <w:bottom w:val="single" w:color="auto" w:sz="4" w:space="0"/>
              <w:right w:val="single" w:color="auto" w:sz="4" w:space="0"/>
            </w:tcBorders>
            <w:vAlign w:val="center"/>
          </w:tcPr>
          <w:p w14:paraId="299F232E">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w:t>
            </w:r>
          </w:p>
          <w:p w14:paraId="6BA6E7D2">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机构</w:t>
            </w:r>
          </w:p>
        </w:tc>
        <w:tc>
          <w:tcPr>
            <w:tcW w:w="6771" w:type="dxa"/>
            <w:tcBorders>
              <w:top w:val="single" w:color="auto" w:sz="4" w:space="0"/>
              <w:left w:val="nil"/>
              <w:bottom w:val="single" w:color="auto" w:sz="4" w:space="0"/>
              <w:right w:val="single" w:color="auto" w:sz="4" w:space="0"/>
            </w:tcBorders>
            <w:vAlign w:val="center"/>
          </w:tcPr>
          <w:p w14:paraId="50408BCE">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华春建设工程项目管理有限责任公司</w:t>
            </w:r>
          </w:p>
          <w:p w14:paraId="59B70338">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i w:val="0"/>
                <w:iCs w:val="0"/>
                <w:color w:val="auto"/>
                <w:spacing w:val="0"/>
                <w:sz w:val="21"/>
                <w:szCs w:val="21"/>
                <w:shd w:val="clear" w:fill="FFFFFF"/>
                <w:vertAlign w:val="baseline"/>
              </w:rPr>
              <w:t>陕西省西安市雁塔区南二环西段58号成长大厦8楼</w:t>
            </w:r>
          </w:p>
          <w:p w14:paraId="279196DF">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黄春丽</w:t>
            </w:r>
            <w:r>
              <w:rPr>
                <w:rFonts w:hint="eastAsia" w:ascii="宋体" w:hAnsi="宋体" w:eastAsia="宋体" w:cs="宋体"/>
                <w:color w:val="auto"/>
                <w:sz w:val="21"/>
                <w:szCs w:val="21"/>
                <w:highlight w:val="none"/>
              </w:rPr>
              <w:t xml:space="preserve"> </w:t>
            </w:r>
          </w:p>
          <w:p w14:paraId="70CD972B">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15129112387</w:t>
            </w:r>
          </w:p>
        </w:tc>
      </w:tr>
      <w:tr w14:paraId="5CD2219F">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7BA02196">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27" w:type="dxa"/>
            <w:tcBorders>
              <w:top w:val="single" w:color="auto" w:sz="4" w:space="0"/>
              <w:left w:val="nil"/>
              <w:right w:val="single" w:color="auto" w:sz="4" w:space="0"/>
            </w:tcBorders>
            <w:vAlign w:val="center"/>
          </w:tcPr>
          <w:p w14:paraId="5D47F5FE">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采购标的对应所属行业</w:t>
            </w:r>
          </w:p>
        </w:tc>
        <w:tc>
          <w:tcPr>
            <w:tcW w:w="6771" w:type="dxa"/>
            <w:tcBorders>
              <w:top w:val="single" w:color="auto" w:sz="4" w:space="0"/>
              <w:left w:val="nil"/>
              <w:right w:val="single" w:color="auto" w:sz="4" w:space="0"/>
            </w:tcBorders>
            <w:vAlign w:val="center"/>
          </w:tcPr>
          <w:p w14:paraId="780346D0">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建筑业</w:t>
            </w:r>
          </w:p>
        </w:tc>
      </w:tr>
      <w:tr w14:paraId="33AD093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322CFE2A">
            <w:pPr>
              <w:spacing w:line="36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27" w:type="dxa"/>
            <w:tcBorders>
              <w:top w:val="single" w:color="auto" w:sz="4" w:space="0"/>
              <w:left w:val="nil"/>
              <w:right w:val="single" w:color="auto" w:sz="4" w:space="0"/>
            </w:tcBorders>
            <w:vAlign w:val="center"/>
          </w:tcPr>
          <w:p w14:paraId="10D15EEA">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专门面向中小企业采购</w:t>
            </w:r>
          </w:p>
        </w:tc>
        <w:tc>
          <w:tcPr>
            <w:tcW w:w="6771" w:type="dxa"/>
            <w:tcBorders>
              <w:top w:val="single" w:color="auto" w:sz="4" w:space="0"/>
              <w:left w:val="nil"/>
              <w:right w:val="single" w:color="auto" w:sz="4" w:space="0"/>
            </w:tcBorders>
            <w:vAlign w:val="center"/>
          </w:tcPr>
          <w:p w14:paraId="43CF0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4"/>
                <w:sz w:val="31"/>
                <w:szCs w:val="21"/>
                <w:highlight w:val="none"/>
                <w:lang w:eastAsia="zh-CN"/>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面向中小企业采购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面向小微企业采购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不面向</w:t>
            </w:r>
          </w:p>
        </w:tc>
      </w:tr>
      <w:tr w14:paraId="734DB2FE">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C7F0DF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27" w:type="dxa"/>
            <w:tcBorders>
              <w:top w:val="single" w:color="auto" w:sz="4" w:space="0"/>
              <w:left w:val="nil"/>
              <w:bottom w:val="single" w:color="auto" w:sz="4" w:space="0"/>
              <w:right w:val="single" w:color="auto" w:sz="4" w:space="0"/>
            </w:tcBorders>
            <w:vAlign w:val="center"/>
          </w:tcPr>
          <w:p w14:paraId="5F19CE58">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勘踏现场</w:t>
            </w:r>
          </w:p>
        </w:tc>
        <w:tc>
          <w:tcPr>
            <w:tcW w:w="6771" w:type="dxa"/>
            <w:tcBorders>
              <w:top w:val="single" w:color="auto" w:sz="4" w:space="0"/>
              <w:left w:val="nil"/>
              <w:bottom w:val="single" w:color="auto" w:sz="4" w:space="0"/>
              <w:right w:val="single" w:color="auto" w:sz="4" w:space="0"/>
            </w:tcBorders>
            <w:vAlign w:val="center"/>
          </w:tcPr>
          <w:p w14:paraId="052581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eastAsiaTheme="minorEastAsia"/>
                <w:color w:val="auto"/>
                <w:highlight w:val="none"/>
                <w:lang w:val="en-US" w:eastAsia="zh-CN"/>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2F71955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C68BC80">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27" w:type="dxa"/>
            <w:tcBorders>
              <w:top w:val="single" w:color="auto" w:sz="4" w:space="0"/>
              <w:left w:val="nil"/>
              <w:bottom w:val="single" w:color="auto" w:sz="4" w:space="0"/>
              <w:right w:val="single" w:color="auto" w:sz="4" w:space="0"/>
            </w:tcBorders>
            <w:vAlign w:val="center"/>
          </w:tcPr>
          <w:p w14:paraId="0EB1E364">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进口产品</w:t>
            </w:r>
          </w:p>
        </w:tc>
        <w:tc>
          <w:tcPr>
            <w:tcW w:w="6771" w:type="dxa"/>
            <w:tcBorders>
              <w:top w:val="single" w:color="auto" w:sz="4" w:space="0"/>
              <w:left w:val="nil"/>
              <w:bottom w:val="single" w:color="auto" w:sz="4" w:space="0"/>
              <w:right w:val="single" w:color="auto" w:sz="4" w:space="0"/>
            </w:tcBorders>
            <w:vAlign w:val="center"/>
          </w:tcPr>
          <w:p w14:paraId="30874F8A">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4BEFC19C">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1F7255A">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27" w:type="dxa"/>
            <w:tcBorders>
              <w:top w:val="single" w:color="auto" w:sz="4" w:space="0"/>
              <w:left w:val="nil"/>
              <w:bottom w:val="single" w:color="auto" w:sz="4" w:space="0"/>
              <w:right w:val="single" w:color="auto" w:sz="4" w:space="0"/>
            </w:tcBorders>
            <w:vAlign w:val="center"/>
          </w:tcPr>
          <w:p w14:paraId="72129583">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样品</w:t>
            </w:r>
          </w:p>
        </w:tc>
        <w:tc>
          <w:tcPr>
            <w:tcW w:w="6771" w:type="dxa"/>
            <w:tcBorders>
              <w:top w:val="single" w:color="auto" w:sz="4" w:space="0"/>
              <w:left w:val="nil"/>
              <w:bottom w:val="single" w:color="auto" w:sz="4" w:space="0"/>
              <w:right w:val="single" w:color="auto" w:sz="4" w:space="0"/>
            </w:tcBorders>
            <w:vAlign w:val="center"/>
          </w:tcPr>
          <w:p w14:paraId="55465429">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6779B4B4">
        <w:tblPrEx>
          <w:tblCellMar>
            <w:top w:w="0" w:type="dxa"/>
            <w:left w:w="28" w:type="dxa"/>
            <w:bottom w:w="0" w:type="dxa"/>
            <w:right w:w="28" w:type="dxa"/>
          </w:tblCellMar>
        </w:tblPrEx>
        <w:trPr>
          <w:trHeight w:val="80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745B9A2">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27" w:type="dxa"/>
            <w:tcBorders>
              <w:top w:val="single" w:color="auto" w:sz="4" w:space="0"/>
              <w:left w:val="nil"/>
              <w:bottom w:val="single" w:color="auto" w:sz="4" w:space="0"/>
              <w:right w:val="single" w:color="auto" w:sz="4" w:space="0"/>
            </w:tcBorders>
            <w:vAlign w:val="center"/>
          </w:tcPr>
          <w:p w14:paraId="642FA28F">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备选方案</w:t>
            </w:r>
          </w:p>
        </w:tc>
        <w:tc>
          <w:tcPr>
            <w:tcW w:w="6771" w:type="dxa"/>
            <w:tcBorders>
              <w:top w:val="single" w:color="auto" w:sz="4" w:space="0"/>
              <w:left w:val="nil"/>
              <w:bottom w:val="single" w:color="auto" w:sz="4" w:space="0"/>
              <w:right w:val="single" w:color="auto" w:sz="4" w:space="0"/>
            </w:tcBorders>
            <w:vAlign w:val="center"/>
          </w:tcPr>
          <w:p w14:paraId="1CD7E26A">
            <w:pPr>
              <w:spacing w:line="36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不允许提供</w:t>
            </w:r>
          </w:p>
        </w:tc>
      </w:tr>
      <w:tr w14:paraId="752001A4">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DC8E525">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27" w:type="dxa"/>
            <w:tcBorders>
              <w:top w:val="single" w:color="auto" w:sz="4" w:space="0"/>
              <w:left w:val="nil"/>
              <w:bottom w:val="single" w:color="auto" w:sz="4" w:space="0"/>
              <w:right w:val="single" w:color="auto" w:sz="4" w:space="0"/>
            </w:tcBorders>
            <w:vAlign w:val="center"/>
          </w:tcPr>
          <w:p w14:paraId="39C5F9F3">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供应商特定资格要求</w:t>
            </w:r>
          </w:p>
        </w:tc>
        <w:tc>
          <w:tcPr>
            <w:tcW w:w="6771" w:type="dxa"/>
            <w:tcBorders>
              <w:top w:val="single" w:color="auto" w:sz="4" w:space="0"/>
              <w:left w:val="nil"/>
              <w:bottom w:val="single" w:color="auto" w:sz="4" w:space="0"/>
              <w:right w:val="single" w:color="auto" w:sz="4" w:space="0"/>
            </w:tcBorders>
            <w:vAlign w:val="center"/>
          </w:tcPr>
          <w:p w14:paraId="7AFA6E13">
            <w:pPr>
              <w:spacing w:line="360" w:lineRule="auto"/>
              <w:ind w:firstLine="420" w:firstLineChars="200"/>
              <w:jc w:val="left"/>
              <w:outlineLvl w:val="9"/>
              <w:rPr>
                <w:rFonts w:hint="eastAsia"/>
                <w:color w:val="auto"/>
                <w:lang w:val="en-US" w:eastAsia="zh-CN"/>
              </w:rPr>
            </w:pPr>
            <w:r>
              <w:rPr>
                <w:rFonts w:hint="eastAsia"/>
                <w:color w:val="auto"/>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42AC7184">
            <w:pPr>
              <w:spacing w:line="360" w:lineRule="auto"/>
              <w:ind w:firstLine="420" w:firstLineChars="200"/>
              <w:jc w:val="left"/>
              <w:outlineLvl w:val="9"/>
              <w:rPr>
                <w:rFonts w:hint="eastAsia"/>
                <w:color w:val="auto"/>
                <w:lang w:val="en-US" w:eastAsia="zh-CN"/>
              </w:rPr>
            </w:pPr>
            <w:r>
              <w:rPr>
                <w:rFonts w:hint="eastAsia"/>
                <w:color w:val="auto"/>
                <w:lang w:val="en-US" w:eastAsia="zh-CN"/>
              </w:rPr>
              <w:t>（2）供应商须具有开户许可证或基本存款账户信息证明；</w:t>
            </w:r>
            <w:r>
              <w:rPr>
                <w:rFonts w:hint="eastAsia"/>
                <w:color w:val="auto"/>
                <w:lang w:val="en-US" w:eastAsia="zh-CN"/>
              </w:rPr>
              <w:br w:type="textWrapping"/>
            </w:r>
            <w:r>
              <w:rPr>
                <w:rFonts w:hint="eastAsia"/>
                <w:color w:val="auto"/>
                <w:lang w:val="en-US" w:eastAsia="zh-CN"/>
              </w:rPr>
              <w:t xml:space="preserve">    （3）供应商需提供法定代表人委托授权书（法定代表人参加投标不需提供，但需要提供法定代表人身份证）及被授权人身份证；</w:t>
            </w:r>
          </w:p>
          <w:p w14:paraId="2927913B">
            <w:pPr>
              <w:spacing w:line="360" w:lineRule="auto"/>
              <w:ind w:firstLine="420" w:firstLineChars="200"/>
              <w:jc w:val="left"/>
              <w:outlineLvl w:val="9"/>
              <w:rPr>
                <w:rFonts w:hint="eastAsia"/>
                <w:color w:val="auto"/>
                <w:lang w:val="en-US" w:eastAsia="zh-CN"/>
              </w:rPr>
            </w:pPr>
            <w:r>
              <w:rPr>
                <w:rFonts w:hint="eastAsia"/>
                <w:color w:val="auto"/>
                <w:lang w:val="en-US" w:eastAsia="zh-CN"/>
              </w:rPr>
              <w:t>（4）供应商须具备公路工程施工总承包三级（含三级）及以上资质，并具有安全生产许可证；</w:t>
            </w:r>
          </w:p>
          <w:p w14:paraId="75D50C05">
            <w:pPr>
              <w:spacing w:line="360" w:lineRule="auto"/>
              <w:ind w:firstLine="420" w:firstLineChars="200"/>
              <w:jc w:val="left"/>
              <w:outlineLvl w:val="9"/>
              <w:rPr>
                <w:rFonts w:hint="eastAsia"/>
                <w:color w:val="auto"/>
                <w:lang w:val="en-US" w:eastAsia="zh-CN"/>
              </w:rPr>
            </w:pPr>
            <w:r>
              <w:rPr>
                <w:rFonts w:hint="eastAsia"/>
                <w:color w:val="auto"/>
                <w:lang w:val="en-US" w:eastAsia="zh-CN"/>
              </w:rPr>
              <w:t>（5）供应商拟派项目经理须具有公路工程专业二级及以上注册建造师资格和交通运输主管部门颁发的安全生产考核合格B证书，且无其他在建工程；</w:t>
            </w:r>
          </w:p>
          <w:p w14:paraId="2A537831">
            <w:pPr>
              <w:spacing w:line="360" w:lineRule="auto"/>
              <w:ind w:firstLine="420" w:firstLineChars="200"/>
              <w:jc w:val="left"/>
              <w:outlineLvl w:val="9"/>
              <w:rPr>
                <w:rFonts w:hint="eastAsia"/>
                <w:color w:val="auto"/>
                <w:lang w:val="en-US" w:eastAsia="zh-CN"/>
              </w:rPr>
            </w:pPr>
            <w:r>
              <w:rPr>
                <w:rFonts w:hint="eastAsia"/>
                <w:color w:val="auto"/>
                <w:lang w:val="en-US" w:eastAsia="zh-CN"/>
              </w:rPr>
              <w:t>（6）供应商需提供提交响应文件截止日前近一年内至少一个月的纳税证明或完税证明，依法免税的单位应提供相关证明材料；</w:t>
            </w:r>
          </w:p>
          <w:p w14:paraId="2B67E86D">
            <w:pPr>
              <w:spacing w:line="360" w:lineRule="auto"/>
              <w:ind w:firstLine="420" w:firstLineChars="200"/>
              <w:jc w:val="left"/>
              <w:outlineLvl w:val="9"/>
              <w:rPr>
                <w:rFonts w:hint="eastAsia"/>
                <w:color w:val="auto"/>
                <w:lang w:val="en-US" w:eastAsia="zh-CN"/>
              </w:rPr>
            </w:pPr>
            <w:r>
              <w:rPr>
                <w:rFonts w:hint="eastAsia"/>
                <w:color w:val="auto"/>
                <w:lang w:val="en-US" w:eastAsia="zh-CN"/>
              </w:rPr>
              <w:t>（7）供应商需提供提交响应文件截止日前近一年内至少一个月的社会保障资金缴存单据或社保机构开具的社会保险参保缴费情况证明，依法不需要缴纳社会保资金的单位应提供相关证明材料； </w:t>
            </w:r>
          </w:p>
          <w:p w14:paraId="2FD15F56">
            <w:pPr>
              <w:spacing w:line="360" w:lineRule="auto"/>
              <w:ind w:firstLine="420" w:firstLineChars="200"/>
              <w:jc w:val="left"/>
              <w:outlineLvl w:val="9"/>
              <w:rPr>
                <w:rFonts w:hint="eastAsia"/>
                <w:color w:val="auto"/>
                <w:lang w:val="en-US" w:eastAsia="zh-CN"/>
              </w:rPr>
            </w:pPr>
            <w:r>
              <w:rPr>
                <w:rFonts w:hint="eastAsia"/>
                <w:color w:val="auto"/>
                <w:lang w:val="en-US" w:eastAsia="zh-CN"/>
              </w:rPr>
              <w:t>（8）供应商需提供2024年度经审计的财务报告，或其基本存款账户开户银行出具的资信证明及基本存款账户开户许可证(《基本存款账户信息》)；</w:t>
            </w:r>
          </w:p>
          <w:p w14:paraId="6B3916C8">
            <w:pPr>
              <w:spacing w:line="360" w:lineRule="auto"/>
              <w:ind w:firstLine="420" w:firstLineChars="200"/>
              <w:jc w:val="left"/>
              <w:outlineLvl w:val="9"/>
              <w:rPr>
                <w:rFonts w:hint="eastAsia"/>
                <w:color w:val="auto"/>
                <w:lang w:val="en-US" w:eastAsia="zh-CN"/>
              </w:rPr>
            </w:pPr>
            <w:r>
              <w:rPr>
                <w:rFonts w:hint="eastAsia"/>
                <w:color w:val="auto"/>
                <w:lang w:val="en-US" w:eastAsia="zh-CN"/>
              </w:rPr>
              <w:t>（9）供应商需提供参加本次政府采购活动前三年内在经营活动中没有重大违法记录的书面声明函；</w:t>
            </w:r>
          </w:p>
          <w:p w14:paraId="0CA5D481">
            <w:pPr>
              <w:spacing w:line="360" w:lineRule="auto"/>
              <w:ind w:firstLine="420" w:firstLineChars="200"/>
              <w:jc w:val="left"/>
              <w:outlineLvl w:val="9"/>
              <w:rPr>
                <w:rFonts w:hint="eastAsia"/>
                <w:color w:val="auto"/>
                <w:lang w:val="en-US" w:eastAsia="zh-CN"/>
              </w:rPr>
            </w:pPr>
            <w:r>
              <w:rPr>
                <w:rFonts w:hint="eastAsia"/>
                <w:color w:val="auto"/>
                <w:lang w:val="en-US" w:eastAsia="zh-CN"/>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9381C58">
            <w:pPr>
              <w:spacing w:line="360" w:lineRule="auto"/>
              <w:ind w:firstLine="420" w:firstLineChars="200"/>
              <w:jc w:val="left"/>
              <w:outlineLvl w:val="9"/>
              <w:rPr>
                <w:rFonts w:hint="eastAsia"/>
                <w:color w:val="auto"/>
                <w:lang w:val="en-US" w:eastAsia="zh-CN"/>
              </w:rPr>
            </w:pPr>
            <w:r>
              <w:rPr>
                <w:rFonts w:hint="eastAsia"/>
                <w:color w:val="auto"/>
                <w:lang w:val="en-US" w:eastAsia="zh-CN"/>
              </w:rPr>
              <w:t>（11）单位负责人为同一人或者存在控股、管理关系的不同供应商，不得参加同一合同项下的政府采购活动；</w:t>
            </w:r>
          </w:p>
          <w:p w14:paraId="4FB87E42">
            <w:pPr>
              <w:spacing w:line="360" w:lineRule="auto"/>
              <w:ind w:firstLine="420" w:firstLineChars="200"/>
              <w:jc w:val="left"/>
              <w:outlineLvl w:val="9"/>
              <w:rPr>
                <w:rFonts w:hint="eastAsia"/>
                <w:color w:val="auto"/>
                <w:lang w:val="en-US" w:eastAsia="zh-CN"/>
              </w:rPr>
            </w:pPr>
            <w:r>
              <w:rPr>
                <w:rFonts w:hint="eastAsia"/>
                <w:color w:val="auto"/>
                <w:lang w:val="en-US" w:eastAsia="zh-CN"/>
              </w:rPr>
              <w:t>（12）本项目不接受联合体磋商。</w:t>
            </w:r>
          </w:p>
        </w:tc>
      </w:tr>
      <w:tr w14:paraId="10689E62">
        <w:tblPrEx>
          <w:tblCellMar>
            <w:top w:w="0" w:type="dxa"/>
            <w:left w:w="28" w:type="dxa"/>
            <w:bottom w:w="0" w:type="dxa"/>
            <w:right w:w="28" w:type="dxa"/>
          </w:tblCellMar>
        </w:tblPrEx>
        <w:trPr>
          <w:trHeight w:val="33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AE34ADF">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27" w:type="dxa"/>
            <w:tcBorders>
              <w:top w:val="single" w:color="auto" w:sz="4" w:space="0"/>
              <w:left w:val="nil"/>
              <w:bottom w:val="single" w:color="auto" w:sz="4" w:space="0"/>
              <w:right w:val="single" w:color="auto" w:sz="4" w:space="0"/>
            </w:tcBorders>
            <w:vAlign w:val="center"/>
          </w:tcPr>
          <w:p w14:paraId="466F1408">
            <w:pPr>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w:t>
            </w:r>
          </w:p>
        </w:tc>
        <w:tc>
          <w:tcPr>
            <w:tcW w:w="6771" w:type="dxa"/>
            <w:tcBorders>
              <w:top w:val="single" w:color="auto" w:sz="4" w:space="0"/>
              <w:left w:val="nil"/>
              <w:bottom w:val="single" w:color="auto" w:sz="4" w:space="0"/>
              <w:right w:val="single" w:color="auto" w:sz="4" w:space="0"/>
            </w:tcBorders>
            <w:vAlign w:val="center"/>
          </w:tcPr>
          <w:p w14:paraId="3B4C28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保证金的金额：人民币</w:t>
            </w:r>
            <w:r>
              <w:rPr>
                <w:rFonts w:hint="eastAsia" w:asciiTheme="minorEastAsia" w:hAnsiTheme="minorEastAsia" w:cstheme="minorEastAsia"/>
                <w:color w:val="auto"/>
                <w:sz w:val="21"/>
                <w:szCs w:val="21"/>
                <w:highlight w:val="none"/>
                <w:lang w:val="en-US" w:eastAsia="zh-CN"/>
              </w:rPr>
              <w:t>伍万元整</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0000.00）；</w:t>
            </w:r>
          </w:p>
          <w:p w14:paraId="320AD3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账户：华春建设工程项目管理有限责任公司吴起分公司</w:t>
            </w:r>
          </w:p>
          <w:p w14:paraId="0FD133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开户银行：中国银行延安吴起支行营业部           </w:t>
            </w:r>
          </w:p>
          <w:p w14:paraId="603EB1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账  号：102846504355 </w:t>
            </w:r>
          </w:p>
          <w:p w14:paraId="41BC99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转账事由备注：项目编号+</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w:t>
            </w:r>
          </w:p>
          <w:p w14:paraId="74E2D1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保证金必须由供应商银行基本账户转账支付，并须于</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val="en-US" w:eastAsia="zh-CN"/>
              </w:rPr>
              <w:t>文件递交截止时间前到账，到账后可持基本户开户许可证至采购代理机构财务处开具投标保证金收据，供应商在</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val="en-US" w:eastAsia="zh-CN"/>
              </w:rPr>
              <w:t>文件中附</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保证金缴纳凭证加盖公章，否则视为</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保证金无效。</w:t>
            </w:r>
          </w:p>
        </w:tc>
      </w:tr>
      <w:tr w14:paraId="5360747E">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3921497">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27" w:type="dxa"/>
            <w:tcBorders>
              <w:top w:val="single" w:color="auto" w:sz="4" w:space="0"/>
              <w:left w:val="nil"/>
              <w:bottom w:val="single" w:color="auto" w:sz="4" w:space="0"/>
              <w:right w:val="single" w:color="auto" w:sz="4" w:space="0"/>
            </w:tcBorders>
            <w:vAlign w:val="center"/>
          </w:tcPr>
          <w:p w14:paraId="5AF8F2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文件有效期</w:t>
            </w:r>
          </w:p>
        </w:tc>
        <w:tc>
          <w:tcPr>
            <w:tcW w:w="6771" w:type="dxa"/>
            <w:tcBorders>
              <w:top w:val="single" w:color="auto" w:sz="4" w:space="0"/>
              <w:left w:val="nil"/>
              <w:bottom w:val="single" w:color="auto" w:sz="4" w:space="0"/>
              <w:right w:val="single" w:color="auto" w:sz="4" w:space="0"/>
            </w:tcBorders>
            <w:vAlign w:val="center"/>
          </w:tcPr>
          <w:p w14:paraId="7E9DE30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文件从</w:t>
            </w:r>
            <w:r>
              <w:rPr>
                <w:rFonts w:hint="eastAsia" w:ascii="宋体" w:hAnsi="宋体" w:eastAsia="宋体" w:cs="宋体"/>
                <w:color w:val="auto"/>
                <w:sz w:val="21"/>
                <w:szCs w:val="21"/>
                <w:highlight w:val="none"/>
                <w:lang w:val="en-US" w:eastAsia="zh-CN"/>
              </w:rPr>
              <w:t>递交截止</w:t>
            </w:r>
            <w:r>
              <w:rPr>
                <w:rFonts w:hint="eastAsia" w:ascii="宋体" w:hAnsi="宋体" w:eastAsia="宋体" w:cs="宋体"/>
                <w:color w:val="auto"/>
                <w:sz w:val="21"/>
                <w:szCs w:val="21"/>
                <w:highlight w:val="none"/>
              </w:rPr>
              <w:t>之日起，有效期为90日历天。</w:t>
            </w:r>
          </w:p>
        </w:tc>
      </w:tr>
      <w:tr w14:paraId="19EE2C0A">
        <w:tblPrEx>
          <w:tblCellMar>
            <w:top w:w="0" w:type="dxa"/>
            <w:left w:w="28" w:type="dxa"/>
            <w:bottom w:w="0" w:type="dxa"/>
            <w:right w:w="28" w:type="dxa"/>
          </w:tblCellMar>
        </w:tblPrEx>
        <w:trPr>
          <w:trHeight w:val="222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F7CB4FE">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1527" w:type="dxa"/>
            <w:tcBorders>
              <w:top w:val="single" w:color="auto" w:sz="4" w:space="0"/>
              <w:left w:val="nil"/>
              <w:bottom w:val="single" w:color="auto" w:sz="4" w:space="0"/>
              <w:right w:val="single" w:color="auto" w:sz="4" w:space="0"/>
            </w:tcBorders>
            <w:vAlign w:val="center"/>
          </w:tcPr>
          <w:p w14:paraId="7F9717A2">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数量</w:t>
            </w:r>
          </w:p>
        </w:tc>
        <w:tc>
          <w:tcPr>
            <w:tcW w:w="6771" w:type="dxa"/>
            <w:tcBorders>
              <w:top w:val="single" w:color="auto" w:sz="4" w:space="0"/>
              <w:left w:val="nil"/>
              <w:bottom w:val="single" w:color="auto" w:sz="4" w:space="0"/>
              <w:right w:val="single" w:color="auto" w:sz="4" w:space="0"/>
            </w:tcBorders>
            <w:vAlign w:val="center"/>
          </w:tcPr>
          <w:p w14:paraId="2345B0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纸质版：</w:t>
            </w:r>
            <w:r>
              <w:rPr>
                <w:rFonts w:hint="eastAsia" w:ascii="宋体" w:hAnsi="宋体" w:eastAsia="宋体" w:cs="宋体"/>
                <w:color w:val="auto"/>
                <w:sz w:val="21"/>
                <w:szCs w:val="21"/>
                <w:highlight w:val="none"/>
              </w:rPr>
              <w:t>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分别胶装装订成册，且封面须清楚地标明“正本”、“副本”</w:t>
            </w:r>
            <w:r>
              <w:rPr>
                <w:rFonts w:hint="eastAsia" w:ascii="宋体" w:hAnsi="宋体" w:eastAsia="宋体" w:cs="宋体"/>
                <w:color w:val="auto"/>
                <w:sz w:val="21"/>
                <w:szCs w:val="21"/>
                <w:lang w:eastAsia="zh-CN"/>
              </w:rPr>
              <w:t>。</w:t>
            </w:r>
          </w:p>
          <w:p w14:paraId="218296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电子版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提供与正本内容一致的</w:t>
            </w:r>
            <w:r>
              <w:rPr>
                <w:rFonts w:hint="eastAsia" w:ascii="宋体" w:hAnsi="宋体" w:eastAsia="宋体" w:cs="宋体"/>
                <w:color w:val="auto"/>
                <w:sz w:val="21"/>
                <w:szCs w:val="21"/>
                <w:lang w:val="en-US" w:eastAsia="zh-CN"/>
              </w:rPr>
              <w:t>响应文件</w:t>
            </w:r>
            <w:r>
              <w:rPr>
                <w:rFonts w:hint="eastAsia" w:ascii="宋体" w:hAnsi="宋体" w:eastAsia="宋体" w:cs="宋体"/>
                <w:color w:val="auto"/>
                <w:sz w:val="21"/>
                <w:szCs w:val="21"/>
              </w:rPr>
              <w:t>电子版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U盘存储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w:t>
            </w:r>
            <w:r>
              <w:rPr>
                <w:rFonts w:hint="eastAsia" w:ascii="宋体" w:hAnsi="宋体" w:eastAsia="宋体" w:cs="宋体"/>
                <w:color w:val="auto"/>
                <w:sz w:val="21"/>
                <w:szCs w:val="21"/>
              </w:rPr>
              <w:t>为PDF</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WORD</w:t>
            </w:r>
            <w:r>
              <w:rPr>
                <w:rFonts w:hint="eastAsia" w:ascii="宋体" w:hAnsi="宋体" w:eastAsia="宋体" w:cs="宋体"/>
                <w:color w:val="auto"/>
                <w:sz w:val="21"/>
                <w:szCs w:val="21"/>
                <w:lang w:val="en-US" w:eastAsia="zh-CN"/>
              </w:rPr>
              <w:t>。</w:t>
            </w:r>
          </w:p>
          <w:p w14:paraId="2F69BE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正本与副本不符的，以正本为准；纸质版与电子版不符的，以纸质版为准。</w:t>
            </w:r>
          </w:p>
        </w:tc>
      </w:tr>
      <w:tr w14:paraId="34E3D232">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DE0CB74">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1527" w:type="dxa"/>
            <w:tcBorders>
              <w:top w:val="single" w:color="auto" w:sz="4" w:space="0"/>
              <w:left w:val="nil"/>
              <w:bottom w:val="single" w:color="auto" w:sz="4" w:space="0"/>
              <w:right w:val="single" w:color="auto" w:sz="4" w:space="0"/>
            </w:tcBorders>
            <w:vAlign w:val="center"/>
          </w:tcPr>
          <w:p w14:paraId="2B20422D">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密封要求</w:t>
            </w:r>
          </w:p>
        </w:tc>
        <w:tc>
          <w:tcPr>
            <w:tcW w:w="6771" w:type="dxa"/>
            <w:tcBorders>
              <w:top w:val="single" w:color="auto" w:sz="4" w:space="0"/>
              <w:left w:val="nil"/>
              <w:bottom w:val="single" w:color="auto" w:sz="4" w:space="0"/>
              <w:right w:val="single" w:color="auto" w:sz="4" w:space="0"/>
            </w:tcBorders>
            <w:vAlign w:val="center"/>
          </w:tcPr>
          <w:p w14:paraId="30D65EDD">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bCs/>
                <w:color w:val="auto"/>
                <w:szCs w:val="24"/>
                <w:highlight w:val="none"/>
                <w:lang w:val="en-US" w:eastAsia="zh-CN"/>
              </w:rPr>
              <w:t>正本</w:t>
            </w:r>
            <w:r>
              <w:rPr>
                <w:rFonts w:hint="eastAsia" w:asciiTheme="minorEastAsia" w:hAnsiTheme="minorEastAsia" w:cstheme="minorEastAsia"/>
                <w:b/>
                <w:bCs/>
                <w:color w:val="auto"/>
                <w:szCs w:val="24"/>
                <w:highlight w:val="none"/>
                <w:lang w:val="en-US" w:eastAsia="zh-CN"/>
              </w:rPr>
              <w:t>和电子版（u盘）</w:t>
            </w:r>
            <w:r>
              <w:rPr>
                <w:rFonts w:hint="eastAsia" w:asciiTheme="minorEastAsia" w:hAnsiTheme="minorEastAsia" w:eastAsiaTheme="minorEastAsia" w:cstheme="minorEastAsia"/>
                <w:b/>
                <w:bCs/>
                <w:color w:val="auto"/>
                <w:szCs w:val="24"/>
                <w:highlight w:val="none"/>
              </w:rPr>
              <w:t>密封在一个密封袋内</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cstheme="minorEastAsia"/>
                <w:b/>
                <w:bCs/>
                <w:color w:val="auto"/>
                <w:szCs w:val="24"/>
                <w:highlight w:val="none"/>
                <w:lang w:val="en-US" w:eastAsia="zh-CN"/>
              </w:rPr>
              <w:t>所有</w:t>
            </w:r>
            <w:r>
              <w:rPr>
                <w:rFonts w:hint="eastAsia" w:asciiTheme="minorEastAsia" w:hAnsiTheme="minorEastAsia" w:eastAsiaTheme="minorEastAsia" w:cstheme="minorEastAsia"/>
                <w:b/>
                <w:bCs/>
                <w:color w:val="auto"/>
                <w:szCs w:val="24"/>
                <w:highlight w:val="none"/>
                <w:lang w:val="en-US" w:eastAsia="zh-CN"/>
              </w:rPr>
              <w:t>副本密封在一个密封袋内</w:t>
            </w:r>
            <w:r>
              <w:rPr>
                <w:rFonts w:hint="eastAsia" w:asciiTheme="minorEastAsia" w:hAnsiTheme="minorEastAsia" w:cstheme="minorEastAsia"/>
                <w:b/>
                <w:bCs/>
                <w:color w:val="auto"/>
                <w:szCs w:val="24"/>
                <w:highlight w:val="none"/>
                <w:lang w:val="en-US" w:eastAsia="zh-CN"/>
              </w:rPr>
              <w:t>。</w:t>
            </w:r>
            <w:r>
              <w:rPr>
                <w:rFonts w:hint="eastAsia" w:asciiTheme="minorEastAsia" w:hAnsiTheme="minorEastAsia" w:eastAsiaTheme="minorEastAsia" w:cstheme="minorEastAsia"/>
                <w:color w:val="auto"/>
                <w:szCs w:val="24"/>
                <w:highlight w:val="none"/>
              </w:rPr>
              <w:t>在封口处需由法定代表人或授权代表签字或盖章，并加盖供应商公章。封皮上</w:t>
            </w:r>
            <w:r>
              <w:rPr>
                <w:rFonts w:hint="eastAsia" w:asciiTheme="minorEastAsia" w:hAnsiTheme="minorEastAsia" w:eastAsiaTheme="minorEastAsia" w:cstheme="minorEastAsia"/>
                <w:color w:val="auto"/>
                <w:szCs w:val="24"/>
                <w:highlight w:val="none"/>
                <w:lang w:val="en-US" w:eastAsia="zh-CN"/>
              </w:rPr>
              <w:t>注</w:t>
            </w:r>
            <w:r>
              <w:rPr>
                <w:rFonts w:hint="eastAsia" w:asciiTheme="minorEastAsia" w:hAnsiTheme="minorEastAsia" w:eastAsiaTheme="minorEastAsia" w:cstheme="minorEastAsia"/>
                <w:color w:val="auto"/>
                <w:szCs w:val="24"/>
                <w:highlight w:val="none"/>
              </w:rPr>
              <w:t>明</w:t>
            </w:r>
            <w:r>
              <w:rPr>
                <w:rFonts w:hint="eastAsia" w:asciiTheme="minorEastAsia" w:hAnsiTheme="minorEastAsia" w:eastAsiaTheme="minorEastAsia" w:cstheme="minorEastAsia"/>
                <w:color w:val="auto"/>
                <w:szCs w:val="24"/>
                <w:highlight w:val="none"/>
                <w:lang w:val="en-US" w:eastAsia="zh-CN"/>
              </w:rPr>
              <w:t>正本</w:t>
            </w:r>
            <w:r>
              <w:rPr>
                <w:rFonts w:hint="eastAsia" w:asciiTheme="minorEastAsia" w:hAnsiTheme="minorEastAsia" w:cstheme="minorEastAsia"/>
                <w:color w:val="auto"/>
                <w:szCs w:val="24"/>
                <w:highlight w:val="none"/>
                <w:lang w:val="en-US" w:eastAsia="zh-CN"/>
              </w:rPr>
              <w:t>（副本）</w:t>
            </w:r>
            <w:r>
              <w:rPr>
                <w:rFonts w:hint="eastAsia" w:asciiTheme="minorEastAsia" w:hAnsiTheme="minorEastAsia" w:eastAsiaTheme="minorEastAsia" w:cstheme="minorEastAsia"/>
                <w:color w:val="auto"/>
                <w:szCs w:val="24"/>
                <w:highlight w:val="none"/>
              </w:rPr>
              <w:t>供应商的全称、项目名称</w:t>
            </w:r>
            <w:r>
              <w:rPr>
                <w:rFonts w:hint="eastAsia" w:asciiTheme="minorEastAsia" w:hAnsiTheme="minorEastAsia" w:eastAsiaTheme="minorEastAsia" w:cstheme="minorEastAsia"/>
                <w:color w:val="auto"/>
                <w:szCs w:val="24"/>
                <w:highlight w:val="none"/>
                <w:lang w:eastAsia="zh-CN"/>
              </w:rPr>
              <w:t>、项目编号</w:t>
            </w:r>
            <w:r>
              <w:rPr>
                <w:rFonts w:hint="eastAsia" w:asciiTheme="minorEastAsia" w:hAnsiTheme="minorEastAsia" w:eastAsiaTheme="minorEastAsia" w:cstheme="minorEastAsia"/>
                <w:color w:val="auto"/>
                <w:szCs w:val="24"/>
                <w:highlight w:val="none"/>
              </w:rPr>
              <w:t>，并注明“</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时启封”字样。</w:t>
            </w:r>
            <w:r>
              <w:rPr>
                <w:rFonts w:hint="eastAsia" w:asciiTheme="minorEastAsia" w:hAnsiTheme="minorEastAsia" w:cstheme="minorEastAsia"/>
                <w:b/>
                <w:bCs/>
                <w:color w:val="auto"/>
                <w:szCs w:val="24"/>
                <w:highlight w:val="none"/>
                <w:lang w:val="en-US" w:eastAsia="zh-CN"/>
              </w:rPr>
              <w:t>未按要求密封或加注标记，代理机构有权拒收。</w:t>
            </w:r>
          </w:p>
        </w:tc>
      </w:tr>
      <w:tr w14:paraId="686DA4D6">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69B96D9">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1527" w:type="dxa"/>
            <w:tcBorders>
              <w:top w:val="single" w:color="auto" w:sz="4" w:space="0"/>
              <w:left w:val="nil"/>
              <w:bottom w:val="single" w:color="auto" w:sz="4" w:space="0"/>
              <w:right w:val="single" w:color="auto" w:sz="4" w:space="0"/>
            </w:tcBorders>
            <w:vAlign w:val="center"/>
          </w:tcPr>
          <w:p w14:paraId="4A93D9C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递交要求</w:t>
            </w:r>
          </w:p>
        </w:tc>
        <w:tc>
          <w:tcPr>
            <w:tcW w:w="6771" w:type="dxa"/>
            <w:tcBorders>
              <w:top w:val="single" w:color="auto" w:sz="4" w:space="0"/>
              <w:left w:val="nil"/>
              <w:bottom w:val="single" w:color="auto" w:sz="4" w:space="0"/>
              <w:right w:val="single" w:color="auto" w:sz="4" w:space="0"/>
            </w:tcBorders>
            <w:vAlign w:val="center"/>
          </w:tcPr>
          <w:p w14:paraId="54BB97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1"/>
                <w:szCs w:val="21"/>
                <w:lang w:val="en-US" w:eastAsia="zh-CN"/>
              </w:rPr>
            </w:pPr>
            <w:r>
              <w:rPr>
                <w:rFonts w:hint="eastAsia"/>
                <w:color w:val="auto"/>
                <w:sz w:val="21"/>
                <w:szCs w:val="21"/>
                <w:lang w:val="en-US" w:eastAsia="zh-CN"/>
              </w:rPr>
              <w:t>法定代表人应持有法定代表人身份证明向代理机构递交响应文件；</w:t>
            </w:r>
          </w:p>
          <w:p w14:paraId="2602B936">
            <w:pPr>
              <w:pStyle w:val="3"/>
              <w:keepNext w:val="0"/>
              <w:keepLines w:val="0"/>
              <w:pageBreakBefore w:val="0"/>
              <w:widowControl w:val="0"/>
              <w:kinsoku/>
              <w:wordWrap/>
              <w:overflowPunct/>
              <w:topLinePunct w:val="0"/>
              <w:autoSpaceDE/>
              <w:autoSpaceDN/>
              <w:bidi w:val="0"/>
              <w:adjustRightInd/>
              <w:snapToGrid/>
              <w:spacing w:afterLines="0" w:line="360" w:lineRule="auto"/>
              <w:textAlignment w:val="auto"/>
              <w:rPr>
                <w:rFonts w:hint="eastAsia"/>
                <w:color w:val="auto"/>
                <w:sz w:val="21"/>
                <w:szCs w:val="21"/>
                <w:lang w:val="en-US" w:eastAsia="zh-CN"/>
              </w:rPr>
            </w:pPr>
            <w:r>
              <w:rPr>
                <w:rFonts w:hint="eastAsia"/>
                <w:color w:val="auto"/>
                <w:sz w:val="21"/>
                <w:szCs w:val="21"/>
                <w:lang w:val="en-US" w:eastAsia="zh-CN"/>
              </w:rPr>
              <w:t>授权代表应持有法定代表人授权委托书向代理机构递交响应文件。</w:t>
            </w:r>
          </w:p>
          <w:p w14:paraId="342F9BAB">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Theme="minorEastAsia" w:hAnsiTheme="minorEastAsia" w:eastAsiaTheme="minorEastAsia" w:cstheme="minorEastAsia"/>
                <w:b/>
                <w:bCs/>
                <w:color w:val="auto"/>
                <w:szCs w:val="24"/>
                <w:highlight w:val="none"/>
                <w:lang w:val="en-US" w:eastAsia="zh-CN"/>
              </w:rPr>
            </w:pPr>
            <w:r>
              <w:rPr>
                <w:rFonts w:hint="eastAsia"/>
                <w:b/>
                <w:bCs/>
                <w:color w:val="auto"/>
                <w:sz w:val="21"/>
                <w:szCs w:val="21"/>
                <w:lang w:val="en-US" w:eastAsia="zh-CN"/>
              </w:rPr>
              <w:t>未持有以上身份证明文件原件，代理机构有权拒收供应商的响应文件</w:t>
            </w:r>
          </w:p>
        </w:tc>
      </w:tr>
      <w:tr w14:paraId="06A6705C">
        <w:tblPrEx>
          <w:tblCellMar>
            <w:top w:w="0" w:type="dxa"/>
            <w:left w:w="28" w:type="dxa"/>
            <w:bottom w:w="0" w:type="dxa"/>
            <w:right w:w="28" w:type="dxa"/>
          </w:tblCellMar>
        </w:tblPrEx>
        <w:trPr>
          <w:trHeight w:val="9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F423CC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1527" w:type="dxa"/>
            <w:tcBorders>
              <w:top w:val="single" w:color="auto" w:sz="4" w:space="0"/>
              <w:left w:val="nil"/>
              <w:bottom w:val="single" w:color="auto" w:sz="4" w:space="0"/>
              <w:right w:val="single" w:color="auto" w:sz="4" w:space="0"/>
            </w:tcBorders>
            <w:vAlign w:val="center"/>
          </w:tcPr>
          <w:p w14:paraId="3ADF831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6771" w:type="dxa"/>
            <w:tcBorders>
              <w:top w:val="single" w:color="auto" w:sz="4" w:space="0"/>
              <w:left w:val="nil"/>
              <w:bottom w:val="single" w:color="auto" w:sz="4" w:space="0"/>
              <w:right w:val="single" w:color="auto" w:sz="4" w:space="0"/>
            </w:tcBorders>
            <w:vAlign w:val="center"/>
          </w:tcPr>
          <w:p w14:paraId="59AE7062">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综合评分法（详见第三部分）</w:t>
            </w:r>
          </w:p>
        </w:tc>
      </w:tr>
      <w:tr w14:paraId="6D4CAC68">
        <w:tblPrEx>
          <w:tblCellMar>
            <w:top w:w="0" w:type="dxa"/>
            <w:left w:w="28" w:type="dxa"/>
            <w:bottom w:w="0" w:type="dxa"/>
            <w:right w:w="28" w:type="dxa"/>
          </w:tblCellMar>
        </w:tblPrEx>
        <w:trPr>
          <w:trHeight w:val="164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C172E8A">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1527" w:type="dxa"/>
            <w:tcBorders>
              <w:top w:val="single" w:color="auto" w:sz="4" w:space="0"/>
              <w:left w:val="nil"/>
              <w:bottom w:val="single" w:color="auto" w:sz="4" w:space="0"/>
              <w:right w:val="single" w:color="auto" w:sz="4" w:space="0"/>
            </w:tcBorders>
            <w:vAlign w:val="center"/>
          </w:tcPr>
          <w:p w14:paraId="5AE8FB5C">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771" w:type="dxa"/>
            <w:tcBorders>
              <w:top w:val="single" w:color="auto" w:sz="4" w:space="0"/>
              <w:left w:val="nil"/>
              <w:bottom w:val="single" w:color="auto" w:sz="4" w:space="0"/>
              <w:right w:val="single" w:color="auto" w:sz="4" w:space="0"/>
            </w:tcBorders>
            <w:vAlign w:val="center"/>
          </w:tcPr>
          <w:p w14:paraId="56B1BD69">
            <w:pPr>
              <w:keepNext w:val="0"/>
              <w:keepLines w:val="0"/>
              <w:pageBreakBefore w:val="0"/>
              <w:widowControl w:val="0"/>
              <w:kinsoku/>
              <w:overflowPunct/>
              <w:topLinePunct w:val="0"/>
              <w:bidi w:val="0"/>
              <w:adjustRightInd/>
              <w:spacing w:line="360" w:lineRule="auto"/>
              <w:ind w:left="0" w:leftChars="0" w:right="0" w:rightChars="0"/>
              <w:jc w:val="left"/>
              <w:textAlignment w:val="auto"/>
              <w:outlineLvl w:val="9"/>
              <w:rPr>
                <w:rFonts w:hint="default" w:eastAsia="楷体_GB2312"/>
                <w:color w:val="auto"/>
                <w:lang w:val="en-US" w:eastAsia="zh-CN"/>
              </w:rPr>
            </w:pP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在与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签订合同之前，</w:t>
            </w:r>
            <w:r>
              <w:rPr>
                <w:rFonts w:hint="eastAsia" w:ascii="宋体" w:hAnsi="宋体" w:eastAsia="宋体" w:cs="宋体"/>
                <w:color w:val="auto"/>
                <w:sz w:val="21"/>
                <w:szCs w:val="21"/>
                <w:highlight w:val="none"/>
                <w:lang w:val="en-US" w:eastAsia="zh-CN"/>
              </w:rPr>
              <w:t>采购人有权要求成交人</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%作为履约保证金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履约保证金在政府采购合同履行完毕，且采购人验收通过后，以银行转账的方式无息退还给成交人。</w:t>
            </w:r>
          </w:p>
        </w:tc>
      </w:tr>
      <w:tr w14:paraId="18EA4567">
        <w:tblPrEx>
          <w:tblCellMar>
            <w:top w:w="0" w:type="dxa"/>
            <w:left w:w="28" w:type="dxa"/>
            <w:bottom w:w="0" w:type="dxa"/>
            <w:right w:w="28" w:type="dxa"/>
          </w:tblCellMar>
        </w:tblPrEx>
        <w:trPr>
          <w:trHeight w:val="122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CFE697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1527" w:type="dxa"/>
            <w:tcBorders>
              <w:top w:val="single" w:color="auto" w:sz="4" w:space="0"/>
              <w:left w:val="nil"/>
              <w:bottom w:val="single" w:color="auto" w:sz="4" w:space="0"/>
              <w:right w:val="single" w:color="auto" w:sz="4" w:space="0"/>
            </w:tcBorders>
            <w:vAlign w:val="center"/>
          </w:tcPr>
          <w:p w14:paraId="680F0F0B">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重新采购或者变更采购方式</w:t>
            </w:r>
          </w:p>
        </w:tc>
        <w:tc>
          <w:tcPr>
            <w:tcW w:w="6771" w:type="dxa"/>
            <w:tcBorders>
              <w:top w:val="single" w:color="auto" w:sz="4" w:space="0"/>
              <w:left w:val="nil"/>
              <w:bottom w:val="single" w:color="auto" w:sz="4" w:space="0"/>
              <w:right w:val="single" w:color="auto" w:sz="4" w:space="0"/>
            </w:tcBorders>
            <w:vAlign w:val="center"/>
          </w:tcPr>
          <w:p w14:paraId="100CA11F">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重新采购或转变采购方式情形须按照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val="en-US" w:eastAsia="zh-CN"/>
              </w:rPr>
              <w:t>及其</w:t>
            </w:r>
            <w:r>
              <w:rPr>
                <w:rFonts w:hint="eastAsia" w:ascii="宋体" w:hAnsi="宋体" w:eastAsia="宋体" w:cs="宋体"/>
                <w:color w:val="auto"/>
                <w:spacing w:val="-4"/>
                <w:sz w:val="21"/>
                <w:szCs w:val="21"/>
                <w:highlight w:val="none"/>
              </w:rPr>
              <w:t>相关</w:t>
            </w:r>
            <w:r>
              <w:rPr>
                <w:rFonts w:hint="eastAsia" w:ascii="宋体" w:hAnsi="宋体" w:eastAsia="宋体" w:cs="宋体"/>
                <w:color w:val="auto"/>
                <w:spacing w:val="-4"/>
                <w:sz w:val="21"/>
                <w:szCs w:val="21"/>
                <w:highlight w:val="none"/>
                <w:lang w:val="en-US" w:eastAsia="zh-CN"/>
              </w:rPr>
              <w:t>规定</w:t>
            </w:r>
            <w:r>
              <w:rPr>
                <w:rFonts w:hint="eastAsia" w:ascii="宋体" w:hAnsi="宋体" w:eastAsia="宋体" w:cs="宋体"/>
                <w:color w:val="auto"/>
                <w:spacing w:val="-4"/>
                <w:sz w:val="21"/>
                <w:szCs w:val="21"/>
                <w:highlight w:val="none"/>
              </w:rPr>
              <w:t>处理。</w:t>
            </w:r>
          </w:p>
        </w:tc>
      </w:tr>
      <w:tr w14:paraId="0374C66C">
        <w:tblPrEx>
          <w:tblCellMar>
            <w:top w:w="0" w:type="dxa"/>
            <w:left w:w="28" w:type="dxa"/>
            <w:bottom w:w="0" w:type="dxa"/>
            <w:right w:w="28" w:type="dxa"/>
          </w:tblCellMar>
        </w:tblPrEx>
        <w:trPr>
          <w:trHeight w:val="99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55ECD62F">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c>
          <w:tcPr>
            <w:tcW w:w="1527" w:type="dxa"/>
            <w:tcBorders>
              <w:top w:val="single" w:color="auto" w:sz="4" w:space="0"/>
              <w:left w:val="nil"/>
              <w:bottom w:val="single" w:color="auto" w:sz="4" w:space="0"/>
              <w:right w:val="single" w:color="auto" w:sz="4" w:space="0"/>
            </w:tcBorders>
            <w:vAlign w:val="center"/>
          </w:tcPr>
          <w:p w14:paraId="01988D1A">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最高限价</w:t>
            </w:r>
          </w:p>
        </w:tc>
        <w:tc>
          <w:tcPr>
            <w:tcW w:w="6771" w:type="dxa"/>
            <w:tcBorders>
              <w:top w:val="single" w:color="auto" w:sz="4" w:space="0"/>
              <w:left w:val="nil"/>
              <w:bottom w:val="single" w:color="auto" w:sz="4" w:space="0"/>
              <w:right w:val="single" w:color="auto" w:sz="4" w:space="0"/>
            </w:tcBorders>
            <w:vAlign w:val="center"/>
          </w:tcPr>
          <w:p w14:paraId="77FD1F40">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7275608.00元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柒佰贰拾柒万伍仟陆佰零捌元整</w:t>
            </w:r>
            <w:r>
              <w:rPr>
                <w:rFonts w:hint="eastAsia" w:ascii="宋体" w:hAnsi="宋体" w:eastAsia="宋体" w:cs="宋体"/>
                <w:color w:val="auto"/>
                <w:sz w:val="21"/>
                <w:szCs w:val="21"/>
                <w:highlight w:val="none"/>
                <w:lang w:eastAsia="zh-CN"/>
              </w:rPr>
              <w:t>）</w:t>
            </w:r>
          </w:p>
        </w:tc>
      </w:tr>
    </w:tbl>
    <w:p w14:paraId="2514F98D">
      <w:pPr>
        <w:rPr>
          <w:color w:val="auto"/>
          <w:highlight w:val="none"/>
        </w:rPr>
      </w:pPr>
      <w:r>
        <w:rPr>
          <w:color w:val="auto"/>
          <w:highlight w:val="none"/>
        </w:rPr>
        <w:br w:type="page"/>
      </w:r>
    </w:p>
    <w:p w14:paraId="05CD979D">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b/>
          <w:color w:val="auto"/>
          <w:sz w:val="32"/>
          <w:szCs w:val="32"/>
          <w:highlight w:val="none"/>
        </w:rPr>
      </w:pPr>
      <w:bookmarkStart w:id="7" w:name="_Toc6051"/>
      <w:bookmarkStart w:id="8" w:name="_Toc4649"/>
      <w:bookmarkStart w:id="9" w:name="_Toc28564"/>
      <w:r>
        <w:rPr>
          <w:b/>
          <w:color w:val="auto"/>
          <w:sz w:val="32"/>
          <w:szCs w:val="32"/>
          <w:highlight w:val="none"/>
        </w:rPr>
        <w:t>第</w:t>
      </w:r>
      <w:r>
        <w:rPr>
          <w:rFonts w:hint="eastAsia"/>
          <w:b/>
          <w:color w:val="auto"/>
          <w:sz w:val="32"/>
          <w:szCs w:val="32"/>
          <w:highlight w:val="none"/>
          <w:lang w:val="en-US" w:eastAsia="zh-CN"/>
        </w:rPr>
        <w:t>三</w:t>
      </w:r>
      <w:r>
        <w:rPr>
          <w:b/>
          <w:color w:val="auto"/>
          <w:sz w:val="32"/>
          <w:szCs w:val="32"/>
          <w:highlight w:val="none"/>
        </w:rPr>
        <w:t>部分</w:t>
      </w:r>
      <w:r>
        <w:rPr>
          <w:rFonts w:hint="eastAsia"/>
          <w:b/>
          <w:color w:val="auto"/>
          <w:sz w:val="32"/>
          <w:szCs w:val="32"/>
          <w:highlight w:val="none"/>
          <w:lang w:val="en-US" w:eastAsia="zh-CN"/>
        </w:rPr>
        <w:t xml:space="preserve"> 供应商</w:t>
      </w:r>
      <w:r>
        <w:rPr>
          <w:b/>
          <w:color w:val="auto"/>
          <w:sz w:val="32"/>
          <w:szCs w:val="32"/>
          <w:highlight w:val="none"/>
        </w:rPr>
        <w:t>须知</w:t>
      </w:r>
      <w:bookmarkEnd w:id="6"/>
      <w:bookmarkEnd w:id="7"/>
      <w:bookmarkEnd w:id="8"/>
      <w:bookmarkEnd w:id="9"/>
    </w:p>
    <w:p w14:paraId="7822AE63">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0" w:name="_Toc75259336"/>
      <w:bookmarkStart w:id="11" w:name="_Toc15404"/>
      <w:r>
        <w:rPr>
          <w:rFonts w:hint="eastAsia" w:asciiTheme="minorEastAsia" w:hAnsiTheme="minorEastAsia" w:eastAsiaTheme="minorEastAsia" w:cstheme="minorEastAsia"/>
          <w:b/>
          <w:color w:val="auto"/>
          <w:sz w:val="21"/>
          <w:szCs w:val="21"/>
          <w:highlight w:val="none"/>
        </w:rPr>
        <w:t>1．适用范围</w:t>
      </w:r>
      <w:bookmarkEnd w:id="10"/>
      <w:bookmarkEnd w:id="11"/>
    </w:p>
    <w:p w14:paraId="079BDE6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1本</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文件仅适用于本次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所叙述的</w:t>
      </w:r>
      <w:r>
        <w:rPr>
          <w:rFonts w:hint="eastAsia" w:asciiTheme="minorEastAsia" w:hAnsiTheme="minorEastAsia" w:cstheme="minorEastAsia"/>
          <w:color w:val="auto"/>
          <w:sz w:val="21"/>
          <w:szCs w:val="21"/>
          <w:highlight w:val="none"/>
          <w:lang w:val="en-US" w:eastAsia="zh-CN"/>
        </w:rPr>
        <w:t>吴起县周湾镇2025年重点工程配套以工代赈示范项目</w:t>
      </w:r>
      <w:r>
        <w:rPr>
          <w:rFonts w:hint="eastAsia" w:asciiTheme="minorEastAsia" w:hAnsiTheme="minorEastAsia" w:eastAsiaTheme="minorEastAsia" w:cstheme="minorEastAsia"/>
          <w:color w:val="auto"/>
          <w:sz w:val="21"/>
          <w:szCs w:val="21"/>
          <w:highlight w:val="none"/>
        </w:rPr>
        <w:t>。</w:t>
      </w:r>
    </w:p>
    <w:p w14:paraId="23CAA165">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2" w:name="_Toc75259337"/>
      <w:bookmarkStart w:id="13" w:name="_Toc8829"/>
      <w:r>
        <w:rPr>
          <w:rFonts w:hint="eastAsia" w:asciiTheme="minorEastAsia" w:hAnsiTheme="minorEastAsia" w:eastAsiaTheme="minorEastAsia" w:cstheme="minorEastAsia"/>
          <w:b/>
          <w:color w:val="auto"/>
          <w:sz w:val="21"/>
          <w:szCs w:val="21"/>
          <w:highlight w:val="none"/>
        </w:rPr>
        <w:t>2．定义</w:t>
      </w:r>
      <w:bookmarkEnd w:id="12"/>
      <w:bookmarkEnd w:id="13"/>
    </w:p>
    <w:p w14:paraId="0A8BA2E9">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1“采购人”系指</w:t>
      </w:r>
      <w:r>
        <w:rPr>
          <w:rFonts w:hint="eastAsia" w:eastAsia="宋体" w:cs="宋体"/>
          <w:i w:val="0"/>
          <w:iCs w:val="0"/>
          <w:caps w:val="0"/>
          <w:color w:val="auto"/>
          <w:spacing w:val="0"/>
          <w:sz w:val="21"/>
          <w:szCs w:val="21"/>
          <w:shd w:val="clear" w:fill="FFFFFF"/>
          <w:vertAlign w:val="baseline"/>
          <w:lang w:eastAsia="zh-CN"/>
        </w:rPr>
        <w:t>吴起县周湾镇人民政府</w:t>
      </w:r>
      <w:r>
        <w:rPr>
          <w:rFonts w:hint="eastAsia" w:asciiTheme="minorEastAsia" w:hAnsiTheme="minorEastAsia" w:eastAsiaTheme="minorEastAsia" w:cstheme="minorEastAsia"/>
          <w:color w:val="auto"/>
          <w:sz w:val="21"/>
          <w:szCs w:val="21"/>
          <w:highlight w:val="none"/>
        </w:rPr>
        <w:t>。</w:t>
      </w:r>
    </w:p>
    <w:p w14:paraId="491BCF62">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2“采购代理机构”系指组织本次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活动的</w:t>
      </w:r>
      <w:r>
        <w:rPr>
          <w:rFonts w:hint="eastAsia" w:asciiTheme="minorEastAsia" w:hAnsiTheme="minorEastAsia" w:eastAsiaTheme="minorEastAsia" w:cstheme="minorEastAsia"/>
          <w:color w:val="auto"/>
          <w:sz w:val="21"/>
          <w:szCs w:val="21"/>
          <w:highlight w:val="none"/>
          <w:lang w:val="en-US" w:eastAsia="zh-CN"/>
        </w:rPr>
        <w:t>华春建设工程项目管理有限责任公司</w:t>
      </w:r>
      <w:r>
        <w:rPr>
          <w:rFonts w:hint="eastAsia" w:asciiTheme="minorEastAsia" w:hAnsiTheme="minorEastAsia" w:eastAsiaTheme="minorEastAsia" w:cstheme="minorEastAsia"/>
          <w:color w:val="auto"/>
          <w:sz w:val="21"/>
          <w:szCs w:val="21"/>
          <w:highlight w:val="none"/>
        </w:rPr>
        <w:t>。</w:t>
      </w:r>
    </w:p>
    <w:p w14:paraId="1957ABF5">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”系指无条件接受</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文件的各项要求，具备相应履约能力、具有《中华人民共和国政府采购法》第</w:t>
      </w:r>
      <w:r>
        <w:rPr>
          <w:rFonts w:hint="eastAsia" w:asciiTheme="minorEastAsia" w:hAnsiTheme="minorEastAsia" w:eastAsiaTheme="minorEastAsia" w:cstheme="minorEastAsia"/>
          <w:color w:val="auto"/>
          <w:sz w:val="21"/>
          <w:szCs w:val="21"/>
          <w:highlight w:val="none"/>
          <w:lang w:val="en-US" w:eastAsia="zh-CN"/>
        </w:rPr>
        <w:t>二十二条</w:t>
      </w:r>
      <w:r>
        <w:rPr>
          <w:rFonts w:hint="eastAsia" w:asciiTheme="minorEastAsia" w:hAnsiTheme="minorEastAsia" w:eastAsiaTheme="minorEastAsia" w:cstheme="minorEastAsia"/>
          <w:color w:val="auto"/>
          <w:sz w:val="21"/>
          <w:szCs w:val="21"/>
          <w:highlight w:val="none"/>
        </w:rPr>
        <w:t>规定的相关条件并向</w:t>
      </w:r>
      <w:r>
        <w:rPr>
          <w:rFonts w:hint="eastAsia" w:asciiTheme="minorEastAsia" w:hAnsi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提交</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p>
    <w:p w14:paraId="5379ADA8">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4" w:name="_Toc11505"/>
      <w:bookmarkStart w:id="15" w:name="_Toc75259338"/>
      <w:r>
        <w:rPr>
          <w:rFonts w:hint="eastAsia" w:asciiTheme="minorEastAsia" w:hAnsiTheme="minorEastAsia" w:eastAsiaTheme="minorEastAsia" w:cstheme="minorEastAsia"/>
          <w:b/>
          <w:color w:val="auto"/>
          <w:sz w:val="21"/>
          <w:szCs w:val="21"/>
          <w:highlight w:val="none"/>
        </w:rPr>
        <w:t>3．合格</w:t>
      </w:r>
      <w:r>
        <w:rPr>
          <w:rFonts w:hint="eastAsia" w:asciiTheme="minorEastAsia" w:hAnsi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的范围</w:t>
      </w:r>
      <w:bookmarkEnd w:id="14"/>
      <w:bookmarkEnd w:id="15"/>
    </w:p>
    <w:p w14:paraId="3A906045">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3.1具有独立承担民事责任的能力；</w:t>
      </w:r>
    </w:p>
    <w:p w14:paraId="0FDB4DE8">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3.2具有良好的商业信誉和健全的财务会计制度；</w:t>
      </w:r>
    </w:p>
    <w:p w14:paraId="619AE64A">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3.3具有履行合同所必需的设备和专业技术能力；</w:t>
      </w:r>
    </w:p>
    <w:p w14:paraId="00D78615">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3.4 有依法缴纳税收和社会保障资金的良好记录；</w:t>
      </w:r>
    </w:p>
    <w:p w14:paraId="5D632FD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3.5参加政府采购活动前三年内，在经营活动中没有重大违法记录；</w:t>
      </w:r>
    </w:p>
    <w:p w14:paraId="547C8C04">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3.6具备法律行政法规规定的其他条件；</w:t>
      </w:r>
    </w:p>
    <w:p w14:paraId="435805E0">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3.7完全满足</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文件的实质性要求；</w:t>
      </w:r>
    </w:p>
    <w:p w14:paraId="66D0E10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3.8凡具备</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文件要求资格，有服务能力的</w:t>
      </w:r>
      <w:r>
        <w:rPr>
          <w:rFonts w:hint="eastAsia" w:asciiTheme="minorEastAsia" w:hAnsiTheme="minorEastAsia" w:cstheme="minorEastAsia"/>
          <w:bCs/>
          <w:color w:val="auto"/>
          <w:sz w:val="21"/>
          <w:szCs w:val="24"/>
          <w:highlight w:val="none"/>
          <w:lang w:eastAsia="zh-CN"/>
        </w:rPr>
        <w:t>供应商</w:t>
      </w:r>
      <w:r>
        <w:rPr>
          <w:rFonts w:hint="eastAsia" w:asciiTheme="minorEastAsia" w:hAnsiTheme="minorEastAsia" w:eastAsiaTheme="minorEastAsia" w:cstheme="minorEastAsia"/>
          <w:bCs/>
          <w:color w:val="auto"/>
          <w:sz w:val="21"/>
          <w:szCs w:val="24"/>
          <w:highlight w:val="none"/>
        </w:rPr>
        <w:t>均可参加。</w:t>
      </w:r>
    </w:p>
    <w:p w14:paraId="36921C12">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16" w:name="_Toc75259339"/>
      <w:bookmarkStart w:id="17" w:name="_Toc22028"/>
      <w:r>
        <w:rPr>
          <w:rFonts w:hint="eastAsia" w:asciiTheme="minorEastAsia" w:hAnsiTheme="minorEastAsia" w:eastAsiaTheme="minorEastAsia" w:cstheme="minorEastAsia"/>
          <w:b/>
          <w:color w:val="auto"/>
          <w:sz w:val="21"/>
          <w:szCs w:val="24"/>
          <w:highlight w:val="none"/>
        </w:rPr>
        <w:t>4</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供应商</w:t>
      </w:r>
      <w:r>
        <w:rPr>
          <w:rFonts w:hint="eastAsia" w:asciiTheme="minorEastAsia" w:hAnsiTheme="minorEastAsia" w:eastAsiaTheme="minorEastAsia" w:cstheme="minorEastAsia"/>
          <w:b/>
          <w:color w:val="auto"/>
          <w:sz w:val="21"/>
          <w:szCs w:val="24"/>
          <w:highlight w:val="none"/>
        </w:rPr>
        <w:t>代表</w:t>
      </w:r>
      <w:bookmarkEnd w:id="16"/>
      <w:bookmarkEnd w:id="17"/>
    </w:p>
    <w:p w14:paraId="1FB45441">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代表必须是法定代表人或持有《法定代表人授权委托书》的被授权代表人。</w:t>
      </w:r>
    </w:p>
    <w:p w14:paraId="2DF9FF8D">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18" w:name="_Toc16198"/>
      <w:bookmarkStart w:id="19" w:name="_Toc75259340"/>
      <w:r>
        <w:rPr>
          <w:rFonts w:hint="eastAsia" w:asciiTheme="minorEastAsia" w:hAnsiTheme="minorEastAsia" w:eastAsiaTheme="minorEastAsia" w:cstheme="minorEastAsia"/>
          <w:b/>
          <w:color w:val="auto"/>
          <w:sz w:val="21"/>
          <w:szCs w:val="24"/>
          <w:highlight w:val="none"/>
        </w:rPr>
        <w:t>5</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费用</w:t>
      </w:r>
      <w:bookmarkEnd w:id="18"/>
      <w:bookmarkEnd w:id="19"/>
    </w:p>
    <w:p w14:paraId="4389D81D">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color w:val="auto"/>
          <w:sz w:val="21"/>
          <w:szCs w:val="24"/>
          <w:highlight w:val="none"/>
        </w:rPr>
        <w:t>无论</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结果如何，</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自行承担所有与参加</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cstheme="minorEastAsia"/>
          <w:color w:val="auto"/>
          <w:sz w:val="21"/>
          <w:szCs w:val="24"/>
          <w:highlight w:val="none"/>
          <w:lang w:val="en-US" w:eastAsia="zh-CN"/>
        </w:rPr>
        <w:t>活动</w:t>
      </w:r>
      <w:r>
        <w:rPr>
          <w:rFonts w:hint="eastAsia" w:asciiTheme="minorEastAsia" w:hAnsiTheme="minorEastAsia" w:eastAsiaTheme="minorEastAsia" w:cstheme="minorEastAsia"/>
          <w:color w:val="auto"/>
          <w:sz w:val="21"/>
          <w:szCs w:val="24"/>
          <w:highlight w:val="none"/>
        </w:rPr>
        <w:t>有关的全部费用。</w:t>
      </w:r>
    </w:p>
    <w:p w14:paraId="08334F89">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0" w:name="_Toc75259341"/>
      <w:bookmarkStart w:id="21" w:name="_Toc23588"/>
      <w:r>
        <w:rPr>
          <w:rFonts w:hint="eastAsia" w:asciiTheme="minorEastAsia" w:hAnsiTheme="minorEastAsia" w:eastAsiaTheme="minorEastAsia" w:cstheme="minorEastAsia"/>
          <w:b/>
          <w:color w:val="auto"/>
          <w:sz w:val="21"/>
          <w:szCs w:val="24"/>
          <w:highlight w:val="none"/>
        </w:rPr>
        <w:t>6</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0"/>
      <w:bookmarkEnd w:id="21"/>
    </w:p>
    <w:p w14:paraId="3687607B">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w:t>
      </w:r>
    </w:p>
    <w:p w14:paraId="1C10DD62">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bookmarkStart w:id="22" w:name="_Hlk63272456"/>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函；</w:t>
      </w:r>
    </w:p>
    <w:p w14:paraId="004601CE">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报价</w:t>
      </w:r>
      <w:r>
        <w:rPr>
          <w:rFonts w:hint="eastAsia" w:asciiTheme="minorEastAsia" w:hAnsiTheme="minorEastAsia" w:eastAsiaTheme="minorEastAsia" w:cstheme="minorEastAsia"/>
          <w:color w:val="auto"/>
          <w:sz w:val="21"/>
          <w:szCs w:val="24"/>
          <w:highlight w:val="none"/>
        </w:rPr>
        <w:t>一览表</w:t>
      </w:r>
      <w:r>
        <w:rPr>
          <w:rFonts w:hint="eastAsia" w:asciiTheme="minorEastAsia" w:hAnsiTheme="minorEastAsia" w:eastAsiaTheme="minorEastAsia" w:cstheme="minorEastAsia"/>
          <w:color w:val="auto"/>
          <w:sz w:val="21"/>
          <w:szCs w:val="24"/>
          <w:highlight w:val="none"/>
          <w:lang w:eastAsia="zh-CN"/>
        </w:rPr>
        <w:t>；</w:t>
      </w:r>
    </w:p>
    <w:p w14:paraId="6B310671">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（3）法定代表人（自然人）身份证明</w:t>
      </w:r>
      <w:r>
        <w:rPr>
          <w:rFonts w:hint="eastAsia" w:asciiTheme="minorEastAsia" w:hAnsiTheme="minorEastAsia" w:cstheme="minorEastAsia"/>
          <w:color w:val="auto"/>
          <w:sz w:val="21"/>
          <w:szCs w:val="24"/>
          <w:highlight w:val="none"/>
          <w:lang w:val="en-US" w:eastAsia="zh-CN"/>
        </w:rPr>
        <w:t>或法定代表人</w:t>
      </w:r>
      <w:r>
        <w:rPr>
          <w:rFonts w:hint="eastAsia" w:asciiTheme="minorEastAsia" w:hAnsiTheme="minorEastAsia" w:eastAsiaTheme="minorEastAsia" w:cstheme="minorEastAsia"/>
          <w:color w:val="auto"/>
          <w:sz w:val="21"/>
          <w:szCs w:val="24"/>
          <w:highlight w:val="none"/>
        </w:rPr>
        <w:t>授权委托书；</w:t>
      </w:r>
    </w:p>
    <w:p w14:paraId="1DCF45DB">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（4）资格证明文件；</w:t>
      </w:r>
    </w:p>
    <w:p w14:paraId="1BB3FE60">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（5）商务部分；</w:t>
      </w:r>
    </w:p>
    <w:p w14:paraId="7DAA3BC4">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6</w:t>
      </w:r>
      <w:r>
        <w:rPr>
          <w:rFonts w:hint="eastAsia" w:asciiTheme="minorEastAsia" w:hAnsiTheme="minorEastAsia" w:eastAsiaTheme="minorEastAsia" w:cstheme="minorEastAsia"/>
          <w:bCs/>
          <w:color w:val="auto"/>
          <w:sz w:val="21"/>
          <w:szCs w:val="24"/>
          <w:highlight w:val="none"/>
        </w:rPr>
        <w:t>）技术部分；</w:t>
      </w:r>
    </w:p>
    <w:p w14:paraId="07F81117">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7</w:t>
      </w:r>
      <w:r>
        <w:rPr>
          <w:rFonts w:hint="eastAsia" w:asciiTheme="minorEastAsia" w:hAnsiTheme="minorEastAsia" w:eastAsiaTheme="minorEastAsia" w:cstheme="minorEastAsia"/>
          <w:bCs/>
          <w:color w:val="auto"/>
          <w:sz w:val="21"/>
          <w:szCs w:val="24"/>
          <w:highlight w:val="none"/>
        </w:rPr>
        <w:t>）其他材料</w:t>
      </w:r>
    </w:p>
    <w:bookmarkEnd w:id="22"/>
    <w:p w14:paraId="39C2668F">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文件编制要求</w:t>
      </w:r>
    </w:p>
    <w:p w14:paraId="307AFCCB">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文件按6.1顺序组成，装订成册，</w:t>
      </w:r>
      <w:r>
        <w:rPr>
          <w:rFonts w:hint="eastAsia" w:asciiTheme="minorEastAsia" w:hAnsiTheme="minorEastAsia" w:cstheme="minorEastAsia"/>
          <w:b/>
          <w:color w:val="auto"/>
          <w:sz w:val="21"/>
          <w:szCs w:val="24"/>
          <w:highlight w:val="none"/>
          <w:lang w:eastAsia="zh-CN"/>
        </w:rPr>
        <w:t>供应商</w:t>
      </w:r>
      <w:r>
        <w:rPr>
          <w:rFonts w:hint="eastAsia" w:asciiTheme="minorEastAsia" w:hAnsiTheme="minorEastAsia" w:eastAsiaTheme="minorEastAsia" w:cstheme="minorEastAsia"/>
          <w:b/>
          <w:color w:val="auto"/>
          <w:sz w:val="21"/>
          <w:szCs w:val="24"/>
          <w:highlight w:val="none"/>
        </w:rPr>
        <w:t>应</w:t>
      </w:r>
      <w:bookmarkStart w:id="23" w:name="_Hlk74733354"/>
      <w:r>
        <w:rPr>
          <w:rFonts w:hint="eastAsia" w:asciiTheme="minorEastAsia" w:hAnsiTheme="minorEastAsia" w:eastAsiaTheme="minorEastAsia" w:cstheme="minorEastAsia"/>
          <w:b/>
          <w:color w:val="auto"/>
          <w:sz w:val="21"/>
          <w:szCs w:val="24"/>
          <w:highlight w:val="none"/>
        </w:rPr>
        <w:t>按标</w:t>
      </w:r>
      <w:r>
        <w:rPr>
          <w:rFonts w:hint="eastAsia" w:asciiTheme="minorEastAsia" w:hAnsiTheme="minorEastAsia" w:cstheme="minorEastAsia"/>
          <w:b/>
          <w:color w:val="auto"/>
          <w:sz w:val="21"/>
          <w:szCs w:val="24"/>
          <w:highlight w:val="none"/>
          <w:lang w:val="en-US" w:eastAsia="zh-CN"/>
        </w:rPr>
        <w:t>段（合同包）</w:t>
      </w:r>
      <w:r>
        <w:rPr>
          <w:rFonts w:hint="eastAsia" w:asciiTheme="minorEastAsia" w:hAnsiTheme="minorEastAsia" w:eastAsiaTheme="minorEastAsia" w:cstheme="minorEastAsia"/>
          <w:b/>
          <w:color w:val="auto"/>
          <w:sz w:val="21"/>
          <w:szCs w:val="24"/>
          <w:highlight w:val="none"/>
        </w:rPr>
        <w:t>分别制作</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3"/>
      <w:r>
        <w:rPr>
          <w:rFonts w:hint="eastAsia" w:asciiTheme="minorEastAsia" w:hAnsiTheme="minorEastAsia" w:eastAsiaTheme="minorEastAsia" w:cstheme="minorEastAsia"/>
          <w:color w:val="auto"/>
          <w:sz w:val="21"/>
          <w:szCs w:val="24"/>
          <w:highlight w:val="none"/>
        </w:rPr>
        <w:t>。</w:t>
      </w:r>
    </w:p>
    <w:p w14:paraId="66301BB0">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eastAsiaTheme="minorEastAsia" w:cstheme="minorEastAsia"/>
          <w:b/>
          <w:bCs/>
          <w:color w:val="auto"/>
          <w:sz w:val="21"/>
          <w:szCs w:val="24"/>
          <w:highlight w:val="none"/>
        </w:rPr>
        <w:t>正本一份，副本</w:t>
      </w:r>
      <w:r>
        <w:rPr>
          <w:rFonts w:hint="eastAsia" w:asciiTheme="minorEastAsia" w:hAnsiTheme="minorEastAsia" w:cstheme="minorEastAsia"/>
          <w:b/>
          <w:bCs/>
          <w:color w:val="auto"/>
          <w:sz w:val="21"/>
          <w:szCs w:val="24"/>
          <w:highlight w:val="none"/>
          <w:lang w:val="en-US" w:eastAsia="zh-CN"/>
        </w:rPr>
        <w:t>二</w:t>
      </w:r>
      <w:r>
        <w:rPr>
          <w:rFonts w:hint="eastAsia" w:asciiTheme="minorEastAsia" w:hAnsiTheme="minorEastAsia" w:eastAsiaTheme="minorEastAsia" w:cstheme="minorEastAsia"/>
          <w:b/>
          <w:bCs/>
          <w:color w:val="auto"/>
          <w:sz w:val="21"/>
          <w:szCs w:val="24"/>
          <w:highlight w:val="none"/>
        </w:rPr>
        <w:t>份,电子</w:t>
      </w:r>
      <w:r>
        <w:rPr>
          <w:rFonts w:hint="eastAsia" w:asciiTheme="minorEastAsia" w:hAnsiTheme="minorEastAsia" w:eastAsiaTheme="minorEastAsia" w:cstheme="minorEastAsia"/>
          <w:b/>
          <w:bCs/>
          <w:color w:val="auto"/>
          <w:sz w:val="21"/>
          <w:szCs w:val="24"/>
          <w:highlight w:val="none"/>
          <w:lang w:val="en-US" w:eastAsia="zh-CN"/>
        </w:rPr>
        <w:t>版（U盘）</w:t>
      </w:r>
      <w:r>
        <w:rPr>
          <w:rFonts w:hint="eastAsia" w:asciiTheme="minorEastAsia" w:hAnsiTheme="minorEastAsia" w:cstheme="minorEastAsia"/>
          <w:b/>
          <w:bCs/>
          <w:color w:val="auto"/>
          <w:sz w:val="21"/>
          <w:szCs w:val="24"/>
          <w:highlight w:val="none"/>
          <w:lang w:eastAsia="zh-CN"/>
        </w:rPr>
        <w:t>三</w:t>
      </w:r>
      <w:r>
        <w:rPr>
          <w:rFonts w:hint="eastAsia" w:asciiTheme="minorEastAsia" w:hAnsiTheme="minorEastAsia" w:eastAsiaTheme="minorEastAsia" w:cstheme="minorEastAsia"/>
          <w:b/>
          <w:bCs/>
          <w:color w:val="auto"/>
          <w:sz w:val="21"/>
          <w:szCs w:val="24"/>
          <w:highlight w:val="none"/>
        </w:rPr>
        <w:t>份</w:t>
      </w:r>
      <w:r>
        <w:rPr>
          <w:rFonts w:hint="eastAsia" w:asciiTheme="minorEastAsia" w:hAnsiTheme="minorEastAsia" w:eastAsiaTheme="minorEastAsia" w:cstheme="minorEastAsia"/>
          <w:color w:val="auto"/>
          <w:sz w:val="21"/>
          <w:szCs w:val="24"/>
          <w:highlight w:val="none"/>
        </w:rPr>
        <w:t>，如果正本与副本不符，以正本为准。</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文件应字迹清楚、内容齐全、数字准确、不应有涂改增删处。如修改时，修改处须有法定代表人或授权代表签字</w:t>
      </w:r>
      <w:r>
        <w:rPr>
          <w:rFonts w:hint="eastAsia" w:asciiTheme="minorEastAsia" w:hAnsiTheme="minorEastAsia" w:eastAsiaTheme="minorEastAsia" w:cstheme="minorEastAsia"/>
          <w:color w:val="auto"/>
          <w:sz w:val="21"/>
          <w:szCs w:val="24"/>
          <w:highlight w:val="none"/>
          <w:lang w:val="en-US" w:eastAsia="zh-CN"/>
        </w:rPr>
        <w:t>并加盖</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lang w:val="en-US" w:eastAsia="zh-CN"/>
        </w:rPr>
        <w:t>公章</w:t>
      </w:r>
      <w:r>
        <w:rPr>
          <w:rFonts w:hint="eastAsia" w:asciiTheme="minorEastAsia" w:hAnsiTheme="minorEastAsia" w:eastAsiaTheme="minorEastAsia" w:cstheme="minorEastAsia"/>
          <w:color w:val="auto"/>
          <w:sz w:val="21"/>
          <w:szCs w:val="24"/>
          <w:highlight w:val="none"/>
        </w:rPr>
        <w:t>。</w:t>
      </w:r>
    </w:p>
    <w:p w14:paraId="7281E68F">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文件必须用不褪色的墨水</w:t>
      </w:r>
      <w:r>
        <w:rPr>
          <w:rFonts w:hint="eastAsia" w:asciiTheme="minorEastAsia" w:hAnsiTheme="minorEastAsia" w:eastAsiaTheme="minorEastAsia" w:cstheme="minorEastAsia"/>
          <w:color w:val="auto"/>
          <w:sz w:val="21"/>
          <w:szCs w:val="24"/>
          <w:highlight w:val="none"/>
          <w:lang w:val="en-US" w:eastAsia="zh-CN"/>
        </w:rPr>
        <w:t>书</w:t>
      </w:r>
      <w:r>
        <w:rPr>
          <w:rFonts w:hint="eastAsia" w:asciiTheme="minorEastAsia" w:hAnsiTheme="minorEastAsia" w:eastAsiaTheme="minorEastAsia" w:cstheme="minorEastAsia"/>
          <w:color w:val="auto"/>
          <w:sz w:val="21"/>
          <w:szCs w:val="24"/>
          <w:highlight w:val="none"/>
        </w:rPr>
        <w:t>写或打印，并注明“正本”、“副本”字样。</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文件正</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rPr>
        <w:t>副本均须采用A4纸装订成册，不得出现散页、重页、掉页现象。外封套应写明：</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的全称、项目编号及项目名称。</w:t>
      </w:r>
    </w:p>
    <w:p w14:paraId="04566F53">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文件的正本和副本必须在需要签字处签字及加盖公章处加盖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红色公章。</w:t>
      </w:r>
    </w:p>
    <w:p w14:paraId="79A17A02">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（5）</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文件截止时间前，可以对所提交的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文件进行补充、修改或者撤回，并书面通知采购人、采购代理机构。补充、修改的内容作为</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文件的组成部分。补充、修改的内容与</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文件不一致的，以补充、修改的内容为准。</w:t>
      </w:r>
    </w:p>
    <w:p w14:paraId="00C8821B">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4"/>
          <w:highlight w:val="none"/>
        </w:rPr>
      </w:pPr>
      <w:r>
        <w:rPr>
          <w:rFonts w:hint="eastAsia" w:asciiTheme="minorEastAsia" w:hAnsiTheme="minorEastAsia" w:eastAsiaTheme="minorEastAsia" w:cstheme="minorEastAsia"/>
          <w:b w:val="0"/>
          <w:bCs w:val="0"/>
          <w:color w:val="auto"/>
          <w:sz w:val="21"/>
          <w:szCs w:val="24"/>
          <w:highlight w:val="none"/>
        </w:rPr>
        <w:t>6.</w:t>
      </w:r>
      <w:r>
        <w:rPr>
          <w:rFonts w:hint="eastAsia" w:asciiTheme="minorEastAsia" w:hAnsiTheme="minorEastAsia" w:cstheme="minorEastAsia"/>
          <w:b w:val="0"/>
          <w:bCs w:val="0"/>
          <w:color w:val="auto"/>
          <w:sz w:val="21"/>
          <w:szCs w:val="24"/>
          <w:highlight w:val="none"/>
          <w:lang w:val="en-US" w:eastAsia="zh-CN"/>
        </w:rPr>
        <w:t>3磋商</w:t>
      </w:r>
      <w:r>
        <w:rPr>
          <w:rFonts w:hint="eastAsia" w:asciiTheme="minorEastAsia" w:hAnsiTheme="minorEastAsia" w:eastAsiaTheme="minorEastAsia" w:cstheme="minorEastAsia"/>
          <w:b w:val="0"/>
          <w:bCs w:val="0"/>
          <w:color w:val="auto"/>
          <w:sz w:val="21"/>
          <w:szCs w:val="24"/>
          <w:highlight w:val="none"/>
        </w:rPr>
        <w:t>时提供的资格证明文件应包括：</w:t>
      </w:r>
    </w:p>
    <w:p w14:paraId="05B360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val="en-US" w:eastAsia="zh-CN"/>
        </w:rPr>
        <w:t>见第一部分 竞争性磋商公告 第二条</w:t>
      </w:r>
    </w:p>
    <w:p w14:paraId="2DB85E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需</w:t>
      </w:r>
      <w:r>
        <w:rPr>
          <w:rFonts w:hint="eastAsia" w:asciiTheme="minorEastAsia" w:hAnsiTheme="minorEastAsia" w:eastAsiaTheme="minorEastAsia" w:cstheme="minorEastAsia"/>
          <w:b/>
          <w:color w:val="auto"/>
          <w:szCs w:val="24"/>
          <w:highlight w:val="none"/>
        </w:rPr>
        <w:t>提供清晰、可见</w:t>
      </w:r>
      <w:r>
        <w:rPr>
          <w:rFonts w:hint="eastAsia" w:asciiTheme="minorEastAsia" w:hAnsiTheme="minorEastAsia" w:cstheme="minorEastAsia"/>
          <w:b/>
          <w:color w:val="auto"/>
          <w:szCs w:val="24"/>
          <w:highlight w:val="none"/>
          <w:lang w:eastAsia="zh-CN"/>
        </w:rPr>
        <w:t>，</w:t>
      </w:r>
      <w:r>
        <w:rPr>
          <w:rFonts w:hint="eastAsia" w:asciiTheme="minorEastAsia" w:hAnsiTheme="minorEastAsia" w:eastAsiaTheme="minorEastAsia" w:cstheme="minorEastAsia"/>
          <w:b/>
          <w:color w:val="auto"/>
          <w:szCs w:val="24"/>
          <w:highlight w:val="none"/>
        </w:rPr>
        <w:t>加盖公章的复印件或原件</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b/>
          <w:color w:val="auto"/>
          <w:szCs w:val="24"/>
          <w:highlight w:val="none"/>
        </w:rPr>
        <w:t>由于资料内容模糊不清造成对</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不利的</w:t>
      </w:r>
      <w:r>
        <w:rPr>
          <w:rFonts w:hint="eastAsia" w:asciiTheme="minorEastAsia" w:hAnsiTheme="minorEastAsia" w:cstheme="minorEastAsia"/>
          <w:b/>
          <w:color w:val="auto"/>
          <w:szCs w:val="24"/>
          <w:highlight w:val="none"/>
          <w:lang w:val="en-US" w:eastAsia="zh-CN"/>
        </w:rPr>
        <w:t>结果</w:t>
      </w:r>
      <w:r>
        <w:rPr>
          <w:rFonts w:hint="eastAsia" w:asciiTheme="minorEastAsia" w:hAnsiTheme="minorEastAsia" w:eastAsiaTheme="minorEastAsia" w:cstheme="minorEastAsia"/>
          <w:b/>
          <w:color w:val="auto"/>
          <w:szCs w:val="24"/>
          <w:highlight w:val="none"/>
        </w:rPr>
        <w:t>由</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自负</w:t>
      </w:r>
      <w:r>
        <w:rPr>
          <w:rFonts w:hint="eastAsia" w:asciiTheme="minorEastAsia" w:hAnsiTheme="minorEastAsia" w:eastAsiaTheme="minorEastAsia" w:cstheme="minorEastAsia"/>
          <w:color w:val="auto"/>
          <w:szCs w:val="24"/>
          <w:highlight w:val="none"/>
        </w:rPr>
        <w:t>，若</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不符合</w:t>
      </w:r>
      <w:r>
        <w:rPr>
          <w:rFonts w:hint="eastAsia" w:asciiTheme="minorEastAsia" w:hAnsi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要求，将按无效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处理，不进入下一评审环节。</w:t>
      </w:r>
    </w:p>
    <w:p w14:paraId="7A5E5B16">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4" w:name="_Toc10580"/>
      <w:bookmarkStart w:id="25" w:name="_Toc75259342"/>
      <w:r>
        <w:rPr>
          <w:rFonts w:hint="eastAsia" w:asciiTheme="minorEastAsia" w:hAnsiTheme="minorEastAsia" w:eastAsiaTheme="minorEastAsia" w:cstheme="minorEastAsia"/>
          <w:b/>
          <w:color w:val="auto"/>
          <w:sz w:val="21"/>
          <w:szCs w:val="24"/>
          <w:highlight w:val="none"/>
        </w:rPr>
        <w:t>7</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磋商</w:t>
      </w:r>
      <w:r>
        <w:rPr>
          <w:rFonts w:hint="eastAsia" w:asciiTheme="minorEastAsia" w:hAnsiTheme="minorEastAsia" w:eastAsiaTheme="minorEastAsia" w:cstheme="minorEastAsia"/>
          <w:b/>
          <w:color w:val="auto"/>
          <w:sz w:val="21"/>
          <w:szCs w:val="24"/>
          <w:highlight w:val="none"/>
        </w:rPr>
        <w:t>保证金</w:t>
      </w:r>
      <w:bookmarkEnd w:id="24"/>
      <w:bookmarkEnd w:id="25"/>
    </w:p>
    <w:p w14:paraId="67CC00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 xml:space="preserve">7.1 </w:t>
      </w:r>
      <w:r>
        <w:rPr>
          <w:rFonts w:hint="eastAsia" w:asciiTheme="minorEastAsia" w:hAnsi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保证金金额：</w:t>
      </w:r>
      <w:r>
        <w:rPr>
          <w:rFonts w:hint="eastAsia" w:asciiTheme="minorEastAsia" w:hAnsiTheme="minorEastAsia" w:cstheme="minorEastAsia"/>
          <w:color w:val="auto"/>
          <w:highlight w:val="none"/>
          <w:lang w:eastAsia="zh-CN"/>
        </w:rPr>
        <w:t>见磋商须知前附表。</w:t>
      </w:r>
    </w:p>
    <w:p w14:paraId="75E638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7.2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w:t>
      </w:r>
      <w:r>
        <w:rPr>
          <w:rFonts w:hint="eastAsia" w:asciiTheme="minorEastAsia" w:hAnsiTheme="minorEastAsia" w:eastAsiaTheme="minorEastAsia" w:cstheme="minorEastAsia"/>
          <w:color w:val="auto"/>
          <w:kern w:val="0"/>
          <w:highlight w:val="none"/>
          <w:lang w:val="en-US" w:eastAsia="zh-CN"/>
        </w:rPr>
        <w:t>缴纳方式</w:t>
      </w:r>
      <w:r>
        <w:rPr>
          <w:rFonts w:hint="eastAsia" w:asciiTheme="minorEastAsia" w:hAnsiTheme="minorEastAsia" w:eastAsiaTheme="minorEastAsia" w:cstheme="minorEastAsia"/>
          <w:color w:val="auto"/>
          <w:kern w:val="0"/>
          <w:highlight w:val="none"/>
        </w:rPr>
        <w:t>：支票、汇票、本票或者金融机构、担保机构出具的保函等非现金形式提交。除保函外，其他形式提交的</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保证金应从</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b/>
          <w:color w:val="auto"/>
          <w:kern w:val="0"/>
          <w:highlight w:val="none"/>
        </w:rPr>
        <w:t>基本账户</w:t>
      </w:r>
      <w:r>
        <w:rPr>
          <w:rFonts w:hint="eastAsia" w:asciiTheme="minorEastAsia" w:hAnsiTheme="minorEastAsia" w:eastAsiaTheme="minorEastAsia" w:cstheme="minorEastAsia"/>
          <w:color w:val="auto"/>
          <w:kern w:val="0"/>
          <w:highlight w:val="none"/>
        </w:rPr>
        <w:t>转出，</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color w:val="auto"/>
          <w:kern w:val="0"/>
          <w:highlight w:val="none"/>
        </w:rPr>
        <w:t>须将</w:t>
      </w:r>
      <w:r>
        <w:rPr>
          <w:rFonts w:hint="eastAsia" w:asciiTheme="minorEastAsia" w:hAnsiTheme="minorEastAsia" w:eastAsiaTheme="minorEastAsia" w:cstheme="minorEastAsia"/>
          <w:color w:val="auto"/>
          <w:kern w:val="0"/>
          <w:highlight w:val="none"/>
          <w:lang w:val="en-US" w:eastAsia="zh-CN"/>
        </w:rPr>
        <w:t>缴</w:t>
      </w:r>
      <w:r>
        <w:rPr>
          <w:rFonts w:hint="eastAsia" w:asciiTheme="minorEastAsia" w:hAnsiTheme="minorEastAsia" w:eastAsiaTheme="minorEastAsia" w:cstheme="minorEastAsia"/>
          <w:color w:val="auto"/>
          <w:kern w:val="0"/>
          <w:highlight w:val="none"/>
        </w:rPr>
        <w:t>款凭证复印件（电汇或转账回单）装订在</w:t>
      </w:r>
      <w:r>
        <w:rPr>
          <w:rFonts w:hint="eastAsia" w:asciiTheme="minorEastAsia" w:hAnsiTheme="minorEastAsia" w:cstheme="minorEastAsia"/>
          <w:color w:val="auto"/>
          <w:kern w:val="0"/>
          <w:highlight w:val="none"/>
          <w:lang w:val="en-US" w:eastAsia="zh-CN"/>
        </w:rPr>
        <w:t>响应</w:t>
      </w:r>
      <w:r>
        <w:rPr>
          <w:rFonts w:hint="eastAsia" w:asciiTheme="minorEastAsia" w:hAnsiTheme="minorEastAsia" w:eastAsiaTheme="minorEastAsia" w:cstheme="minorEastAsia"/>
          <w:color w:val="auto"/>
          <w:kern w:val="0"/>
          <w:highlight w:val="none"/>
        </w:rPr>
        <w:t>文件中，以银行保函方式递交保证金的，出具保函的银行须为其基本账户开户银行（若其基本账户开户银行没有出具保函的权限，可由该银行的上一级银行出具保函，并做出相应说明）。</w:t>
      </w:r>
    </w:p>
    <w:p w14:paraId="4F17B2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7.3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保证金缴纳账户信息：</w:t>
      </w:r>
    </w:p>
    <w:p w14:paraId="4CD37A1C">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t>收款单位：</w:t>
      </w:r>
      <w:r>
        <w:rPr>
          <w:rFonts w:hint="eastAsia" w:asciiTheme="minorEastAsia" w:hAnsiTheme="minorEastAsia" w:eastAsiaTheme="minorEastAsia" w:cstheme="minorEastAsia"/>
          <w:color w:val="auto"/>
          <w:kern w:val="0"/>
          <w:highlight w:val="none"/>
          <w:lang w:val="en-US" w:eastAsia="zh-CN"/>
        </w:rPr>
        <w:t>华春建设工程项目管理有限责任公司吴起分公司</w:t>
      </w:r>
    </w:p>
    <w:p w14:paraId="302BA561">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开户银行：</w:t>
      </w:r>
      <w:r>
        <w:rPr>
          <w:rFonts w:hint="eastAsia" w:asciiTheme="minorEastAsia" w:hAnsiTheme="minorEastAsia" w:eastAsiaTheme="minorEastAsia" w:cstheme="minorEastAsia"/>
          <w:color w:val="auto"/>
          <w:kern w:val="0"/>
          <w:highlight w:val="none"/>
          <w:lang w:eastAsia="zh-CN"/>
        </w:rPr>
        <w:t>中国银行延安吴起支行营业部</w:t>
      </w:r>
    </w:p>
    <w:p w14:paraId="20BC0EBD">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账    号：</w:t>
      </w:r>
      <w:r>
        <w:rPr>
          <w:rFonts w:hint="eastAsia" w:asciiTheme="minorEastAsia" w:hAnsiTheme="minorEastAsia" w:eastAsiaTheme="minorEastAsia" w:cstheme="minorEastAsia"/>
          <w:color w:val="auto"/>
          <w:kern w:val="0"/>
          <w:highlight w:val="none"/>
          <w:lang w:eastAsia="zh-CN"/>
        </w:rPr>
        <w:t>102846504355</w:t>
      </w:r>
    </w:p>
    <w:p w14:paraId="5D117E34">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7.4 </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不按要求提交</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保证金的，按无效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5B75F67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7.5 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eastAsiaTheme="minorEastAsia" w:cstheme="minorEastAsia"/>
          <w:color w:val="auto"/>
          <w:sz w:val="21"/>
          <w:szCs w:val="24"/>
          <w:highlight w:val="none"/>
        </w:rPr>
        <w:t>通知书发出之日起5个工作日内退还未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保证金，自政府采购合同签订之日起5个工作日内退还</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w:t>
      </w:r>
    </w:p>
    <w:p w14:paraId="5FDF2B37">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7.6 有下列情形之一的，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保证金将不予退还：</w:t>
      </w:r>
    </w:p>
    <w:p w14:paraId="2D1C545E">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文件截止时间后撤回</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w:t>
      </w:r>
    </w:p>
    <w:p w14:paraId="1B5F3D5A">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文件中提供虚假材料的；</w:t>
      </w:r>
    </w:p>
    <w:p w14:paraId="5627A245">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3</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lang w:eastAsia="zh-CN"/>
        </w:rPr>
        <w:t>不与采购人签订合同的，除因不可抗力或</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lang w:val="en-US" w:eastAsia="zh-CN"/>
        </w:rPr>
        <w:t>文件</w:t>
      </w:r>
      <w:r>
        <w:rPr>
          <w:rFonts w:hint="eastAsia" w:asciiTheme="minorEastAsia" w:hAnsiTheme="minorEastAsia" w:eastAsiaTheme="minorEastAsia" w:cstheme="minorEastAsia"/>
          <w:color w:val="auto"/>
          <w:sz w:val="21"/>
          <w:szCs w:val="24"/>
          <w:highlight w:val="none"/>
          <w:lang w:eastAsia="zh-CN"/>
        </w:rPr>
        <w:t>认可的情形以外；</w:t>
      </w:r>
    </w:p>
    <w:p w14:paraId="0612BC6D">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4</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与采购人、其他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或者采购代理机构恶意串通的；</w:t>
      </w:r>
    </w:p>
    <w:p w14:paraId="0105C508">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z w:val="21"/>
          <w:szCs w:val="24"/>
          <w:highlight w:val="none"/>
          <w:lang w:val="en-US" w:eastAsia="zh-CN"/>
        </w:rPr>
        <w:t>5</w:t>
      </w:r>
      <w:r>
        <w:rPr>
          <w:rFonts w:hint="eastAsia" w:asciiTheme="minorEastAsia" w:hAnsiTheme="minorEastAsia" w:eastAsiaTheme="minorEastAsia" w:cstheme="minorEastAsia"/>
          <w:color w:val="auto"/>
          <w:sz w:val="21"/>
          <w:szCs w:val="24"/>
          <w:highlight w:val="none"/>
        </w:rPr>
        <w:t>）未按</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文件规定缴纳</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rPr>
        <w:t>代理服务费。</w:t>
      </w:r>
    </w:p>
    <w:p w14:paraId="2A8DA53B">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6" w:name="_Toc75259344"/>
      <w:bookmarkStart w:id="27" w:name="_Toc3607"/>
      <w:bookmarkStart w:id="28" w:name="_Toc75259343"/>
      <w:r>
        <w:rPr>
          <w:rFonts w:hint="eastAsia" w:asciiTheme="minorEastAsia" w:hAnsiTheme="minorEastAsia" w:cstheme="minorEastAsia"/>
          <w:b/>
          <w:color w:val="auto"/>
          <w:sz w:val="21"/>
          <w:szCs w:val="24"/>
          <w:highlight w:val="none"/>
          <w:lang w:val="en-US" w:eastAsia="zh-CN"/>
        </w:rPr>
        <w:t>8</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评审</w:t>
      </w:r>
      <w:r>
        <w:rPr>
          <w:rFonts w:hint="eastAsia" w:asciiTheme="minorEastAsia" w:hAnsiTheme="minorEastAsia" w:eastAsiaTheme="minorEastAsia" w:cstheme="minorEastAsia"/>
          <w:b/>
          <w:color w:val="auto"/>
          <w:sz w:val="21"/>
          <w:szCs w:val="24"/>
          <w:highlight w:val="none"/>
        </w:rPr>
        <w:t>内容</w:t>
      </w:r>
      <w:bookmarkEnd w:id="26"/>
      <w:bookmarkEnd w:id="27"/>
    </w:p>
    <w:p w14:paraId="79A084A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cstheme="minorEastAsia"/>
          <w:color w:val="auto"/>
          <w:sz w:val="21"/>
          <w:szCs w:val="24"/>
          <w:highlight w:val="none"/>
          <w:lang w:val="en-US" w:eastAsia="zh-CN"/>
        </w:rPr>
        <w:t>8</w:t>
      </w: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报价、商务部分、技术部分、服务承诺等内容。</w:t>
      </w:r>
    </w:p>
    <w:p w14:paraId="217ACE03">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9" w:name="_Toc5066"/>
      <w:r>
        <w:rPr>
          <w:rFonts w:hint="eastAsia" w:asciiTheme="minorEastAsia" w:hAnsiTheme="minorEastAsia" w:cstheme="minorEastAsia"/>
          <w:b/>
          <w:color w:val="auto"/>
          <w:sz w:val="21"/>
          <w:szCs w:val="24"/>
          <w:highlight w:val="none"/>
          <w:lang w:val="en-US" w:eastAsia="zh-CN"/>
        </w:rPr>
        <w:t>9</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评审工作程序</w:t>
      </w:r>
      <w:bookmarkEnd w:id="28"/>
      <w:bookmarkEnd w:id="29"/>
    </w:p>
    <w:p w14:paraId="0B1949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.1主持人按下列程序进行</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F2438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（1）采购代理机构按</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文件规定的时间、地点组织</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CBCFA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lang w:val="en-US" w:eastAsia="zh-CN"/>
        </w:rPr>
        <w:t>会议</w:t>
      </w:r>
      <w:r>
        <w:rPr>
          <w:rFonts w:hint="eastAsia" w:asciiTheme="minorEastAsia" w:hAnsiTheme="minorEastAsia" w:eastAsiaTheme="minorEastAsia" w:cstheme="minorEastAsia"/>
          <w:color w:val="auto"/>
          <w:szCs w:val="24"/>
          <w:highlight w:val="none"/>
        </w:rPr>
        <w:t>由采购代理机构主持，采购人代表及有关人员参加；</w:t>
      </w:r>
    </w:p>
    <w:p w14:paraId="0FDC54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应派法定代表人或其授权代表参加</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r>
        <w:rPr>
          <w:rFonts w:hint="eastAsia" w:asciiTheme="minorEastAsia" w:hAnsiTheme="minorEastAsia" w:cstheme="minorEastAsia"/>
          <w:color w:val="auto"/>
          <w:szCs w:val="24"/>
          <w:highlight w:val="none"/>
          <w:lang w:val="en-US" w:eastAsia="zh-CN"/>
        </w:rPr>
        <w:t>供应商</w:t>
      </w:r>
      <w:r>
        <w:rPr>
          <w:rFonts w:hint="eastAsia" w:asciiTheme="minorEastAsia" w:hAnsiTheme="minorEastAsia" w:eastAsiaTheme="minorEastAsia" w:cstheme="minorEastAsia"/>
          <w:color w:val="auto"/>
          <w:szCs w:val="24"/>
          <w:highlight w:val="none"/>
        </w:rPr>
        <w:t>应签名报到，以证明其出席；</w:t>
      </w:r>
    </w:p>
    <w:p w14:paraId="795E04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w:t>
      </w:r>
      <w:r>
        <w:rPr>
          <w:rFonts w:hint="eastAsia" w:asciiTheme="minorEastAsia" w:hAnsiTheme="minorEastAsia" w:eastAsiaTheme="minorEastAsia" w:cstheme="minorEastAsia"/>
          <w:color w:val="auto"/>
          <w:szCs w:val="24"/>
          <w:highlight w:val="none"/>
          <w:lang w:val="en-US" w:eastAsia="zh-CN"/>
        </w:rPr>
        <w:t>采购代理机构</w:t>
      </w:r>
      <w:r>
        <w:rPr>
          <w:rFonts w:hint="eastAsia" w:asciiTheme="minorEastAsia" w:hAnsiTheme="minorEastAsia" w:eastAsiaTheme="minorEastAsia" w:cstheme="minorEastAsia"/>
          <w:color w:val="auto"/>
          <w:szCs w:val="24"/>
          <w:highlight w:val="none"/>
        </w:rPr>
        <w:t>公布</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的名称；</w:t>
      </w:r>
    </w:p>
    <w:p w14:paraId="59040A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r>
        <w:rPr>
          <w:rFonts w:hint="eastAsia" w:asciiTheme="minorEastAsia" w:hAnsiTheme="minorEastAsia" w:cstheme="minorEastAsia"/>
          <w:color w:val="auto"/>
          <w:szCs w:val="24"/>
          <w:highlight w:val="none"/>
          <w:lang w:val="en-US" w:eastAsia="zh-CN"/>
        </w:rPr>
        <w:t>采购人</w:t>
      </w:r>
      <w:r>
        <w:rPr>
          <w:rFonts w:hint="eastAsia" w:asciiTheme="minorEastAsia" w:hAnsiTheme="minorEastAsia" w:eastAsiaTheme="minorEastAsia" w:cstheme="minorEastAsia"/>
          <w:color w:val="auto"/>
          <w:szCs w:val="24"/>
          <w:highlight w:val="none"/>
        </w:rPr>
        <w:t>按本部分第6.</w:t>
      </w:r>
      <w:r>
        <w:rPr>
          <w:rFonts w:hint="eastAsia" w:asciiTheme="minorEastAsia" w:hAnsi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条的内容对</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进行资格审查，不符合</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w:t>
      </w:r>
      <w:r>
        <w:rPr>
          <w:rFonts w:hint="eastAsia" w:asciiTheme="minorEastAsia" w:hAnsiTheme="minorEastAsia" w:eastAsia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将不再进入后续评审环节（在评审结束前发现</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资格不符合要求的作无效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w:t>
      </w:r>
    </w:p>
    <w:p w14:paraId="1CEBA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（6）检查</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 xml:space="preserve">文件密封情况，并签字确认； </w:t>
      </w:r>
    </w:p>
    <w:p w14:paraId="67CD551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（7）开启</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文件，宣读</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文件递交情况；</w:t>
      </w:r>
    </w:p>
    <w:p w14:paraId="340D05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r>
        <w:rPr>
          <w:rFonts w:hint="eastAsia" w:asciiTheme="minorEastAsia" w:hAnsiTheme="minorEastAsia" w:cstheme="minorEastAsia"/>
          <w:color w:val="auto"/>
          <w:szCs w:val="24"/>
          <w:highlight w:val="none"/>
          <w:lang w:val="en-US" w:eastAsia="zh-CN"/>
        </w:rPr>
        <w:t>评审</w:t>
      </w:r>
      <w:r>
        <w:rPr>
          <w:rFonts w:hint="eastAsia" w:asciiTheme="minorEastAsia" w:hAnsiTheme="minorEastAsia" w:eastAsiaTheme="minorEastAsia" w:cstheme="minorEastAsia"/>
          <w:color w:val="auto"/>
          <w:szCs w:val="24"/>
          <w:highlight w:val="none"/>
        </w:rPr>
        <w:t>；</w:t>
      </w:r>
    </w:p>
    <w:p w14:paraId="323B4B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Cs w:val="24"/>
          <w:highlight w:val="none"/>
        </w:rPr>
        <w:t>（9）</w:t>
      </w:r>
      <w:r>
        <w:rPr>
          <w:rFonts w:hint="eastAsia" w:asciiTheme="minorEastAsia" w:hAnsiTheme="minorEastAsia" w:eastAsiaTheme="minorEastAsia" w:cstheme="minorEastAsia"/>
          <w:color w:val="auto"/>
          <w:sz w:val="21"/>
          <w:szCs w:val="24"/>
          <w:highlight w:val="none"/>
        </w:rPr>
        <w:t>会议结束。</w:t>
      </w:r>
    </w:p>
    <w:p w14:paraId="213E7FC7">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依据</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文件的规定，对</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文件的</w:t>
      </w:r>
      <w:r>
        <w:rPr>
          <w:rFonts w:hint="eastAsia" w:asciiTheme="minorEastAsia" w:hAnsiTheme="minorEastAsia" w:cstheme="minorEastAsia"/>
          <w:color w:val="auto"/>
          <w:sz w:val="21"/>
          <w:szCs w:val="24"/>
          <w:highlight w:val="none"/>
          <w:lang w:val="en-US" w:eastAsia="zh-CN"/>
        </w:rPr>
        <w:t>符合性</w:t>
      </w:r>
      <w:r>
        <w:rPr>
          <w:rFonts w:hint="eastAsia" w:asciiTheme="minorEastAsia" w:hAnsiTheme="minorEastAsia" w:eastAsiaTheme="minorEastAsia" w:cstheme="minorEastAsia"/>
          <w:color w:val="auto"/>
          <w:sz w:val="21"/>
          <w:szCs w:val="24"/>
          <w:highlight w:val="none"/>
          <w:lang w:val="zh-CN"/>
        </w:rPr>
        <w:t>进行审查，以确定是否对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文件的要求做出实质性响应。未对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文件做实质性响应的</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，不得进入具体</w:t>
      </w:r>
      <w:r>
        <w:rPr>
          <w:rFonts w:hint="eastAsia" w:asciiTheme="minorEastAsia" w:hAnsiTheme="minorEastAsia" w:cstheme="minorEastAsia"/>
          <w:color w:val="auto"/>
          <w:sz w:val="21"/>
          <w:szCs w:val="24"/>
          <w:highlight w:val="none"/>
          <w:lang w:val="en-US" w:eastAsia="zh-CN"/>
        </w:rPr>
        <w:t>评标</w:t>
      </w:r>
      <w:r>
        <w:rPr>
          <w:rFonts w:hint="eastAsia" w:asciiTheme="minorEastAsia" w:hAnsiTheme="minorEastAsia" w:eastAsiaTheme="minorEastAsia" w:cstheme="minorEastAsia"/>
          <w:color w:val="auto"/>
          <w:sz w:val="21"/>
          <w:szCs w:val="24"/>
          <w:highlight w:val="none"/>
          <w:lang w:val="zh-CN"/>
        </w:rPr>
        <w:t>程序。</w:t>
      </w:r>
    </w:p>
    <w:p w14:paraId="69254BD8">
      <w:pPr>
        <w:pStyle w:val="24"/>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0" w:name="_Toc23534"/>
      <w:bookmarkStart w:id="31" w:name="_Toc75259345"/>
      <w:r>
        <w:rPr>
          <w:rFonts w:hint="eastAsia" w:asciiTheme="minorEastAsia" w:hAnsiTheme="minorEastAsia" w:eastAsiaTheme="minorEastAsia" w:cstheme="minorEastAsia"/>
          <w:b/>
          <w:color w:val="auto"/>
          <w:sz w:val="21"/>
          <w:szCs w:val="24"/>
          <w:highlight w:val="none"/>
        </w:rPr>
        <w:t>10</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评审原则</w:t>
      </w:r>
      <w:bookmarkEnd w:id="30"/>
      <w:bookmarkEnd w:id="31"/>
    </w:p>
    <w:p w14:paraId="7505CA46">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（1）本次</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遵循公开透明、公平竞争、公正和诚实信用的原则。</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rPr>
        <w:t>成员按照客观、公正、审慎的原则，根据</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文件规定的评审程序、评审方法和评审标准进行独立评审。未实质性响应</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cstheme="minorEastAsia"/>
          <w:color w:val="auto"/>
          <w:sz w:val="21"/>
          <w:szCs w:val="24"/>
          <w:highlight w:val="none"/>
          <w:lang w:val="en-US" w:eastAsia="zh-CN"/>
        </w:rPr>
        <w:t>要求</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2262B532">
      <w:pPr>
        <w:pStyle w:val="2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eastAsiaTheme="minorEastAsia" w:cstheme="minorEastAsia"/>
          <w:color w:val="auto"/>
          <w:sz w:val="21"/>
          <w:szCs w:val="24"/>
          <w:highlight w:val="none"/>
          <w:lang w:val="zh-CN"/>
        </w:rPr>
        <w:t>（2）</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应当根据综合评分情况，按照评审得分由高到低顺序推荐3名成</w:t>
      </w:r>
      <w:r>
        <w:rPr>
          <w:rFonts w:hint="eastAsia" w:asciiTheme="minorEastAsia" w:hAnsiTheme="minorEastAsia" w:cstheme="minorEastAsia"/>
          <w:color w:val="auto"/>
          <w:sz w:val="21"/>
          <w:szCs w:val="24"/>
          <w:highlight w:val="none"/>
          <w:lang w:val="en-US" w:eastAsia="zh-CN"/>
        </w:rPr>
        <w:t>成交候选</w:t>
      </w:r>
      <w:r>
        <w:rPr>
          <w:rFonts w:hint="eastAsia" w:asciiTheme="minorEastAsia" w:hAnsiTheme="minorEastAsia" w:cstheme="minorEastAsia"/>
          <w:color w:val="auto"/>
          <w:sz w:val="21"/>
          <w:szCs w:val="24"/>
          <w:highlight w:val="none"/>
          <w:lang w:val="zh-CN"/>
        </w:rPr>
        <w:t>人</w:t>
      </w:r>
      <w:r>
        <w:rPr>
          <w:rFonts w:hint="eastAsia" w:asciiTheme="minorEastAsia" w:hAnsiTheme="minorEastAsia" w:eastAsiaTheme="minorEastAsia" w:cstheme="minorEastAsia"/>
          <w:color w:val="auto"/>
          <w:sz w:val="21"/>
          <w:szCs w:val="24"/>
          <w:highlight w:val="none"/>
          <w:lang w:val="zh-CN"/>
        </w:rPr>
        <w:t>，并编写</w:t>
      </w:r>
      <w:r>
        <w:rPr>
          <w:rFonts w:hint="eastAsia" w:asciiTheme="minorEastAsia" w:hAnsiTheme="minorEastAsia" w:cstheme="minorEastAsia"/>
          <w:color w:val="auto"/>
          <w:sz w:val="21"/>
          <w:szCs w:val="24"/>
          <w:highlight w:val="none"/>
          <w:lang w:val="en-US" w:eastAsia="zh-CN"/>
        </w:rPr>
        <w:t>评审</w:t>
      </w:r>
      <w:r>
        <w:rPr>
          <w:rFonts w:hint="eastAsia" w:asciiTheme="minorEastAsia" w:hAnsiTheme="minorEastAsia" w:eastAsiaTheme="minorEastAsia" w:cstheme="minorEastAsia"/>
          <w:color w:val="auto"/>
          <w:sz w:val="21"/>
          <w:szCs w:val="24"/>
          <w:highlight w:val="none"/>
          <w:lang w:val="zh-CN"/>
        </w:rPr>
        <w:t>报告。评审得分相同的，按照</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报价由低到高的顺序推荐。评审得分且</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报价相同的，按照</w:t>
      </w:r>
      <w:r>
        <w:rPr>
          <w:rFonts w:hint="eastAsia" w:asciiTheme="minorEastAsia" w:hAnsiTheme="minorEastAsia" w:eastAsiaTheme="minorEastAsia" w:cstheme="minorEastAsia"/>
          <w:color w:val="auto"/>
          <w:sz w:val="21"/>
          <w:szCs w:val="24"/>
          <w:highlight w:val="none"/>
          <w:lang w:val="en-US" w:eastAsia="zh-CN"/>
        </w:rPr>
        <w:t>技术</w:t>
      </w:r>
      <w:r>
        <w:rPr>
          <w:rFonts w:hint="eastAsia" w:asciiTheme="minorEastAsia" w:hAnsiTheme="minorEastAsia" w:eastAsiaTheme="minorEastAsia" w:cstheme="minorEastAsia"/>
          <w:color w:val="auto"/>
          <w:sz w:val="21"/>
          <w:szCs w:val="24"/>
          <w:highlight w:val="none"/>
          <w:lang w:val="zh-CN"/>
        </w:rPr>
        <w:t>方案优劣顺序推荐，</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认为</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的报价明显低于其他通过符合性审查</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的报价，有可能影响项目质量或者不能诚信履约的，应当要求其在</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zh-CN"/>
        </w:rPr>
        <w:t>现场合理的时间内提供书面说明，必要时提交相关证明材料，</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不能证明其报价合理性的，</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应当将其作为无效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文件处理。</w:t>
      </w:r>
    </w:p>
    <w:p w14:paraId="7F91AC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Cs w:val="24"/>
          <w:highlight w:val="none"/>
          <w:lang w:val="zh-CN"/>
        </w:rPr>
      </w:pPr>
      <w:r>
        <w:rPr>
          <w:rFonts w:hint="eastAsia" w:asciiTheme="minorEastAsia" w:hAnsiTheme="minorEastAsia" w:eastAsiaTheme="minorEastAsia" w:cstheme="minorEastAsia"/>
          <w:color w:val="auto"/>
          <w:szCs w:val="24"/>
          <w:highlight w:val="none"/>
          <w:lang w:val="zh-CN"/>
        </w:rPr>
        <w:t>（3）</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报告应当由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全体人员签字认可。</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磋商小组会</w:t>
      </w:r>
      <w:r>
        <w:rPr>
          <w:rFonts w:hint="eastAsia" w:asciiTheme="minorEastAsia" w:hAnsiTheme="minorEastAsia" w:eastAsiaTheme="minorEastAsia" w:cstheme="minorEastAsia"/>
          <w:bCs/>
          <w:color w:val="auto"/>
          <w:szCs w:val="24"/>
          <w:highlight w:val="none"/>
          <w:lang w:val="zh-CN"/>
        </w:rPr>
        <w:t>按照少数服从多数的原则</w:t>
      </w:r>
      <w:r>
        <w:rPr>
          <w:rFonts w:hint="eastAsia" w:asciiTheme="minorEastAsia" w:hAnsiTheme="minorEastAsia" w:cstheme="minorEastAsia"/>
          <w:bCs/>
          <w:color w:val="auto"/>
          <w:szCs w:val="24"/>
          <w:highlight w:val="none"/>
          <w:lang w:val="en-US" w:eastAsia="zh-CN"/>
        </w:rPr>
        <w:t>推荐成交候选</w:t>
      </w:r>
      <w:r>
        <w:rPr>
          <w:rFonts w:hint="eastAsia" w:asciiTheme="minorEastAsia" w:hAnsiTheme="minorEastAsia" w:cstheme="minorEastAsia"/>
          <w:bCs/>
          <w:color w:val="auto"/>
          <w:szCs w:val="24"/>
          <w:highlight w:val="none"/>
          <w:lang w:val="zh-CN"/>
        </w:rPr>
        <w:t>人</w:t>
      </w:r>
      <w:r>
        <w:rPr>
          <w:rFonts w:hint="eastAsia" w:asciiTheme="minorEastAsia" w:hAnsiTheme="minorEastAsia" w:eastAsiaTheme="minorEastAsia" w:cstheme="minorEastAsia"/>
          <w:bCs/>
          <w:color w:val="auto"/>
          <w:szCs w:val="24"/>
          <w:highlight w:val="none"/>
          <w:lang w:val="zh-CN"/>
        </w:rPr>
        <w:t>，</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程序继续进行。对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成员，应当在报告上签署不同意见并说明理由，由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书面记录相关情况。</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成员拒绝在报告上签字又不书面说明其不同意见和理由的，视为同意</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w:t>
      </w:r>
    </w:p>
    <w:p w14:paraId="46A8C5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（4）本次综合评分的主要因素是：</w:t>
      </w:r>
      <w:bookmarkStart w:id="32" w:name="_Hlk74319622"/>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报价、商务部分、技术部分、服务承诺</w:t>
      </w:r>
      <w:bookmarkEnd w:id="32"/>
      <w:r>
        <w:rPr>
          <w:rFonts w:hint="eastAsia" w:asciiTheme="minorEastAsia" w:hAnsiTheme="minorEastAsia" w:eastAsiaTheme="minorEastAsia" w:cstheme="minorEastAsia"/>
          <w:color w:val="auto"/>
          <w:szCs w:val="24"/>
          <w:highlight w:val="none"/>
        </w:rPr>
        <w:t>等内容。评审过程中，在同等条件下，优先采购具有环境标志、节能的产品。（注：节能产品、环境标志产品是指由财政部、发展改革委、生态环境部、市场监管总局颁布的财库〔2021〕9号 财政部关于调整优化节能产品、环境标志产品政府采购执行机制的通知中品目清单中的的产品。）</w:t>
      </w:r>
    </w:p>
    <w:p w14:paraId="1E0951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color w:val="auto"/>
          <w:szCs w:val="24"/>
          <w:highlight w:val="none"/>
          <w:lang w:val="en-US"/>
        </w:rPr>
      </w:pPr>
      <w:r>
        <w:rPr>
          <w:rFonts w:hint="eastAsia" w:asciiTheme="minorEastAsia" w:hAnsiTheme="minorEastAsia" w:eastAsiaTheme="minorEastAsia" w:cstheme="minorEastAsia"/>
          <w:b w:val="0"/>
          <w:bCs w:val="0"/>
          <w:color w:val="auto"/>
          <w:highlight w:val="none"/>
        </w:rPr>
        <w:t>（5）</w:t>
      </w:r>
      <w:r>
        <w:rPr>
          <w:rFonts w:hint="eastAsia" w:asciiTheme="minorEastAsia" w:hAnsiTheme="minorEastAsia" w:eastAsiaTheme="minorEastAsia" w:cstheme="minorEastAsia"/>
          <w:b w:val="0"/>
          <w:bCs w:val="0"/>
          <w:color w:val="auto"/>
          <w:szCs w:val="24"/>
          <w:highlight w:val="none"/>
        </w:rPr>
        <w:t>各</w:t>
      </w:r>
      <w:r>
        <w:rPr>
          <w:rFonts w:hint="eastAsia" w:asciiTheme="minorEastAsia" w:hAnsiTheme="minorEastAsia" w:cstheme="minorEastAsia"/>
          <w:b w:val="0"/>
          <w:bCs w:val="0"/>
          <w:color w:val="auto"/>
          <w:szCs w:val="24"/>
          <w:highlight w:val="none"/>
          <w:lang w:eastAsia="zh-CN"/>
        </w:rPr>
        <w:t>供应商</w:t>
      </w:r>
      <w:r>
        <w:rPr>
          <w:rFonts w:hint="eastAsia" w:asciiTheme="minorEastAsia" w:hAnsiTheme="minorEastAsia" w:eastAsiaTheme="minorEastAsia" w:cstheme="minorEastAsia"/>
          <w:b w:val="0"/>
          <w:bCs w:val="0"/>
          <w:color w:val="auto"/>
          <w:szCs w:val="24"/>
          <w:highlight w:val="none"/>
        </w:rPr>
        <w:t>应按照</w:t>
      </w:r>
      <w:r>
        <w:rPr>
          <w:rFonts w:hint="eastAsia" w:asciiTheme="minorEastAsia" w:hAnsiTheme="minorEastAsia" w:cstheme="minorEastAsia"/>
          <w:b w:val="0"/>
          <w:bCs w:val="0"/>
          <w:color w:val="auto"/>
          <w:szCs w:val="24"/>
          <w:highlight w:val="none"/>
          <w:lang w:eastAsia="zh-CN"/>
        </w:rPr>
        <w:t>采购</w:t>
      </w:r>
      <w:r>
        <w:rPr>
          <w:rFonts w:hint="eastAsia" w:asciiTheme="minorEastAsia" w:hAnsiTheme="minorEastAsia" w:eastAsiaTheme="minorEastAsia" w:cstheme="minorEastAsia"/>
          <w:b w:val="0"/>
          <w:bCs w:val="0"/>
          <w:color w:val="auto"/>
          <w:szCs w:val="24"/>
          <w:highlight w:val="none"/>
        </w:rPr>
        <w:t>文件要求</w:t>
      </w:r>
      <w:r>
        <w:rPr>
          <w:rFonts w:hint="eastAsia" w:asciiTheme="minorEastAsia" w:hAnsiTheme="minorEastAsia" w:cstheme="minorEastAsia"/>
          <w:b w:val="0"/>
          <w:bCs w:val="0"/>
          <w:color w:val="auto"/>
          <w:szCs w:val="24"/>
          <w:highlight w:val="none"/>
          <w:lang w:val="en-US" w:eastAsia="zh-CN"/>
        </w:rPr>
        <w:t>在磋商现场报出第二次</w:t>
      </w:r>
      <w:r>
        <w:rPr>
          <w:rFonts w:hint="eastAsia" w:asciiTheme="minorEastAsia" w:hAnsiTheme="minorEastAsia" w:eastAsiaTheme="minorEastAsia" w:cstheme="minorEastAsia"/>
          <w:b w:val="0"/>
          <w:bCs w:val="0"/>
          <w:color w:val="auto"/>
          <w:szCs w:val="24"/>
          <w:highlight w:val="none"/>
        </w:rPr>
        <w:t>报价，</w:t>
      </w:r>
      <w:r>
        <w:rPr>
          <w:rFonts w:hint="eastAsia" w:asciiTheme="minorEastAsia" w:hAnsiTheme="minorEastAsia" w:cstheme="minorEastAsia"/>
          <w:b w:val="0"/>
          <w:bCs w:val="0"/>
          <w:color w:val="auto"/>
          <w:szCs w:val="24"/>
          <w:highlight w:val="none"/>
          <w:lang w:val="en-US" w:eastAsia="zh-CN"/>
        </w:rPr>
        <w:t>第二次报价为供应商最终报价，且不得超过采购预算及最高限价（如有）。</w:t>
      </w:r>
    </w:p>
    <w:p w14:paraId="50607D51">
      <w:pPr>
        <w:pStyle w:val="24"/>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3" w:name="_Toc75259346"/>
      <w:bookmarkStart w:id="34" w:name="_Toc22586"/>
      <w:r>
        <w:rPr>
          <w:rFonts w:hint="eastAsia" w:asciiTheme="minorEastAsia" w:hAnsiTheme="minorEastAsia" w:eastAsiaTheme="minorEastAsia" w:cstheme="minorEastAsia"/>
          <w:b/>
          <w:color w:val="auto"/>
          <w:sz w:val="21"/>
          <w:szCs w:val="24"/>
          <w:highlight w:val="none"/>
        </w:rPr>
        <w:t>11</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评审标准</w:t>
      </w:r>
      <w:bookmarkEnd w:id="33"/>
      <w:bookmarkEnd w:id="34"/>
    </w:p>
    <w:p w14:paraId="6D22C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根据《中华人民共和国政府采购法》、《政府采购竞争性磋商采购方式管理暂行办法》及省、市有关规定，</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成员按照客观、公正、谨慎的原则，根据</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文件规定的评审程序、评审方法和评审标准进行独立评审</w:t>
      </w:r>
      <w:r>
        <w:rPr>
          <w:rFonts w:hint="eastAsia" w:asciiTheme="minorEastAsia" w:hAnsiTheme="minorEastAsia" w:cstheme="minorEastAsia"/>
          <w:color w:val="auto"/>
          <w:szCs w:val="24"/>
          <w:highlight w:val="none"/>
          <w:lang w:val="en-US" w:eastAsia="zh-CN"/>
        </w:rPr>
        <w:t>并</w:t>
      </w:r>
      <w:r>
        <w:rPr>
          <w:rFonts w:hint="eastAsia" w:asciiTheme="minorEastAsia" w:hAnsiTheme="minorEastAsia" w:eastAsiaTheme="minorEastAsia" w:cstheme="minorEastAsia"/>
          <w:color w:val="auto"/>
          <w:szCs w:val="24"/>
          <w:highlight w:val="none"/>
        </w:rPr>
        <w:t>根据排名</w:t>
      </w:r>
      <w:r>
        <w:rPr>
          <w:rFonts w:hint="eastAsia" w:asciiTheme="minorEastAsia" w:hAnsiTheme="minorEastAsia" w:cstheme="minorEastAsia"/>
          <w:color w:val="auto"/>
          <w:szCs w:val="24"/>
          <w:highlight w:val="none"/>
          <w:lang w:val="en-US" w:eastAsia="zh-CN"/>
        </w:rPr>
        <w:t>顺序</w:t>
      </w:r>
      <w:r>
        <w:rPr>
          <w:rFonts w:hint="eastAsia" w:asciiTheme="minorEastAsia" w:hAnsiTheme="minorEastAsia" w:eastAsiaTheme="minorEastAsia" w:cstheme="minorEastAsia"/>
          <w:color w:val="auto"/>
          <w:szCs w:val="24"/>
          <w:highlight w:val="none"/>
        </w:rPr>
        <w:t>确定</w:t>
      </w:r>
      <w:r>
        <w:rPr>
          <w:rFonts w:hint="eastAsia" w:asciiTheme="minorEastAsia" w:hAnsiTheme="minorEastAsia" w:cstheme="minorEastAsia"/>
          <w:color w:val="auto"/>
          <w:szCs w:val="24"/>
          <w:highlight w:val="none"/>
          <w:lang w:val="en-US" w:eastAsia="zh-CN"/>
        </w:rPr>
        <w:t>成交候选</w:t>
      </w:r>
      <w:r>
        <w:rPr>
          <w:rFonts w:hint="eastAsia" w:asciiTheme="minorEastAsia" w:hAnsiTheme="minorEastAsia" w:cstheme="minorEastAsia"/>
          <w:color w:val="auto"/>
          <w:szCs w:val="24"/>
          <w:highlight w:val="none"/>
          <w:lang w:eastAsia="zh-CN"/>
        </w:rPr>
        <w:t>人</w:t>
      </w:r>
      <w:r>
        <w:rPr>
          <w:rFonts w:hint="eastAsia" w:asciiTheme="minorEastAsia" w:hAnsiTheme="minorEastAsia" w:eastAsiaTheme="minorEastAsia" w:cstheme="minorEastAsia"/>
          <w:color w:val="auto"/>
          <w:szCs w:val="24"/>
          <w:highlight w:val="none"/>
        </w:rPr>
        <w:t>。</w:t>
      </w:r>
    </w:p>
    <w:p w14:paraId="2B04B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w:t>
      </w:r>
      <w:r>
        <w:rPr>
          <w:rFonts w:hint="eastAsia" w:asciiTheme="minorEastAsia" w:hAnsiTheme="minorEastAsia" w:cstheme="minorEastAsia"/>
          <w:color w:val="auto"/>
          <w:szCs w:val="24"/>
          <w:highlight w:val="none"/>
          <w:lang w:eastAsia="zh-CN"/>
        </w:rPr>
        <w:t>采购人</w:t>
      </w:r>
      <w:r>
        <w:rPr>
          <w:rFonts w:hint="eastAsia" w:asciiTheme="minorEastAsia" w:hAnsiTheme="minorEastAsia" w:eastAsiaTheme="minorEastAsia" w:cstheme="minorEastAsia"/>
          <w:color w:val="auto"/>
          <w:szCs w:val="24"/>
          <w:highlight w:val="none"/>
        </w:rPr>
        <w:t>将重新</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w:t>
      </w:r>
    </w:p>
    <w:p w14:paraId="6CDFC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（l）</w:t>
      </w:r>
      <w:r>
        <w:rPr>
          <w:rFonts w:hint="eastAsia" w:asciiTheme="minorEastAsia" w:hAnsi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文件递交截止时间止，</w:t>
      </w:r>
      <w:r>
        <w:rPr>
          <w:rFonts w:hint="eastAsia" w:asciiTheme="minorEastAsia" w:hAnsiTheme="minorEastAsia" w:cstheme="minorEastAsia"/>
          <w:color w:val="auto"/>
          <w:szCs w:val="24"/>
          <w:highlight w:val="none"/>
          <w:lang w:val="en-US" w:eastAsia="zh-CN"/>
        </w:rPr>
        <w:t>递交响应文件供应商</w:t>
      </w:r>
      <w:r>
        <w:rPr>
          <w:rFonts w:hint="eastAsia" w:asciiTheme="minorEastAsia" w:hAnsiTheme="minorEastAsia" w:eastAsiaTheme="minorEastAsia" w:cstheme="minorEastAsia"/>
          <w:color w:val="auto"/>
          <w:szCs w:val="24"/>
          <w:highlight w:val="none"/>
        </w:rPr>
        <w:t>少于3个的；</w:t>
      </w:r>
    </w:p>
    <w:p w14:paraId="2C895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2</w:t>
      </w: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通过资格审查的供应商少于3个的；</w:t>
      </w:r>
    </w:p>
    <w:p w14:paraId="0F512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评审后，合格的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不足3个的。</w:t>
      </w:r>
    </w:p>
    <w:p w14:paraId="040E6A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val="en-US" w:eastAsia="zh-CN"/>
        </w:rPr>
        <w:t>11.1</w:t>
      </w:r>
      <w:r>
        <w:rPr>
          <w:rFonts w:hint="eastAsia" w:asciiTheme="minorEastAsia" w:hAnsiTheme="minorEastAsia" w:eastAsiaTheme="minorEastAsia" w:cstheme="minorEastAsia"/>
          <w:b/>
          <w:color w:val="auto"/>
          <w:szCs w:val="24"/>
          <w:highlight w:val="none"/>
        </w:rPr>
        <w:t>资格审查</w:t>
      </w:r>
    </w:p>
    <w:p w14:paraId="655812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cstheme="minorEastAsia"/>
          <w:color w:val="auto"/>
          <w:szCs w:val="24"/>
          <w:highlight w:val="none"/>
          <w:lang w:val="en-US" w:eastAsia="zh-CN"/>
        </w:rPr>
        <w:t>供应商资格要求</w:t>
      </w:r>
      <w:r>
        <w:rPr>
          <w:rFonts w:hint="eastAsia" w:asciiTheme="minorEastAsia" w:hAnsiTheme="minorEastAsia" w:eastAsiaTheme="minorEastAsia" w:cstheme="minorEastAsia"/>
          <w:color w:val="auto"/>
          <w:szCs w:val="24"/>
          <w:highlight w:val="none"/>
        </w:rPr>
        <w:t>见第</w:t>
      </w:r>
      <w:r>
        <w:rPr>
          <w:rFonts w:hint="eastAsia" w:asciiTheme="minorEastAsia" w:hAnsiTheme="minorEastAsia" w:cstheme="minorEastAsia"/>
          <w:color w:val="auto"/>
          <w:szCs w:val="24"/>
          <w:highlight w:val="none"/>
          <w:lang w:val="en-US" w:eastAsia="zh-CN"/>
        </w:rPr>
        <w:t>一</w:t>
      </w:r>
      <w:r>
        <w:rPr>
          <w:rFonts w:hint="eastAsia" w:asciiTheme="minorEastAsia" w:hAnsiTheme="minorEastAsia" w:eastAsiaTheme="minorEastAsia" w:cstheme="minorEastAsia"/>
          <w:color w:val="auto"/>
          <w:szCs w:val="24"/>
          <w:highlight w:val="none"/>
        </w:rPr>
        <w:t xml:space="preserve">部分 </w:t>
      </w:r>
      <w:r>
        <w:rPr>
          <w:rFonts w:hint="eastAsia" w:asciiTheme="minorEastAsia" w:hAnsiTheme="minorEastAsia" w:cstheme="minorEastAsia"/>
          <w:color w:val="auto"/>
          <w:szCs w:val="24"/>
          <w:highlight w:val="none"/>
          <w:lang w:val="en-US" w:eastAsia="zh-CN"/>
        </w:rPr>
        <w:t>竞争性磋商公告</w:t>
      </w:r>
      <w:r>
        <w:rPr>
          <w:rFonts w:hint="eastAsia" w:asciiTheme="minorEastAsia" w:hAnsiTheme="minorEastAsia" w:eastAsiaTheme="minorEastAsia" w:cstheme="minorEastAsia"/>
          <w:color w:val="auto"/>
          <w:szCs w:val="24"/>
          <w:highlight w:val="none"/>
        </w:rPr>
        <w:t xml:space="preserve"> </w:t>
      </w:r>
      <w:r>
        <w:rPr>
          <w:rFonts w:hint="eastAsia" w:asciiTheme="minorEastAsia" w:hAnsiTheme="minorEastAsia" w:cstheme="minorEastAsia"/>
          <w:color w:val="auto"/>
          <w:szCs w:val="24"/>
          <w:highlight w:val="none"/>
          <w:lang w:val="en-US" w:eastAsia="zh-CN"/>
        </w:rPr>
        <w:t>第二条</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资格证明文件需提供清晰、可见，加盖公章的复印件或原件，由于资料内容模糊不清造成对供应商不利的结果由供应商自负，若供应商资格证明文件</w:t>
      </w:r>
      <w:r>
        <w:rPr>
          <w:rFonts w:hint="eastAsia" w:asciiTheme="minorEastAsia" w:hAnsiTheme="minorEastAsia" w:cstheme="minorEastAsia"/>
          <w:color w:val="auto"/>
          <w:szCs w:val="24"/>
          <w:highlight w:val="none"/>
          <w:lang w:val="en-US" w:eastAsia="zh-CN"/>
        </w:rPr>
        <w:t>有一项</w:t>
      </w:r>
      <w:r>
        <w:rPr>
          <w:rFonts w:hint="eastAsia" w:asciiTheme="minorEastAsia" w:hAnsiTheme="minorEastAsia" w:eastAsiaTheme="minorEastAsia" w:cstheme="minorEastAsia"/>
          <w:color w:val="auto"/>
          <w:szCs w:val="24"/>
          <w:highlight w:val="none"/>
        </w:rPr>
        <w:t>不符合资格要求</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不再进入符合性</w:t>
      </w:r>
      <w:r>
        <w:rPr>
          <w:rFonts w:hint="eastAsia" w:asciiTheme="minorEastAsia" w:hAnsiTheme="minorEastAsia" w:cstheme="minorEastAsia"/>
          <w:color w:val="auto"/>
          <w:szCs w:val="24"/>
          <w:highlight w:val="none"/>
          <w:lang w:val="en-US" w:eastAsia="zh-CN"/>
        </w:rPr>
        <w:t>审查</w:t>
      </w:r>
      <w:r>
        <w:rPr>
          <w:rFonts w:hint="eastAsia" w:asciiTheme="minorEastAsia" w:hAnsiTheme="minorEastAsia" w:cstheme="minorEastAsia"/>
          <w:color w:val="auto"/>
          <w:szCs w:val="24"/>
          <w:highlight w:val="none"/>
          <w:lang w:eastAsia="zh-CN"/>
        </w:rPr>
        <w:t>。</w:t>
      </w:r>
    </w:p>
    <w:p w14:paraId="23497A8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2符合性</w:t>
      </w:r>
      <w:r>
        <w:rPr>
          <w:rFonts w:hint="eastAsia" w:asciiTheme="minorEastAsia" w:hAnsiTheme="minorEastAsia" w:eastAsiaTheme="minorEastAsia" w:cstheme="minorEastAsia"/>
          <w:b/>
          <w:color w:val="auto"/>
          <w:szCs w:val="24"/>
          <w:highlight w:val="none"/>
          <w:lang w:val="en-US" w:eastAsia="zh-CN"/>
        </w:rPr>
        <w:t>审查</w:t>
      </w:r>
    </w:p>
    <w:p w14:paraId="785450C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下述内容凡有一项不合格的即作为无效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处理，不再进入详细评审：</w:t>
      </w:r>
    </w:p>
    <w:tbl>
      <w:tblPr>
        <w:tblStyle w:val="2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06"/>
        <w:gridCol w:w="6266"/>
      </w:tblGrid>
      <w:tr w14:paraId="29FB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10899C00">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序号</w:t>
            </w:r>
          </w:p>
        </w:tc>
        <w:tc>
          <w:tcPr>
            <w:tcW w:w="8072" w:type="dxa"/>
            <w:gridSpan w:val="2"/>
            <w:vAlign w:val="center"/>
          </w:tcPr>
          <w:p w14:paraId="1037703B">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内容</w:t>
            </w:r>
          </w:p>
        </w:tc>
      </w:tr>
      <w:tr w14:paraId="6E7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66" w:type="dxa"/>
            <w:vAlign w:val="center"/>
          </w:tcPr>
          <w:p w14:paraId="15CF121C">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1</w:t>
            </w:r>
          </w:p>
        </w:tc>
        <w:tc>
          <w:tcPr>
            <w:tcW w:w="1806" w:type="dxa"/>
            <w:vAlign w:val="center"/>
          </w:tcPr>
          <w:p w14:paraId="4E80385A">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名称</w:t>
            </w:r>
          </w:p>
        </w:tc>
        <w:tc>
          <w:tcPr>
            <w:tcW w:w="6266" w:type="dxa"/>
            <w:vAlign w:val="center"/>
          </w:tcPr>
          <w:p w14:paraId="39B9B9DF">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与营业执照</w:t>
            </w:r>
            <w:r>
              <w:rPr>
                <w:rFonts w:hint="eastAsia" w:asciiTheme="minorEastAsia" w:hAnsiTheme="minorEastAsia" w:eastAsiaTheme="minorEastAsia" w:cstheme="minorEastAsia"/>
                <w:color w:val="auto"/>
                <w:kern w:val="0"/>
                <w:szCs w:val="21"/>
                <w:highlight w:val="none"/>
                <w:lang w:val="en-US" w:eastAsia="zh-CN"/>
              </w:rPr>
              <w:t>（或事业单位法人证书）</w:t>
            </w:r>
            <w:r>
              <w:rPr>
                <w:rFonts w:hint="eastAsia" w:asciiTheme="minorEastAsia" w:hAnsiTheme="minorEastAsia" w:eastAsiaTheme="minorEastAsia" w:cstheme="minorEastAsia"/>
                <w:color w:val="auto"/>
                <w:kern w:val="0"/>
                <w:szCs w:val="21"/>
                <w:highlight w:val="none"/>
              </w:rPr>
              <w:t>一致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自然人须具有身份证明</w:t>
            </w:r>
            <w:r>
              <w:rPr>
                <w:rFonts w:hint="eastAsia" w:asciiTheme="minorEastAsia" w:hAnsiTheme="minorEastAsia" w:cstheme="minorEastAsia"/>
                <w:color w:val="auto"/>
                <w:kern w:val="0"/>
                <w:szCs w:val="21"/>
                <w:highlight w:val="none"/>
                <w:lang w:val="en-US" w:eastAsia="zh-CN"/>
              </w:rPr>
              <w:t>；</w:t>
            </w:r>
          </w:p>
        </w:tc>
      </w:tr>
      <w:tr w14:paraId="4CE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B66B5CB">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2</w:t>
            </w:r>
          </w:p>
        </w:tc>
        <w:tc>
          <w:tcPr>
            <w:tcW w:w="1806" w:type="dxa"/>
            <w:vAlign w:val="center"/>
          </w:tcPr>
          <w:p w14:paraId="0ADFCA04">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响应函签字盖章</w:t>
            </w:r>
          </w:p>
        </w:tc>
        <w:tc>
          <w:tcPr>
            <w:tcW w:w="6266" w:type="dxa"/>
            <w:vAlign w:val="center"/>
          </w:tcPr>
          <w:p w14:paraId="04C9EFD5">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w:t>
            </w:r>
            <w:r>
              <w:rPr>
                <w:rFonts w:hint="eastAsia" w:asciiTheme="minorEastAsia" w:hAnsiTheme="minorEastAsia" w:cstheme="minorEastAsia"/>
                <w:color w:val="auto"/>
                <w:kern w:val="0"/>
                <w:szCs w:val="21"/>
                <w:highlight w:val="none"/>
                <w:lang w:eastAsia="zh-CN"/>
              </w:rPr>
              <w:t>竞争性磋商文件</w:t>
            </w:r>
            <w:r>
              <w:rPr>
                <w:rFonts w:hint="eastAsia" w:asciiTheme="minorEastAsia" w:hAnsiTheme="minorEastAsia" w:eastAsiaTheme="minorEastAsia" w:cstheme="minorEastAsia"/>
                <w:color w:val="auto"/>
                <w:kern w:val="0"/>
                <w:szCs w:val="21"/>
                <w:highlight w:val="none"/>
                <w:lang w:eastAsia="zh-CN"/>
              </w:rPr>
              <w:t>规定</w:t>
            </w:r>
            <w:r>
              <w:rPr>
                <w:rFonts w:hint="eastAsia" w:asciiTheme="minorEastAsia" w:hAnsiTheme="minorEastAsia" w:cstheme="minorEastAsia"/>
                <w:color w:val="auto"/>
                <w:kern w:val="0"/>
                <w:szCs w:val="21"/>
                <w:highlight w:val="none"/>
                <w:lang w:eastAsia="zh-CN"/>
              </w:rPr>
              <w:t>；</w:t>
            </w:r>
          </w:p>
        </w:tc>
      </w:tr>
      <w:tr w14:paraId="5BE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78DE3B5A">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3</w:t>
            </w:r>
          </w:p>
        </w:tc>
        <w:tc>
          <w:tcPr>
            <w:tcW w:w="1806" w:type="dxa"/>
            <w:vAlign w:val="center"/>
          </w:tcPr>
          <w:p w14:paraId="27434EAD">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w:t>
            </w:r>
          </w:p>
        </w:tc>
        <w:tc>
          <w:tcPr>
            <w:tcW w:w="6266" w:type="dxa"/>
            <w:vAlign w:val="center"/>
          </w:tcPr>
          <w:p w14:paraId="68B638F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符合第</w:t>
            </w:r>
            <w:r>
              <w:rPr>
                <w:rFonts w:hint="eastAsia" w:asciiTheme="minorEastAsia" w:hAnsiTheme="minorEastAsia" w:cstheme="minorEastAsia"/>
                <w:color w:val="auto"/>
                <w:kern w:val="0"/>
                <w:szCs w:val="21"/>
                <w:highlight w:val="none"/>
                <w:lang w:eastAsia="zh-CN"/>
              </w:rPr>
              <w:t>六部分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文件格式”的要求</w:t>
            </w:r>
            <w:r>
              <w:rPr>
                <w:rFonts w:hint="eastAsia" w:asciiTheme="minorEastAsia" w:hAnsiTheme="minorEastAsia" w:cstheme="minorEastAsia"/>
                <w:color w:val="auto"/>
                <w:kern w:val="0"/>
                <w:szCs w:val="21"/>
                <w:highlight w:val="none"/>
                <w:lang w:eastAsia="zh-CN"/>
              </w:rPr>
              <w:t>；</w:t>
            </w:r>
          </w:p>
        </w:tc>
      </w:tr>
      <w:tr w14:paraId="4A74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3D156AE6">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4</w:t>
            </w:r>
          </w:p>
        </w:tc>
        <w:tc>
          <w:tcPr>
            <w:tcW w:w="1806" w:type="dxa"/>
            <w:vAlign w:val="center"/>
          </w:tcPr>
          <w:p w14:paraId="1D96C65D">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w:t>
            </w:r>
          </w:p>
        </w:tc>
        <w:tc>
          <w:tcPr>
            <w:tcW w:w="6266" w:type="dxa"/>
            <w:vAlign w:val="center"/>
          </w:tcPr>
          <w:p w14:paraId="468DDAA1">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文件数量符合</w:t>
            </w:r>
            <w:r>
              <w:rPr>
                <w:rFonts w:hint="eastAsia" w:asciiTheme="minorEastAsia" w:hAnsi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文件要求</w:t>
            </w:r>
            <w:r>
              <w:rPr>
                <w:rFonts w:hint="eastAsia" w:asciiTheme="minorEastAsia" w:hAnsiTheme="minorEastAsia" w:eastAsiaTheme="minorEastAsia" w:cstheme="minorEastAsia"/>
                <w:color w:val="auto"/>
                <w:kern w:val="0"/>
                <w:szCs w:val="21"/>
                <w:highlight w:val="none"/>
                <w:lang w:eastAsia="zh-CN"/>
              </w:rPr>
              <w:t>；</w:t>
            </w:r>
          </w:p>
        </w:tc>
      </w:tr>
      <w:tr w14:paraId="5C14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6" w:type="dxa"/>
            <w:vAlign w:val="center"/>
          </w:tcPr>
          <w:p w14:paraId="3DA6AAE5">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5</w:t>
            </w:r>
          </w:p>
        </w:tc>
        <w:tc>
          <w:tcPr>
            <w:tcW w:w="1806" w:type="dxa"/>
            <w:vAlign w:val="center"/>
          </w:tcPr>
          <w:p w14:paraId="1F6472F8">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报价</w:t>
            </w:r>
          </w:p>
        </w:tc>
        <w:tc>
          <w:tcPr>
            <w:tcW w:w="6266" w:type="dxa"/>
            <w:vAlign w:val="center"/>
          </w:tcPr>
          <w:p w14:paraId="1AB91ADA">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内容无缺漏项，报价唯一，且没有超过采购预算和相应的最高限价</w:t>
            </w:r>
            <w:r>
              <w:rPr>
                <w:rFonts w:hint="eastAsia" w:asciiTheme="minorEastAsia" w:hAnsiTheme="minorEastAsia" w:eastAsiaTheme="minorEastAsia" w:cstheme="minorEastAsia"/>
                <w:color w:val="auto"/>
                <w:kern w:val="0"/>
                <w:szCs w:val="21"/>
                <w:highlight w:val="none"/>
                <w:lang w:eastAsia="zh-CN"/>
              </w:rPr>
              <w:t>；</w:t>
            </w:r>
          </w:p>
        </w:tc>
      </w:tr>
      <w:tr w14:paraId="44E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8BD07C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6</w:t>
            </w:r>
          </w:p>
        </w:tc>
        <w:tc>
          <w:tcPr>
            <w:tcW w:w="1806" w:type="dxa"/>
            <w:vAlign w:val="center"/>
          </w:tcPr>
          <w:p w14:paraId="16ADF5E6">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文件有效性</w:t>
            </w:r>
          </w:p>
        </w:tc>
        <w:tc>
          <w:tcPr>
            <w:tcW w:w="6266" w:type="dxa"/>
            <w:vAlign w:val="center"/>
          </w:tcPr>
          <w:p w14:paraId="409D06EB">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法定代表人或授权代表签字</w:t>
            </w:r>
            <w:r>
              <w:rPr>
                <w:rFonts w:hint="eastAsia" w:asciiTheme="minorEastAsia" w:hAnsiTheme="minorEastAsia" w:cstheme="minorEastAsia"/>
                <w:color w:val="auto"/>
                <w:kern w:val="0"/>
                <w:szCs w:val="21"/>
                <w:highlight w:val="none"/>
                <w:lang w:val="en-US" w:eastAsia="zh-CN"/>
              </w:rPr>
              <w:t>、盖章</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lang w:val="en-US" w:eastAsia="zh-CN"/>
              </w:rPr>
              <w:t>公章</w:t>
            </w:r>
            <w:r>
              <w:rPr>
                <w:rFonts w:hint="eastAsia" w:asciiTheme="minorEastAsia" w:hAnsiTheme="minorEastAsia" w:eastAsiaTheme="minorEastAsia" w:cstheme="minorEastAsia"/>
                <w:color w:val="auto"/>
                <w:kern w:val="0"/>
                <w:szCs w:val="21"/>
                <w:highlight w:val="none"/>
              </w:rPr>
              <w:t>是否齐全、有效</w:t>
            </w:r>
            <w:r>
              <w:rPr>
                <w:rFonts w:hint="eastAsia" w:asciiTheme="minorEastAsia" w:hAnsiTheme="minorEastAsia" w:eastAsiaTheme="minorEastAsia" w:cstheme="minorEastAsia"/>
                <w:color w:val="auto"/>
                <w:kern w:val="0"/>
                <w:szCs w:val="21"/>
                <w:highlight w:val="none"/>
                <w:lang w:eastAsia="zh-CN"/>
              </w:rPr>
              <w:t>；</w:t>
            </w:r>
          </w:p>
        </w:tc>
      </w:tr>
      <w:tr w14:paraId="50CE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799B0B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7</w:t>
            </w:r>
          </w:p>
        </w:tc>
        <w:tc>
          <w:tcPr>
            <w:tcW w:w="1806" w:type="dxa"/>
            <w:vAlign w:val="center"/>
          </w:tcPr>
          <w:p w14:paraId="0ABAEDB9">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有效期</w:t>
            </w:r>
          </w:p>
        </w:tc>
        <w:tc>
          <w:tcPr>
            <w:tcW w:w="6266" w:type="dxa"/>
            <w:vAlign w:val="center"/>
          </w:tcPr>
          <w:p w14:paraId="6D1F09BE">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自</w:t>
            </w: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文件递交截止之日</w:t>
            </w:r>
            <w:r>
              <w:rPr>
                <w:rFonts w:hint="eastAsia" w:asciiTheme="minorEastAsia" w:hAnsiTheme="minorEastAsia" w:eastAsiaTheme="minorEastAsia" w:cstheme="minorEastAsia"/>
                <w:color w:val="auto"/>
                <w:kern w:val="0"/>
                <w:szCs w:val="21"/>
                <w:highlight w:val="none"/>
                <w:lang w:val="en-US" w:eastAsia="zh-CN"/>
              </w:rPr>
              <w:t>起</w:t>
            </w:r>
            <w:r>
              <w:rPr>
                <w:rFonts w:hint="eastAsia" w:asciiTheme="minorEastAsia" w:hAnsiTheme="minorEastAsia" w:cstheme="minorEastAsia"/>
                <w:color w:val="auto"/>
                <w:kern w:val="0"/>
                <w:szCs w:val="21"/>
                <w:highlight w:val="none"/>
                <w:lang w:val="en-US" w:eastAsia="zh-CN"/>
              </w:rPr>
              <w:t>不少于</w:t>
            </w:r>
            <w:r>
              <w:rPr>
                <w:rFonts w:hint="eastAsia" w:asciiTheme="minorEastAsia" w:hAnsiTheme="minorEastAsia" w:eastAsiaTheme="minorEastAsia" w:cstheme="minorEastAsia"/>
                <w:color w:val="auto"/>
                <w:kern w:val="0"/>
                <w:szCs w:val="21"/>
                <w:highlight w:val="none"/>
              </w:rPr>
              <w:t>90日历日</w:t>
            </w:r>
            <w:r>
              <w:rPr>
                <w:rFonts w:hint="eastAsia" w:asciiTheme="minorEastAsia" w:hAnsiTheme="minorEastAsia" w:eastAsiaTheme="minorEastAsia" w:cstheme="minorEastAsia"/>
                <w:color w:val="auto"/>
                <w:kern w:val="0"/>
                <w:szCs w:val="21"/>
                <w:highlight w:val="none"/>
                <w:lang w:eastAsia="zh-CN"/>
              </w:rPr>
              <w:t>；</w:t>
            </w:r>
          </w:p>
        </w:tc>
      </w:tr>
      <w:tr w14:paraId="7A0A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6DC8CD89">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8</w:t>
            </w:r>
          </w:p>
        </w:tc>
        <w:tc>
          <w:tcPr>
            <w:tcW w:w="1806" w:type="dxa"/>
            <w:vAlign w:val="center"/>
          </w:tcPr>
          <w:p w14:paraId="61AC8076">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工期</w:t>
            </w:r>
          </w:p>
        </w:tc>
        <w:tc>
          <w:tcPr>
            <w:tcW w:w="6266" w:type="dxa"/>
            <w:vAlign w:val="center"/>
          </w:tcPr>
          <w:p w14:paraId="3D2AB35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60</w:t>
            </w:r>
            <w:r>
              <w:rPr>
                <w:rFonts w:hint="eastAsia" w:asciiTheme="minorEastAsia" w:hAnsiTheme="minorEastAsia" w:eastAsiaTheme="minorEastAsia" w:cstheme="minorEastAsia"/>
                <w:color w:val="auto"/>
                <w:kern w:val="0"/>
                <w:szCs w:val="21"/>
                <w:highlight w:val="none"/>
                <w:lang w:val="en-US" w:eastAsia="zh-CN"/>
              </w:rPr>
              <w:t>日历</w:t>
            </w:r>
            <w:r>
              <w:rPr>
                <w:rFonts w:hint="eastAsia" w:asciiTheme="minorEastAsia" w:hAnsiTheme="minorEastAsia" w:cstheme="minorEastAsia"/>
                <w:color w:val="auto"/>
                <w:kern w:val="0"/>
                <w:szCs w:val="21"/>
                <w:highlight w:val="none"/>
                <w:lang w:val="en-US" w:eastAsia="zh-CN"/>
              </w:rPr>
              <w:t>天；</w:t>
            </w:r>
          </w:p>
        </w:tc>
      </w:tr>
      <w:tr w14:paraId="40BB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6A2EFAF2">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9</w:t>
            </w:r>
          </w:p>
        </w:tc>
        <w:tc>
          <w:tcPr>
            <w:tcW w:w="1806" w:type="dxa"/>
            <w:vAlign w:val="center"/>
          </w:tcPr>
          <w:p w14:paraId="75FC0B28">
            <w:pPr>
              <w:widowControl/>
              <w:spacing w:line="360" w:lineRule="auto"/>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磋商保证金</w:t>
            </w:r>
          </w:p>
        </w:tc>
        <w:tc>
          <w:tcPr>
            <w:tcW w:w="6266" w:type="dxa"/>
            <w:vAlign w:val="center"/>
          </w:tcPr>
          <w:p w14:paraId="7E339843">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w:t>
            </w:r>
            <w:r>
              <w:rPr>
                <w:rFonts w:hint="eastAsia" w:asciiTheme="minorEastAsia" w:hAnsiTheme="minorEastAsia" w:cstheme="minorEastAsia"/>
                <w:color w:val="auto"/>
                <w:kern w:val="0"/>
                <w:szCs w:val="21"/>
                <w:highlight w:val="none"/>
                <w:lang w:eastAsia="zh-CN"/>
              </w:rPr>
              <w:t>竞争性磋商文件</w:t>
            </w:r>
            <w:r>
              <w:rPr>
                <w:rFonts w:hint="eastAsia" w:asciiTheme="minorEastAsia" w:hAnsiTheme="minorEastAsia" w:eastAsiaTheme="minorEastAsia" w:cstheme="minorEastAsia"/>
                <w:color w:val="auto"/>
                <w:kern w:val="0"/>
                <w:szCs w:val="21"/>
                <w:highlight w:val="none"/>
                <w:lang w:eastAsia="zh-CN"/>
              </w:rPr>
              <w:t>规定</w:t>
            </w:r>
            <w:r>
              <w:rPr>
                <w:rFonts w:hint="eastAsia" w:asciiTheme="minorEastAsia" w:hAnsiTheme="minorEastAsia" w:cstheme="minorEastAsia"/>
                <w:color w:val="auto"/>
                <w:kern w:val="0"/>
                <w:szCs w:val="21"/>
                <w:highlight w:val="none"/>
                <w:lang w:eastAsia="zh-CN"/>
              </w:rPr>
              <w:t>。</w:t>
            </w:r>
          </w:p>
        </w:tc>
      </w:tr>
    </w:tbl>
    <w:p w14:paraId="07C6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3评审</w:t>
      </w:r>
      <w:r>
        <w:rPr>
          <w:rFonts w:hint="eastAsia" w:asciiTheme="minorEastAsia" w:hAnsiTheme="minorEastAsia" w:cstheme="minorEastAsia"/>
          <w:b/>
          <w:color w:val="auto"/>
          <w:szCs w:val="24"/>
          <w:highlight w:val="none"/>
          <w:lang w:val="en-US" w:eastAsia="zh-CN"/>
        </w:rPr>
        <w:t>方法</w:t>
      </w:r>
    </w:p>
    <w:p w14:paraId="4766E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各评审专家在充分审阅</w:t>
      </w:r>
      <w:r>
        <w:rPr>
          <w:rFonts w:hint="eastAsia" w:asciiTheme="minorEastAsia" w:hAnsi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文件的基础上，按照评审标准对每个</w:t>
      </w:r>
      <w:r>
        <w:rPr>
          <w:rFonts w:hint="eastAsia" w:asciiTheme="minorEastAsia" w:hAnsiTheme="minorEastAsia" w:cstheme="minorEastAsia"/>
          <w:color w:val="auto"/>
          <w:highlight w:val="none"/>
          <w:lang w:val="en-US" w:eastAsia="zh-CN"/>
        </w:rPr>
        <w:t>合格</w:t>
      </w:r>
      <w:r>
        <w:rPr>
          <w:rFonts w:hint="eastAsia" w:asciiTheme="minorEastAsia" w:hAnsiTheme="minorEastAsia" w:cstheme="minorEastAsia"/>
          <w:color w:val="auto"/>
          <w:highlight w:val="none"/>
          <w:lang w:eastAsia="zh-CN"/>
        </w:rPr>
        <w:t>供应商</w:t>
      </w:r>
      <w:r>
        <w:rPr>
          <w:rFonts w:hint="eastAsia" w:asciiTheme="minorEastAsia" w:hAnsiTheme="minorEastAsia" w:cstheme="minorEastAsia"/>
          <w:color w:val="auto"/>
          <w:highlight w:val="none"/>
          <w:lang w:val="en-US" w:eastAsia="zh-CN"/>
        </w:rPr>
        <w:t>的响应文件</w:t>
      </w:r>
      <w:r>
        <w:rPr>
          <w:rFonts w:hint="eastAsia" w:asciiTheme="minorEastAsia" w:hAnsiTheme="minorEastAsia" w:eastAsiaTheme="minorEastAsia" w:cstheme="minorEastAsia"/>
          <w:color w:val="auto"/>
          <w:highlight w:val="none"/>
        </w:rPr>
        <w:t>进行</w:t>
      </w:r>
      <w:r>
        <w:rPr>
          <w:rFonts w:hint="eastAsia" w:asciiTheme="minorEastAsia" w:hAnsiTheme="minorEastAsia" w:cstheme="minorEastAsia"/>
          <w:color w:val="auto"/>
          <w:highlight w:val="none"/>
          <w:lang w:val="en-US" w:eastAsia="zh-CN"/>
        </w:rPr>
        <w:t>评</w:t>
      </w:r>
      <w:r>
        <w:rPr>
          <w:rFonts w:hint="eastAsia" w:asciiTheme="minorEastAsia" w:hAnsiTheme="minorEastAsia" w:eastAsiaTheme="minorEastAsia" w:cstheme="minorEastAsia"/>
          <w:color w:val="auto"/>
          <w:highlight w:val="none"/>
        </w:rPr>
        <w:t>分，评委评分算术平均值为各</w:t>
      </w:r>
      <w:r>
        <w:rPr>
          <w:rFonts w:hint="eastAsia" w:asciiTheme="minorEastAsia" w:hAnsi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的评审得分（小数点后保留2位有效数字），按评审得分由高到</w:t>
      </w:r>
      <w:r>
        <w:rPr>
          <w:rFonts w:hint="eastAsia" w:asciiTheme="minorEastAsia" w:hAnsiTheme="minorEastAsia" w:eastAsiaTheme="minorEastAsia" w:cstheme="minorEastAsia"/>
          <w:color w:val="auto"/>
          <w:sz w:val="21"/>
          <w:szCs w:val="21"/>
          <w:highlight w:val="none"/>
        </w:rPr>
        <w:t>低顺序，推荐前三名为本项目</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合同包</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成交候选</w:t>
      </w:r>
      <w:r>
        <w:rPr>
          <w:rFonts w:hint="eastAsia" w:asciiTheme="minorEastAsia" w:hAnsiTheme="minorEastAsia" w:cstheme="minorEastAsia"/>
          <w:color w:val="auto"/>
          <w:sz w:val="21"/>
          <w:szCs w:val="21"/>
          <w:highlight w:val="none"/>
          <w:lang w:eastAsia="zh-CN"/>
        </w:rPr>
        <w:t>人（评审得分相同的，则按“价格部分”的得分高低排序；若供应商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w:t>
      </w:r>
      <w:r>
        <w:rPr>
          <w:rFonts w:hint="eastAsia" w:asciiTheme="minorEastAsia" w:hAnsiTheme="minorEastAsia" w:cstheme="minorEastAsia"/>
          <w:color w:val="auto"/>
          <w:sz w:val="21"/>
          <w:szCs w:val="21"/>
          <w:highlight w:val="none"/>
          <w:lang w:val="en-US" w:eastAsia="zh-CN"/>
        </w:rPr>
        <w:t>由评审专家投票</w:t>
      </w:r>
      <w:r>
        <w:rPr>
          <w:rFonts w:hint="eastAsia" w:asciiTheme="minorEastAsia" w:hAnsiTheme="minorEastAsia" w:cstheme="minorEastAsia"/>
          <w:color w:val="auto"/>
          <w:sz w:val="21"/>
          <w:szCs w:val="21"/>
          <w:highlight w:val="none"/>
          <w:lang w:eastAsia="zh-CN"/>
        </w:rPr>
        <w:t>确定</w:t>
      </w:r>
      <w:r>
        <w:rPr>
          <w:rFonts w:hint="eastAsia" w:asciiTheme="minorEastAsia" w:hAnsiTheme="minorEastAsia" w:cstheme="minorEastAsia"/>
          <w:color w:val="auto"/>
          <w:sz w:val="21"/>
          <w:szCs w:val="21"/>
          <w:highlight w:val="none"/>
          <w:lang w:val="en-US" w:eastAsia="zh-CN"/>
        </w:rPr>
        <w:t>成交候选人</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7303A62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11.3.1详细评审</w:t>
      </w:r>
      <w:r>
        <w:rPr>
          <w:rFonts w:hint="eastAsia" w:asciiTheme="minorEastAsia" w:hAnsiTheme="minorEastAsia" w:cstheme="minorEastAsia"/>
          <w:b/>
          <w:bCs/>
          <w:color w:val="auto"/>
          <w:sz w:val="21"/>
          <w:szCs w:val="21"/>
          <w:highlight w:val="none"/>
          <w:lang w:val="en-US" w:eastAsia="zh-CN"/>
        </w:rPr>
        <w:t>因素</w:t>
      </w:r>
      <w:r>
        <w:rPr>
          <w:rFonts w:hint="eastAsia" w:asciiTheme="minorEastAsia" w:hAnsiTheme="minorEastAsia" w:eastAsiaTheme="minorEastAsia" w:cstheme="minorEastAsia"/>
          <w:b/>
          <w:bCs/>
          <w:color w:val="auto"/>
          <w:sz w:val="21"/>
          <w:szCs w:val="21"/>
          <w:highlight w:val="none"/>
          <w:lang w:val="en-US" w:eastAsia="zh-CN"/>
        </w:rPr>
        <w:t>：</w:t>
      </w:r>
    </w:p>
    <w:tbl>
      <w:tblPr>
        <w:tblStyle w:val="2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720"/>
        <w:gridCol w:w="6089"/>
      </w:tblGrid>
      <w:tr w14:paraId="6BE7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70" w:type="dxa"/>
            <w:vAlign w:val="center"/>
          </w:tcPr>
          <w:p w14:paraId="77458673">
            <w:pPr>
              <w:jc w:val="center"/>
              <w:rPr>
                <w:rFonts w:hint="eastAsia" w:ascii="宋体" w:hAnsi="宋体" w:eastAsia="宋体" w:cs="宋体"/>
                <w:b/>
                <w:color w:val="auto"/>
                <w:sz w:val="21"/>
                <w:szCs w:val="21"/>
                <w:highlight w:val="none"/>
              </w:rPr>
            </w:pPr>
            <w:bookmarkStart w:id="35" w:name="_Hlk74733900"/>
            <w:bookmarkStart w:id="36" w:name="_Toc991"/>
            <w:bookmarkStart w:id="37" w:name="_Toc75259347"/>
            <w:r>
              <w:rPr>
                <w:rFonts w:hint="eastAsia" w:ascii="宋体" w:hAnsi="宋体" w:eastAsia="宋体" w:cs="宋体"/>
                <w:b/>
                <w:color w:val="auto"/>
                <w:sz w:val="21"/>
                <w:szCs w:val="21"/>
                <w:highlight w:val="none"/>
              </w:rPr>
              <w:t>评标内容</w:t>
            </w:r>
          </w:p>
        </w:tc>
        <w:tc>
          <w:tcPr>
            <w:tcW w:w="7809" w:type="dxa"/>
            <w:gridSpan w:val="2"/>
            <w:vAlign w:val="center"/>
          </w:tcPr>
          <w:p w14:paraId="1E121758">
            <w:pPr>
              <w:ind w:firstLine="527" w:firstLineChars="2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评标原则与标准</w:t>
            </w:r>
          </w:p>
        </w:tc>
      </w:tr>
      <w:tr w14:paraId="6413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70" w:type="dxa"/>
            <w:vAlign w:val="center"/>
          </w:tcPr>
          <w:p w14:paraId="739C3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4A559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809" w:type="dxa"/>
            <w:gridSpan w:val="2"/>
            <w:vAlign w:val="center"/>
          </w:tcPr>
          <w:p w14:paraId="02A0524C">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采用低价优先法计算，即满足磋商文件要求且最后报价最低的供应商的价格为磋商基准价，其价格分为满分。磋商报价得分＝（磋商基准价/最后磋商报价）×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eastAsia="zh-CN"/>
              </w:rPr>
              <w:t>。</w:t>
            </w:r>
          </w:p>
          <w:p w14:paraId="6D8A14B7">
            <w:pPr>
              <w:pStyle w:val="3"/>
              <w:rPr>
                <w:rFonts w:hint="eastAsia"/>
                <w:color w:val="auto"/>
              </w:rPr>
            </w:pPr>
            <w:r>
              <w:rPr>
                <w:rFonts w:hint="eastAsia"/>
                <w:color w:val="auto"/>
              </w:rPr>
              <w:t>计算分数时四舍五入取小数点后两位</w:t>
            </w:r>
          </w:p>
        </w:tc>
      </w:tr>
      <w:tr w14:paraId="22B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170" w:type="dxa"/>
            <w:vMerge w:val="restart"/>
            <w:vAlign w:val="center"/>
          </w:tcPr>
          <w:p w14:paraId="6EB522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55DBD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分）</w:t>
            </w:r>
          </w:p>
        </w:tc>
        <w:tc>
          <w:tcPr>
            <w:tcW w:w="1720" w:type="dxa"/>
            <w:vAlign w:val="center"/>
          </w:tcPr>
          <w:p w14:paraId="3AF8D18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6089" w:type="dxa"/>
            <w:vAlign w:val="center"/>
          </w:tcPr>
          <w:p w14:paraId="412159CE">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根据各供应商提供的总体施工方案与技术措施进行综合评审。 施工方案与技术措施非常详细、完整，可行、有针对性，有利于项目实施的得(10-15]分； </w:t>
            </w:r>
          </w:p>
          <w:p w14:paraId="1F54B323">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施工方案与技术措施比较详细完整、可行，较利于项目实施的得(5-10]分； </w:t>
            </w:r>
          </w:p>
          <w:p w14:paraId="1E088CA7">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施工方案与技术措施基本可行，基本满足项目实施需要的得(0-5]分。</w:t>
            </w:r>
          </w:p>
        </w:tc>
      </w:tr>
      <w:tr w14:paraId="412B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vAlign w:val="center"/>
          </w:tcPr>
          <w:p w14:paraId="6D1A5DD5">
            <w:pPr>
              <w:jc w:val="center"/>
              <w:rPr>
                <w:rFonts w:hint="eastAsia" w:ascii="宋体" w:hAnsi="宋体" w:eastAsia="宋体" w:cs="宋体"/>
                <w:color w:val="auto"/>
                <w:sz w:val="21"/>
                <w:szCs w:val="21"/>
                <w:highlight w:val="yellow"/>
              </w:rPr>
            </w:pPr>
          </w:p>
        </w:tc>
        <w:tc>
          <w:tcPr>
            <w:tcW w:w="1720" w:type="dxa"/>
            <w:vAlign w:val="center"/>
          </w:tcPr>
          <w:p w14:paraId="11F9A36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进度控制计划措施（10分）</w:t>
            </w:r>
          </w:p>
        </w:tc>
        <w:tc>
          <w:tcPr>
            <w:tcW w:w="6089" w:type="dxa"/>
            <w:vAlign w:val="center"/>
          </w:tcPr>
          <w:p w14:paraId="46D7F4CD">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 xml:space="preserve">措施进行综合评审。 </w:t>
            </w:r>
          </w:p>
          <w:p w14:paraId="5FDC7519">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措施，且符合并优于采购人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 xml:space="preserve">的要求，得(7-10]分； </w:t>
            </w:r>
          </w:p>
          <w:p w14:paraId="713A79E5">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措施，基本符合采购人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 xml:space="preserve">的要求，得(3-7]分； </w:t>
            </w:r>
          </w:p>
          <w:p w14:paraId="3E03419D">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措施简陋，不能体现是否符合采购人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的要求，得(0-3]分。</w:t>
            </w:r>
          </w:p>
        </w:tc>
      </w:tr>
      <w:tr w14:paraId="27B7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70" w:type="dxa"/>
            <w:vMerge w:val="continue"/>
            <w:vAlign w:val="center"/>
          </w:tcPr>
          <w:p w14:paraId="4127CF53">
            <w:pPr>
              <w:jc w:val="center"/>
              <w:rPr>
                <w:rFonts w:hint="eastAsia" w:ascii="宋体" w:hAnsi="宋体" w:eastAsia="宋体" w:cs="宋体"/>
                <w:color w:val="auto"/>
                <w:sz w:val="21"/>
                <w:szCs w:val="21"/>
                <w:highlight w:val="yellow"/>
              </w:rPr>
            </w:pPr>
          </w:p>
        </w:tc>
        <w:tc>
          <w:tcPr>
            <w:tcW w:w="1720" w:type="dxa"/>
            <w:vAlign w:val="center"/>
          </w:tcPr>
          <w:p w14:paraId="1DC682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文明施工措施计划（8分）</w:t>
            </w:r>
          </w:p>
        </w:tc>
        <w:tc>
          <w:tcPr>
            <w:tcW w:w="6089" w:type="dxa"/>
            <w:vAlign w:val="center"/>
          </w:tcPr>
          <w:p w14:paraId="7B897523">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针对本项目提供的文明施工措施计划进行综合评审。 </w:t>
            </w:r>
          </w:p>
          <w:p w14:paraId="151A8CD4">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措施计划完备齐全、合理、切实可行，得(6-8]分； </w:t>
            </w:r>
          </w:p>
          <w:p w14:paraId="105EC5DA">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措施计划完备齐全、合理、基本可行，得(3-6]分； </w:t>
            </w:r>
          </w:p>
          <w:p w14:paraId="121E52A0">
            <w:pPr>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措施计划基本完备齐全、合理性、可行性较差，得(0-3]分。</w:t>
            </w:r>
          </w:p>
        </w:tc>
      </w:tr>
      <w:tr w14:paraId="392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70" w:type="dxa"/>
            <w:vMerge w:val="continue"/>
            <w:vAlign w:val="center"/>
          </w:tcPr>
          <w:p w14:paraId="0B8C4F1A">
            <w:pPr>
              <w:jc w:val="center"/>
              <w:rPr>
                <w:rFonts w:hint="eastAsia" w:ascii="宋体" w:hAnsi="宋体" w:eastAsia="宋体" w:cs="宋体"/>
                <w:color w:val="auto"/>
                <w:sz w:val="21"/>
                <w:szCs w:val="21"/>
                <w:highlight w:val="yellow"/>
              </w:rPr>
            </w:pPr>
          </w:p>
        </w:tc>
        <w:tc>
          <w:tcPr>
            <w:tcW w:w="1720" w:type="dxa"/>
            <w:vAlign w:val="center"/>
          </w:tcPr>
          <w:p w14:paraId="7E3832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技术组织措施（</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089" w:type="dxa"/>
            <w:vAlign w:val="center"/>
          </w:tcPr>
          <w:p w14:paraId="2558A600">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根据供应商制定的确保工程质量的技术组织措施进行综合评审。 </w:t>
            </w:r>
          </w:p>
          <w:p w14:paraId="2A1B6FC8">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措施计划完备齐全、合理、切实可行，得(6-9]分；</w:t>
            </w:r>
          </w:p>
          <w:p w14:paraId="015A40A7">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措施计划完备齐全、合理、基本可行，得(3-6]分； </w:t>
            </w:r>
          </w:p>
          <w:p w14:paraId="6B8EE4F3">
            <w:pPr>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措施计划基本完备齐全、合理性、可行性较差，得(0-3]分。</w:t>
            </w:r>
          </w:p>
        </w:tc>
      </w:tr>
      <w:tr w14:paraId="30D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70" w:type="dxa"/>
            <w:vMerge w:val="continue"/>
            <w:vAlign w:val="center"/>
          </w:tcPr>
          <w:p w14:paraId="14FEEF72">
            <w:pPr>
              <w:jc w:val="center"/>
              <w:rPr>
                <w:rFonts w:hint="eastAsia" w:ascii="宋体" w:hAnsi="宋体" w:eastAsia="宋体" w:cs="宋体"/>
                <w:color w:val="auto"/>
                <w:sz w:val="21"/>
                <w:szCs w:val="21"/>
                <w:highlight w:val="yellow"/>
              </w:rPr>
            </w:pPr>
          </w:p>
        </w:tc>
        <w:tc>
          <w:tcPr>
            <w:tcW w:w="1720" w:type="dxa"/>
            <w:vAlign w:val="center"/>
          </w:tcPr>
          <w:p w14:paraId="79A68D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项目组织管理机构（8分）</w:t>
            </w:r>
          </w:p>
        </w:tc>
        <w:tc>
          <w:tcPr>
            <w:tcW w:w="6089" w:type="dxa"/>
            <w:vAlign w:val="top"/>
          </w:tcPr>
          <w:p w14:paraId="3EF5605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针对本项目的项目组织管理机构配备。 </w:t>
            </w:r>
          </w:p>
          <w:p w14:paraId="289E387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机构设置合理，人员配备齐全（根据当地群众占比），技术经验丰富，得(6-8]分； </w:t>
            </w:r>
          </w:p>
          <w:p w14:paraId="0A91BD6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机构设置合理，人员配备、技术经验一般，得(3-6]分； </w:t>
            </w:r>
          </w:p>
          <w:p w14:paraId="02F896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机构设置、人员配备、技术经验较差，得(0-3]分。</w:t>
            </w:r>
          </w:p>
        </w:tc>
      </w:tr>
      <w:tr w14:paraId="55CF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70" w:type="dxa"/>
            <w:vMerge w:val="continue"/>
            <w:vAlign w:val="center"/>
          </w:tcPr>
          <w:p w14:paraId="19805215">
            <w:pPr>
              <w:jc w:val="center"/>
              <w:rPr>
                <w:rFonts w:hint="eastAsia" w:ascii="宋体" w:hAnsi="宋体" w:eastAsia="宋体" w:cs="宋体"/>
                <w:color w:val="auto"/>
                <w:sz w:val="21"/>
                <w:szCs w:val="21"/>
                <w:highlight w:val="yellow"/>
              </w:rPr>
            </w:pPr>
          </w:p>
        </w:tc>
        <w:tc>
          <w:tcPr>
            <w:tcW w:w="1720" w:type="dxa"/>
            <w:vAlign w:val="center"/>
          </w:tcPr>
          <w:p w14:paraId="4ECD60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施工机械配备和材料投入计划（9分）</w:t>
            </w:r>
          </w:p>
        </w:tc>
        <w:tc>
          <w:tcPr>
            <w:tcW w:w="6089" w:type="dxa"/>
            <w:vAlign w:val="top"/>
          </w:tcPr>
          <w:p w14:paraId="222AC7D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根据供应商投入的施工机械配备和材料投入计划等进行评审。 </w:t>
            </w:r>
          </w:p>
          <w:p w14:paraId="34045DD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施工机械配备合理和材料环保性较好，得(6-9]分； 施工机械配备和材料投入计划基本合理、可行，得(3-6]分； </w:t>
            </w:r>
          </w:p>
          <w:p w14:paraId="749E557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施工机械配备和材料投入计划较差，得(0-3]分。</w:t>
            </w:r>
          </w:p>
        </w:tc>
      </w:tr>
      <w:tr w14:paraId="4C3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70" w:type="dxa"/>
            <w:vMerge w:val="continue"/>
            <w:vAlign w:val="center"/>
          </w:tcPr>
          <w:p w14:paraId="06661D34">
            <w:pPr>
              <w:jc w:val="center"/>
              <w:rPr>
                <w:rFonts w:hint="eastAsia" w:ascii="宋体" w:hAnsi="宋体" w:eastAsia="宋体" w:cs="宋体"/>
                <w:color w:val="auto"/>
                <w:sz w:val="21"/>
                <w:szCs w:val="21"/>
                <w:highlight w:val="yellow"/>
              </w:rPr>
            </w:pPr>
          </w:p>
        </w:tc>
        <w:tc>
          <w:tcPr>
            <w:tcW w:w="1720" w:type="dxa"/>
            <w:vAlign w:val="center"/>
          </w:tcPr>
          <w:p w14:paraId="183B84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劳动力安排计划及劳务分包情况表（6分）</w:t>
            </w:r>
          </w:p>
        </w:tc>
        <w:tc>
          <w:tcPr>
            <w:tcW w:w="6089" w:type="dxa"/>
            <w:vAlign w:val="top"/>
          </w:tcPr>
          <w:p w14:paraId="1A10840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供应商就本项目劳动力安排计划及劳务分包情况表，根据合理、可行程度进行评审。 </w:t>
            </w:r>
          </w:p>
          <w:p w14:paraId="51BCB79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劳动力安排计划及劳务分包合理、可行，得(4-6]分； </w:t>
            </w:r>
          </w:p>
          <w:p w14:paraId="5FECF9B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劳动力安排计划及劳务分包基本可行，得(2-4]分； </w:t>
            </w:r>
          </w:p>
          <w:p w14:paraId="4B9D005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劳动力安排计划及劳务分包可行性较差，得(0-2]分。</w:t>
            </w:r>
          </w:p>
        </w:tc>
      </w:tr>
      <w:tr w14:paraId="04B2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70" w:type="dxa"/>
            <w:vAlign w:val="center"/>
          </w:tcPr>
          <w:p w14:paraId="46DB1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02CEAC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379136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720" w:type="dxa"/>
            <w:vAlign w:val="center"/>
          </w:tcPr>
          <w:p w14:paraId="3E38742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企业业绩（5分）</w:t>
            </w:r>
          </w:p>
        </w:tc>
        <w:tc>
          <w:tcPr>
            <w:tcW w:w="6089" w:type="dxa"/>
            <w:vAlign w:val="top"/>
          </w:tcPr>
          <w:p w14:paraId="0B7F058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2022年8月1日起至今，供应商承担的类似项目业绩（以投标文件中合同复印件为准），每提供1份有效业绩得1分，最多得5分。 </w:t>
            </w:r>
          </w:p>
          <w:p w14:paraId="0943F2C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注：时间以合同签订时间为准，提供加盖供应商公章的合同复印件。</w:t>
            </w:r>
          </w:p>
        </w:tc>
      </w:tr>
      <w:tr w14:paraId="0BED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79" w:type="dxa"/>
            <w:gridSpan w:val="3"/>
            <w:vAlign w:val="center"/>
          </w:tcPr>
          <w:p w14:paraId="2CAFFE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1EC7B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1、专家独立打分，对响应文件进行自主赋分。</w:t>
            </w:r>
          </w:p>
          <w:p w14:paraId="224C9F75">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“（）”表示包含；“</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”表示不包含。</w:t>
            </w:r>
          </w:p>
          <w:p w14:paraId="0077B62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专家打分超过得分界限或未按本表规定赋分时，该专家的打分作废，不计入汇总分。</w:t>
            </w:r>
          </w:p>
          <w:p w14:paraId="0B310DAB">
            <w:pPr>
              <w:ind w:left="315" w:hanging="315" w:hanging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、若出现综合得分相同的，按最后报价由低到高顺序推荐；得分且最终报价相同的，按技术指标优劣顺序推荐。</w:t>
            </w:r>
          </w:p>
          <w:p w14:paraId="2609C9C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、由于响应文件内容模糊等情况，造成对磋商单位不利的评审结果，由磋商单位自负。</w:t>
            </w:r>
          </w:p>
          <w:p w14:paraId="6F369DD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、评审过程中，若出现特殊情况时，由磋商小组决定暂停评审，并提出具体处理意见。</w:t>
            </w:r>
          </w:p>
          <w:p w14:paraId="0576A53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、各种计算采用插入法，数字均保留两位小数，第三位“四舍五入”。</w:t>
            </w:r>
          </w:p>
          <w:p w14:paraId="66EA5232">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w:t>
            </w:r>
            <w:r>
              <w:rPr>
                <w:rFonts w:hint="eastAsia" w:ascii="宋体" w:hAnsi="宋体" w:eastAsia="宋体" w:cs="宋体"/>
                <w:b/>
                <w:color w:val="auto"/>
                <w:sz w:val="21"/>
                <w:szCs w:val="21"/>
                <w:highlight w:val="none"/>
              </w:rPr>
              <w:t>文件中缺少某分项时，该分项为0分</w:t>
            </w:r>
            <w:r>
              <w:rPr>
                <w:rFonts w:hint="eastAsia" w:ascii="宋体" w:hAnsi="宋体" w:eastAsia="宋体" w:cs="宋体"/>
                <w:color w:val="auto"/>
                <w:sz w:val="21"/>
                <w:szCs w:val="21"/>
                <w:highlight w:val="none"/>
              </w:rPr>
              <w:t>。</w:t>
            </w:r>
          </w:p>
          <w:p w14:paraId="075CC1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的唯一条件。</w:t>
            </w:r>
          </w:p>
          <w:p w14:paraId="3C39DD12">
            <w:pPr>
              <w:adjustRightInd w:val="0"/>
              <w:snapToGrid w:val="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对于节能环保产品，在得分且磋商报价相同的情况下，优先选择节能环保产品。</w:t>
            </w:r>
          </w:p>
        </w:tc>
      </w:tr>
      <w:bookmarkEnd w:id="35"/>
    </w:tbl>
    <w:p w14:paraId="6FF5EE4A">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w:t>
      </w:r>
      <w:bookmarkEnd w:id="36"/>
      <w:bookmarkEnd w:id="37"/>
      <w:r>
        <w:rPr>
          <w:rFonts w:hint="eastAsia" w:asciiTheme="minorEastAsia" w:hAnsiTheme="minorEastAsia" w:cstheme="minorEastAsia"/>
          <w:b/>
          <w:color w:val="auto"/>
          <w:sz w:val="21"/>
          <w:szCs w:val="21"/>
          <w:highlight w:val="none"/>
          <w:lang w:val="en-US" w:eastAsia="zh-CN"/>
        </w:rPr>
        <w:t>磋商小组</w:t>
      </w:r>
    </w:p>
    <w:p w14:paraId="6965326B">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由采购人代表和评审专家共同组成</w:t>
      </w:r>
      <w:r>
        <w:rPr>
          <w:rFonts w:hint="eastAsia" w:asciiTheme="minorEastAsia" w:hAnsi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CN"/>
        </w:rPr>
        <w:t>评审专家应当从政府采购评审专家库内相关专业的专家名单中随机抽取</w:t>
      </w:r>
      <w:r>
        <w:rPr>
          <w:rFonts w:hint="eastAsia" w:asciiTheme="minorEastAsia" w:hAnsiTheme="minorEastAsia" w:cstheme="minorEastAsia"/>
          <w:color w:val="auto"/>
          <w:sz w:val="21"/>
          <w:szCs w:val="21"/>
          <w:highlight w:val="none"/>
          <w:lang w:val="zh-CN"/>
        </w:rPr>
        <w:t>，专家比例不少于</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cstheme="minorEastAsia"/>
          <w:color w:val="auto"/>
          <w:sz w:val="21"/>
          <w:szCs w:val="21"/>
          <w:highlight w:val="none"/>
          <w:lang w:val="zh-CN"/>
        </w:rPr>
        <w:t>成员总数的三分之二</w:t>
      </w:r>
      <w:r>
        <w:rPr>
          <w:rFonts w:hint="eastAsia" w:asciiTheme="minorEastAsia" w:hAnsiTheme="minorEastAsia" w:eastAsiaTheme="minorEastAsia" w:cstheme="minorEastAsia"/>
          <w:color w:val="auto"/>
          <w:sz w:val="21"/>
          <w:szCs w:val="21"/>
          <w:highlight w:val="none"/>
          <w:lang w:val="zh-CN"/>
        </w:rPr>
        <w:t>。</w:t>
      </w:r>
    </w:p>
    <w:p w14:paraId="73DB4465">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38" w:name="_Toc75259348"/>
      <w:bookmarkStart w:id="39" w:name="_Toc839"/>
      <w:r>
        <w:rPr>
          <w:rFonts w:hint="eastAsia" w:asciiTheme="minorEastAsia" w:hAnsiTheme="minorEastAsia" w:eastAsiaTheme="minorEastAsia" w:cstheme="minorEastAsia"/>
          <w:b/>
          <w:color w:val="auto"/>
          <w:sz w:val="21"/>
          <w:szCs w:val="21"/>
          <w:highlight w:val="none"/>
        </w:rPr>
        <w:t>13．评审纪律</w:t>
      </w:r>
      <w:bookmarkEnd w:id="38"/>
      <w:bookmarkEnd w:id="39"/>
    </w:p>
    <w:p w14:paraId="629E13AC">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13.1</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rPr>
        <w:t>成员</w:t>
      </w:r>
      <w:r>
        <w:rPr>
          <w:rFonts w:hint="eastAsia" w:asciiTheme="minorEastAsia" w:hAnsiTheme="minorEastAsia" w:eastAsiaTheme="minorEastAsia" w:cstheme="minorEastAsia"/>
          <w:color w:val="auto"/>
          <w:sz w:val="21"/>
          <w:szCs w:val="21"/>
          <w:highlight w:val="none"/>
          <w:lang w:val="zh-CN"/>
        </w:rPr>
        <w:t>内部讨论的情况和意见必须保密，任何人不得以任何形式透露给</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或与</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有关的单位或个人；</w:t>
      </w:r>
    </w:p>
    <w:p w14:paraId="075AF2CA">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13.2</w:t>
      </w:r>
      <w:r>
        <w:rPr>
          <w:rFonts w:hint="eastAsia" w:asciiTheme="minorEastAsia" w:hAnsiTheme="minorEastAsia" w:eastAsiaTheme="minorEastAsia" w:cstheme="minorEastAsia"/>
          <w:color w:val="auto"/>
          <w:sz w:val="21"/>
          <w:szCs w:val="21"/>
          <w:highlight w:val="none"/>
          <w:lang w:val="zh-CN"/>
        </w:rPr>
        <w:t>在</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过程中，</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不得以任何形式对</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成员进行旨在影响</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结果的私下接触，否则取消其</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zh-CN"/>
        </w:rPr>
        <w:t>资格；</w:t>
      </w:r>
    </w:p>
    <w:p w14:paraId="72E0AA95">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13.3</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以及与</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有关的人员应当对评审情况和评审过程中获悉的国家秘密、商业秘密予以保密。</w:t>
      </w:r>
    </w:p>
    <w:p w14:paraId="19105299">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0" w:name="_Toc75259349"/>
      <w:bookmarkStart w:id="41" w:name="_Toc4666"/>
      <w:r>
        <w:rPr>
          <w:rFonts w:hint="eastAsia" w:asciiTheme="minorEastAsia" w:hAnsiTheme="minorEastAsia" w:eastAsiaTheme="minorEastAsia" w:cstheme="minorEastAsia"/>
          <w:b/>
          <w:color w:val="auto"/>
          <w:sz w:val="21"/>
          <w:szCs w:val="21"/>
          <w:highlight w:val="none"/>
        </w:rPr>
        <w:t>14．无效</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文件情况说明</w:t>
      </w:r>
      <w:bookmarkEnd w:id="40"/>
      <w:bookmarkEnd w:id="41"/>
    </w:p>
    <w:p w14:paraId="4B76870B">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文件有下列情形之一的，应当按照无效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 xml:space="preserve">文件处理： </w:t>
      </w:r>
    </w:p>
    <w:p w14:paraId="64D056C2">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eastAsiaTheme="minorEastAsia" w:cstheme="minorEastAsia"/>
          <w:color w:val="auto"/>
          <w:sz w:val="21"/>
          <w:szCs w:val="21"/>
          <w:highlight w:val="none"/>
        </w:rPr>
        <w:t>未按</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文件规定要求签署、盖章的；</w:t>
      </w:r>
    </w:p>
    <w:p w14:paraId="4524B484">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14.2不具备</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文件中规定的资格要求的；</w:t>
      </w:r>
    </w:p>
    <w:p w14:paraId="7A5CA0D3">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14.3报价超过采购预算的；</w:t>
      </w:r>
    </w:p>
    <w:p w14:paraId="60663416">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14.4未完全响应</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文件规定的实质性要求的；</w:t>
      </w:r>
    </w:p>
    <w:p w14:paraId="61E547D1">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14.5不符合法律、法规规定的其他情形。</w:t>
      </w:r>
    </w:p>
    <w:p w14:paraId="3748890E">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14.6</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没有经过正常渠道</w:t>
      </w:r>
      <w:r>
        <w:rPr>
          <w:rFonts w:hint="eastAsia" w:asciiTheme="minorEastAsia" w:hAnsiTheme="minorEastAsia" w:cstheme="minorEastAsia"/>
          <w:color w:val="auto"/>
          <w:sz w:val="21"/>
          <w:szCs w:val="21"/>
          <w:highlight w:val="none"/>
          <w:lang w:val="en-US" w:eastAsia="zh-CN"/>
        </w:rPr>
        <w:t>获取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文件或</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名称与登记领取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cstheme="minorEastAsia"/>
          <w:color w:val="auto"/>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人的名称不符；</w:t>
      </w:r>
    </w:p>
    <w:p w14:paraId="03552120">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14.7</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bCs/>
          <w:color w:val="auto"/>
          <w:sz w:val="21"/>
          <w:szCs w:val="21"/>
          <w:highlight w:val="none"/>
        </w:rPr>
        <w:t>无有效期或有效期达不到</w:t>
      </w:r>
      <w:r>
        <w:rPr>
          <w:rFonts w:hint="eastAsia" w:asciiTheme="minorEastAsia" w:hAnsi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文件的要求；</w:t>
      </w:r>
    </w:p>
    <w:p w14:paraId="6A96C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14.8</w:t>
      </w:r>
      <w:r>
        <w:rPr>
          <w:rFonts w:hint="eastAsia" w:asciiTheme="minorEastAsia" w:hAnsi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针对同一项目递交两份或多份内容不同的</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文件，未书面声明哪一份是有效的；出现选择性报价的；</w:t>
      </w:r>
    </w:p>
    <w:p w14:paraId="73D006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14.9提供虚假资质证明，除按无效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文件处理外，并进行相应的处罚；</w:t>
      </w:r>
    </w:p>
    <w:p w14:paraId="7AA63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cstheme="minorEastAsia"/>
          <w:bCs/>
          <w:color w:val="auto"/>
          <w:sz w:val="21"/>
          <w:szCs w:val="21"/>
          <w:highlight w:val="none"/>
          <w:lang w:val="en-US" w:eastAsia="zh-CN"/>
        </w:rPr>
        <w:t>14.10</w:t>
      </w:r>
      <w:r>
        <w:rPr>
          <w:rFonts w:hint="eastAsia" w:asciiTheme="minorEastAsia" w:hAnsiTheme="minorEastAsia" w:eastAsiaTheme="minorEastAsia" w:cstheme="minorEastAsia"/>
          <w:bCs/>
          <w:color w:val="auto"/>
          <w:kern w:val="0"/>
          <w:sz w:val="21"/>
          <w:szCs w:val="21"/>
          <w:highlight w:val="none"/>
        </w:rPr>
        <w:t>单位负责人为同一人或者存在直接控股、管理关系的不同单位不得同时</w:t>
      </w:r>
      <w:r>
        <w:rPr>
          <w:rFonts w:hint="eastAsia" w:asciiTheme="minorEastAsia" w:hAnsiTheme="minorEastAsia" w:cstheme="minorEastAsia"/>
          <w:bCs/>
          <w:color w:val="auto"/>
          <w:kern w:val="0"/>
          <w:sz w:val="21"/>
          <w:szCs w:val="21"/>
          <w:highlight w:val="none"/>
          <w:lang w:val="en-US" w:eastAsia="zh-CN"/>
        </w:rPr>
        <w:t>参加同一项目或同一分包；</w:t>
      </w:r>
    </w:p>
    <w:p w14:paraId="7FE8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cstheme="minorEastAsia"/>
          <w:bCs/>
          <w:color w:val="auto"/>
          <w:sz w:val="21"/>
          <w:szCs w:val="21"/>
          <w:highlight w:val="none"/>
          <w:lang w:val="en-US" w:eastAsia="zh-CN"/>
        </w:rPr>
        <w:t>1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A2A6F41">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2" w:name="_Toc75259350"/>
      <w:bookmarkStart w:id="43" w:name="_Toc16722"/>
      <w:r>
        <w:rPr>
          <w:rFonts w:hint="eastAsia" w:asciiTheme="minorEastAsia" w:hAnsiTheme="minorEastAsia" w:eastAsiaTheme="minorEastAsia" w:cstheme="minorEastAsia"/>
          <w:b/>
          <w:color w:val="auto"/>
          <w:sz w:val="21"/>
          <w:szCs w:val="21"/>
          <w:highlight w:val="none"/>
        </w:rPr>
        <w:t>15．对</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文件的修正</w:t>
      </w:r>
      <w:bookmarkEnd w:id="42"/>
      <w:bookmarkEnd w:id="43"/>
    </w:p>
    <w:p w14:paraId="5076946B">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中，对价格的计算错误按下述原则修正：</w:t>
      </w:r>
    </w:p>
    <w:p w14:paraId="54531C45">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文件正本与副本不一致的，以正本为准。</w:t>
      </w:r>
    </w:p>
    <w:p w14:paraId="375F8DB6">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文件的大写金额和小写金额不一致的，以大写金额为准； </w:t>
      </w:r>
    </w:p>
    <w:p w14:paraId="4B276984">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（3）总价金额与按单价汇总金额不一致的，以单价金额</w:t>
      </w:r>
      <w:r>
        <w:rPr>
          <w:rFonts w:hint="eastAsia" w:asciiTheme="minorEastAsia" w:hAnsiTheme="minorEastAsia" w:cstheme="minorEastAsia"/>
          <w:color w:val="auto"/>
          <w:kern w:val="0"/>
          <w:sz w:val="21"/>
          <w:szCs w:val="21"/>
          <w:highlight w:val="none"/>
          <w:lang w:val="en-US" w:eastAsia="zh-CN"/>
        </w:rPr>
        <w:t>汇总</w:t>
      </w:r>
      <w:r>
        <w:rPr>
          <w:rFonts w:hint="eastAsia" w:asciiTheme="minorEastAsia" w:hAnsiTheme="minorEastAsia" w:eastAsiaTheme="minorEastAsia" w:cstheme="minorEastAsia"/>
          <w:color w:val="auto"/>
          <w:kern w:val="0"/>
          <w:sz w:val="21"/>
          <w:szCs w:val="21"/>
          <w:highlight w:val="none"/>
        </w:rPr>
        <w:t>计算结果为准；</w:t>
      </w:r>
    </w:p>
    <w:p w14:paraId="08321EDE">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（4）单价金额小数点有明显错位的，应以总价为准，并修改单价；</w:t>
      </w:r>
    </w:p>
    <w:p w14:paraId="30F7D32B">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（5）对不同文字文本响应文件的解释发生异议的，以中文文本为准；</w:t>
      </w:r>
    </w:p>
    <w:p w14:paraId="2A4C34D4">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不同意以上修正，则其</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文件将被拒绝。</w:t>
      </w:r>
    </w:p>
    <w:p w14:paraId="72244879">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44" w:name="_Toc75259351"/>
      <w:bookmarkStart w:id="45" w:name="_Toc21988"/>
      <w:r>
        <w:rPr>
          <w:rFonts w:hint="eastAsia" w:asciiTheme="minorEastAsia" w:hAnsiTheme="minorEastAsia" w:eastAsiaTheme="minorEastAsia" w:cstheme="minorEastAsia"/>
          <w:b/>
          <w:color w:val="auto"/>
          <w:sz w:val="21"/>
          <w:szCs w:val="21"/>
          <w:highlight w:val="none"/>
        </w:rPr>
        <w:t>16</w:t>
      </w:r>
      <w:bookmarkEnd w:id="44"/>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确定</w:t>
      </w:r>
      <w:r>
        <w:rPr>
          <w:rFonts w:hint="eastAsia" w:asciiTheme="minorEastAsia" w:hAnsiTheme="minorEastAsia" w:cstheme="minorEastAsia"/>
          <w:b/>
          <w:color w:val="auto"/>
          <w:sz w:val="21"/>
          <w:szCs w:val="21"/>
          <w:highlight w:val="none"/>
          <w:lang w:val="en-US" w:eastAsia="zh-CN"/>
        </w:rPr>
        <w:t>成交人</w:t>
      </w:r>
      <w:bookmarkEnd w:id="45"/>
    </w:p>
    <w:p w14:paraId="586349C7">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16.1</w:t>
      </w:r>
      <w:r>
        <w:rPr>
          <w:rFonts w:hint="eastAsia" w:asciiTheme="minorEastAsia" w:hAnsiTheme="minorEastAsia" w:eastAsiaTheme="minorEastAsia" w:cstheme="minorEastAsia"/>
          <w:color w:val="auto"/>
          <w:kern w:val="0"/>
          <w:sz w:val="21"/>
          <w:szCs w:val="21"/>
          <w:highlight w:val="none"/>
        </w:rPr>
        <w:t>采购代理机构在评审结束后2个工作日内将</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报告送采购人确认。采购人在收到</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报告后5个工作日内，从</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w:t>
      </w:r>
      <w:r>
        <w:rPr>
          <w:rFonts w:hint="eastAsia" w:asciiTheme="minorEastAsia" w:hAnsiTheme="minorEastAsia" w:cstheme="minorEastAsia"/>
          <w:color w:val="auto"/>
          <w:kern w:val="0"/>
          <w:sz w:val="21"/>
          <w:szCs w:val="21"/>
          <w:highlight w:val="none"/>
          <w:lang w:val="en-US" w:eastAsia="zh-CN"/>
        </w:rPr>
        <w:t>成交候选</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中，按照排序由高到低的原则确定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。采购人逾期未确定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且不提出异议的，视为确定</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报告提出的排序第一的</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w:t>
      </w:r>
    </w:p>
    <w:p w14:paraId="3F71933A">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16.2排序第一的供应商无故放弃成交资格的，报监督部门做出处罚。</w:t>
      </w:r>
    </w:p>
    <w:p w14:paraId="110C737C">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16.3排序第一的供应商放弃成交资格后，采购人可以确定排序第二的供应商为成交人，也可以重新组织采购。</w:t>
      </w:r>
    </w:p>
    <w:p w14:paraId="44F83876">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6" w:name="_Toc75259352"/>
      <w:bookmarkStart w:id="47" w:name="_Toc20877"/>
      <w:r>
        <w:rPr>
          <w:rFonts w:hint="eastAsia" w:asciiTheme="minorEastAsia" w:hAnsiTheme="minorEastAsia" w:eastAsiaTheme="minorEastAsia" w:cstheme="minorEastAsia"/>
          <w:b/>
          <w:color w:val="auto"/>
          <w:sz w:val="21"/>
          <w:szCs w:val="21"/>
          <w:highlight w:val="none"/>
        </w:rPr>
        <w:t>17．</w:t>
      </w:r>
      <w:r>
        <w:rPr>
          <w:rFonts w:hint="eastAsia" w:asciiTheme="minorEastAsia" w:hAnsiTheme="minorEastAsia" w:cstheme="minorEastAsia"/>
          <w:b/>
          <w:color w:val="auto"/>
          <w:sz w:val="21"/>
          <w:szCs w:val="21"/>
          <w:highlight w:val="none"/>
          <w:lang w:val="en-US" w:eastAsia="zh-CN"/>
        </w:rPr>
        <w:t>成交</w:t>
      </w:r>
      <w:r>
        <w:rPr>
          <w:rFonts w:hint="eastAsia" w:asciiTheme="minorEastAsia" w:hAnsiTheme="minorEastAsia" w:eastAsiaTheme="minorEastAsia" w:cstheme="minorEastAsia"/>
          <w:b/>
          <w:color w:val="auto"/>
          <w:sz w:val="21"/>
          <w:szCs w:val="21"/>
          <w:highlight w:val="none"/>
        </w:rPr>
        <w:t>通知</w:t>
      </w:r>
      <w:bookmarkEnd w:id="46"/>
      <w:r>
        <w:rPr>
          <w:rFonts w:hint="eastAsia" w:asciiTheme="minorEastAsia" w:hAnsiTheme="minorEastAsia" w:cstheme="minorEastAsia"/>
          <w:b/>
          <w:color w:val="auto"/>
          <w:sz w:val="21"/>
          <w:szCs w:val="21"/>
          <w:highlight w:val="none"/>
          <w:lang w:val="en-US" w:eastAsia="zh-CN"/>
        </w:rPr>
        <w:t>书</w:t>
      </w:r>
      <w:bookmarkEnd w:id="47"/>
      <w:r>
        <w:rPr>
          <w:rFonts w:hint="eastAsia" w:asciiTheme="minorEastAsia" w:hAnsiTheme="minorEastAsia" w:eastAsiaTheme="minorEastAsia" w:cstheme="minorEastAsia"/>
          <w:b/>
          <w:color w:val="auto"/>
          <w:sz w:val="21"/>
          <w:szCs w:val="21"/>
          <w:highlight w:val="none"/>
        </w:rPr>
        <w:t xml:space="preserve">  </w:t>
      </w:r>
    </w:p>
    <w:p w14:paraId="641EE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17.1采购人或者采购代理机构应当在</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确定后2个工作日内，在省级以上财政部门指定的政府采购信息发布媒体上公告</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结果，同时向</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发出</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w:t>
      </w:r>
    </w:p>
    <w:p w14:paraId="47DFC467">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通知书将是合同的一个组成部分。</w:t>
      </w:r>
    </w:p>
    <w:p w14:paraId="5F49E344">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8" w:name="_Toc75259353"/>
      <w:bookmarkStart w:id="49" w:name="_Toc5540"/>
      <w:r>
        <w:rPr>
          <w:rFonts w:hint="eastAsia" w:asciiTheme="minorEastAsia" w:hAnsiTheme="minorEastAsia" w:eastAsiaTheme="minorEastAsia" w:cstheme="minorEastAsia"/>
          <w:b/>
          <w:color w:val="auto"/>
          <w:sz w:val="21"/>
          <w:szCs w:val="21"/>
          <w:highlight w:val="none"/>
        </w:rPr>
        <w:t>18．合同授予</w:t>
      </w:r>
      <w:bookmarkEnd w:id="48"/>
      <w:bookmarkEnd w:id="49"/>
    </w:p>
    <w:p w14:paraId="22F011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18.1 </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过程中有关补充文件均作为合同附件，并与合同具有相同的法律效力。</w:t>
      </w:r>
    </w:p>
    <w:p w14:paraId="0BAA8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18.2未经采购人同意，</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不得向他人转让</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项目。</w:t>
      </w:r>
    </w:p>
    <w:p w14:paraId="1C733110">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0" w:name="_Toc15001"/>
      <w:bookmarkStart w:id="51" w:name="_Toc75259354"/>
      <w:r>
        <w:rPr>
          <w:rFonts w:hint="eastAsia" w:asciiTheme="minorEastAsia" w:hAnsiTheme="minorEastAsia" w:eastAsiaTheme="minorEastAsia" w:cstheme="minorEastAsia"/>
          <w:b/>
          <w:color w:val="auto"/>
          <w:sz w:val="21"/>
          <w:szCs w:val="21"/>
          <w:highlight w:val="none"/>
        </w:rPr>
        <w:t>19．</w:t>
      </w:r>
      <w:r>
        <w:rPr>
          <w:rFonts w:hint="eastAsia" w:asciiTheme="minorEastAsia" w:hAnsiTheme="minorEastAsia" w:cstheme="minorEastAsia"/>
          <w:b/>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w:t>
      </w:r>
      <w:bookmarkEnd w:id="50"/>
      <w:bookmarkEnd w:id="51"/>
    </w:p>
    <w:p w14:paraId="3321B139">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w:t>
      </w:r>
      <w:r>
        <w:rPr>
          <w:rFonts w:hint="eastAsia" w:asciiTheme="minorEastAsia" w:hAnsiTheme="minorEastAsia" w:cstheme="minorEastAsia"/>
          <w:b/>
          <w:bCs/>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有效期为</w:t>
      </w:r>
      <w:r>
        <w:rPr>
          <w:rFonts w:hint="eastAsia" w:asciiTheme="minorEastAsia" w:hAnsiTheme="minorEastAsia" w:cstheme="minorEastAsia"/>
          <w:b/>
          <w:color w:val="auto"/>
          <w:sz w:val="21"/>
          <w:szCs w:val="21"/>
          <w:highlight w:val="none"/>
          <w:u w:val="none"/>
          <w:lang w:val="en-US" w:eastAsia="zh-CN"/>
        </w:rPr>
        <w:t>响应</w:t>
      </w:r>
      <w:r>
        <w:rPr>
          <w:rFonts w:hint="eastAsia" w:asciiTheme="minorEastAsia" w:hAnsiTheme="minorEastAsia" w:eastAsiaTheme="minorEastAsia" w:cstheme="minorEastAsia"/>
          <w:b/>
          <w:color w:val="auto"/>
          <w:sz w:val="21"/>
          <w:szCs w:val="21"/>
          <w:highlight w:val="none"/>
          <w:u w:val="none"/>
        </w:rPr>
        <w:t>文件递交截止之日后90日历日</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在此期限内，凡符合本</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文件要求的</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文件均保持有效。</w:t>
      </w:r>
    </w:p>
    <w:p w14:paraId="6B061A06">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2" w:name="_Toc75259355"/>
      <w:bookmarkStart w:id="53" w:name="_Toc29892"/>
      <w:r>
        <w:rPr>
          <w:rFonts w:hint="eastAsia" w:asciiTheme="minorEastAsia" w:hAnsiTheme="minorEastAsia" w:eastAsiaTheme="minorEastAsia" w:cstheme="minorEastAsia"/>
          <w:b/>
          <w:color w:val="auto"/>
          <w:sz w:val="21"/>
          <w:szCs w:val="21"/>
          <w:highlight w:val="none"/>
        </w:rPr>
        <w:t>20．签订合同</w:t>
      </w:r>
      <w:bookmarkEnd w:id="52"/>
      <w:bookmarkEnd w:id="53"/>
    </w:p>
    <w:p w14:paraId="72FF96DE">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lang w:val="en-US" w:eastAsia="zh-CN"/>
        </w:rPr>
        <w:t>应自收到</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通知书之日起</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en-US" w:eastAsia="zh-CN"/>
        </w:rPr>
        <w:t>日内</w:t>
      </w:r>
      <w:r>
        <w:rPr>
          <w:rFonts w:hint="eastAsia" w:asciiTheme="minorEastAsia" w:hAnsiTheme="minorEastAsia" w:eastAsiaTheme="minorEastAsia" w:cstheme="minorEastAsia"/>
          <w:color w:val="auto"/>
          <w:sz w:val="21"/>
          <w:szCs w:val="21"/>
          <w:highlight w:val="none"/>
        </w:rPr>
        <w:t>与采购人签订合同。</w:t>
      </w:r>
    </w:p>
    <w:p w14:paraId="1CA3DEC1">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应按</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通知书中规定的时间与采购人签订合同，否则按</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rPr>
        <w:t>违约处理。</w:t>
      </w:r>
    </w:p>
    <w:p w14:paraId="2377C1B9">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的报价文件及评审过程中有关澄清文件均应作为合同附件，并与合同具有相同的法律效力。</w:t>
      </w:r>
    </w:p>
    <w:p w14:paraId="5817D627">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4" w:name="_Toc75259356"/>
      <w:bookmarkStart w:id="55" w:name="_Toc5397"/>
      <w:r>
        <w:rPr>
          <w:rFonts w:hint="eastAsia" w:asciiTheme="minorEastAsia" w:hAnsiTheme="minorEastAsia" w:eastAsiaTheme="minorEastAsia" w:cstheme="minorEastAsia"/>
          <w:b/>
          <w:color w:val="auto"/>
          <w:sz w:val="21"/>
          <w:szCs w:val="21"/>
          <w:highlight w:val="none"/>
        </w:rPr>
        <w:t>21．</w:t>
      </w: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代理服务费</w:t>
      </w:r>
      <w:bookmarkEnd w:id="54"/>
      <w:bookmarkEnd w:id="55"/>
    </w:p>
    <w:p w14:paraId="3CD0E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bookmarkStart w:id="56" w:name="_Hlk63417944"/>
      <w:r>
        <w:rPr>
          <w:rFonts w:hint="eastAsia" w:asciiTheme="minorEastAsia" w:hAnsiTheme="minorEastAsia" w:eastAsiaTheme="minorEastAsia" w:cstheme="minorEastAsia"/>
          <w:color w:val="auto"/>
          <w:sz w:val="21"/>
          <w:szCs w:val="21"/>
          <w:highlight w:val="none"/>
        </w:rPr>
        <w:t>21.1</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r>
        <w:rPr>
          <w:rFonts w:hint="eastAsia" w:asciiTheme="minorEastAsia" w:hAnsi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rPr>
        <w:t>《国家计委关于印发&lt;</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代理服务收费管理暂行办法&gt;的通知》（计价格[2002]1980号）中规定的差额定律累进法</w:t>
      </w:r>
      <w:r>
        <w:rPr>
          <w:rFonts w:hint="eastAsia" w:asciiTheme="minorEastAsia" w:hAnsiTheme="minorEastAsia" w:cstheme="minorEastAsia"/>
          <w:color w:val="auto"/>
          <w:sz w:val="21"/>
          <w:szCs w:val="21"/>
          <w:highlight w:val="none"/>
          <w:lang w:eastAsia="zh-CN"/>
        </w:rPr>
        <w:t>基础上</w:t>
      </w:r>
      <w:r>
        <w:rPr>
          <w:rFonts w:hint="eastAsia" w:asciiTheme="minorEastAsia" w:hAnsiTheme="minorEastAsia" w:eastAsiaTheme="minorEastAsia" w:cstheme="minorEastAsia"/>
          <w:color w:val="auto"/>
          <w:sz w:val="21"/>
          <w:szCs w:val="21"/>
          <w:highlight w:val="none"/>
        </w:rPr>
        <w:t>计取。</w:t>
      </w:r>
    </w:p>
    <w:p w14:paraId="517E1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在取得</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通知书时，向采购代理机构</w:t>
      </w:r>
      <w:r>
        <w:rPr>
          <w:rFonts w:hint="eastAsia" w:asciiTheme="minorEastAsia" w:hAnsiTheme="minorEastAsia" w:cstheme="minorEastAsia"/>
          <w:color w:val="auto"/>
          <w:sz w:val="21"/>
          <w:szCs w:val="21"/>
          <w:highlight w:val="none"/>
          <w:lang w:val="en-US" w:eastAsia="zh-CN"/>
        </w:rPr>
        <w:t>缴纳</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p>
    <w:p w14:paraId="32A8E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Theme="minorEastAsia" w:hAnsiTheme="minorEastAsia" w:eastAsiaTheme="minorEastAsia" w:cstheme="minorEastAsia"/>
          <w:color w:val="auto"/>
          <w:sz w:val="21"/>
          <w:szCs w:val="21"/>
          <w:highlight w:val="none"/>
        </w:rPr>
        <w:t>21.3</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代理服务费以转账或现金形式缴纳。</w:t>
      </w:r>
    </w:p>
    <w:bookmarkEnd w:id="56"/>
    <w:p w14:paraId="55929084">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7" w:name="_Toc75259357"/>
      <w:bookmarkStart w:id="58" w:name="_Toc10712"/>
      <w:r>
        <w:rPr>
          <w:rFonts w:hint="eastAsia" w:asciiTheme="minorEastAsia" w:hAnsiTheme="minorEastAsia" w:eastAsiaTheme="minorEastAsia" w:cstheme="minorEastAsia"/>
          <w:b/>
          <w:color w:val="auto"/>
          <w:sz w:val="21"/>
          <w:szCs w:val="21"/>
          <w:highlight w:val="none"/>
        </w:rPr>
        <w:t>22．质疑</w:t>
      </w:r>
      <w:bookmarkEnd w:id="57"/>
      <w:bookmarkEnd w:id="58"/>
    </w:p>
    <w:p w14:paraId="56098C5C">
      <w:pPr>
        <w:shd w:val="clear"/>
        <w:spacing w:line="360" w:lineRule="auto"/>
        <w:ind w:firstLine="420" w:firstLineChars="200"/>
        <w:rPr>
          <w:rFonts w:hint="eastAsia" w:ascii="宋体" w:hAnsi="宋体" w:eastAsia="宋体" w:cs="宋体"/>
          <w:color w:val="auto"/>
          <w:sz w:val="21"/>
          <w:szCs w:val="21"/>
        </w:rPr>
      </w:pPr>
      <w:bookmarkStart w:id="59" w:name="_Toc9176"/>
      <w:bookmarkStart w:id="60" w:name="_Toc75259358"/>
      <w:r>
        <w:rPr>
          <w:rFonts w:hint="eastAsia" w:ascii="宋体" w:hAnsi="宋体" w:eastAsia="宋体" w:cs="宋体"/>
          <w:color w:val="auto"/>
          <w:sz w:val="21"/>
          <w:szCs w:val="21"/>
          <w:lang w:val="en-US" w:eastAsia="zh-CN"/>
        </w:rPr>
        <w:t>22.1</w:t>
      </w:r>
      <w:r>
        <w:rPr>
          <w:rFonts w:hint="eastAsia" w:ascii="宋体" w:hAnsi="宋体" w:eastAsia="宋体" w:cs="宋体"/>
          <w:color w:val="auto"/>
          <w:sz w:val="21"/>
          <w:szCs w:val="21"/>
        </w:rPr>
        <w:t>供应商对采购事项有疑问的，应当按照《政府采购质疑和投诉办法》规定，以书面形式向采购人或代理机构提出，经法定代表人签字并加盖公章。</w:t>
      </w:r>
    </w:p>
    <w:p w14:paraId="2AB149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.2供应商认为招标文件、采购过程、中标或者成交结果使自己的权益受到损害的，可以在知道或者应知其权益受到损害之日起7个工作日内，以书面形式向采购人、采购代理机构提出质疑。</w:t>
      </w:r>
    </w:p>
    <w:p w14:paraId="46C0B8C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08BBF8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.4提出质疑的供应商（以下简称质疑供应商）应当是参与所质疑项目采购活动的供应商。潜在供应商已依法获取其可质疑的招标文件的，可以对该文件提出质疑。</w:t>
      </w:r>
    </w:p>
    <w:p w14:paraId="7FCCDCC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.5对招标文件提出质疑的，应当在获取招标文件或者招标文件公告期限届满之日起7个工作日内提出。</w:t>
      </w:r>
    </w:p>
    <w:p w14:paraId="2C6DEA5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10A821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.7有下列情形之一的，属于无效质疑，代理机构可不予受理：</w:t>
      </w:r>
    </w:p>
    <w:p w14:paraId="30A1BDC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（1）未在有效期限内提出质疑的；</w:t>
      </w:r>
    </w:p>
    <w:p w14:paraId="4E56C5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（2）质疑未以书面形式提出的；</w:t>
      </w:r>
    </w:p>
    <w:p w14:paraId="5C68EB8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（3）所提交材料未明示属于质疑材料的；</w:t>
      </w:r>
    </w:p>
    <w:p w14:paraId="54E65F6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71896DD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（5）质疑书未提供有效联系人或联系方式的；</w:t>
      </w:r>
    </w:p>
    <w:p w14:paraId="6302A0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（6）质疑事项已经进入投诉或者诉讼程序的；</w:t>
      </w:r>
    </w:p>
    <w:p w14:paraId="4CF2EBC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（7）其它不符合受理条件的情形。</w:t>
      </w:r>
    </w:p>
    <w:p w14:paraId="24E0CD2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F44A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.9供应商对评审过程、中标或者成交结果提出质疑的，采购人、采购代理机构可以组织原评标委员会、竞争性谈判小组、询价小组或者竞争性磋商小组协助答复质疑。</w:t>
      </w:r>
    </w:p>
    <w:p w14:paraId="5CD4098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.10质疑人有下列情形之一的，代理机构应驳回质疑：</w:t>
      </w:r>
    </w:p>
    <w:p w14:paraId="06ACBC6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（1）质疑缺乏事实和法律依据的；</w:t>
      </w:r>
    </w:p>
    <w:p w14:paraId="70B54F8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（2）质疑人捏造事实、提供虚假材料，或在一定期限内多次质疑而无实据的；</w:t>
      </w:r>
    </w:p>
    <w:p w14:paraId="71B4B4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（3）质疑已经处理并答复后，质疑人就同一事项又提起质疑且未提供新的有效证据的；</w:t>
      </w:r>
    </w:p>
    <w:p w14:paraId="3E6C20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（4）其他根据相关法律、法规应当予以驳回的情形。</w:t>
      </w:r>
    </w:p>
    <w:p w14:paraId="0A160E5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.11供应商进行虚假和恶意质疑的，代理机构可以提请有关部门将其列入不良记录名单，在一至三年内禁止参加政府采购活动，并将处理决定在相关政府采购媒体上公布。</w:t>
      </w:r>
    </w:p>
    <w:p w14:paraId="3907C1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.12采购人、采购代理机构认为供应商质疑不成立，或者成立但未对中标、成交结果构成影响的，继续开展采购活动；认为供应商质疑成立且影响或者可能影响中标、成交结果的，按照下列情况处理：</w:t>
      </w:r>
    </w:p>
    <w:p w14:paraId="1D6F04A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（一）对招标文件提出的质疑，依法通过澄清或者修改可以继续开展采购活动的，澄清或者修改招标文件后继续开展采购活动；否则应当修改招标文件后重新开展采购活动。</w:t>
      </w:r>
    </w:p>
    <w:p w14:paraId="49C46B9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326865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质疑答复导致中标、成交结果改变的，采购人或者采购代理机构应当将有关情况书面报告本级财政部门。</w:t>
      </w:r>
    </w:p>
    <w:p w14:paraId="0EA92D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.13质疑供应商对采购人、采购代理机构的答复不满意，或者采购人、采购代理机构未在规定时间内作出答复的，可以在答复期满后15个工作日内向本办法第六条规定的财政部门提起投诉（投诉书范本见附件2）。</w:t>
      </w:r>
    </w:p>
    <w:p w14:paraId="52A3D094">
      <w:pPr>
        <w:shd w:val="clear"/>
        <w:spacing w:line="360" w:lineRule="auto"/>
        <w:ind w:firstLine="420" w:firstLineChars="200"/>
        <w:rPr>
          <w:rFonts w:hint="eastAsia" w:ascii="宋体" w:hAnsi="宋体" w:eastAsia="宋体" w:cs="宋体"/>
          <w:color w:val="auto"/>
          <w:sz w:val="21"/>
          <w:szCs w:val="21"/>
        </w:rPr>
        <w:sectPr>
          <w:footerReference r:id="rId7" w:type="first"/>
          <w:headerReference r:id="rId5" w:type="default"/>
          <w:footerReference r:id="rId6" w:type="default"/>
          <w:pgSz w:w="11906" w:h="16838"/>
          <w:pgMar w:top="1440" w:right="1440" w:bottom="1440" w:left="1440" w:header="992"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p w14:paraId="630641DE">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附件1</w:t>
      </w:r>
    </w:p>
    <w:p w14:paraId="43E0D0CB">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质疑函范本</w:t>
      </w:r>
    </w:p>
    <w:p w14:paraId="5D74824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14:paraId="276B712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质疑供应商：                                        </w:t>
      </w:r>
    </w:p>
    <w:p w14:paraId="7CFEC1E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2721AE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D05E4B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w:t>
      </w:r>
    </w:p>
    <w:p w14:paraId="740884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3E39C1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1308AC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二、质疑项目基本情况</w:t>
      </w:r>
    </w:p>
    <w:p w14:paraId="0EA7FE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质疑项目的名称：                                      </w:t>
      </w:r>
    </w:p>
    <w:p w14:paraId="4A1F92D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质疑项目的编号：                                      </w:t>
      </w:r>
    </w:p>
    <w:p w14:paraId="703AD07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6F00530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招标文件获取日期：                                    </w:t>
      </w:r>
    </w:p>
    <w:p w14:paraId="21A945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三、质疑事项具体内容</w:t>
      </w:r>
    </w:p>
    <w:p w14:paraId="1D7603A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质疑事项1：                                         </w:t>
      </w:r>
    </w:p>
    <w:p w14:paraId="6F9CDC9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44C81E6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4D82447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14:paraId="60AF3D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69DA0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14:paraId="0C0A913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429E46E1">
      <w:pPr>
        <w:shd w:val="clear"/>
        <w:spacing w:line="360" w:lineRule="auto"/>
        <w:ind w:firstLine="420" w:firstLineChars="200"/>
        <w:rPr>
          <w:rFonts w:hint="eastAsia" w:ascii="宋体" w:hAnsi="宋体" w:eastAsia="宋体" w:cs="宋体"/>
          <w:color w:val="auto"/>
          <w:sz w:val="21"/>
          <w:szCs w:val="21"/>
        </w:rPr>
      </w:pPr>
    </w:p>
    <w:p w14:paraId="7E9BAF9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7F2CC0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1AE9DBC2">
      <w:pPr>
        <w:shd w:val="clear"/>
        <w:spacing w:line="360" w:lineRule="auto"/>
        <w:ind w:firstLine="420" w:firstLineChars="200"/>
        <w:rPr>
          <w:rFonts w:hint="eastAsia" w:ascii="宋体" w:hAnsi="宋体" w:eastAsia="宋体" w:cs="宋体"/>
          <w:color w:val="auto"/>
          <w:sz w:val="21"/>
          <w:szCs w:val="21"/>
        </w:rPr>
      </w:pPr>
    </w:p>
    <w:p w14:paraId="1D71111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质疑函制作说明：</w:t>
      </w:r>
    </w:p>
    <w:p w14:paraId="02AA35E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C99F2A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0C25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56E7FE4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07D25B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6905563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08D73787">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8"/>
          <w:szCs w:val="28"/>
        </w:rPr>
        <w:br w:type="page"/>
      </w:r>
      <w:r>
        <w:rPr>
          <w:rFonts w:hint="eastAsia" w:ascii="宋体" w:hAnsi="宋体" w:eastAsia="宋体" w:cs="宋体"/>
          <w:b/>
          <w:bCs/>
          <w:color w:val="auto"/>
          <w:sz w:val="21"/>
          <w:szCs w:val="21"/>
        </w:rPr>
        <w:t>附件2</w:t>
      </w:r>
    </w:p>
    <w:p w14:paraId="53D6C2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投诉书范本</w:t>
      </w:r>
    </w:p>
    <w:p w14:paraId="35A783C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E9BD3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                                               </w:t>
      </w:r>
    </w:p>
    <w:p w14:paraId="3E9CC4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32CAC14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法定代表人/主要负责人：                                </w:t>
      </w:r>
    </w:p>
    <w:p w14:paraId="1FA0540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679C540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联系电话：                    </w:t>
      </w:r>
    </w:p>
    <w:p w14:paraId="2B541A5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2B3EA73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被投诉人1：                                            </w:t>
      </w:r>
    </w:p>
    <w:p w14:paraId="7CAF8B3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BDBAA8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5B2FD5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673C644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65BFB11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相关供应商：                                           </w:t>
      </w:r>
    </w:p>
    <w:p w14:paraId="40818AE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CF95E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1EFC603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55550BE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采购项目名称：                                         </w:t>
      </w:r>
    </w:p>
    <w:p w14:paraId="0BEF262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采购项目编号：                                        </w:t>
      </w:r>
    </w:p>
    <w:p w14:paraId="5A3372E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501DB3B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代理机构名称：                                         </w:t>
      </w:r>
    </w:p>
    <w:p w14:paraId="3586282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招标文件公告:是/否     公告期限：                      </w:t>
      </w:r>
    </w:p>
    <w:p w14:paraId="1A058A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采购结果公告:是/否     公告期限：                      </w:t>
      </w:r>
    </w:p>
    <w:p w14:paraId="45639C0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10462C4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投诉人于       年   月  日,向                      提出质疑，质疑事项为：                                </w:t>
      </w:r>
    </w:p>
    <w:p w14:paraId="71EE53F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采购人/代理机构于      年   月   日,就质疑事项作出了答复/没有在法定期限内作出答复。</w:t>
      </w:r>
    </w:p>
    <w:p w14:paraId="269BCB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5E3D6E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投诉事项 1：                                       </w:t>
      </w:r>
    </w:p>
    <w:p w14:paraId="72915B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717F859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562712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7D0B34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CE85DA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068CDBD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6838AD8A">
      <w:pPr>
        <w:shd w:val="clear"/>
        <w:spacing w:line="360" w:lineRule="auto"/>
        <w:ind w:firstLine="420" w:firstLineChars="200"/>
        <w:rPr>
          <w:rFonts w:hint="eastAsia" w:ascii="宋体" w:hAnsi="宋体" w:eastAsia="宋体" w:cs="宋体"/>
          <w:color w:val="auto"/>
          <w:sz w:val="21"/>
          <w:szCs w:val="21"/>
        </w:rPr>
      </w:pPr>
    </w:p>
    <w:p w14:paraId="0151DF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322CA3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5A6DEE19">
      <w:pPr>
        <w:shd w:val="clear"/>
        <w:spacing w:line="360" w:lineRule="auto"/>
        <w:outlineLvl w:val="9"/>
        <w:rPr>
          <w:rFonts w:hint="eastAsia" w:ascii="宋体" w:hAnsi="宋体" w:eastAsia="宋体" w:cs="宋体"/>
          <w:color w:val="auto"/>
          <w:sz w:val="28"/>
          <w:szCs w:val="28"/>
        </w:rPr>
      </w:pPr>
    </w:p>
    <w:p w14:paraId="48F3DE00">
      <w:pPr>
        <w:shd w:val="clear"/>
        <w:spacing w:line="360" w:lineRule="auto"/>
        <w:ind w:firstLine="560" w:firstLineChars="200"/>
        <w:outlineLvl w:val="9"/>
        <w:rPr>
          <w:rFonts w:hint="eastAsia" w:ascii="宋体" w:hAnsi="宋体" w:eastAsia="宋体" w:cs="宋体"/>
          <w:color w:val="auto"/>
          <w:sz w:val="28"/>
          <w:szCs w:val="28"/>
        </w:rPr>
      </w:pPr>
    </w:p>
    <w:p w14:paraId="3B8F2A24">
      <w:pPr>
        <w:shd w:val="clear"/>
        <w:spacing w:line="360" w:lineRule="auto"/>
        <w:ind w:firstLine="560" w:firstLineChars="200"/>
        <w:outlineLvl w:val="9"/>
        <w:rPr>
          <w:rFonts w:hint="eastAsia" w:ascii="宋体" w:hAnsi="宋体" w:eastAsia="宋体" w:cs="宋体"/>
          <w:color w:val="auto"/>
          <w:sz w:val="28"/>
          <w:szCs w:val="28"/>
        </w:rPr>
      </w:pPr>
    </w:p>
    <w:p w14:paraId="41976380">
      <w:pPr>
        <w:shd w:val="clear"/>
        <w:spacing w:line="360" w:lineRule="auto"/>
        <w:ind w:firstLine="560" w:firstLineChars="200"/>
        <w:outlineLvl w:val="9"/>
        <w:rPr>
          <w:rFonts w:hint="eastAsia" w:ascii="宋体" w:hAnsi="宋体" w:eastAsia="宋体" w:cs="宋体"/>
          <w:color w:val="auto"/>
          <w:sz w:val="28"/>
          <w:szCs w:val="28"/>
        </w:rPr>
      </w:pPr>
    </w:p>
    <w:p w14:paraId="6CB1FF7D">
      <w:pPr>
        <w:shd w:val="clear"/>
        <w:spacing w:line="360" w:lineRule="auto"/>
        <w:ind w:firstLine="560" w:firstLineChars="200"/>
        <w:outlineLvl w:val="9"/>
        <w:rPr>
          <w:rFonts w:hint="eastAsia" w:ascii="宋体" w:hAnsi="宋体" w:eastAsia="宋体" w:cs="宋体"/>
          <w:color w:val="auto"/>
          <w:sz w:val="28"/>
          <w:szCs w:val="28"/>
        </w:rPr>
      </w:pPr>
    </w:p>
    <w:p w14:paraId="36EC14F9">
      <w:pPr>
        <w:shd w:val="clear"/>
        <w:spacing w:line="360" w:lineRule="auto"/>
        <w:ind w:firstLine="560" w:firstLineChars="200"/>
        <w:outlineLvl w:val="9"/>
        <w:rPr>
          <w:rFonts w:hint="eastAsia" w:ascii="宋体" w:hAnsi="宋体" w:eastAsia="宋体" w:cs="宋体"/>
          <w:color w:val="auto"/>
          <w:sz w:val="28"/>
          <w:szCs w:val="28"/>
        </w:rPr>
      </w:pPr>
    </w:p>
    <w:p w14:paraId="26E76CA6">
      <w:pPr>
        <w:shd w:val="clear"/>
        <w:spacing w:line="360" w:lineRule="auto"/>
        <w:ind w:firstLine="560" w:firstLineChars="200"/>
        <w:outlineLvl w:val="9"/>
        <w:rPr>
          <w:rFonts w:hint="eastAsia" w:ascii="宋体" w:hAnsi="宋体" w:eastAsia="宋体" w:cs="宋体"/>
          <w:color w:val="auto"/>
          <w:sz w:val="28"/>
          <w:szCs w:val="28"/>
        </w:rPr>
      </w:pPr>
    </w:p>
    <w:p w14:paraId="169A971B">
      <w:pPr>
        <w:shd w:val="clear"/>
        <w:spacing w:line="360" w:lineRule="auto"/>
        <w:ind w:firstLine="560" w:firstLineChars="200"/>
        <w:outlineLvl w:val="9"/>
        <w:rPr>
          <w:rFonts w:hint="eastAsia" w:ascii="宋体" w:hAnsi="宋体" w:eastAsia="宋体" w:cs="宋体"/>
          <w:color w:val="auto"/>
          <w:sz w:val="28"/>
          <w:szCs w:val="28"/>
        </w:rPr>
      </w:pPr>
    </w:p>
    <w:p w14:paraId="65E00493">
      <w:pPr>
        <w:shd w:val="clear"/>
        <w:spacing w:line="360" w:lineRule="auto"/>
        <w:ind w:firstLine="560" w:firstLineChars="200"/>
        <w:outlineLvl w:val="9"/>
        <w:rPr>
          <w:rFonts w:hint="eastAsia" w:ascii="宋体" w:hAnsi="宋体" w:eastAsia="宋体" w:cs="宋体"/>
          <w:color w:val="auto"/>
          <w:sz w:val="28"/>
          <w:szCs w:val="28"/>
        </w:rPr>
      </w:pPr>
    </w:p>
    <w:p w14:paraId="4CBFEE3B">
      <w:pPr>
        <w:shd w:val="clear"/>
        <w:spacing w:line="360" w:lineRule="auto"/>
        <w:ind w:firstLine="560" w:firstLineChars="200"/>
        <w:outlineLvl w:val="9"/>
        <w:rPr>
          <w:rFonts w:hint="eastAsia" w:ascii="宋体" w:hAnsi="宋体" w:eastAsia="宋体" w:cs="宋体"/>
          <w:color w:val="auto"/>
          <w:sz w:val="28"/>
          <w:szCs w:val="28"/>
        </w:rPr>
      </w:pPr>
    </w:p>
    <w:p w14:paraId="1AB5D497">
      <w:pPr>
        <w:shd w:val="clear"/>
        <w:spacing w:line="360" w:lineRule="auto"/>
        <w:ind w:firstLine="560" w:firstLineChars="200"/>
        <w:outlineLvl w:val="9"/>
        <w:rPr>
          <w:rFonts w:hint="eastAsia" w:ascii="宋体" w:hAnsi="宋体" w:eastAsia="宋体" w:cs="宋体"/>
          <w:color w:val="auto"/>
          <w:sz w:val="28"/>
          <w:szCs w:val="28"/>
        </w:rPr>
      </w:pPr>
    </w:p>
    <w:p w14:paraId="78F2565F">
      <w:pPr>
        <w:shd w:val="clear"/>
        <w:spacing w:line="360" w:lineRule="auto"/>
        <w:ind w:firstLine="560" w:firstLineChars="200"/>
        <w:rPr>
          <w:rFonts w:hint="eastAsia" w:ascii="宋体" w:hAnsi="宋体" w:eastAsia="宋体" w:cs="宋体"/>
          <w:color w:val="auto"/>
          <w:sz w:val="28"/>
          <w:szCs w:val="28"/>
        </w:rPr>
      </w:pPr>
    </w:p>
    <w:p w14:paraId="7E6073A0">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376AA1AA">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投诉书制作说明：</w:t>
      </w:r>
    </w:p>
    <w:p w14:paraId="43E20C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2958F5F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8BF52D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7814C5D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18B2868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71F7AE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ED34955">
      <w:pPr>
        <w:shd w:val="clea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228F08F1">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08EC3644">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23</w:t>
      </w:r>
      <w:bookmarkStart w:id="61" w:name="_Toc44581001"/>
      <w:bookmarkStart w:id="62" w:name="_Toc44581543"/>
      <w:r>
        <w:rPr>
          <w:rFonts w:hint="eastAsia" w:asciiTheme="minorEastAsia" w:hAnsiTheme="minorEastAsia" w:eastAsiaTheme="minorEastAsia" w:cstheme="minorEastAsia"/>
          <w:b/>
          <w:color w:val="auto"/>
          <w:sz w:val="21"/>
          <w:szCs w:val="21"/>
          <w:highlight w:val="none"/>
        </w:rPr>
        <w:t>．需要落实的政府采购政策</w:t>
      </w:r>
      <w:bookmarkEnd w:id="59"/>
      <w:bookmarkEnd w:id="60"/>
      <w:bookmarkEnd w:id="61"/>
      <w:bookmarkEnd w:id="62"/>
      <w:bookmarkStart w:id="63" w:name="_Hlk63418170"/>
    </w:p>
    <w:bookmarkEnd w:id="63"/>
    <w:p w14:paraId="7BC1F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23.1落实促进支持中小企业、监狱企业、残疾人福利性单位发展、脱贫攻坚工作的政策(如专门面向中小企业的采购项目（或</w:t>
      </w:r>
      <w:r>
        <w:rPr>
          <w:rFonts w:hint="eastAsia" w:asciiTheme="minorEastAsia" w:hAnsiTheme="minorEastAsia" w:cstheme="minorEastAsia"/>
          <w:color w:val="auto"/>
          <w:sz w:val="21"/>
          <w:szCs w:val="21"/>
          <w:highlight w:val="none"/>
          <w:lang w:val="en-US" w:eastAsia="zh-CN"/>
        </w:rPr>
        <w:t>合同</w:t>
      </w:r>
      <w:r>
        <w:rPr>
          <w:rFonts w:hint="eastAsia" w:asciiTheme="minorEastAsia" w:hAnsiTheme="minorEastAsia" w:eastAsiaTheme="minorEastAsia" w:cstheme="minorEastAsia"/>
          <w:color w:val="auto"/>
          <w:sz w:val="21"/>
          <w:szCs w:val="21"/>
          <w:highlight w:val="none"/>
        </w:rPr>
        <w:t>包），不执行</w:t>
      </w:r>
      <w:r>
        <w:rPr>
          <w:rFonts w:hint="eastAsia" w:asciiTheme="minorEastAsia" w:hAnsiTheme="minorEastAsia" w:eastAsiaTheme="minorEastAsia" w:cstheme="minorEastAsia"/>
          <w:color w:val="auto"/>
          <w:sz w:val="21"/>
          <w:szCs w:val="21"/>
          <w:highlight w:val="none"/>
          <w:lang w:val="en-US" w:eastAsia="zh-CN"/>
        </w:rPr>
        <w:t>23.1.1/23.1.2/23.1.3</w:t>
      </w:r>
      <w:r>
        <w:rPr>
          <w:rFonts w:hint="eastAsia" w:asciiTheme="minorEastAsia" w:hAnsiTheme="minorEastAsia" w:eastAsiaTheme="minorEastAsia" w:cstheme="minorEastAsia"/>
          <w:color w:val="auto"/>
          <w:sz w:val="21"/>
          <w:szCs w:val="21"/>
          <w:highlight w:val="none"/>
        </w:rPr>
        <w:t>条款)。</w:t>
      </w:r>
    </w:p>
    <w:p w14:paraId="65B42F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23.1.1 《政府采购促进中小企业发展管理办法》（财库〔2020〕46号）</w:t>
      </w:r>
    </w:p>
    <w:p w14:paraId="729566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在政府采购活动中，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w:t>
      </w:r>
      <w:r>
        <w:rPr>
          <w:rFonts w:hint="eastAsia" w:asciiTheme="minorEastAsia" w:hAnsi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符合下列情形的，享受《办法》规定的中小企业扶持政策:</w:t>
      </w:r>
    </w:p>
    <w:p w14:paraId="1538A6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(一)在货物采购项目中，货物由中小企业制造，即货物由中小企业生产且使用该中小企业商号或者注册商标；</w:t>
      </w:r>
    </w:p>
    <w:p w14:paraId="7C866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(二)在工程采购项目中，工程由中小企业承建，即工程施工单位为中小企业；</w:t>
      </w:r>
    </w:p>
    <w:p w14:paraId="497359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(三)在服务采购项目中，服务由中小企业承接，即提供服务的人员为中小企业依照《中华人民共和国劳动合同法》订立劳动合同的从业人员。</w:t>
      </w:r>
    </w:p>
    <w:p w14:paraId="0BFC80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在货物采购项目中，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提供的货物既有中小企业制造货物，也有大型企业制造货物的，不享受《办法》规定的中小企业扶持政策。</w:t>
      </w:r>
    </w:p>
    <w:p w14:paraId="7A7B54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以联合体形式参加政府采购活动，联合体各方均为中小企业的，联合体视同中小企业。其中，联合体各方均为小微企业的，联合体视同小微企业。</w:t>
      </w:r>
    </w:p>
    <w:p w14:paraId="3E1B9B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依据《办法》规定享受扶持政策获得政府采购合同的，小微企业不得将合同分包给大中型企业，中型企业不得将合同分包给大型企业。</w:t>
      </w:r>
    </w:p>
    <w:p w14:paraId="661B6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根据《办法》规定，参加政府采购活动的中小企业应当提供《中小企业声明函》。</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提供的《中小企业声明函》原件必须真实，否则，按照有关规定予以处理。</w:t>
      </w:r>
    </w:p>
    <w:p w14:paraId="529378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根据《办法》规定</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工程采购项目中</w:t>
      </w:r>
      <w:r>
        <w:rPr>
          <w:rFonts w:hint="eastAsia" w:asciiTheme="minorEastAsia" w:hAnsiTheme="minorEastAsia" w:eastAsiaTheme="minorEastAsia" w:cstheme="minorEastAsia"/>
          <w:color w:val="auto"/>
          <w:sz w:val="21"/>
          <w:szCs w:val="21"/>
          <w:highlight w:val="none"/>
        </w:rPr>
        <w:t>对符合规定的小微企业报价给予</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w:t>
      </w:r>
      <w:r>
        <w:rPr>
          <w:rFonts w:hint="eastAsia" w:asciiTheme="minorEastAsia" w:hAnsiTheme="minorEastAsia" w:cstheme="minorEastAsia"/>
          <w:color w:val="auto"/>
          <w:sz w:val="21"/>
          <w:szCs w:val="21"/>
          <w:highlight w:val="none"/>
          <w:lang w:eastAsia="zh-CN"/>
        </w:rPr>
        <w:t>。</w:t>
      </w:r>
    </w:p>
    <w:p w14:paraId="10958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陕西省财政厅关于落实政府采购支持中小企业政策有关事项的通知</w:t>
      </w:r>
      <w:r>
        <w:rPr>
          <w:rFonts w:hint="eastAsia" w:asciiTheme="minorEastAsia" w:hAnsiTheme="minorEastAsia" w:eastAsiaTheme="minorEastAsia" w:cstheme="minorEastAsia"/>
          <w:color w:val="auto"/>
          <w:sz w:val="21"/>
          <w:szCs w:val="21"/>
          <w:highlight w:val="none"/>
          <w:lang w:eastAsia="zh-CN"/>
        </w:rPr>
        <w:t>》（陕财办采函〔2022〕10号）</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w:t>
      </w:r>
      <w:r>
        <w:rPr>
          <w:rFonts w:hint="eastAsia" w:asciiTheme="minorEastAsia" w:hAnsi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对符合规定的小微企业报价给予10%</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服务采购项目联合协议或者分包意向协议约定小微企业的合同份额占到合同总金额30%以上的，对联合体或者大中型企业的报价给予4%的扣除，用扣除后的价格参加评审。适用</w:t>
      </w:r>
      <w:r>
        <w:rPr>
          <w:rFonts w:hint="eastAsia" w:asciiTheme="minorEastAsia" w:hAnsiTheme="minorEastAsia" w:cstheme="minorEastAsia"/>
          <w:color w:val="auto"/>
          <w:sz w:val="21"/>
          <w:szCs w:val="21"/>
          <w:highlight w:val="none"/>
          <w:lang w:eastAsia="zh-CN"/>
        </w:rPr>
        <w:t>采购响应</w:t>
      </w:r>
      <w:r>
        <w:rPr>
          <w:rFonts w:hint="eastAsia" w:asciiTheme="minorEastAsia" w:hAnsiTheme="minorEastAsia" w:eastAsiaTheme="minorEastAsia" w:cstheme="minorEastAsia"/>
          <w:color w:val="auto"/>
          <w:sz w:val="21"/>
          <w:szCs w:val="21"/>
          <w:highlight w:val="none"/>
        </w:rPr>
        <w:t>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6AF2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23.1.2 《财政部 司法部关于政府采购支持监狱企业发展有关问题的通知》（财库〔2014〕68号）</w:t>
      </w:r>
    </w:p>
    <w:p w14:paraId="743D8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监狱企业参加政府采购活动时，应当提供由省级以上监狱管理局、戒毒管理局（含新疆生产建设兵团）出具的属于监狱企业的证明文件。在政府采购活动中，监狱企业视同小型、微型企业。</w:t>
      </w:r>
    </w:p>
    <w:p w14:paraId="7E18C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23.1.3 《三部门联合发布关于促进残疾人就业政府采购政策的通知》（财库〔2017〕141号）；</w:t>
      </w:r>
    </w:p>
    <w:p w14:paraId="0F948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AB93C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23.2落实优先采购节能、环保产品的政策</w:t>
      </w:r>
    </w:p>
    <w:p w14:paraId="2B925E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23.2.1 根据《财政部 国家发展改革委关于印发〈节能产品政府采购实施意见〉的通知》（财库〔2004〕185号）规定“政府采购属于节能产品品目清单的，在技术、服务等指标同等条件下，应当优先采购节能品目清单的节能产品。”</w:t>
      </w:r>
    </w:p>
    <w:p w14:paraId="42896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78379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BA915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360E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 “节能产品政府采购品目清单”的，应提供相关证书复印件，相关证书的颁发机构应来自《参与实施政府采购节能产品认证机构名录》。</w:t>
      </w:r>
    </w:p>
    <w:p w14:paraId="1EC71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产品进入“环境标志产品政府采购品目清单”的，应提供相关证书复印件，相关证书的颁发机构应来自《参与实施政府采购环境标志产品认证机构名录》。</w:t>
      </w:r>
    </w:p>
    <w:p w14:paraId="48E8A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23.3政府采购信用融资政策</w:t>
      </w:r>
    </w:p>
    <w:p w14:paraId="7ECC11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政府采购信用融资是指银行业金融机构以政府采购诚信考核和信用审查为基础，凭借政府采购合同，按优于一般中小企业的贷款利率直接向申请贷款的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发放贷款的一种融资方式。融资金额未超过政府采购合同金额的，银行原则上不得要求</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提供财产抵押或第三方担保或其他任何形式的担保条件。</w:t>
      </w:r>
    </w:p>
    <w:p w14:paraId="559AB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陕西省财政厅关于印发〈陕西省中小企业政府采购信用融资办法〉的通知》（陕财办采〔2018〕23号）、《陕西省财政厅关于加快推进我省中小企业政府采购信用融资工作的通知》（陕财办采[2020]15号），有融资需求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可根据自身情况，在“陕西政府采购信用融资平台（含各市分平台）”查询并办理相关业务。</w:t>
      </w:r>
    </w:p>
    <w:p w14:paraId="5040832F">
      <w:pPr>
        <w:rPr>
          <w:rFonts w:hint="eastAsia" w:ascii="宋体" w:hAnsi="宋体"/>
          <w:b/>
          <w:color w:val="auto"/>
          <w:sz w:val="32"/>
          <w:szCs w:val="36"/>
          <w:highlight w:val="none"/>
        </w:rPr>
      </w:pPr>
      <w:bookmarkStart w:id="64" w:name="__RefHeading___Toc413314952"/>
      <w:bookmarkEnd w:id="64"/>
      <w:bookmarkStart w:id="65" w:name="_Toc75259359"/>
      <w:r>
        <w:rPr>
          <w:rFonts w:hint="eastAsia" w:ascii="宋体" w:hAnsi="宋体"/>
          <w:b/>
          <w:color w:val="auto"/>
          <w:sz w:val="32"/>
          <w:szCs w:val="36"/>
          <w:highlight w:val="none"/>
        </w:rPr>
        <w:br w:type="page"/>
      </w:r>
    </w:p>
    <w:p w14:paraId="1E739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b/>
          <w:color w:val="auto"/>
          <w:sz w:val="32"/>
          <w:szCs w:val="36"/>
          <w:highlight w:val="none"/>
          <w:lang w:val="en-US" w:eastAsia="zh-CN"/>
        </w:rPr>
      </w:pPr>
      <w:bookmarkStart w:id="66" w:name="_Toc23982"/>
      <w:bookmarkStart w:id="67" w:name="_Toc2709"/>
      <w:bookmarkStart w:id="68" w:name="_Toc174"/>
      <w:r>
        <w:rPr>
          <w:rFonts w:hint="eastAsia" w:ascii="宋体" w:hAnsi="宋体"/>
          <w:b/>
          <w:color w:val="auto"/>
          <w:sz w:val="32"/>
          <w:szCs w:val="36"/>
          <w:highlight w:val="none"/>
        </w:rPr>
        <w:t>第</w:t>
      </w:r>
      <w:r>
        <w:rPr>
          <w:rFonts w:hint="eastAsia" w:ascii="宋体" w:hAnsi="宋体"/>
          <w:b/>
          <w:color w:val="auto"/>
          <w:sz w:val="32"/>
          <w:szCs w:val="36"/>
          <w:highlight w:val="none"/>
          <w:lang w:val="en-US" w:eastAsia="zh-CN"/>
        </w:rPr>
        <w:t>四</w:t>
      </w:r>
      <w:r>
        <w:rPr>
          <w:rFonts w:hint="eastAsia" w:ascii="宋体" w:hAnsi="宋体"/>
          <w:b/>
          <w:color w:val="auto"/>
          <w:sz w:val="32"/>
          <w:szCs w:val="36"/>
          <w:highlight w:val="none"/>
        </w:rPr>
        <w:t>部分</w:t>
      </w:r>
      <w:bookmarkEnd w:id="65"/>
      <w:r>
        <w:rPr>
          <w:rFonts w:hint="eastAsia" w:ascii="宋体" w:hAnsi="宋体"/>
          <w:b/>
          <w:color w:val="auto"/>
          <w:sz w:val="32"/>
          <w:szCs w:val="36"/>
          <w:highlight w:val="none"/>
          <w:lang w:val="en-US" w:eastAsia="zh-CN"/>
        </w:rPr>
        <w:t xml:space="preserve"> </w:t>
      </w:r>
      <w:r>
        <w:rPr>
          <w:rFonts w:hint="eastAsia" w:ascii="宋体" w:hAnsi="宋体"/>
          <w:b/>
          <w:color w:val="auto"/>
          <w:sz w:val="32"/>
          <w:szCs w:val="36"/>
          <w:highlight w:val="none"/>
        </w:rPr>
        <w:t>采购</w:t>
      </w:r>
      <w:r>
        <w:rPr>
          <w:rFonts w:hint="eastAsia" w:ascii="宋体" w:hAnsi="宋体"/>
          <w:b/>
          <w:color w:val="auto"/>
          <w:sz w:val="32"/>
          <w:szCs w:val="36"/>
          <w:highlight w:val="none"/>
          <w:lang w:val="en-US" w:eastAsia="zh-CN"/>
        </w:rPr>
        <w:t>需求</w:t>
      </w:r>
      <w:bookmarkEnd w:id="66"/>
      <w:bookmarkEnd w:id="67"/>
      <w:bookmarkEnd w:id="68"/>
    </w:p>
    <w:p w14:paraId="32FD60F5">
      <w:pPr>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eastAsia="宋体" w:cs="宋体"/>
          <w:b/>
          <w:bCs/>
          <w:color w:val="auto"/>
          <w:sz w:val="21"/>
          <w:szCs w:val="21"/>
          <w:highlight w:val="none"/>
        </w:rPr>
      </w:pPr>
      <w:bookmarkStart w:id="69" w:name="_Toc15647"/>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要求</w:t>
      </w:r>
    </w:p>
    <w:p w14:paraId="0FE8E50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1.1</w:t>
      </w:r>
      <w:r>
        <w:rPr>
          <w:rFonts w:hint="eastAsia" w:ascii="宋体" w:hAnsi="宋体" w:eastAsia="宋体" w:cs="宋体"/>
          <w:color w:val="auto"/>
          <w:sz w:val="21"/>
          <w:szCs w:val="16"/>
          <w:highlight w:val="none"/>
        </w:rPr>
        <w:t>项目名称</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吴起县周湾镇2025年重点工程配套以工代赈示范项目</w:t>
      </w:r>
      <w:r>
        <w:rPr>
          <w:rFonts w:hint="eastAsia" w:ascii="宋体" w:hAnsi="宋体" w:eastAsia="宋体" w:cs="宋体"/>
          <w:color w:val="auto"/>
          <w:sz w:val="21"/>
          <w:szCs w:val="16"/>
          <w:highlight w:val="none"/>
          <w:lang w:eastAsia="zh-CN"/>
        </w:rPr>
        <w:t>；</w:t>
      </w:r>
    </w:p>
    <w:p w14:paraId="3EAAC43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1.2工期</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60日历天；</w:t>
      </w:r>
    </w:p>
    <w:p w14:paraId="4018F76B">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1.3工程</w:t>
      </w:r>
      <w:r>
        <w:rPr>
          <w:rFonts w:hint="eastAsia" w:ascii="宋体" w:hAnsi="宋体" w:eastAsia="宋体" w:cs="宋体"/>
          <w:color w:val="auto"/>
          <w:sz w:val="21"/>
          <w:szCs w:val="16"/>
          <w:highlight w:val="none"/>
        </w:rPr>
        <w:t>地点：</w:t>
      </w:r>
      <w:r>
        <w:rPr>
          <w:rFonts w:hint="eastAsia" w:ascii="宋体" w:hAnsi="宋体" w:eastAsia="宋体" w:cs="宋体"/>
          <w:color w:val="auto"/>
          <w:sz w:val="21"/>
          <w:szCs w:val="16"/>
          <w:highlight w:val="none"/>
          <w:lang w:eastAsia="zh-CN"/>
        </w:rPr>
        <w:t>周湾镇座米沟；</w:t>
      </w:r>
    </w:p>
    <w:p w14:paraId="4719C565">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1.4</w:t>
      </w:r>
      <w:r>
        <w:rPr>
          <w:rFonts w:hint="eastAsia" w:ascii="宋体" w:hAnsi="宋体" w:eastAsia="宋体" w:cs="宋体"/>
          <w:color w:val="auto"/>
          <w:sz w:val="21"/>
          <w:szCs w:val="16"/>
          <w:highlight w:val="none"/>
        </w:rPr>
        <w:t>付款方式：</w:t>
      </w:r>
      <w:r>
        <w:rPr>
          <w:rFonts w:hint="eastAsia" w:ascii="宋体" w:hAnsi="宋体" w:eastAsia="宋体" w:cs="宋体"/>
          <w:color w:val="auto"/>
          <w:sz w:val="21"/>
          <w:szCs w:val="16"/>
          <w:highlight w:val="none"/>
          <w:lang w:val="en-US" w:eastAsia="zh-CN"/>
        </w:rPr>
        <w:t>采购合同签订后预付款比例不低于40%；</w:t>
      </w:r>
    </w:p>
    <w:p w14:paraId="4F8CF2A6">
      <w:pPr>
        <w:keepNext/>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1.5</w:t>
      </w:r>
      <w:r>
        <w:rPr>
          <w:rFonts w:hint="eastAsia" w:ascii="宋体" w:hAnsi="宋体" w:eastAsia="宋体" w:cs="宋体"/>
          <w:color w:val="auto"/>
          <w:sz w:val="21"/>
          <w:szCs w:val="16"/>
          <w:highlight w:val="none"/>
          <w:lang w:eastAsia="zh-CN"/>
        </w:rPr>
        <w:t>质量要求：</w:t>
      </w:r>
      <w:r>
        <w:rPr>
          <w:rFonts w:hint="eastAsia" w:ascii="宋体" w:hAnsi="宋体" w:eastAsia="宋体" w:cs="宋体"/>
          <w:color w:val="auto"/>
          <w:sz w:val="21"/>
          <w:szCs w:val="16"/>
          <w:highlight w:val="none"/>
          <w:lang w:val="en-US" w:eastAsia="zh-CN"/>
        </w:rPr>
        <w:t>合格</w:t>
      </w:r>
      <w:r>
        <w:rPr>
          <w:rFonts w:hint="eastAsia" w:ascii="宋体" w:hAnsi="宋体" w:eastAsia="宋体" w:cs="宋体"/>
          <w:color w:val="auto"/>
          <w:sz w:val="21"/>
          <w:szCs w:val="16"/>
          <w:highlight w:val="none"/>
          <w:lang w:eastAsia="zh-CN"/>
        </w:rPr>
        <w:t>。</w:t>
      </w:r>
    </w:p>
    <w:bookmarkEnd w:id="69"/>
    <w:p w14:paraId="69E9B6B4">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2.施工范围及工作内容</w:t>
      </w:r>
    </w:p>
    <w:p w14:paraId="294C2B05">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级公路Ⅱ类，新建沥青混凝土路面7.2km(共计三条道路)，路宽3.5m，路基宽4.5m，填方1154m³，挖方43321m³。配套排水、路基防护、安全设施等。详细看工程量清单。“能用人工的尽量不用机械”区分劳务工程量和机械工程量，本项目属于以工代赈项目加强对吸纳带动当地群众务工就业。要在项目实施方案中专门设置“项目用工需求和劳务报酬测算”等，科学论证工程建设的务工岗位设置、用工数量和工时、技能培训人员数量等，本项目必须要有项目所在地群众参与实施、所发放的劳务报酬及群众参与人数需符合《国家以工代赈管理办法》、《陕西省“十四五”以工代赈实施方案》、《延安市发展和改革委员会文件》（延发改发〔2024】159号）等相关政策文件。</w:t>
      </w:r>
    </w:p>
    <w:p w14:paraId="526901B9">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3.需执行的国家相关标准、行业标准、地方标准或者其他标准、规范</w:t>
      </w:r>
    </w:p>
    <w:p w14:paraId="740F0B2D">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《中华人民共和国建筑法》《建筑工程施工质量验收统一标准》《建筑施工安全检查标准》《建筑工程施工安全技术操作规程》等相关标准。</w:t>
      </w:r>
    </w:p>
    <w:p w14:paraId="21D8839B">
      <w:pPr>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4.实施要求：</w:t>
      </w:r>
    </w:p>
    <w:p w14:paraId="4B8CD727">
      <w:pPr>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包括但不限于项目实施需满足的质量、安全、文明施工、工期等要求；遵循国家规范要求</w:t>
      </w:r>
    </w:p>
    <w:p w14:paraId="4E156AE6">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5.质量保证及验收标准等：</w:t>
      </w:r>
    </w:p>
    <w:p w14:paraId="311854F5">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达到GB50300-2013《建筑工程施工质量验收统一标准》合格等级。 </w:t>
      </w:r>
    </w:p>
    <w:p w14:paraId="64FAB1F3">
      <w:pPr>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6.采购清单（另附）</w:t>
      </w:r>
    </w:p>
    <w:p w14:paraId="79849018">
      <w:pPr>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eastAsia="宋体" w:cs="宋体"/>
          <w:color w:val="auto"/>
          <w:sz w:val="21"/>
          <w:szCs w:val="16"/>
          <w:highlight w:val="none"/>
          <w:lang w:val="en-US" w:eastAsia="zh-CN"/>
        </w:rPr>
      </w:pPr>
    </w:p>
    <w:p w14:paraId="3F37C2A5">
      <w:pPr>
        <w:jc w:val="center"/>
        <w:rPr>
          <w:rFonts w:hint="eastAsia" w:ascii="宋体" w:hAnsi="宋体" w:eastAsia="宋体" w:cs="宋体"/>
          <w:b/>
          <w:bCs/>
          <w:color w:val="auto"/>
          <w:sz w:val="32"/>
          <w:szCs w:val="32"/>
          <w:highlight w:val="none"/>
          <w:lang w:val="en-US" w:eastAsia="zh-CN"/>
        </w:rPr>
      </w:pPr>
      <w:bookmarkStart w:id="70" w:name="_Toc28317"/>
      <w:r>
        <w:rPr>
          <w:rFonts w:hint="eastAsia" w:ascii="宋体" w:hAnsi="宋体" w:eastAsia="宋体" w:cs="宋体"/>
          <w:b/>
          <w:bCs/>
          <w:color w:val="auto"/>
          <w:sz w:val="32"/>
          <w:szCs w:val="32"/>
          <w:highlight w:val="none"/>
          <w:lang w:val="en-US" w:eastAsia="zh-CN"/>
        </w:rPr>
        <w:br w:type="page"/>
      </w:r>
      <w:bookmarkStart w:id="71" w:name="_Toc15721"/>
      <w:bookmarkStart w:id="72" w:name="_Toc21317"/>
      <w:r>
        <w:rPr>
          <w:rFonts w:hint="eastAsia" w:ascii="宋体" w:hAnsi="宋体" w:eastAsia="宋体" w:cs="宋体"/>
          <w:b/>
          <w:bCs/>
          <w:color w:val="auto"/>
          <w:sz w:val="32"/>
          <w:szCs w:val="32"/>
          <w:highlight w:val="none"/>
          <w:lang w:val="en-US" w:eastAsia="zh-CN"/>
        </w:rPr>
        <w:t>第五部分 拟签订合同文本</w:t>
      </w:r>
      <w:bookmarkEnd w:id="70"/>
      <w:bookmarkEnd w:id="71"/>
      <w:bookmarkEnd w:id="72"/>
    </w:p>
    <w:p w14:paraId="148071B9">
      <w:pPr>
        <w:numPr>
          <w:ilvl w:val="0"/>
          <w:numId w:val="0"/>
        </w:numPr>
        <w:shd w:val="clear"/>
        <w:spacing w:line="480" w:lineRule="auto"/>
        <w:jc w:val="both"/>
        <w:rPr>
          <w:rFonts w:hint="eastAsia" w:ascii="宋体" w:hAnsi="宋体" w:eastAsia="宋体" w:cs="宋体"/>
          <w:sz w:val="32"/>
          <w:szCs w:val="28"/>
          <w:lang w:eastAsia="zh-CN"/>
        </w:rPr>
      </w:pPr>
      <w:bookmarkStart w:id="73" w:name="_Toc10409"/>
      <w:bookmarkStart w:id="74" w:name="_Toc6998"/>
      <w:bookmarkStart w:id="75" w:name="_Toc6403"/>
      <w:r>
        <w:rPr>
          <w:rFonts w:hint="eastAsia" w:ascii="宋体" w:hAnsi="宋体" w:eastAsia="宋体" w:cs="宋体"/>
          <w:sz w:val="32"/>
          <w:szCs w:val="28"/>
          <w:lang w:eastAsia="zh-CN"/>
        </w:rPr>
        <w:t>（注：本合同仅供参考，实际以最终签订合同为准）</w:t>
      </w:r>
    </w:p>
    <w:p w14:paraId="097E98CD">
      <w:pPr>
        <w:adjustRightInd w:val="0"/>
        <w:snapToGrid w:val="0"/>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（合同版本仅供参考，最终以采购人通用的范本为准）</w:t>
      </w:r>
    </w:p>
    <w:p w14:paraId="6B204D64">
      <w:pPr>
        <w:adjustRightInd w:val="0"/>
        <w:snapToGrid w:val="0"/>
        <w:spacing w:line="360" w:lineRule="auto"/>
        <w:ind w:firstLine="482" w:firstLineChars="200"/>
        <w:jc w:val="left"/>
        <w:rPr>
          <w:rFonts w:hint="eastAsia" w:ascii="宋体" w:hAnsi="宋体" w:eastAsia="宋体" w:cs="宋体"/>
          <w:b/>
          <w:bCs/>
          <w:sz w:val="24"/>
          <w:szCs w:val="24"/>
        </w:rPr>
      </w:pPr>
    </w:p>
    <w:p w14:paraId="5D0790C9">
      <w:pPr>
        <w:rPr>
          <w:rFonts w:hint="eastAsia" w:ascii="宋体" w:hAnsi="宋体" w:eastAsia="宋体" w:cs="宋体"/>
          <w:b/>
          <w:bCs/>
          <w:iCs/>
          <w:color w:val="auto"/>
          <w:sz w:val="42"/>
          <w:szCs w:val="42"/>
        </w:rPr>
      </w:pPr>
      <w:bookmarkStart w:id="76" w:name="_Toc108171856"/>
      <w:r>
        <w:rPr>
          <w:rFonts w:hint="eastAsia" w:ascii="宋体" w:hAnsi="宋体" w:eastAsia="宋体" w:cs="宋体"/>
          <w:b/>
          <w:bCs/>
          <w:iCs/>
          <w:color w:val="auto"/>
          <w:sz w:val="42"/>
          <w:szCs w:val="42"/>
        </w:rPr>
        <w:br w:type="page"/>
      </w:r>
    </w:p>
    <w:p w14:paraId="1F04BBA2">
      <w:pPr>
        <w:pStyle w:val="48"/>
        <w:keepNext/>
        <w:keepLines/>
        <w:spacing w:before="260" w:after="260" w:line="480" w:lineRule="exact"/>
        <w:jc w:val="center"/>
        <w:outlineLvl w:val="1"/>
        <w:rPr>
          <w:rFonts w:hint="eastAsia" w:ascii="宋体" w:hAnsi="宋体" w:eastAsia="宋体" w:cs="宋体"/>
          <w:b/>
          <w:bCs/>
          <w:iCs/>
          <w:color w:val="auto"/>
          <w:sz w:val="42"/>
          <w:szCs w:val="42"/>
        </w:rPr>
      </w:pPr>
      <w:r>
        <w:rPr>
          <w:rFonts w:hint="eastAsia" w:ascii="宋体" w:hAnsi="宋体" w:eastAsia="宋体" w:cs="宋体"/>
          <w:b/>
          <w:bCs/>
          <w:iCs/>
          <w:color w:val="auto"/>
          <w:sz w:val="42"/>
          <w:szCs w:val="42"/>
        </w:rPr>
        <w:t>第一节  通用合同条款</w:t>
      </w:r>
      <w:bookmarkEnd w:id="76"/>
    </w:p>
    <w:p w14:paraId="54122731">
      <w:pPr>
        <w:pStyle w:val="48"/>
        <w:keepNext/>
        <w:keepLines/>
        <w:spacing w:before="240" w:after="240" w:line="38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通用合同条款</w:t>
      </w:r>
    </w:p>
    <w:p w14:paraId="1C968827">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 一般约定</w:t>
      </w:r>
      <w:r>
        <w:rPr>
          <w:rFonts w:hint="eastAsia" w:ascii="宋体" w:hAnsi="宋体" w:eastAsia="宋体" w:cs="宋体"/>
          <w:bCs/>
          <w:color w:val="auto"/>
          <w:sz w:val="28"/>
          <w:szCs w:val="28"/>
        </w:rPr>
        <w:tab/>
      </w:r>
    </w:p>
    <w:p w14:paraId="52F21B2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词语定义</w:t>
      </w:r>
    </w:p>
    <w:p w14:paraId="12A3809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通用合同条款、专用合同条款中的下列词语应具有本款所赋予的含义。</w:t>
      </w:r>
    </w:p>
    <w:p w14:paraId="6F381AD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1.1.1 合同</w:t>
      </w:r>
    </w:p>
    <w:p w14:paraId="398777D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1.1.1.1 合同文件（或称合同）：指合同协议书、中标通知书、投标函及投标函附录、专用合同条款、通用合同条款、技术标准和要求、图纸、已标价工程量清单，以及其他合同文件。</w:t>
      </w:r>
    </w:p>
    <w:p w14:paraId="3DD99D8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1.1.1.2 合同协议书：指第1.5款所指的合同协议书。</w:t>
      </w:r>
    </w:p>
    <w:p w14:paraId="1664503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1.1.1.3 中标通知书：指发包人通知承包人中标的函件。</w:t>
      </w:r>
    </w:p>
    <w:p w14:paraId="4713292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1.1.1.4 投标函：指构成合同文件组成部分的由承包人填写并签署的投标函。</w:t>
      </w:r>
    </w:p>
    <w:p w14:paraId="7516843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1.1.1.5 投标函附录：指附在投标函后构成合同文件的投标函附录。</w:t>
      </w:r>
    </w:p>
    <w:p w14:paraId="77F581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1.1.1.6 技术标准和要求：指构成合同文件组成部分的名为技术标准和要求的文件，包括合同双方当事人约定对其所作的修改或补充。</w:t>
      </w:r>
    </w:p>
    <w:p w14:paraId="2D1A6A16">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1.1.1.7 图纸：指包含在合同中的工程图纸，以及由发包人按合同约定提供的任何补充和修改的图纸，包括配套的说明。</w:t>
      </w:r>
    </w:p>
    <w:p w14:paraId="3413A0A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1.1.1.8 已标价工程量清单：指构成合同文件组成部分的由承包人按照规定的格式和要求填写并标明价格的工程量清单。</w:t>
      </w:r>
    </w:p>
    <w:p w14:paraId="08F006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1.1.1.9 其他合同文件：指经合同双方当事人确认构成合同文件的其他文件。</w:t>
      </w:r>
    </w:p>
    <w:p w14:paraId="40BD4C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 合同当事人和人员</w:t>
      </w:r>
    </w:p>
    <w:p w14:paraId="2398CEA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1.1.2.1 合同当事人：指发包人和（或）承包人。</w:t>
      </w:r>
    </w:p>
    <w:p w14:paraId="6B4F0D96">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1.1.2.2 发包人：指专用合同条款中指明并与承包人在合同协议书中签字的当事人。</w:t>
      </w:r>
    </w:p>
    <w:p w14:paraId="716C6D4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1.1.2.3承包人：指与发包人签订合同协议书的当事人。</w:t>
      </w:r>
    </w:p>
    <w:p w14:paraId="28D4471C">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1.1.2.4承包人项目经理：指承包人派驻施工场地的全权负责人。</w:t>
      </w:r>
    </w:p>
    <w:p w14:paraId="67EDA19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1.1.2.5分包人：指从承包人处分包合同中某一部分工程，并与其签订分包合同的分包人。</w:t>
      </w:r>
    </w:p>
    <w:p w14:paraId="0A5E479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1.1.2.6监理人：指在专用合同条款中指明的，受发包人委托对合同履行实施管理的法人或其他组织。</w:t>
      </w:r>
    </w:p>
    <w:p w14:paraId="64B5C38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1.1.2.7总监理工程师（总监）：指由监理人委派常驻施工场地对合同履行实施管理的全权负责人。</w:t>
      </w:r>
    </w:p>
    <w:p w14:paraId="181664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1.1.3 工程和设备</w:t>
      </w:r>
    </w:p>
    <w:p w14:paraId="1D590D5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 工程：指永久工程和（或）临时工程。</w:t>
      </w:r>
    </w:p>
    <w:p w14:paraId="1C4D4E3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1.1.3.2 永久工程：指按合同约定建造并移交给发包人的工程，包括工程设备。</w:t>
      </w:r>
    </w:p>
    <w:p w14:paraId="49DB39D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1.1.3.3 临时工程：指为完成合同约定的永久工程所应修建的各类临时性工程，不包括施工设备。</w:t>
      </w:r>
    </w:p>
    <w:p w14:paraId="372D134E">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1.1.3.4 单位工程：指专用合同条款中指明特定范围的永久工程。</w:t>
      </w:r>
    </w:p>
    <w:p w14:paraId="10512EE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1.1.3.5 工程设备：指构成或计划构成永久工程一部分的机电设备、金属结构设备、仪器装置及其他类似的设备和装置。</w:t>
      </w:r>
    </w:p>
    <w:p w14:paraId="4ED75C6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1.1.3.6 施工设备：指为完成合同约定的各项工作所需的设备、器具和其他物品，不包括临时工程和材料。</w:t>
      </w:r>
    </w:p>
    <w:p w14:paraId="3616369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1.1.3.7临时设施：指为完成合同约定的各项工作所服务的临时性生产和生活设施。</w:t>
      </w:r>
    </w:p>
    <w:p w14:paraId="5ABB54D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1.1.3.8 承包人设备：指承包人自带的施工设备。</w:t>
      </w:r>
    </w:p>
    <w:p w14:paraId="085A5B6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1.1.3.9 施工场地（或称工地、现场）：指用于合同工程施工的场所，以及在合同中指定作为施工场地组成部分的其他场所，包括永久占地和临时占地。</w:t>
      </w:r>
    </w:p>
    <w:p w14:paraId="591C2A9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1.1.3.10 永久占地：指专用合同条款中指明为实施合同工程需永久占用的土地。</w:t>
      </w:r>
    </w:p>
    <w:p w14:paraId="5A44C78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1.1.3.11 临时占地：指专用合同条款中指明为实施合同工程需临时占用的土地。</w:t>
      </w:r>
    </w:p>
    <w:p w14:paraId="777EB6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1.1.4 日期</w:t>
      </w:r>
    </w:p>
    <w:p w14:paraId="0BE1256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1.1.4.1 开工通知：指监理人按第11.1款通知承包人开工的函件。</w:t>
      </w:r>
    </w:p>
    <w:p w14:paraId="75BE01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1.1.4.2 开工日期：指监理人按第11.1款发出的开工通知中写明的开工日期。</w:t>
      </w:r>
    </w:p>
    <w:p w14:paraId="0C7EB52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1.1.4.3 工期：指承包人在投标函中承诺的完成合同工程所需的期限，包括按第11.3款、第11.4款和第11.6款约定所作的变更。</w:t>
      </w:r>
    </w:p>
    <w:p w14:paraId="795FD0E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1.1.4.4 竣工日期：指第1.1.4.3目约定工期届满时的日期。实际竣工日期以工程接收证书中写明的日期为准。</w:t>
      </w:r>
    </w:p>
    <w:p w14:paraId="6B521C4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1.1.4.5 缺陷责任期：指履行第19.2款约定的缺陷责任的期限，具体期限由专用合同条款约定，包括根据第19.3款约定所作的延长。</w:t>
      </w:r>
    </w:p>
    <w:p w14:paraId="0A7D1C6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1.1.4.6 基准日期：指投标截止时间前28天的日期。</w:t>
      </w:r>
    </w:p>
    <w:p w14:paraId="5505680C">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1.1.4.7 天：除特别指明外，指日历天。合同中按天计算时间的，开始当天不计入，从次日开始计算。期限最后一天的截止时间为当天24:00。</w:t>
      </w:r>
    </w:p>
    <w:p w14:paraId="4124541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1.1.5 合同价格和费用</w:t>
      </w:r>
    </w:p>
    <w:p w14:paraId="6532B38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1.1.5.1 签约合同价：指签定合同时合同协议书中写明的，包括了暂列金额、暂估价的合同总金额。</w:t>
      </w:r>
    </w:p>
    <w:p w14:paraId="29F854B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1.1.5.2 合同价格：指承包人按合同约定完成了包括缺陷责任期内的全部承包工作后，发包人应付给承包人的金额，包括在履行合同过程中按合同约定进行的变更和调整。</w:t>
      </w:r>
    </w:p>
    <w:p w14:paraId="3EB246F0">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1.1.5.3 费用：指为履行合同所发生的或将要发生的所有合理开支，包括管理费和应分摊的其他费用，但不包括利润。</w:t>
      </w:r>
    </w:p>
    <w:p w14:paraId="6F5FCE8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1.1.5.4 暂列金额：指已标价工程量清单中所列的暂列金额，用于在签订协议书时尚未确定或不可预见变更的施工及其所需材料、工程设备、服务等的金额，包括以计日工方式支付的金额。</w:t>
      </w:r>
    </w:p>
    <w:p w14:paraId="0DC335A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1.1.5.5暂估价：指发包人在工程量清单中给定的用于支付必然发生但暂时不能确定价格的材料、设备以及专业工程的金额。</w:t>
      </w:r>
    </w:p>
    <w:p w14:paraId="3DE98B0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1.1.5.6 计日工：指对零星工作采取的一种计价方式，按合同中的计日工子目及其单价计价付款。</w:t>
      </w:r>
    </w:p>
    <w:p w14:paraId="369DA43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1.1.5.7 质量保证金（或称保留金）：指按第17.4.1项约定用于保证在缺陷责任期内履行缺陷修复义务的金额。</w:t>
      </w:r>
    </w:p>
    <w:p w14:paraId="4B70897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1.1.6 其他</w:t>
      </w:r>
    </w:p>
    <w:p w14:paraId="710629E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1.1.6.1 书面形式：指合同文件、信函、电报、传真等可以有形地表现所载内容的形式。</w:t>
      </w:r>
    </w:p>
    <w:p w14:paraId="127509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 语言文字</w:t>
      </w:r>
    </w:p>
    <w:p w14:paraId="5FF16B0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除专用术语外，合同使用的语言文字为中文。必要时专用术语应附有中文注释。</w:t>
      </w:r>
    </w:p>
    <w:p w14:paraId="52BBCD2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 法律</w:t>
      </w:r>
    </w:p>
    <w:p w14:paraId="605B9BB5">
      <w:pPr>
        <w:pStyle w:val="48"/>
        <w:tabs>
          <w:tab w:val="left" w:pos="7020"/>
        </w:tabs>
        <w:spacing w:line="400" w:lineRule="atLeast"/>
        <w:rPr>
          <w:rFonts w:hint="eastAsia" w:ascii="宋体" w:hAnsi="宋体" w:eastAsia="宋体" w:cs="宋体"/>
          <w:color w:val="auto"/>
          <w:sz w:val="24"/>
        </w:rPr>
      </w:pPr>
      <w:r>
        <w:rPr>
          <w:rFonts w:hint="eastAsia" w:ascii="宋体" w:hAnsi="宋体" w:eastAsia="宋体" w:cs="宋体"/>
          <w:color w:val="auto"/>
          <w:sz w:val="24"/>
        </w:rPr>
        <w:t>　　适用于合同的法律包括中华人民共和国法律、行政法规、部门规章，以及工程所在地的地方法规、自治条例、单行条例和地方政府规章。</w:t>
      </w:r>
    </w:p>
    <w:p w14:paraId="51F84E7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 合同文件的优先顺序</w:t>
      </w:r>
    </w:p>
    <w:p w14:paraId="6A399AFF">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组成合同的各项文件应互相解释，互为说明。除专用合同条款另有约定外，解释合同文件的优先顺序如下：</w:t>
      </w:r>
    </w:p>
    <w:p w14:paraId="38AC002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（1）合同协议书；</w:t>
      </w:r>
    </w:p>
    <w:p w14:paraId="1F4C6E2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（2）中标通知书；</w:t>
      </w:r>
    </w:p>
    <w:p w14:paraId="613F569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（3）投标函及投标函附录；</w:t>
      </w:r>
    </w:p>
    <w:p w14:paraId="3A5C491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（4）专用合同条款；</w:t>
      </w:r>
    </w:p>
    <w:p w14:paraId="5719E75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（5）通用合同条款；</w:t>
      </w:r>
    </w:p>
    <w:p w14:paraId="75DD7859">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（6）技术标准和要求；</w:t>
      </w:r>
    </w:p>
    <w:p w14:paraId="7D5EC54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（7）图纸；</w:t>
      </w:r>
    </w:p>
    <w:p w14:paraId="0ED4CC8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（8）已标价工程量清单；</w:t>
      </w:r>
    </w:p>
    <w:p w14:paraId="063693C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（9）其他合同文件。     </w:t>
      </w:r>
    </w:p>
    <w:p w14:paraId="5EF5620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 合同协议书</w:t>
      </w:r>
    </w:p>
    <w:p w14:paraId="6B84308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承包人按中标通知书规定的时间与发包人签订合同协议书。除法律另有规定或合同另有约定外，发包人和承包人的法定代表人或其委托代理人在合同协议书上签字并盖单位章后，合同生效。</w:t>
      </w:r>
    </w:p>
    <w:p w14:paraId="7569613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 图纸和承包人文件</w:t>
      </w:r>
    </w:p>
    <w:p w14:paraId="13F44C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 图纸的提供</w:t>
      </w:r>
    </w:p>
    <w:p w14:paraId="615E7BD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除专用合同条款另有约定外，图纸应在合理的期限内按照合同约定的数量提供给承包人。由于发包人未按时提供图纸造成工期延误的，按第11.3款的约定办理。</w:t>
      </w:r>
    </w:p>
    <w:p w14:paraId="0F1083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1.6.2 承包人提供的文件</w:t>
      </w:r>
    </w:p>
    <w:p w14:paraId="15E28652">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按专用合同条款约定由承包人提供的文件，包括部分工程的大样图、加工图等，承包人应按约定的数量和期限报送监理人。监理人应在专用合同条款约定的期限内批复。</w:t>
      </w:r>
    </w:p>
    <w:p w14:paraId="2EE8E2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1.6.3 图纸的修改</w:t>
      </w:r>
    </w:p>
    <w:p w14:paraId="350A22A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图纸需要修改和补充的，应由监理人取得发包人同意后，在该工程或工程相应部位施工前的合理期限内签发图纸修改图给承包人，具体签发期限在专用合同条款中约定。承包人应按修改后的图纸施工。</w:t>
      </w:r>
    </w:p>
    <w:p w14:paraId="573A457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1.6.4 图纸的错误</w:t>
      </w:r>
    </w:p>
    <w:p w14:paraId="01A0DD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承包人发现发包人提供的图纸存在明显错误或疏忽，应及时通知监理人。</w:t>
      </w:r>
    </w:p>
    <w:p w14:paraId="48320E5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1.6.5 图纸和承包人文件的保管</w:t>
      </w:r>
    </w:p>
    <w:p w14:paraId="294CCFA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监理人和承包人均应在施工场地各保存一套完整的包含第1.6.1项、第1.6.2项、第1.6.3项约定内容的图纸和承包人文件。</w:t>
      </w:r>
    </w:p>
    <w:p w14:paraId="769825B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 联络</w:t>
      </w:r>
    </w:p>
    <w:p w14:paraId="6783E94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1.7.1 与合同有关的通知、批准、证明、证书、指示、要求、请求、同意、意见、确定和决定等，均应采用书面形式。</w:t>
      </w:r>
    </w:p>
    <w:p w14:paraId="027D5A0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 第1.7.1项中的通知、批准、证明、证书、指示、要求、请求、同意、意见、确定和决定等来往函件，均应在合同约定的期限内送达指定地点和接收人，并办理签收手续。</w:t>
      </w:r>
    </w:p>
    <w:p w14:paraId="7D2BE2F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 转让</w:t>
      </w:r>
    </w:p>
    <w:p w14:paraId="07893D25">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除合同另有约定外，未经对方当事人同意，一方当事人不得将合同权利全部或部分转让给第三人，也不得全部或部分转移合同义务。</w:t>
      </w:r>
    </w:p>
    <w:p w14:paraId="0BD2D2C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 严禁贿赂</w:t>
      </w:r>
    </w:p>
    <w:p w14:paraId="55E23F6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合同双方当事人不得以贿赂或变相贿赂的方式，谋取不当利益或损害对方权益。因贿赂造成对方损失的，行为人应赔偿损失，并承担相应的法律责任。</w:t>
      </w:r>
    </w:p>
    <w:p w14:paraId="111F3AE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1.10 化石、文物</w:t>
      </w:r>
    </w:p>
    <w:p w14:paraId="393F7AF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A75CEC2">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1.10.2 承包人发现文物后不及时报告或隐瞒不报，致使文物丢失或损坏的，应赔偿损失，并承担相应的法律责任。</w:t>
      </w:r>
    </w:p>
    <w:p w14:paraId="1AC655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专利技术</w:t>
      </w:r>
    </w:p>
    <w:p w14:paraId="0365A6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1.11.1 承包人在使用任何材料、承包人设备、工程设备或采用施工工艺时，因侵犯专利权或其他知识产权所引起的责任，由承包人承担，但由于遵照发包人提供的设计或技术标准和要求引起的除外。</w:t>
      </w:r>
    </w:p>
    <w:p w14:paraId="655830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1.11.2 承包人在投标文件中采用专利技术的，专利技术的使用费包含在投标报价内。</w:t>
      </w:r>
    </w:p>
    <w:p w14:paraId="6D36766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1.11.3 承包人的技术秘密和声明需要保密的资料和信息，发包人和监理人不得为合同以外的目的泄露给他人。</w:t>
      </w:r>
    </w:p>
    <w:p w14:paraId="3CC7182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1.12 图纸和文件的保密</w:t>
      </w:r>
    </w:p>
    <w:p w14:paraId="2DA50F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1.12.1 发包人提供的图纸和文件，未经发包人同意，承包人不得为合同以外的目的泄露给他人或公开发表与引用。</w:t>
      </w:r>
    </w:p>
    <w:p w14:paraId="7EE9C9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1.12.2 承包人提供的文件，未经承包人同意，发包人和监理人不得为合同以外的目的泄露给他人或公开发表与引用。</w:t>
      </w:r>
    </w:p>
    <w:p w14:paraId="609CBB72">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 发包人义务</w:t>
      </w:r>
    </w:p>
    <w:p w14:paraId="169829F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 遵守法律</w:t>
      </w:r>
    </w:p>
    <w:p w14:paraId="1120B73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发包人在履行合同过程中应遵守法律，并保证承包人免于承担因发包人违反法律而引起的任何责任。</w:t>
      </w:r>
    </w:p>
    <w:p w14:paraId="3B4506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 发出开工通知</w:t>
      </w:r>
    </w:p>
    <w:p w14:paraId="12A5682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发包人应委托监理人按第11.1款的约定向承包人发出开工通知。</w:t>
      </w:r>
    </w:p>
    <w:p w14:paraId="3F48A0A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 提供施工场地</w:t>
      </w:r>
    </w:p>
    <w:p w14:paraId="22D2E92F">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发包人应按专用合同条款约定向承包人提供施工场地，以及施工场地内地下管线和地下设施等有关资料，并保证资料的真实、准确、完整。</w:t>
      </w:r>
    </w:p>
    <w:p w14:paraId="6B4B06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 协助承包人办理证件和批件</w:t>
      </w:r>
    </w:p>
    <w:p w14:paraId="2E48CCF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发包人应协助承包人办理法律规定的有关施工证件和批件。</w:t>
      </w:r>
    </w:p>
    <w:p w14:paraId="1B236FA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2.5 组织设计交底</w:t>
      </w:r>
    </w:p>
    <w:p w14:paraId="0FF9A59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发包人应根据合同进度计划，组织设计单位向承包人进行设计交底。</w:t>
      </w:r>
    </w:p>
    <w:p w14:paraId="23E243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2.6 支付合同价款</w:t>
      </w:r>
    </w:p>
    <w:p w14:paraId="58A557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发包人应按合同约定向承包人及时支付合同价款。</w:t>
      </w:r>
    </w:p>
    <w:p w14:paraId="12268FB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2.7 组织竣工验收</w:t>
      </w:r>
    </w:p>
    <w:p w14:paraId="3705C40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发包人应按合同约定及时组织竣工验收。</w:t>
      </w:r>
    </w:p>
    <w:p w14:paraId="0CC9599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2.8 其他义务</w:t>
      </w:r>
    </w:p>
    <w:p w14:paraId="5868C0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发包人应履行合同约定的其他义务。</w:t>
      </w:r>
    </w:p>
    <w:p w14:paraId="7E0346C0">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3. 监理人</w:t>
      </w:r>
    </w:p>
    <w:p w14:paraId="61F426A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监理人的职责和权力 </w:t>
      </w:r>
    </w:p>
    <w:p w14:paraId="6D8D15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3.1.1 监理人受发包人委托，享有合同约定的权力。监理人在行使某项权力前需要经发包人事先批准而通用合同条款没有指明的，应在专用合同条款中指明。</w:t>
      </w:r>
    </w:p>
    <w:p w14:paraId="498F93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3.1.2 监理人发出的任何指示应视为已得到发包人的批准，但监理人无权免除或变更合同约定的发包人和承包人的权利、义务和责任。</w:t>
      </w:r>
    </w:p>
    <w:p w14:paraId="3348CD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3.1.3 合同约定应由承包人承担的义务和责任，不因监理人对承包人提交文件的审查或批准，对工程、材料和设备的检查和检验，以及为实施监理作出的指示等职务行为而减轻或解除。</w:t>
      </w:r>
    </w:p>
    <w:p w14:paraId="02E0615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3.2 总监理工程师</w:t>
      </w:r>
    </w:p>
    <w:p w14:paraId="7D096B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发包人应在发出开工通知前将总监理工程师的任命通知承包人。总监理工程师更换时，应在调离14天前通知承包人。总监理工程师短期离开施工场地的，应委派代表代行其职责，并通知承包人。</w:t>
      </w:r>
    </w:p>
    <w:p w14:paraId="199F5B7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3.3 监理人员</w:t>
      </w:r>
    </w:p>
    <w:p w14:paraId="0121BC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8000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61EB42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3.3.3 承包人对总监理工程师授权的监理人员发出的指示有疑问的，可向总监理工程师提出书面异议，总监理工程师应在48小时内对该指示予以确认、更改或撤销。</w:t>
      </w:r>
    </w:p>
    <w:p w14:paraId="031422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3.3.4 除专用合同条款另有约定外，总监理工程师不应将按第3.5款约定应由总监理工程师作出确定的权力授权或委托给其他监理人员。</w:t>
      </w:r>
    </w:p>
    <w:p w14:paraId="17CB46E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3.4 监理人的指示</w:t>
      </w:r>
    </w:p>
    <w:p w14:paraId="2BE64E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3.4.1 监理人应按第3.1款的约定向承包人发出指示，监理人的指示应盖有监理人授权的施工场地机构章，并由总监理工程师或总监理工程师按第3.3.1项约定授权的监理人员签字。</w:t>
      </w:r>
    </w:p>
    <w:p w14:paraId="670739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3.4.2 承包人收到监理人按第3.4.1项作出的指示后应遵照执行。指示构成变更的，应按第15条处理。</w:t>
      </w:r>
    </w:p>
    <w:p w14:paraId="57A984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96A0E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3.4.4 除合同另有约定外，承包人只从总监理工程师或按第3.3.1项被授权的监理人员处取得指示。</w:t>
      </w:r>
    </w:p>
    <w:p w14:paraId="6F8D0C3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3.4.5 由于监理人未能按合同约定发出指示、指示延误或指示错误而导致承包人费用增加和（或）工期延误的，由发包人承担赔偿责任。 </w:t>
      </w:r>
    </w:p>
    <w:p w14:paraId="2D0699C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商定或确定</w:t>
      </w:r>
    </w:p>
    <w:p w14:paraId="37DF87B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3.5.1合同约定总监理工程师应按照本款对任何事项进行商定或确定时，总监理工程师应与合同当事人协商，尽量达成一致。不能达成一致的，总监理工程师应认真研究后审慎确定。</w:t>
      </w:r>
    </w:p>
    <w:p w14:paraId="5375AB6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3.5.2 总监理工程师应将商定或确定的事项通知合同当事人，并附详细依据。对总监理工程师的确定有异议的，</w:t>
      </w:r>
      <w:r>
        <w:rPr>
          <w:rFonts w:hint="eastAsia" w:ascii="宋体" w:hAnsi="宋体" w:eastAsia="宋体" w:cs="宋体"/>
          <w:iCs/>
          <w:color w:val="auto"/>
          <w:sz w:val="24"/>
        </w:rPr>
        <w:t>构成争议，</w:t>
      </w:r>
      <w:r>
        <w:rPr>
          <w:rFonts w:hint="eastAsia" w:ascii="宋体" w:hAnsi="宋体" w:eastAsia="宋体" w:cs="宋体"/>
          <w:color w:val="auto"/>
          <w:sz w:val="24"/>
        </w:rPr>
        <w:t>按照第24条的约定处理。在争议解决前，双方应暂按总监理工程师的确定执行，按照第24条的约定对总监理工程师的确定作出修改的，按修改后的结果执行。</w:t>
      </w:r>
    </w:p>
    <w:p w14:paraId="4F9FDC87">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4. 承包人</w:t>
      </w:r>
    </w:p>
    <w:p w14:paraId="7144E96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 承包人的一般义务</w:t>
      </w:r>
    </w:p>
    <w:p w14:paraId="0967232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4.1.1 遵守法律</w:t>
      </w:r>
    </w:p>
    <w:p w14:paraId="70E9E479">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承包人在履行合同过程中应遵守法律，并保证发包人免于承担因承包人违反法律而引起的任何责任。</w:t>
      </w:r>
    </w:p>
    <w:p w14:paraId="0E1B2FB0">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4.1.2 依法纳税</w:t>
      </w:r>
    </w:p>
    <w:p w14:paraId="2E75DC7E">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承包人应按有关法律规定纳税，应缴纳的税金包括在合同价格内。</w:t>
      </w:r>
    </w:p>
    <w:p w14:paraId="1CD286E9">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4.1.3 完成各项承包工作</w:t>
      </w:r>
    </w:p>
    <w:p w14:paraId="6DDE6E6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1F279A6">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4.1.4 对施工作业和施工方法的完备性负责</w:t>
      </w:r>
    </w:p>
    <w:p w14:paraId="3A8316F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承包人应按合同约定的工作内容和施工进度要求，编制施工组织设计和施工措施计划，并对所有施工作业和施工方法的完备性和安全可靠性负责。</w:t>
      </w:r>
    </w:p>
    <w:p w14:paraId="629ACB6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4.1.5 保证工程施工和人员的安全</w:t>
      </w:r>
    </w:p>
    <w:p w14:paraId="05E50C6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承包人应按第9.2款约定采取施工安全措施，确保工程及其人员、材料、设备和设施的安全，防止因工程施工造成的人身伤害和财产损失。</w:t>
      </w:r>
    </w:p>
    <w:p w14:paraId="353A94C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4.1.6 负责施工场地及其周边环境与生态的保护工作</w:t>
      </w:r>
    </w:p>
    <w:p w14:paraId="610A69A5">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承包人应按照第9.4款约定负责施工场地及其周边环境与生态的保护工作。</w:t>
      </w:r>
    </w:p>
    <w:p w14:paraId="4B8F1C7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4.1.7 避免施工对公众与他人的利益造成损害</w:t>
      </w:r>
    </w:p>
    <w:p w14:paraId="09D8F70B">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2F04C3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4.1.8 为他人提供方便</w:t>
      </w:r>
    </w:p>
    <w:p w14:paraId="4B941AD7">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7F0FB2B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4.1.9 工程的维护和照管</w:t>
      </w:r>
    </w:p>
    <w:p w14:paraId="72FF771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工程接收证书颁发前，承包人应负责照管和维护工程。工程接收证书颁发时尚有部分未竣工工程的，承包人还应负责该未竣工工程的照管和维护工作，直至竣工后移交给发包人为止。</w:t>
      </w:r>
    </w:p>
    <w:p w14:paraId="5DA164E0">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4.1.10 其他义务</w:t>
      </w:r>
    </w:p>
    <w:p w14:paraId="7BD1513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承包人应履行合同约定的其他义务。</w:t>
      </w:r>
    </w:p>
    <w:p w14:paraId="04BE2D0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4.2 履约担保</w:t>
      </w:r>
    </w:p>
    <w:p w14:paraId="2E106D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承包人应保证其履约担保在发包人颁发工程接收证书前一直有效。发包人应在工程接收证书颁发后28天内把履约担保退还给承包人。</w:t>
      </w:r>
    </w:p>
    <w:p w14:paraId="702C86E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4.3 分包</w:t>
      </w:r>
    </w:p>
    <w:p w14:paraId="3C42F41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4.3.1 承包人不得将其承包的全部工程转包给第三人，或将其承包的全部工程肢解后以分包的名义转包给第三人。</w:t>
      </w:r>
    </w:p>
    <w:p w14:paraId="2F4EFD5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4.3.2 承包人不得将工程主体、关键性工作分包给第三人。除专用合同条款另有约定外，未经发包人同意，承包人不得将工程的其他部分或工作分包给第三人。</w:t>
      </w:r>
    </w:p>
    <w:p w14:paraId="0D9099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4.3.3分包人的资格能力应与其分包工程的标准和规模相适应。</w:t>
      </w:r>
    </w:p>
    <w:p w14:paraId="6553FE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4.3.4按投标函附录约定分包工程的，承包人应向发包人和监理人提交分包合同副本。</w:t>
      </w:r>
    </w:p>
    <w:p w14:paraId="3EE60B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4.3.5承包人应与分包人就分包工程向发包人承担连带责任。</w:t>
      </w:r>
    </w:p>
    <w:p w14:paraId="3E85E4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联合体</w:t>
      </w:r>
    </w:p>
    <w:p w14:paraId="5375A8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4.4.1 联合体各方应共同与发包人签订合同协议书。联合体各方应为履行合同承担连带责任。</w:t>
      </w:r>
    </w:p>
    <w:p w14:paraId="5EF02D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4.4.2 </w:t>
      </w:r>
      <w:r>
        <w:rPr>
          <w:rFonts w:hint="eastAsia" w:ascii="宋体" w:hAnsi="宋体" w:eastAsia="宋体" w:cs="宋体"/>
          <w:iCs/>
          <w:color w:val="auto"/>
          <w:sz w:val="24"/>
        </w:rPr>
        <w:t>联合体协议经发包人确认后作为合同附件。</w:t>
      </w:r>
      <w:r>
        <w:rPr>
          <w:rFonts w:hint="eastAsia" w:ascii="宋体" w:hAnsi="宋体" w:eastAsia="宋体" w:cs="宋体"/>
          <w:color w:val="auto"/>
          <w:sz w:val="24"/>
        </w:rPr>
        <w:t>在履行合同过程中，未经发包人同意，不得修改联合体协议。</w:t>
      </w:r>
    </w:p>
    <w:p w14:paraId="4C3809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4.4.3 联合体牵头人负责与发包人和监理人联系，并接受指示，负责组织联合体各成员全面履行合同。</w:t>
      </w:r>
    </w:p>
    <w:p w14:paraId="621A593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4.5 承包人项目经理</w:t>
      </w:r>
    </w:p>
    <w:p w14:paraId="5EEE24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BD2CD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7245D72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4.5.3承包人为履行合同发出的一切函件均应盖有承包人授权的施工场地管理机构章，并由承包人项目经理或其授权代表签字。</w:t>
      </w:r>
    </w:p>
    <w:p w14:paraId="717F11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4.5.4 承包人项目经理可以授权其下属人员履行其某项职责，但事先应将这些人员的姓名和授权范围通知监理人。</w:t>
      </w:r>
    </w:p>
    <w:p w14:paraId="00EED2F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4.6 承包人人员的管理</w:t>
      </w:r>
    </w:p>
    <w:p w14:paraId="4257A4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146A1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4.6.2 为完成合同约定的各项工作，承包人应向施工场地派遣或雇佣足够数量的下列人员：</w:t>
      </w:r>
    </w:p>
    <w:p w14:paraId="01409F08">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（1）具有相应资格的专业技工和合格的普工；</w:t>
      </w:r>
    </w:p>
    <w:p w14:paraId="26E7D68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（2）具有相应施工经验的技术人员；</w:t>
      </w:r>
    </w:p>
    <w:p w14:paraId="76018EF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（3）具有相应岗位资格的各级管理人员。</w:t>
      </w:r>
    </w:p>
    <w:p w14:paraId="31489CF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4.6.3 承包人安排在施工场地的主要管理人员和技术骨干应相对稳定。承包人更换主要管理人员和技术骨干时，应取得监理人的同意。</w:t>
      </w:r>
    </w:p>
    <w:p w14:paraId="0B27A2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4.6.4 特殊岗位的工作人员均应持有相应的资格证明，监理人有权随时检查。监理人认为有必要时，可进行现场考核。</w:t>
      </w:r>
    </w:p>
    <w:p w14:paraId="6EBB95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4.7 撤换承包人项目经理和其他人员</w:t>
      </w:r>
    </w:p>
    <w:p w14:paraId="572EEF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承包人应对其项目经理和其他人员进行有效管理。监理人要求撤换不能胜任本职工作、行为不端或玩忽职守的承包人项目经理和其他人员的，承包人应予以撤换。</w:t>
      </w:r>
    </w:p>
    <w:p w14:paraId="2B7481D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4.8 保障承包人人员的合法权益</w:t>
      </w:r>
    </w:p>
    <w:p w14:paraId="3E6E3B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4.8.1 承包人应与其雇佣的人员签订劳动合同，并按时发放工资。</w:t>
      </w:r>
    </w:p>
    <w:p w14:paraId="73C2B4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9801C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4.8.3 承包人应为其雇佣人员提供必要的食宿条件，以及符合环境保护和卫生要求的生活环境，在远离城镇的施工场地，还应配备必要的伤病防治和急救的医务人员与医疗设施。</w:t>
      </w:r>
    </w:p>
    <w:p w14:paraId="1A218A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87918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4.8.5 承包人应按有关法律规定和合同约定，为其雇佣人员办理保险。</w:t>
      </w:r>
    </w:p>
    <w:p w14:paraId="782A29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4.8.6 承包人应负责处理其雇佣人员因工伤亡事故的善后事宜。</w:t>
      </w:r>
    </w:p>
    <w:p w14:paraId="3C42318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4.9 工程价款应专款专用</w:t>
      </w:r>
    </w:p>
    <w:p w14:paraId="2DC6417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发包人按合同约定支付给承包人的各项价款应专用于合同工程。</w:t>
      </w:r>
    </w:p>
    <w:p w14:paraId="6F9327A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4.10 承包人现场查勘    </w:t>
      </w:r>
    </w:p>
    <w:p w14:paraId="3747F7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4.10.1 发包人应将其持有的现场地质勘探资料、水文气象资料提供给承包人，并对其准确性负责。但承包人应对其阅读上述有关资料后所作出的解释和推断负责。</w:t>
      </w:r>
    </w:p>
    <w:p w14:paraId="6D0396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0A338C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4.11 不利物质条件</w:t>
      </w:r>
    </w:p>
    <w:p w14:paraId="534299C9">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4.11.1不利物质条件，除专用合同条款另有约定外，是指承包人在施工场地遇到的不可预见的自然物质条件、非自然的物质障碍和污染物，包括地下和水文条件，但不包括气候条件。</w:t>
      </w:r>
    </w:p>
    <w:p w14:paraId="3CA110C1">
      <w:pPr>
        <w:pStyle w:val="48"/>
        <w:spacing w:line="400" w:lineRule="atLeast"/>
        <w:ind w:firstLine="420"/>
        <w:rPr>
          <w:rFonts w:hint="eastAsia" w:ascii="宋体" w:hAnsi="宋体" w:eastAsia="宋体" w:cs="宋体"/>
          <w:iCs/>
          <w:color w:val="auto"/>
          <w:sz w:val="24"/>
        </w:rPr>
      </w:pPr>
      <w:r>
        <w:rPr>
          <w:rFonts w:hint="eastAsia" w:ascii="宋体" w:hAnsi="宋体" w:eastAsia="宋体" w:cs="宋体"/>
          <w:iCs/>
          <w:color w:val="auto"/>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24A78EB">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5. 材料和工程设备</w:t>
      </w:r>
    </w:p>
    <w:p w14:paraId="2480200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5.1 承包人提供的材料和工程设备</w:t>
      </w:r>
    </w:p>
    <w:p w14:paraId="6A70AF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5.1.1 除专用合同条款另有约定外，承包人提供的材料和工程设备均由承包人负责采购、运输和保管。承包人应对其采购的材料和工程设备负责。</w:t>
      </w:r>
    </w:p>
    <w:p w14:paraId="5A55B7A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5.1.2 承包人应按专用合同条款的约定，将各项材料和工程设备的供货人及品种、规格、数量和供货时间等报送监理人审批。承包人应向监理</w:t>
      </w:r>
      <w:r>
        <w:rPr>
          <w:rFonts w:hint="eastAsia" w:ascii="宋体" w:hAnsi="宋体" w:eastAsia="宋体" w:cs="宋体"/>
          <w:iCs/>
          <w:color w:val="auto"/>
          <w:sz w:val="24"/>
        </w:rPr>
        <w:t>人</w:t>
      </w:r>
      <w:r>
        <w:rPr>
          <w:rFonts w:hint="eastAsia" w:ascii="宋体" w:hAnsi="宋体" w:eastAsia="宋体" w:cs="宋体"/>
          <w:color w:val="auto"/>
          <w:sz w:val="24"/>
        </w:rPr>
        <w:t>提交其负责提供的材料和工程设备的质量证明文件，并满足合同约定的质量标准。</w:t>
      </w:r>
    </w:p>
    <w:p w14:paraId="4F655D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5A9280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5.2 发包人提供的材料和工程设备</w:t>
      </w:r>
    </w:p>
    <w:p w14:paraId="75EB56E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5.2.1 发包人提供的材料和工程设备，应在专用合同条款中写明材料和工程设备的名称、规格、数量、价格、交货方式、交货地点和计划交货日期等。</w:t>
      </w:r>
    </w:p>
    <w:p w14:paraId="1D54BF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5.2.2 承包人应根据合同进度计划的安排，向监理人报送要求发包人交货的日期计划。发包人应按照监理人与合同双方当事人</w:t>
      </w:r>
      <w:r>
        <w:rPr>
          <w:rFonts w:hint="eastAsia" w:ascii="宋体" w:hAnsi="宋体" w:eastAsia="宋体" w:cs="宋体"/>
          <w:iCs/>
          <w:color w:val="auto"/>
          <w:sz w:val="24"/>
        </w:rPr>
        <w:t>商定</w:t>
      </w:r>
      <w:r>
        <w:rPr>
          <w:rFonts w:hint="eastAsia" w:ascii="宋体" w:hAnsi="宋体" w:eastAsia="宋体" w:cs="宋体"/>
          <w:color w:val="auto"/>
          <w:sz w:val="24"/>
        </w:rPr>
        <w:t>的交货日期，向承包人提交材料和工程设备。</w:t>
      </w:r>
    </w:p>
    <w:p w14:paraId="0D60918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71BA3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5.2.4 发包人要求向承包人提前交货的，承包人不得拒绝，但发包人应承担承包人由此增加的费用。 </w:t>
      </w:r>
    </w:p>
    <w:p w14:paraId="6EC103B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5.2.5 承包人要求更改交货日期或地点的，应事先报请监理人批准。由于承包人要求更改交货时间或地点所增加的费用和（或）工期延误由承包人承担。 </w:t>
      </w:r>
    </w:p>
    <w:p w14:paraId="4F5F34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59F7941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5.3 材料和工程设备专用于合同工程</w:t>
      </w:r>
    </w:p>
    <w:p w14:paraId="264B0D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5.3.1运入施工场地的材料、工程设备，包括备品备件、安装专用工器具与随机资料，必须专用于合同工程，未经监理人同意，承包人不得运出施工场地或挪作他用。</w:t>
      </w:r>
    </w:p>
    <w:p w14:paraId="6517A0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096610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5.4 禁止使用不合格的材料和工程设备 </w:t>
      </w:r>
    </w:p>
    <w:p w14:paraId="7544C5D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5.4.1 监理人有权拒绝承包人提供的不合格材料或工程设备，并要求承包人立即进行更换。监理人应在更换后再次进行检查和检验，由此增加的费用和（或）工期延误由承包人承担。</w:t>
      </w:r>
    </w:p>
    <w:p w14:paraId="0F1572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5.4.2 监理人发现承包人使用了不合格的材料和工程设备，应即时发出指示要求承包人立即改正，并禁止在工程中继续使用不合格的材料和工程设备。</w:t>
      </w:r>
    </w:p>
    <w:p w14:paraId="2FE810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5.4.3 发包人提供的材料或工程设备不符合合同要求的，承包人有权拒绝，并可要求发包人更换，由此增加的费用和（或）工期延误由发包人承担。</w:t>
      </w:r>
    </w:p>
    <w:p w14:paraId="009BE7E1">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6. 施工设备和临时设施 </w:t>
      </w:r>
    </w:p>
    <w:p w14:paraId="6709FF0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6.1 承包人提供的施工设备和临时设施</w:t>
      </w:r>
    </w:p>
    <w:p w14:paraId="3D2FFE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6.1.1 承包人应按合同进度计划的要求，及时配置施工设备和修建临时设施。进入施工场地的承包人设备需经监理人核查后才能投入使用。承包人更换合同约定的承包人设备的，应报监理人批准。</w:t>
      </w:r>
    </w:p>
    <w:p w14:paraId="6ED61E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6.1.2 除专用合同条款另有约定外，承包人应自行承担修建临时设施的费用，需要临时占地的，应由发包人办理申请手续并承担相应费用。</w:t>
      </w:r>
    </w:p>
    <w:p w14:paraId="520C6BC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6.2 发包人提供的施工设备和临时设施</w:t>
      </w:r>
    </w:p>
    <w:p w14:paraId="2DFDB77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发包人提供的施工设备或临时设施在专用合同条款中约定。</w:t>
      </w:r>
    </w:p>
    <w:p w14:paraId="54C1A0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6.3 要求承包人增加或更换施工设备</w:t>
      </w:r>
    </w:p>
    <w:p w14:paraId="44BE8C8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承包人使用的施工设备不能满足合同进度计划和（或）质量要求时，监理人有权要求承包人增加或更换施工设备，承包人应及时增加或更换，由此增加的费用和（或）工期延误由承包人承担。</w:t>
      </w:r>
    </w:p>
    <w:p w14:paraId="76E6EC9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6.4 施工设备和临时设施专用于合同工程</w:t>
      </w:r>
    </w:p>
    <w:p w14:paraId="2202B2F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0F80EA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6.4.2 经监理人同意，承包人可根据合同进度计划撤走闲置的施工设备。</w:t>
      </w:r>
    </w:p>
    <w:p w14:paraId="1F8D0D4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7. 交通运输 </w:t>
      </w:r>
    </w:p>
    <w:p w14:paraId="2DEEC20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7.1 道路通行权和场外设施</w:t>
      </w:r>
    </w:p>
    <w:p w14:paraId="76E4CB41">
      <w:pPr>
        <w:pStyle w:val="48"/>
        <w:spacing w:line="400" w:lineRule="atLeast"/>
        <w:ind w:firstLine="420"/>
        <w:rPr>
          <w:rFonts w:hint="eastAsia" w:ascii="宋体" w:hAnsi="宋体" w:eastAsia="宋体" w:cs="宋体"/>
          <w:i/>
          <w:color w:val="auto"/>
          <w:sz w:val="24"/>
        </w:rPr>
      </w:pPr>
      <w:r>
        <w:rPr>
          <w:rFonts w:hint="eastAsia" w:ascii="宋体" w:hAnsi="宋体" w:eastAsia="宋体" w:cs="宋体"/>
          <w:color w:val="auto"/>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391CB9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7.2 场内施工道路</w:t>
      </w:r>
    </w:p>
    <w:p w14:paraId="3CB5C8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7.2.1 除专用合同条款另有约定外，承包人应负责修建、维修、养护和管理施工所需的临时道路和交通设施，包括维修、养护和管理发包人提供的道路和交通设施，并承担相应费用。</w:t>
      </w:r>
    </w:p>
    <w:p w14:paraId="4B5E16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7.2.2 除专用合同条款另有约定外，承包人修建的临时道路和交通设施应免费提供发包人和监理人使用。</w:t>
      </w:r>
    </w:p>
    <w:p w14:paraId="1E467EF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7.3 场外交通</w:t>
      </w:r>
    </w:p>
    <w:p w14:paraId="4BE7C02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7.3.1 承包人车辆外出行驶所需的场外公共道路的通行费、养路费和税款等由承包人承担。</w:t>
      </w:r>
    </w:p>
    <w:p w14:paraId="65EF83B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7.3.2 承包人应遵守有关交通法规，严格按照道路和桥梁的限制荷重安全行驶，并服从交通管理部门的检查和监督。</w:t>
      </w:r>
    </w:p>
    <w:p w14:paraId="5146E6F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7.4 超大件和超重件的运输</w:t>
      </w:r>
    </w:p>
    <w:p w14:paraId="42792A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16E96E">
      <w:pPr>
        <w:pStyle w:val="48"/>
        <w:spacing w:line="400" w:lineRule="atLeast"/>
        <w:rPr>
          <w:rFonts w:hint="eastAsia" w:ascii="宋体" w:hAnsi="宋体" w:eastAsia="宋体" w:cs="宋体"/>
          <w:color w:val="auto"/>
          <w:sz w:val="24"/>
        </w:rPr>
      </w:pPr>
    </w:p>
    <w:p w14:paraId="047A12A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7.5 道路和桥梁的损坏责任</w:t>
      </w:r>
    </w:p>
    <w:p w14:paraId="5616608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因承包人运输造成施工场地内外公共道路和桥梁损坏的，由承包人承担修复损坏的全部费用和可能引起的赔偿。</w:t>
      </w:r>
    </w:p>
    <w:p w14:paraId="657A13F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7.6 水路和航空运输</w:t>
      </w:r>
    </w:p>
    <w:p w14:paraId="5883945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本条上述各款的内容适用于水路运输和航空运输，其中“道路”一词的涵义包括河道、航线、船闸、机场、码头、堤防以及水路或航空运输中其他相似结构物；“车辆”一词的涵义包括船舶和飞机等。 </w:t>
      </w:r>
    </w:p>
    <w:p w14:paraId="220F48FF">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8. 测量放线</w:t>
      </w:r>
    </w:p>
    <w:p w14:paraId="4C6AD98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8.1 施工控制网</w:t>
      </w:r>
    </w:p>
    <w:p w14:paraId="6D25CFF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22000E6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8.1.2承包人应负责管理施工控制网点。施工控制网点丢失或损坏的，承包人应及时修复。承包人应承担施工控制网点的管理与修复费用，并在工程竣工后将施工控制网点移交发包人。</w:t>
      </w:r>
    </w:p>
    <w:p w14:paraId="5BA3A80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8.2 施工测量</w:t>
      </w:r>
    </w:p>
    <w:p w14:paraId="68370A1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8.2.1承包人应负责施工过程中的全部施工测量放线工作，并配置合格的人员、仪器、设备和其他物品。</w:t>
      </w:r>
    </w:p>
    <w:p w14:paraId="3B16662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8.2.2监理人可以指示承包人进行抽样复测，当复测中发现错误或出现超过合同约定的误差时，承包人应按监理人指示进行修正或补测，并承担相应的复测费用。</w:t>
      </w:r>
    </w:p>
    <w:p w14:paraId="062BF0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8.3 基准资料错误的责任</w:t>
      </w:r>
    </w:p>
    <w:p w14:paraId="3D194D3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959E4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8.4 监理人使用施工控制网</w:t>
      </w:r>
    </w:p>
    <w:p w14:paraId="75478D2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监理人需要使用施工控制网的，承包人应提供必要的协助，发包人不再为此支付费用。</w:t>
      </w:r>
    </w:p>
    <w:p w14:paraId="0F212D09">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9. 施工安全、治安保卫和环境保护</w:t>
      </w:r>
    </w:p>
    <w:p w14:paraId="1D51A71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9.1 发包人的施工安全责任</w:t>
      </w:r>
    </w:p>
    <w:p w14:paraId="03FBDAF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9.1.1发包人应按合同约定履行安全职责，授权监理人按合同约定的安全工作内容监督、检查承包人安全工作的实施，组织承包人和有关单位进行安全检查。</w:t>
      </w:r>
    </w:p>
    <w:p w14:paraId="6F5065E4">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9.1.2发包人应对其现场机构雇佣的全部人员的工伤事故承担责任，但由于承包人原因造成发包人人员工伤的，应由承包人承担责任。</w:t>
      </w:r>
    </w:p>
    <w:p w14:paraId="260011E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9.1.3发包人应负责赔偿以下各种情况造成的第三者人身伤亡和财产损失：</w:t>
      </w:r>
    </w:p>
    <w:p w14:paraId="684DA38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（1）工程或工程的任何部分对土地的占用所造成的第三者财产损失；</w:t>
      </w:r>
    </w:p>
    <w:p w14:paraId="11141D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（2）由于发包人原因在施工场地及其毗邻地带造成的第三者人身伤亡和财产损失。</w:t>
      </w:r>
    </w:p>
    <w:p w14:paraId="1DB3EA0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9.2 承包人的施工安全责任</w:t>
      </w:r>
    </w:p>
    <w:p w14:paraId="2381755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 承包人应按合同约定履行安全职责,执行监理人有关安全工作的指示,并在专用合同条款约定的期限内，按合同约定的安全工作内容，编制施工安全措施计划报送监理人审批。</w:t>
      </w:r>
    </w:p>
    <w:p w14:paraId="790C097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9.2.2 承包人应加强施工作业安全管理，特别应加强易燃、易爆材料、火工器材、有毒与腐蚀性材料和其他危险品的管理，以及对爆破作业和地下工程施工等危险作业的管理。</w:t>
      </w:r>
    </w:p>
    <w:p w14:paraId="585B08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9.2.3 承包人应严格按照国家安全标准制定施工安全操作规程，配备必要的安全生产和劳动保护设施，加强对承包人人员的安全教育，并发放安全工作手册和劳动保护用具。</w:t>
      </w:r>
    </w:p>
    <w:p w14:paraId="4F3C54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9.2.4 承包人应按监理人的指示制定应对灾害的紧急预案，报送监理人审批。承包人还应按预案做好安全检查，配置必要的救助物资和器材，切实保护好有关人员的人身和财产安全。</w:t>
      </w:r>
    </w:p>
    <w:p w14:paraId="1E401C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8C2B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9.2.6 承包人应对其履行合同所雇佣的全部人员，包括分包人人员的工伤事故承担责任，但由于发包人原因造成承包人人员工伤事故的，应由发包人承担责任。</w:t>
      </w:r>
    </w:p>
    <w:p w14:paraId="3B8E467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9.2.7 由于承包人原因在施工场地内及其毗邻地带造成的第三者人员伤亡和财产损失，由承包人负责赔偿。</w:t>
      </w:r>
    </w:p>
    <w:p w14:paraId="1F472EF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9.3 治安保卫</w:t>
      </w:r>
    </w:p>
    <w:p w14:paraId="24D359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9.3.1 除合同另有约定外，发包人应与当地公安部门协商，在现场建立治安管理机构或联防组织，统一管理施工场地的治安保卫事项，履行合同工程的治安保卫职责。</w:t>
      </w:r>
    </w:p>
    <w:p w14:paraId="72E6E8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9.3.2 发包人和承包人除应协助现场治安管理机构或联防组织维护施工场地的社会治安外，还应做好包括生活区在内的各自管辖区的治安保卫工作。</w:t>
      </w:r>
    </w:p>
    <w:p w14:paraId="4AB388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48595E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9.4 环境保护</w:t>
      </w:r>
    </w:p>
    <w:p w14:paraId="3C32D9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 承包人在施工过程中，应遵守有关环境保护的法律，履行合同约定的环境保护义务，并对违反法律和合同约定义务所造成的环境破坏、人身伤害和财产损失负责。</w:t>
      </w:r>
    </w:p>
    <w:p w14:paraId="2AE4D7A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9.4.2 承包人应按合同约定的环保工作内容，编制施工环保措施计划，报送监理人审批。</w:t>
      </w:r>
    </w:p>
    <w:p w14:paraId="1C6CB1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5A8A9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9.4.4 承包人应按合同约定采取有效措施，对施工开挖的边坡及时进行支护,维护排水设施，并进行水土保护，避免因施工造成的地质灾害。</w:t>
      </w:r>
    </w:p>
    <w:p w14:paraId="181064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9.4.5 承包人应按国家饮用水管理标准定期对饮用水源进行监测，防止施工活动污染饮用水源。</w:t>
      </w:r>
    </w:p>
    <w:p w14:paraId="012905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9.4.6 承包人应按合同约定，加强对噪声、粉尘、废气、废水和废油的控制，努力降低噪声，控制粉尘和废气浓度，做好废水和废油的治理和排放。</w:t>
      </w:r>
    </w:p>
    <w:p w14:paraId="445C554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9.5 事故处理</w:t>
      </w:r>
    </w:p>
    <w:p w14:paraId="25E65B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CFAA339">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10. 进度计划</w:t>
      </w:r>
    </w:p>
    <w:p w14:paraId="7AB3907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10.1 合同进度计划</w:t>
      </w:r>
    </w:p>
    <w:p w14:paraId="62325D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003FAA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10.2 合同进度计划的修订</w:t>
      </w:r>
    </w:p>
    <w:p w14:paraId="5560533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2EF21AC">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11. 开工和竣工</w:t>
      </w:r>
    </w:p>
    <w:p w14:paraId="113461B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开工</w:t>
      </w:r>
    </w:p>
    <w:p w14:paraId="10F3B3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45801DD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392CC6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 xml:space="preserve"> 竣工</w:t>
      </w:r>
    </w:p>
    <w:p w14:paraId="4FC13A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承包人应在第1.1.4.3目约定的期限内完成合同工程。实际竣工日期在接收证书中写明。</w:t>
      </w:r>
    </w:p>
    <w:p w14:paraId="17E00BD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11.3 发包人的工期延误</w:t>
      </w:r>
    </w:p>
    <w:p w14:paraId="77D743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在履行合同过程中，由于发包人的下列原因造成工期延误的，承包人有权要求发包人延长工期和（或）增加费用，并支付合理利润。需要修订合同进度计划的，按照第10.2款的约定办理。</w:t>
      </w:r>
    </w:p>
    <w:p w14:paraId="21EA5C7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（1）增加合同工作内容;</w:t>
      </w:r>
    </w:p>
    <w:p w14:paraId="611CEA9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（2）改变合同中任何一项工作的质量要求或其他特性；</w:t>
      </w:r>
    </w:p>
    <w:p w14:paraId="294D52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（3）发包人迟延提供材料、工程设备或变更交货地点的；</w:t>
      </w:r>
    </w:p>
    <w:p w14:paraId="66588B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（4）因发包人原因导致的暂停施工；</w:t>
      </w:r>
    </w:p>
    <w:p w14:paraId="243820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（5）提供图纸延误；</w:t>
      </w:r>
    </w:p>
    <w:p w14:paraId="793B075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（6）未按合同约定及时支付预付款、进度款；</w:t>
      </w:r>
    </w:p>
    <w:p w14:paraId="6E77B9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（7）发包人造成工期延误的其他原因。</w:t>
      </w:r>
    </w:p>
    <w:p w14:paraId="72DBA80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11.4异常恶劣的气候条件</w:t>
      </w:r>
    </w:p>
    <w:p w14:paraId="24C39B55">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由于出现专用合同条款规定的异常恶劣气候的条件导致工期延误的，承包人有权要求发包人延长工期。</w:t>
      </w:r>
    </w:p>
    <w:p w14:paraId="59CC7C4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11.5 承包人的工期延误</w:t>
      </w:r>
    </w:p>
    <w:p w14:paraId="48FE12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DFEB82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11.6 工期提前</w:t>
      </w:r>
    </w:p>
    <w:p w14:paraId="5002C6A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F7E2168">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12. 暂停施工</w:t>
      </w:r>
    </w:p>
    <w:p w14:paraId="0D977A2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12.1 承包人暂停施工的责任</w:t>
      </w:r>
    </w:p>
    <w:p w14:paraId="2F691A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因下列暂停施工增加的费用和（或）工期延误由承包人承担：</w:t>
      </w:r>
    </w:p>
    <w:p w14:paraId="63EB34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（1）承包人违约引起的暂停施工；</w:t>
      </w:r>
    </w:p>
    <w:p w14:paraId="0E6178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（2）由于承包人原因为工程合理施工和安全保障所必需的暂停施工；</w:t>
      </w:r>
    </w:p>
    <w:p w14:paraId="0FD8AA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（3）承包人擅自暂停施工；</w:t>
      </w:r>
    </w:p>
    <w:p w14:paraId="488198A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（4）承包人其他原因引起的暂停施工；</w:t>
      </w:r>
    </w:p>
    <w:p w14:paraId="6DF6ED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（5）专用合同条款约定由承包人承担的其他暂停施工。</w:t>
      </w:r>
    </w:p>
    <w:p w14:paraId="16883E4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12.2 发包人暂停施工的责任</w:t>
      </w:r>
    </w:p>
    <w:p w14:paraId="56CFC9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由于发包人原因引起的暂停施工造成工期延误的，承包人有权要求发包人延长工期和（或）增加费用，并支付合理利润。</w:t>
      </w:r>
    </w:p>
    <w:p w14:paraId="63EAE2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12.3 监理人暂停施工指示</w:t>
      </w:r>
    </w:p>
    <w:p w14:paraId="0A7A09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12.3.1 监理人认为有必要时，可向承包人作出暂停施工的指示，承包人应按监理人指示暂停施工。不论由于何种原因引起的暂停施工，暂停施工期间承包人应负责妥善保护工程并提供安全保障。</w:t>
      </w:r>
    </w:p>
    <w:p w14:paraId="6C9D4EE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5A4768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12.4 暂停施工后的复工</w:t>
      </w:r>
    </w:p>
    <w:p w14:paraId="588FBF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6FA6086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12.4.2承包人无故拖延和拒绝复工的，由此增加的费用和工期延误由承包人承担；因发包人原因无法按时复工的，承包人有权要求发包人延长工期和（或）增加费用，并支付合理利润。</w:t>
      </w:r>
    </w:p>
    <w:p w14:paraId="6A97DE9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12.5 暂停施工持续56天以上</w:t>
      </w:r>
    </w:p>
    <w:p w14:paraId="100251A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4FAAF7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12.5.2由于承包人责任引起的暂停施工，如承包人在收到监理人暂停施工指示后56天内不认真采取有效的复工措施，造成工期延误，可视为承包人违约，应按第22.1款的规定办理。</w:t>
      </w:r>
    </w:p>
    <w:p w14:paraId="2DDF84BA">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13. 工程质量</w:t>
      </w:r>
    </w:p>
    <w:p w14:paraId="4DCBC3A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13.1 工程质量要求</w:t>
      </w:r>
    </w:p>
    <w:p w14:paraId="7EBC15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13.1.1 工程质量验收按合同约定验收标准执行。</w:t>
      </w:r>
    </w:p>
    <w:p w14:paraId="2EE4107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13.1.2 因承包人原因造成工程质量达不到合同约定验收标准的，监理人有权要求承包人返工直至符合合同要求为止，由此造成的费用增加和（或）工期延误由承包人承担。</w:t>
      </w:r>
    </w:p>
    <w:p w14:paraId="078620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13.1.3 因发包人原因造成工程质量达不到合同约定验收标准的，发包人应承担由于承包人返工造成的费用增加和（或）工期延误，并支付承包人合理利润。</w:t>
      </w:r>
    </w:p>
    <w:p w14:paraId="68C3619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13.2 承包人的质量管理</w:t>
      </w:r>
    </w:p>
    <w:p w14:paraId="463DEC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0AD22B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13.2.2 承包人应加强对施工人员的质量教育和技术培训，定期考核施工人员的劳动技能，严格执行规范和操作规程。</w:t>
      </w:r>
    </w:p>
    <w:p w14:paraId="4FC572F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13.3 承包人的质量检查</w:t>
      </w:r>
    </w:p>
    <w:p w14:paraId="5C1789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承包人应按合同约定对材料、工程设备以及工程的所有部位及其施工工艺进行全过程的质量检查和检验，并作详细记录，编制工程质量报表，报送监理人审查。</w:t>
      </w:r>
    </w:p>
    <w:p w14:paraId="20B8C44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13.4 监理人的质量检查</w:t>
      </w:r>
    </w:p>
    <w:p w14:paraId="59D1858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3C5CF3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13.5 工程隐蔽部位覆盖前的检查</w:t>
      </w:r>
    </w:p>
    <w:p w14:paraId="118CB91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13.5.1 通知监理人检查 </w:t>
      </w:r>
    </w:p>
    <w:p w14:paraId="5C8B8A1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63E96F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13.5.2 监理人未到场检查</w:t>
      </w:r>
    </w:p>
    <w:p w14:paraId="0A00404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DC37E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13.5.3 监理人重新检查</w:t>
      </w:r>
    </w:p>
    <w:p w14:paraId="6D82B5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1D2F15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13.5.4 承包人私自覆盖</w:t>
      </w:r>
    </w:p>
    <w:p w14:paraId="4C637E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承包人未通知监理人到场检查，私自将工程隐蔽部位覆盖的，监理人有权指示承包人钻孔探测或揭开检查，由此增加的费用和（或）工期延误由承包人承担。</w:t>
      </w:r>
    </w:p>
    <w:p w14:paraId="71CB70B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13.6 清除不合格工程</w:t>
      </w:r>
    </w:p>
    <w:p w14:paraId="0C0510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E9A5AF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13.6.2由于发包人提供的材料或工程设备不合格造成的工程不合格，需要承包人采取措施补救的，发包人应承担由此增加的费用和（或）工期延误，并支付承包人合理利润。</w:t>
      </w:r>
    </w:p>
    <w:p w14:paraId="5DE51B6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14. 试验和检验</w:t>
      </w:r>
    </w:p>
    <w:p w14:paraId="35B855C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14.1 材料、工程设备和工程的试验和检验</w:t>
      </w:r>
    </w:p>
    <w:p w14:paraId="44692B2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E15A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14.1.2 监理人未按合同约定派员参加试验和检验的，除监理人另有指示外，承包人可自行试验和检验，并应立即将试验和检验结果报送监理人，监理人应签字确认。</w:t>
      </w:r>
    </w:p>
    <w:p w14:paraId="7937C4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4A05B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14.2 现场材料试验</w:t>
      </w:r>
    </w:p>
    <w:p w14:paraId="1412D4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14.2.1 承包人根据合同约定或监理人指示进行的现场材料试验，应由承包人提供试验场所、试验人员、试验设备器材以及其他必要的试验条件。</w:t>
      </w:r>
    </w:p>
    <w:p w14:paraId="7906E4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14.2.2 监理人在必要时可以使用承包人的试验场所、试验设备器材以及其他试验条件，进行以工程质量检查为目的的复核性材料试验，承包人应予以协助。</w:t>
      </w:r>
    </w:p>
    <w:p w14:paraId="1B5CF81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14.3 现场工艺试验</w:t>
      </w:r>
    </w:p>
    <w:p w14:paraId="30C505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承包人应按合同约定或监理人指示进行现场工艺试验。对大型的现场工艺试验，监理人认为必要时，应由承包人根据监理人提出的工艺试验要求，编制工艺试验措施计划，报送监理人审批。</w:t>
      </w:r>
    </w:p>
    <w:p w14:paraId="469AC7C4">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15. 变更</w:t>
      </w:r>
    </w:p>
    <w:p w14:paraId="6C555FF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15.1 变更的范围和内容</w:t>
      </w:r>
    </w:p>
    <w:p w14:paraId="0ABB37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除专用合同条款另有约定外，在履行合同中发生以下情形之一，应按照本条规定进行变更。</w:t>
      </w:r>
    </w:p>
    <w:p w14:paraId="3DD82A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（1）取消合同中任何一项工作，但被取消的工作不能转由发包人或其他人实施；</w:t>
      </w:r>
    </w:p>
    <w:p w14:paraId="17E3D2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（2）改变合同中任何一项工作的质量或其他特性；</w:t>
      </w:r>
    </w:p>
    <w:p w14:paraId="76930C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（3）改变合同工程的基线、标高、位置或尺寸；</w:t>
      </w:r>
    </w:p>
    <w:p w14:paraId="390764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（4）改变合同中任何一项工作的施工时间或改变已批准的施工工艺或顺序；</w:t>
      </w:r>
    </w:p>
    <w:p w14:paraId="75359F6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（5）为完成工程需要追加的额外工作。</w:t>
      </w:r>
    </w:p>
    <w:p w14:paraId="0FC02C3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15.2 变更权</w:t>
      </w:r>
    </w:p>
    <w:p w14:paraId="14A63EA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在履行合同过程中，经发包人同意，监理人可按第15.3款约定的变更程序向承包人作出变更指示，承包人应遵照执行。没有监理人的变更指示，承包人不得擅自变更。</w:t>
      </w:r>
    </w:p>
    <w:p w14:paraId="03A2B4A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15.3 变更程序</w:t>
      </w:r>
    </w:p>
    <w:p w14:paraId="7B4A419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15.3.1 变更的提出</w:t>
      </w:r>
    </w:p>
    <w:p w14:paraId="27E441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61E264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（2）在合同履行过程中，发生第15.1款约定情形的，监理人应按照第15.3.3项约定向承包人发出变更指示。</w:t>
      </w:r>
    </w:p>
    <w:p w14:paraId="182C7F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70B90B0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（4）若承包人收到监理人的变更意向书后认为难以实施此项变更，应立即通知监理人，说明原因并附详细依据。监理人与承包人和发包人协商后确定撤消、改变或不改变原变更意向书。</w:t>
      </w:r>
    </w:p>
    <w:p w14:paraId="6B1EBC7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15.3.2 变更估价</w:t>
      </w:r>
    </w:p>
    <w:p w14:paraId="24F205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27D7C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（2）变更工作影响工期的，承包人应提出调整工期的具体细节。监理人认为有必要时，可要求承包人提交要求提前或延长工期的施工进度计划及相应施工措施等详细资料。</w:t>
      </w:r>
    </w:p>
    <w:p w14:paraId="0C23EA5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（3）除专用合同条款对期限另有约定外，监理人收到承包人变更报价书后的14天内，根据第15.4款约定的估价原则，按照第3.5款商定或确定变更价格。</w:t>
      </w:r>
    </w:p>
    <w:p w14:paraId="49FC7F7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15.3.3 变更指示</w:t>
      </w:r>
    </w:p>
    <w:p w14:paraId="5DC6A1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（1）变更指示只能由监理人发出。</w:t>
      </w:r>
    </w:p>
    <w:p w14:paraId="6F8B2E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（2）变更指示应说明变更的目的、范围、变更内容以及变更的工程量及其进度和技术要求，并附有关图纸和文件。承包人收到变更指示后，应按变更指示进行变更工作。</w:t>
      </w:r>
    </w:p>
    <w:p w14:paraId="7986D67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15.4 变更的估价原则 </w:t>
      </w:r>
    </w:p>
    <w:p w14:paraId="1AC1CFF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除专用合同条款另有约定外，因变更引起的价格调整按照本款约定处理。</w:t>
      </w:r>
    </w:p>
    <w:p w14:paraId="5A4A09E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15.4.1 已标价工程量清单中有适用于变更工作的子目的，采用该子目的单价。</w:t>
      </w:r>
    </w:p>
    <w:p w14:paraId="2039810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15.4.2 已标价工程量清单中无适用于变更工作的子目，但有类似子目的，可在合理范围内参照类似子目的单价，由监理人按第3.5款商定或确定变更工作的单价。</w:t>
      </w:r>
    </w:p>
    <w:p w14:paraId="2E4ED6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15.4.3 已标价工程量清单中无适用或类似子目的单价，可按照成本加利润的原则，由监理人按第3.5款商定或确定变更工作的单价。</w:t>
      </w:r>
    </w:p>
    <w:p w14:paraId="5AE607D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15.5 承包人的合理化建议</w:t>
      </w:r>
    </w:p>
    <w:p w14:paraId="666FBC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636E48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15.5.2 承包人提出的合理化建议降低了合同价格、缩短了工期或者提高了工程经济效益的，发包人可按国家有关规定在专用合同条款中约定给予奖励。</w:t>
      </w:r>
    </w:p>
    <w:p w14:paraId="3967196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15.6 暂列金额</w:t>
      </w:r>
    </w:p>
    <w:p w14:paraId="08DC5F3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暂列金额只能按照监理人的指示使用，并对合同价格进行相应调整。</w:t>
      </w:r>
    </w:p>
    <w:p w14:paraId="3853E21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15.7 计日工</w:t>
      </w:r>
    </w:p>
    <w:p w14:paraId="23EB17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15.7.1 发包人认为有必要时，由监理人通知承包人以计日工方式实施变更的零星工作。其价款按列入已标价工程量清单中的计日工计价子目及其单价进行计算。</w:t>
      </w:r>
    </w:p>
    <w:p w14:paraId="4BF379B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15.7.2 采用计日工计价的任何一项变更工作，应从暂列金额中支付，承包人应在该项变更的实施过程中，每天提交以下报表和有关凭证报送监理人审批：</w:t>
      </w:r>
    </w:p>
    <w:p w14:paraId="2E59D32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（1）工作名称、内容和数量；</w:t>
      </w:r>
    </w:p>
    <w:p w14:paraId="1866BA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（2）投入该工作所有人员的姓名、工种、级别和耗用工时；</w:t>
      </w:r>
    </w:p>
    <w:p w14:paraId="717432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（3）投入该工作的材料类别和数量；</w:t>
      </w:r>
    </w:p>
    <w:p w14:paraId="0A162B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（4）投入该工作的施工设备型号、台数和耗用台时；</w:t>
      </w:r>
    </w:p>
    <w:p w14:paraId="072DF3F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（5）监理人要求提交的其他资料和凭证。</w:t>
      </w:r>
    </w:p>
    <w:p w14:paraId="714F06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15.7.3 计日工由承包人汇总后，按第17.3.2项的约定列入进度付款申请单，由监理人复核并经发包人同意后列入进度付款。</w:t>
      </w:r>
    </w:p>
    <w:p w14:paraId="0FA3E8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15.8暂估价</w:t>
      </w:r>
    </w:p>
    <w:p w14:paraId="4EEAB4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27DA3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81E998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7DD3020F">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16. 价格调整</w:t>
      </w:r>
    </w:p>
    <w:p w14:paraId="0E49CFC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16.1 物价波动引起的价格调整</w:t>
      </w:r>
    </w:p>
    <w:p w14:paraId="08EB110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除专用合同条款另有约定外，因物价波动引起的价格调整按照本款约定处理。</w:t>
      </w:r>
    </w:p>
    <w:p w14:paraId="1E1BFFF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 采用价格指数调整价格差额</w:t>
      </w:r>
    </w:p>
    <w:p w14:paraId="0D55067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16.1.1.1 价格调整公式</w:t>
      </w:r>
    </w:p>
    <w:p w14:paraId="0BAE65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因人工、材料和设备等价格波动影响合同价格时，根据投标函附录中的价格指数和权重表约定的数据，按以下公式计算差额并调整合同价格：</w:t>
      </w:r>
    </w:p>
    <w:p w14:paraId="7539A39B">
      <w:pPr>
        <w:pStyle w:val="48"/>
        <w:autoSpaceDE w:val="0"/>
        <w:autoSpaceDN w:val="0"/>
        <w:adjustRightInd w:val="0"/>
        <w:spacing w:line="400" w:lineRule="atLeast"/>
        <w:ind w:right="249"/>
        <w:jc w:val="center"/>
        <w:rPr>
          <w:rFonts w:hint="eastAsia" w:ascii="宋体" w:hAnsi="宋体" w:eastAsia="宋体" w:cs="宋体"/>
          <w:b/>
          <w:color w:val="auto"/>
          <w:sz w:val="24"/>
        </w:rPr>
      </w:pPr>
      <w:r>
        <w:rPr>
          <w:rFonts w:hint="eastAsia" w:ascii="宋体" w:hAnsi="宋体" w:eastAsia="宋体" w:cs="宋体"/>
          <w:b/>
          <w:bCs/>
          <w:color w:val="auto"/>
          <w:kern w:val="0"/>
          <w:position w:val="-34"/>
          <w:sz w:val="24"/>
          <w:lang w:val="zh-CN"/>
        </w:rPr>
        <w:drawing>
          <wp:inline distT="0" distB="0" distL="114300" distR="114300">
            <wp:extent cx="4625340" cy="640080"/>
            <wp:effectExtent l="0" t="0" r="3810"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4625340" cy="640080"/>
                    </a:xfrm>
                    <a:prstGeom prst="rect">
                      <a:avLst/>
                    </a:prstGeom>
                    <a:noFill/>
                    <a:ln>
                      <a:noFill/>
                    </a:ln>
                  </pic:spPr>
                </pic:pic>
              </a:graphicData>
            </a:graphic>
          </wp:inline>
        </w:drawing>
      </w:r>
    </w:p>
    <w:p w14:paraId="7A3241F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式中： </w:t>
      </w:r>
      <w:r>
        <w:rPr>
          <w:rFonts w:hint="eastAsia" w:ascii="宋体" w:hAnsi="宋体" w:eastAsia="宋体" w:cs="宋体"/>
          <w:b/>
          <w:color w:val="auto"/>
          <w:sz w:val="24"/>
        </w:rPr>
        <w:t>△P</w:t>
      </w:r>
      <w:r>
        <w:rPr>
          <w:rFonts w:hint="eastAsia" w:ascii="宋体" w:hAnsi="宋体" w:eastAsia="宋体" w:cs="宋体"/>
          <w:color w:val="auto"/>
          <w:sz w:val="24"/>
        </w:rPr>
        <w:t>-- 需调整的价格差额；</w:t>
      </w:r>
    </w:p>
    <w:p w14:paraId="510697E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P</w:t>
      </w:r>
      <w:r>
        <w:rPr>
          <w:rFonts w:hint="eastAsia" w:ascii="宋体" w:hAnsi="宋体" w:eastAsia="宋体" w:cs="宋体"/>
          <w:b/>
          <w:bCs/>
          <w:color w:val="auto"/>
          <w:sz w:val="24"/>
          <w:vertAlign w:val="subscript"/>
          <w:lang w:val="zh-CN"/>
        </w:rPr>
        <w:t xml:space="preserve">0 </w:t>
      </w:r>
      <w:r>
        <w:rPr>
          <w:rFonts w:hint="eastAsia" w:ascii="宋体" w:hAnsi="宋体" w:eastAsia="宋体" w:cs="宋体"/>
          <w:color w:val="auto"/>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3DAAD2C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A</w:t>
      </w:r>
      <w:r>
        <w:rPr>
          <w:rFonts w:hint="eastAsia" w:ascii="宋体" w:hAnsi="宋体" w:eastAsia="宋体" w:cs="宋体"/>
          <w:color w:val="auto"/>
          <w:sz w:val="24"/>
        </w:rPr>
        <w:t xml:space="preserve"> -- 定值权重（即不调部分的权重）；</w:t>
      </w:r>
    </w:p>
    <w:p w14:paraId="7762780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B</w:t>
      </w:r>
      <w:r>
        <w:rPr>
          <w:rFonts w:hint="eastAsia" w:ascii="宋体" w:hAnsi="宋体" w:eastAsia="宋体" w:cs="宋体"/>
          <w:b/>
          <w:bCs/>
          <w:color w:val="auto"/>
          <w:sz w:val="24"/>
          <w:vertAlign w:val="subscript"/>
        </w:rPr>
        <w:t>1</w:t>
      </w:r>
      <w:r>
        <w:rPr>
          <w:rFonts w:hint="eastAsia" w:ascii="宋体" w:hAnsi="宋体" w:eastAsia="宋体" w:cs="宋体"/>
          <w:b/>
          <w:bCs/>
          <w:color w:val="auto"/>
          <w:sz w:val="24"/>
          <w:vertAlign w:val="subscript"/>
          <w:lang w:val="zh-CN"/>
        </w:rPr>
        <w:t xml:space="preserve">; </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2</w:t>
      </w:r>
      <w:r>
        <w:rPr>
          <w:rFonts w:hint="eastAsia" w:ascii="宋体" w:hAnsi="宋体" w:eastAsia="宋体" w:cs="宋体"/>
          <w:b/>
          <w:bCs/>
          <w:color w:val="auto"/>
          <w:sz w:val="24"/>
          <w:vertAlign w:val="subscript"/>
          <w:lang w:val="zh-CN"/>
        </w:rPr>
        <w:t xml:space="preserve">; </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3……</w:t>
      </w:r>
      <w:r>
        <w:rPr>
          <w:rFonts w:hint="eastAsia" w:ascii="宋体" w:hAnsi="宋体" w:eastAsia="宋体" w:cs="宋体"/>
          <w:b/>
          <w:bCs/>
          <w:color w:val="auto"/>
          <w:sz w:val="24"/>
          <w:lang w:val="zh-CN"/>
        </w:rPr>
        <w:t>B</w:t>
      </w:r>
      <w:r>
        <w:rPr>
          <w:rFonts w:hint="eastAsia" w:ascii="宋体" w:hAnsi="宋体" w:eastAsia="宋体" w:cs="宋体"/>
          <w:b/>
          <w:bCs/>
          <w:color w:val="auto"/>
          <w:sz w:val="24"/>
          <w:vertAlign w:val="subscript"/>
          <w:lang w:val="zh-CN"/>
        </w:rPr>
        <w:t>n</w:t>
      </w:r>
      <w:r>
        <w:rPr>
          <w:rFonts w:hint="eastAsia" w:ascii="宋体" w:hAnsi="宋体" w:eastAsia="宋体" w:cs="宋体"/>
          <w:color w:val="auto"/>
          <w:sz w:val="24"/>
          <w:vertAlign w:val="subscript"/>
        </w:rPr>
        <w:t xml:space="preserve"> </w:t>
      </w:r>
      <w:r>
        <w:rPr>
          <w:rFonts w:hint="eastAsia" w:ascii="宋体" w:hAnsi="宋体" w:eastAsia="宋体" w:cs="宋体"/>
          <w:color w:val="auto"/>
          <w:sz w:val="24"/>
        </w:rPr>
        <w:t xml:space="preserve"> -- 各可调因子的变值权重（即可调部分的权重）为各可调因子在投标函投标总报价中所占的比例；</w:t>
      </w:r>
    </w:p>
    <w:p w14:paraId="1FC843E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t1;</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t2;</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t3</w:t>
      </w:r>
      <w:r>
        <w:rPr>
          <w:rFonts w:hint="eastAsia" w:ascii="宋体" w:hAnsi="宋体" w:eastAsia="宋体" w:cs="宋体"/>
          <w:b/>
          <w:bCs/>
          <w:color w:val="auto"/>
          <w:sz w:val="24"/>
          <w:lang w:val="zh-CN"/>
        </w:rPr>
        <w:t>……F</w:t>
      </w:r>
      <w:r>
        <w:rPr>
          <w:rFonts w:hint="eastAsia" w:ascii="宋体" w:hAnsi="宋体" w:eastAsia="宋体" w:cs="宋体"/>
          <w:b/>
          <w:bCs/>
          <w:color w:val="auto"/>
          <w:sz w:val="24"/>
          <w:vertAlign w:val="subscript"/>
          <w:lang w:val="zh-CN"/>
        </w:rPr>
        <w:t>tn</w:t>
      </w:r>
      <w:r>
        <w:rPr>
          <w:rFonts w:hint="eastAsia" w:ascii="宋体" w:hAnsi="宋体" w:eastAsia="宋体" w:cs="宋体"/>
          <w:color w:val="auto"/>
          <w:sz w:val="24"/>
        </w:rPr>
        <w:t xml:space="preserve"> -- 各可调因子的现行价格指数，指第17.3.3项、第17.5.2项和第17.6.2项约定的付款证书相关周期最后一天的前42天的各可调因子的价格指数；</w:t>
      </w:r>
    </w:p>
    <w:p w14:paraId="234724A4">
      <w:pPr>
        <w:pStyle w:val="48"/>
        <w:spacing w:line="400" w:lineRule="atLeast"/>
        <w:ind w:firstLine="716" w:firstLineChars="297"/>
        <w:rPr>
          <w:rFonts w:hint="eastAsia" w:ascii="宋体" w:hAnsi="宋体" w:eastAsia="宋体" w:cs="宋体"/>
          <w:color w:val="auto"/>
          <w:sz w:val="24"/>
        </w:rPr>
      </w:pPr>
      <w:r>
        <w:rPr>
          <w:rFonts w:hint="eastAsia" w:ascii="宋体" w:hAnsi="宋体" w:eastAsia="宋体" w:cs="宋体"/>
          <w:b/>
          <w:bCs/>
          <w:color w:val="auto"/>
          <w:sz w:val="24"/>
        </w:rPr>
        <w:t>F</w:t>
      </w:r>
      <w:r>
        <w:rPr>
          <w:rFonts w:hint="eastAsia" w:ascii="宋体" w:hAnsi="宋体" w:eastAsia="宋体" w:cs="宋体"/>
          <w:b/>
          <w:bCs/>
          <w:color w:val="auto"/>
          <w:sz w:val="24"/>
          <w:vertAlign w:val="subscript"/>
        </w:rPr>
        <w:t>o1;</w:t>
      </w:r>
      <w:r>
        <w:rPr>
          <w:rFonts w:hint="eastAsia" w:ascii="宋体" w:hAnsi="宋体" w:eastAsia="宋体" w:cs="宋体"/>
          <w:b/>
          <w:bCs/>
          <w:color w:val="auto"/>
          <w:sz w:val="24"/>
        </w:rPr>
        <w:t xml:space="preserve"> F</w:t>
      </w:r>
      <w:r>
        <w:rPr>
          <w:rFonts w:hint="eastAsia" w:ascii="宋体" w:hAnsi="宋体" w:eastAsia="宋体" w:cs="宋体"/>
          <w:b/>
          <w:bCs/>
          <w:color w:val="auto"/>
          <w:sz w:val="24"/>
          <w:vertAlign w:val="subscript"/>
        </w:rPr>
        <w:t>o2;</w:t>
      </w:r>
      <w:r>
        <w:rPr>
          <w:rFonts w:hint="eastAsia" w:ascii="宋体" w:hAnsi="宋体" w:eastAsia="宋体" w:cs="宋体"/>
          <w:b/>
          <w:bCs/>
          <w:color w:val="auto"/>
          <w:sz w:val="24"/>
        </w:rPr>
        <w:t xml:space="preserve"> F</w:t>
      </w:r>
      <w:r>
        <w:rPr>
          <w:rFonts w:hint="eastAsia" w:ascii="宋体" w:hAnsi="宋体" w:eastAsia="宋体" w:cs="宋体"/>
          <w:b/>
          <w:bCs/>
          <w:color w:val="auto"/>
          <w:sz w:val="24"/>
          <w:vertAlign w:val="subscript"/>
        </w:rPr>
        <w:t>o3</w:t>
      </w:r>
      <w:r>
        <w:rPr>
          <w:rFonts w:hint="eastAsia" w:ascii="宋体" w:hAnsi="宋体" w:eastAsia="宋体" w:cs="宋体"/>
          <w:b/>
          <w:bCs/>
          <w:color w:val="auto"/>
          <w:sz w:val="24"/>
        </w:rPr>
        <w:t>……F</w:t>
      </w:r>
      <w:r>
        <w:rPr>
          <w:rFonts w:hint="eastAsia" w:ascii="宋体" w:hAnsi="宋体" w:eastAsia="宋体" w:cs="宋体"/>
          <w:b/>
          <w:bCs/>
          <w:color w:val="auto"/>
          <w:sz w:val="24"/>
          <w:vertAlign w:val="subscript"/>
        </w:rPr>
        <w:t>on</w:t>
      </w:r>
      <w:r>
        <w:rPr>
          <w:rFonts w:hint="eastAsia" w:ascii="宋体" w:hAnsi="宋体" w:eastAsia="宋体" w:cs="宋体"/>
          <w:color w:val="auto"/>
          <w:sz w:val="24"/>
        </w:rPr>
        <w:t xml:space="preserve"> --各可调因子的基本价格指数，指基准日期的各可调因子的价格指数。</w:t>
      </w:r>
    </w:p>
    <w:p w14:paraId="4E3491E9">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422A14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16.1.1.2 暂时确定调整差额</w:t>
      </w:r>
    </w:p>
    <w:p w14:paraId="015BB1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在计算调整差额时得不到现行价格指数的，可暂用上一次价格指数计算，并在以后的付款中再按实际价格指数进行调整。</w:t>
      </w:r>
    </w:p>
    <w:p w14:paraId="67E08C0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16.1.1.3 权重的调整</w:t>
      </w:r>
    </w:p>
    <w:p w14:paraId="5CF6E5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按第15.1款约定的变更导致原定合同中的权重不合理时，由监理人与承包人和发包人协商后进行调整。</w:t>
      </w:r>
    </w:p>
    <w:p w14:paraId="574A396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16.1.1.4 承包人工期延误后的价格调整</w:t>
      </w:r>
    </w:p>
    <w:p w14:paraId="5FCE3B7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4FD7BE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16.1.2 采用造价信息调整价格差额</w:t>
      </w:r>
    </w:p>
    <w:p w14:paraId="1305E5E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C2E8C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16.2 法律变化引起的价格调整</w:t>
      </w:r>
    </w:p>
    <w:p w14:paraId="54362A14">
      <w:pPr>
        <w:pStyle w:val="48"/>
        <w:spacing w:line="400" w:lineRule="atLeast"/>
        <w:ind w:firstLine="435"/>
        <w:rPr>
          <w:rFonts w:hint="eastAsia" w:ascii="宋体" w:hAnsi="宋体" w:eastAsia="宋体" w:cs="宋体"/>
          <w:color w:val="auto"/>
          <w:sz w:val="24"/>
        </w:rPr>
      </w:pPr>
      <w:r>
        <w:rPr>
          <w:rFonts w:hint="eastAsia" w:ascii="宋体" w:hAnsi="宋体" w:eastAsia="宋体" w:cs="宋体"/>
          <w:color w:val="auto"/>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03A9008">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17. 计量与支付</w:t>
      </w:r>
    </w:p>
    <w:p w14:paraId="2182CBA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17.1 计量 </w:t>
      </w:r>
    </w:p>
    <w:p w14:paraId="62EE518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17.1.1 计量单位</w:t>
      </w:r>
    </w:p>
    <w:p w14:paraId="5D80308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计量采用国家法定的计量单位。</w:t>
      </w:r>
    </w:p>
    <w:p w14:paraId="474EB8C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17.1.2 计量方法</w:t>
      </w:r>
    </w:p>
    <w:p w14:paraId="78DF6E8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工程量清单中的工程量计算规则应按有关国家标准、行业标准的规定，并在合同中约定执行。</w:t>
      </w:r>
    </w:p>
    <w:p w14:paraId="3904E6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17.1.3 计量周期</w:t>
      </w:r>
    </w:p>
    <w:p w14:paraId="4C2F407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除专用合同条款另有约定外，单价子目已完成工程量按月计量，总价子目的计量周期按批准的支付分解报告确定。 </w:t>
      </w:r>
    </w:p>
    <w:p w14:paraId="2EAF66C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17.1.4 单价子目的计量</w:t>
      </w:r>
    </w:p>
    <w:p w14:paraId="37C6F7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（1）已标价工程量清单中的单价子目工程量为估算工程量。结算工程量是承包人实际完成的，并按合同约定的计量方法进行计量的工程量。</w:t>
      </w:r>
    </w:p>
    <w:p w14:paraId="037C3B2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（2）承包人对已完成的工程进行计量，向监理人提交进度付款申请单、已完成工程量报表和有关计量资料。</w:t>
      </w:r>
    </w:p>
    <w:p w14:paraId="144EC0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43484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（4）监理人认为有必要时，可通知承包人共同进行联合测量、计量，承包人应遵照执行。</w:t>
      </w:r>
    </w:p>
    <w:p w14:paraId="4BC4AA9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01E905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（6）监理人应在收到承包人提交的工程量报表的7天内进行复核，监理人未在约定时间内复核的，承包人提交的工程量报表中的工程量视为承包人实际完成的工程量，据此计算工程价款。</w:t>
      </w:r>
    </w:p>
    <w:p w14:paraId="3FF9466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17.1.5 总价子目的计量</w:t>
      </w:r>
    </w:p>
    <w:p w14:paraId="7C6BB2A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除专用合同条款另有约定外，总价子目的分解和计量按照下述约定进行。</w:t>
      </w:r>
    </w:p>
    <w:p w14:paraId="19CBECF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（1）总价子目的计量和支付应以总价为基础，不因第16.1款中的因素而进行调整。承包人实际完成的工程量，是进行工程目标管理和控制进度支付的依据。</w:t>
      </w:r>
    </w:p>
    <w:p w14:paraId="57CB669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B61460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（3）监理人对承包人提交的上述资料进行复核，以确定分阶段实际完成的工程量和工程形象目标。对其有异议的，可要求承包人按第8.2款约定进行共同复核和抽样复测。</w:t>
      </w:r>
    </w:p>
    <w:p w14:paraId="68382BA2">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（4）除按照第15条约定的变更外，总价子目的工程量是承包人用于结算的最终工程量。</w:t>
      </w:r>
    </w:p>
    <w:p w14:paraId="51DA6C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17.2 预付款</w:t>
      </w:r>
    </w:p>
    <w:p w14:paraId="5EB1776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17.2.1预付款</w:t>
      </w:r>
    </w:p>
    <w:p w14:paraId="372E9BE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预付款用于承包人为合同工程施工购置材料、工程设备、施工设备、修建临时设施以及组织施工队伍进场等。预付款的额度和预付办法在专用合同条款中约定。预付款必须专用于合同工程。</w:t>
      </w:r>
    </w:p>
    <w:p w14:paraId="653F49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17.2.2 预付款保函</w:t>
      </w:r>
    </w:p>
    <w:p w14:paraId="38729F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除专用合同条款另有约定外，承包人应在收到预付款的同时向发包人提交预付款保函，预付款保函的担保金额应与预付款金额相同。保函的担保金额可根据预付款扣回的金额相应递减。</w:t>
      </w:r>
    </w:p>
    <w:p w14:paraId="265EE41E">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17.2.3 预付款的扣回与还清</w:t>
      </w:r>
    </w:p>
    <w:p w14:paraId="2E65F6E6">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DDC5DC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17.3 工程进度付款</w:t>
      </w:r>
    </w:p>
    <w:p w14:paraId="0F2CFD7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17.3.1 付款周期</w:t>
      </w:r>
    </w:p>
    <w:p w14:paraId="46CDD67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付款周期同计量周期。</w:t>
      </w:r>
    </w:p>
    <w:p w14:paraId="7806E92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17.3.2 进度付款申请单</w:t>
      </w:r>
    </w:p>
    <w:p w14:paraId="4E2966C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D1169B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（1）截至本次付款周期末已实施工程的价款；</w:t>
      </w:r>
    </w:p>
    <w:p w14:paraId="3C59BA4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（2）根据第15条应增加和扣减的变更金额；</w:t>
      </w:r>
    </w:p>
    <w:p w14:paraId="3B04CF9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（3）根据第23条应增加和扣减的索赔金额；</w:t>
      </w:r>
    </w:p>
    <w:p w14:paraId="49EABC1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（4）根据第17.2款约定应支付的预付款和扣减的返还预付款；</w:t>
      </w:r>
    </w:p>
    <w:p w14:paraId="78D6276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（5）根据第17.4.1项约定应扣减的质量保证金；</w:t>
      </w:r>
    </w:p>
    <w:p w14:paraId="6A3FF52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（6）根据合同应增加和扣减的其他金额。</w:t>
      </w:r>
    </w:p>
    <w:p w14:paraId="5D51308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17.3.3 进度付款证书和支付时间</w:t>
      </w:r>
    </w:p>
    <w:p w14:paraId="0E1304B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B17A19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（2）发包人应在监理人收到进度付款申请单后的28天内，将进度应付款支付给承包人。发包人不按期支付的，按专用合同条款的约定支付逾期付款违约金。</w:t>
      </w:r>
    </w:p>
    <w:p w14:paraId="5B98E8A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（3）监理人出具进度付款证书，不应视为监理人已同意、批准或接受了承包人完成的该部分工作。</w:t>
      </w:r>
    </w:p>
    <w:p w14:paraId="3BDCD84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（4）进度付款涉及政府投资资金的，按照国库集中支付等国家相关规定和专用合同条款的约定办理。</w:t>
      </w:r>
    </w:p>
    <w:p w14:paraId="1E261BB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17.3.4 工程进度付款的修正</w:t>
      </w:r>
    </w:p>
    <w:p w14:paraId="1DA947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在对以往历次已签发的进度付款证书进行汇总和复核中发现错、漏或重复的，监理人有权予以修正，承包人也有权提出修正申请。经双方复核同意的修正，应在本次进度付款中支付或扣除。</w:t>
      </w:r>
    </w:p>
    <w:p w14:paraId="44BDCB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17.4 质量保证金</w:t>
      </w:r>
    </w:p>
    <w:p w14:paraId="3A2837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448B3A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3B85ED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B98350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17.5 竣工结算</w:t>
      </w:r>
    </w:p>
    <w:p w14:paraId="77096D9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17.5.1 竣工付款申请单</w:t>
      </w:r>
    </w:p>
    <w:p w14:paraId="610E5F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16CB5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（2）监理人对竣工付款申请单有异议的，有权要求承包人进行修正和提供补充资料。经监理人和承包人协商后，由承包人向监理人提交修正后的竣工付款申请单。</w:t>
      </w:r>
    </w:p>
    <w:p w14:paraId="1AF5C2E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17.5.2 竣工付款证书及支付时间</w:t>
      </w:r>
    </w:p>
    <w:p w14:paraId="4477671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F012769">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（2）发包人应在监理人出具竣工付款证书后的14天内，将应支付款支付给承包人。发包人不按期支付的，按第17.3.3（2）目的约定，将逾期付款违约金支付给承包人。</w:t>
      </w:r>
    </w:p>
    <w:p w14:paraId="156BE20E">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（3）承包人对发包人签认的竣工付款证书有异议的，发包人可出具竣工付款申请单中承包人已同意部分的临时付款证书。存在争议的部分，按第24条的约定办理。</w:t>
      </w:r>
    </w:p>
    <w:p w14:paraId="690D4CC6">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（4）竣工付款涉及政府投资资金的，按第17.3.3（4）目的约定办理。</w:t>
      </w:r>
    </w:p>
    <w:p w14:paraId="2F1D2F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17.6 最终结清</w:t>
      </w:r>
    </w:p>
    <w:p w14:paraId="03B0181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17.6.1 最终结清申请单</w:t>
      </w:r>
    </w:p>
    <w:p w14:paraId="45A4E2B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（1）缺陷责任期终止证书签发后，承包人可按专用合同条款约定的份数和期限向监理人提交最终结清申请单，并提供相关证明材料。</w:t>
      </w:r>
    </w:p>
    <w:p w14:paraId="49280C5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（2）发包人对最终结清申请单内容有异议的，有权要求承包人进行修正和提供补充资料，由承包人向监理人提交修正后的最终结清申请单。</w:t>
      </w:r>
    </w:p>
    <w:p w14:paraId="30211FC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17.6.2 最终结清证书和支付时间 </w:t>
      </w:r>
    </w:p>
    <w:p w14:paraId="26C50DD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B32ED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（2）发包人应在监理人出具最终结清证书后的14天内，将应支付款支付给承包人。发包人不按期支付的，按第17.3.3（2）目的约定，将逾期付款违约金支付给承包人。</w:t>
      </w:r>
    </w:p>
    <w:p w14:paraId="5DD544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（3）承包人对发包人签认的最终结清证书有异议的，按第24条的约定办理。</w:t>
      </w:r>
    </w:p>
    <w:p w14:paraId="50262B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（4）最终结清付款涉及政府投资资金的，按第17.3.3（4）目的约定办理。</w:t>
      </w:r>
    </w:p>
    <w:p w14:paraId="6F1E0BB5">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18. 竣工验收</w:t>
      </w:r>
    </w:p>
    <w:p w14:paraId="7BCE256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18.1 竣工验收的含义</w:t>
      </w:r>
    </w:p>
    <w:p w14:paraId="2C7212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18.1.1 竣工验收指承包人完成了全部合同工作后，发包人按合同要求进行的验收。</w:t>
      </w:r>
    </w:p>
    <w:p w14:paraId="4E6BB51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18.1.2 国家验收是政府有关部门根据法律、规范、规程和政策要求，针对发包人全面组织实施的整个工程正式交付投运前的验收。</w:t>
      </w:r>
    </w:p>
    <w:p w14:paraId="5BC6C1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582C70B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18.2 竣工验收申请报告</w:t>
      </w:r>
    </w:p>
    <w:p w14:paraId="10673A4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当工程具备以下条件时，承包人即可向监理人报送竣工验收申请报告：</w:t>
      </w:r>
    </w:p>
    <w:p w14:paraId="754A89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（1）除监理人同意列入缺陷责任期内完成的尾工（甩项）工程和缺陷修补工作外，合同范围内的全部单位工程以及有关工作，包括合同要求的试验、试运行以及检验和验收均已完成，并符合合同要求；</w:t>
      </w:r>
    </w:p>
    <w:p w14:paraId="0DC156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（2）已按合同约定的内容和份数备齐了符合要求的竣工资料； </w:t>
      </w:r>
    </w:p>
    <w:p w14:paraId="643D92C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（3）已按监理人的要求编制了在缺陷责任期内完成的尾工（甩项）工程和缺陷修补工作清单以及相应施工计划；</w:t>
      </w:r>
    </w:p>
    <w:p w14:paraId="6A44A89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（4）监理人要求在竣工验收前应完成的其他工作；</w:t>
      </w:r>
    </w:p>
    <w:p w14:paraId="5D752B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（5）监理人要求提交的竣工验收资料清单。</w:t>
      </w:r>
    </w:p>
    <w:p w14:paraId="433092D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18.3 验收</w:t>
      </w:r>
    </w:p>
    <w:p w14:paraId="433B15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监理人收到承包人按第18.2款约定提交的竣工验收申请报告后，应审查申请报告的各项内容，并按以下不同情况进行处理。</w:t>
      </w:r>
    </w:p>
    <w:p w14:paraId="032803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50EC9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18.3.2 监理人审查后认为已具备竣工验收条件的，应在收到竣工验收申请报告后的28天内提请发包人进行工程验收。</w:t>
      </w:r>
    </w:p>
    <w:p w14:paraId="2DAC83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9CFC3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B0DBE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18.3.5 除专用合同条款另有约定外，经验收合格工程的实际竣工日期，以提交竣工验收申请报告的日期为准，并在工程接收证书中写明。</w:t>
      </w:r>
    </w:p>
    <w:p w14:paraId="075DFA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18.3.6 发包人在收到承包人竣工验收申请报告56天后未进行验收的，视为验收合格，实际竣工日期以提交竣工验收申请报告的日期为准，但发包人由于不可抗力不能进行验收的除外。</w:t>
      </w:r>
    </w:p>
    <w:p w14:paraId="0139076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18.4 单位工程验收</w:t>
      </w:r>
    </w:p>
    <w:p w14:paraId="57AFE2C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A5865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18.4.2发包人在全部工程竣工前，使用已接收的单位工程导致承包人费用增加的，发包人应承担由此增加的费用和（或）工期延误，并支付承包人合理利润。</w:t>
      </w:r>
    </w:p>
    <w:p w14:paraId="3C1F37B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18.5施工期运行</w:t>
      </w:r>
    </w:p>
    <w:p w14:paraId="0FAD319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3D1C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18.5.2 在施工期运行中发现工程或工程设备损坏或存在缺陷的，由承包人按第19.2款约定进行修复。</w:t>
      </w:r>
    </w:p>
    <w:p w14:paraId="37AA041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18.6 试运行</w:t>
      </w:r>
    </w:p>
    <w:p w14:paraId="2BBF9C3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18.6.1</w:t>
      </w:r>
      <w:r>
        <w:rPr>
          <w:rFonts w:hint="eastAsia" w:ascii="宋体" w:hAnsi="宋体" w:eastAsia="宋体" w:cs="宋体"/>
          <w:b/>
          <w:color w:val="auto"/>
          <w:sz w:val="24"/>
        </w:rPr>
        <w:t xml:space="preserve"> </w:t>
      </w:r>
      <w:r>
        <w:rPr>
          <w:rFonts w:hint="eastAsia" w:ascii="宋体" w:hAnsi="宋体" w:eastAsia="宋体" w:cs="宋体"/>
          <w:color w:val="auto"/>
          <w:sz w:val="24"/>
        </w:rPr>
        <w:t>除专用合同条款另有约定外，承包人应按专用合同条款约定进行工程及工程设备试运行，负责提供试运行所需的人员、器材和必要的条件，并承担全部试运行费用。</w:t>
      </w:r>
    </w:p>
    <w:p w14:paraId="1B0F03A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FD826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18.7 竣工清场</w:t>
      </w:r>
    </w:p>
    <w:p w14:paraId="76D250B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18.7.1除合同另有约定外，工程接收证书颁发后，承包人应按以下要求对施工场地进行清理，直至监理人检验合格为止。竣工清场费用由承包人承担。</w:t>
      </w:r>
    </w:p>
    <w:p w14:paraId="34DEB22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（1）施工场地内残留的垃圾已全部清除出场；</w:t>
      </w:r>
    </w:p>
    <w:p w14:paraId="6B083CC4">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（2）临时工程已拆除，场地已按合同要求进行清理、平整或复原；</w:t>
      </w:r>
    </w:p>
    <w:p w14:paraId="651DE347">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（3）按合同约定应撤离的承包人设备和剩余的材料，包括废弃的施工设备和材料，已按计划撤离施工场地；</w:t>
      </w:r>
    </w:p>
    <w:p w14:paraId="6A48D46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（4）工程建筑物周边及其附近道路、河道的施工堆积物，已按监理人指示全部清理；</w:t>
      </w:r>
    </w:p>
    <w:p w14:paraId="75F57A6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（5）监理人指示的其他场地清理工作已全部完成。</w:t>
      </w:r>
    </w:p>
    <w:p w14:paraId="69D7F4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18.7.2承包人未按监理人的要求恢复临时占地，或者场地清理未达到合同约定的，发包人有权委托其他人恢复或清理，所发生的金额从拟支付给承包人的款项中扣除。</w:t>
      </w:r>
    </w:p>
    <w:p w14:paraId="005E08D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18.8施工队伍的撤离</w:t>
      </w:r>
    </w:p>
    <w:p w14:paraId="5E9091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209281D">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19. 缺陷责任与保修责任</w:t>
      </w:r>
    </w:p>
    <w:p w14:paraId="502282D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19.1 缺陷责任期的起算时间</w:t>
      </w:r>
    </w:p>
    <w:p w14:paraId="2F14BC5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缺陷责任期自实际竣工日期起计算。在全部工程竣工验收前，已经发包人提前验收的单位工程，其缺陷责任期的起算日期相应提前。</w:t>
      </w:r>
    </w:p>
    <w:p w14:paraId="2E8C72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19.2 缺陷责任</w:t>
      </w:r>
    </w:p>
    <w:p w14:paraId="5618FE4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19.2.1 承包人应在缺陷责任期内对已交付使用的工程承担缺陷责任。</w:t>
      </w:r>
    </w:p>
    <w:p w14:paraId="7B1C24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B9A41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AF7ED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19.2.4 承包人不能在合理时间内修复缺陷的，发包人可自行修复或委托其他人修复，所需费用和利润的承担，按第19.2.3项约定办理。</w:t>
      </w:r>
    </w:p>
    <w:p w14:paraId="63C93DE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19.3 缺陷责任期的延长</w:t>
      </w:r>
    </w:p>
    <w:p w14:paraId="164F83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由于承包人原因造成某项缺陷或损坏使某项工程或工程设备不能按原定目标使用而需要再次检查、检验和修复的，发包人有权要求承包人相应延长缺陷责任期，但缺陷责任期最长不超过2年。</w:t>
      </w:r>
    </w:p>
    <w:p w14:paraId="66CF79C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19.4 进一步试验和试运行</w:t>
      </w:r>
    </w:p>
    <w:p w14:paraId="3E6DBDD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任何一项缺陷或损坏修复后，经检查证明其影响了工程或工程设备的使用性能，承包人应重新进行合同约定的试验和试运行，试验和试运行的全部费用应由责任方承担。</w:t>
      </w:r>
    </w:p>
    <w:p w14:paraId="0894C7E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19.5 承包人的进入权 </w:t>
      </w:r>
    </w:p>
    <w:p w14:paraId="188CB0FC">
      <w:pPr>
        <w:pStyle w:val="48"/>
        <w:spacing w:line="400" w:lineRule="atLeast"/>
        <w:ind w:firstLine="435"/>
        <w:rPr>
          <w:rFonts w:hint="eastAsia" w:ascii="宋体" w:hAnsi="宋体" w:eastAsia="宋体" w:cs="宋体"/>
          <w:color w:val="auto"/>
          <w:sz w:val="24"/>
        </w:rPr>
      </w:pPr>
      <w:r>
        <w:rPr>
          <w:rFonts w:hint="eastAsia" w:ascii="宋体" w:hAnsi="宋体" w:eastAsia="宋体" w:cs="宋体"/>
          <w:color w:val="auto"/>
          <w:sz w:val="24"/>
        </w:rPr>
        <w:t>缺陷责任期内承包人为缺陷修复工作需要，有权进入工程现场，但应遵守发包人的保安和保密规定。</w:t>
      </w:r>
    </w:p>
    <w:p w14:paraId="0A2CD4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19.6 缺陷责任期终止证书</w:t>
      </w:r>
    </w:p>
    <w:p w14:paraId="3332E6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在第1.1.4.5目约定的缺陷责任期，包括根据第19.3款延长的期限终止后14天内，由监理人向承包人出具经发包人签认的缺陷责任期终止证书，并退还剩余的质量保证金。</w:t>
      </w:r>
    </w:p>
    <w:p w14:paraId="644597D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19.7 保修责任</w:t>
      </w:r>
    </w:p>
    <w:p w14:paraId="5EA749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03140D93">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20. 保险</w:t>
      </w:r>
    </w:p>
    <w:p w14:paraId="16542A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20.1工程保险</w:t>
      </w:r>
    </w:p>
    <w:p w14:paraId="2FEB65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962F33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20.2人员工伤事故的保险</w:t>
      </w:r>
    </w:p>
    <w:p w14:paraId="2359D0C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20.2.1 承包人员工伤事故的保险</w:t>
      </w:r>
    </w:p>
    <w:p w14:paraId="12CAFC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承包人应依照有关法律规定参加工伤保险，为其履行合同所雇佣的全部人员，缴纳工伤保险费，并要求其分包人也进行此项保险。</w:t>
      </w:r>
    </w:p>
    <w:p w14:paraId="565AF7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20.2.2发包人员工伤事故的保险</w:t>
      </w:r>
    </w:p>
    <w:p w14:paraId="22B9AC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发包人应依照有关法律规定参加工伤保险，为其现场机构雇佣的全部人员，缴纳工伤保险费，并要求其监理人也进行此项保险。</w:t>
      </w:r>
    </w:p>
    <w:p w14:paraId="1A8A5E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20.3 人身意外伤害险</w:t>
      </w:r>
    </w:p>
    <w:p w14:paraId="388D49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20.3.1发包人应在整个施工期间为其现场机构雇用的全部人员，投保人身意外伤害险，缴纳保险费，并要求其监理人也进行此项保险。</w:t>
      </w:r>
    </w:p>
    <w:p w14:paraId="1EB1D1E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20.3.2 承包人应在整个施工期间为其现场机构雇用的全部人员，投保人身意外伤害险，缴纳保险费，并要求其分包人也进行此项保险。</w:t>
      </w:r>
    </w:p>
    <w:p w14:paraId="75D5EB0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20.4 第三者责任险</w:t>
      </w:r>
    </w:p>
    <w:p w14:paraId="7C8A59E9">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EBCE58D">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20.4.2 在缺陷责任期终止证书颁发前，承包人应以承包人和发包人的共同名义，投保第20.4.1项约定的第三者责任险，其保险费率、保险金额等有关内容在专用合同条款中约定。</w:t>
      </w:r>
    </w:p>
    <w:p w14:paraId="3AFB5EC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20.5 其他保险</w:t>
      </w:r>
    </w:p>
    <w:p w14:paraId="205B78BC">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除专用合同条款另有约定外，承包人应为其施工设备、进场的材料和工程设备等办理保险。</w:t>
      </w:r>
    </w:p>
    <w:p w14:paraId="6A3712C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20.6 对各项保险的一般要求</w:t>
      </w:r>
    </w:p>
    <w:p w14:paraId="51019A8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20.6.1 保险凭证</w:t>
      </w:r>
    </w:p>
    <w:p w14:paraId="55571DE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承包人应在专用合同条款约定的期限内向发包人提交各项保险生效的证据和保险单副本，保险单必须与专用合同条款约定的条件保持一致。</w:t>
      </w:r>
    </w:p>
    <w:p w14:paraId="699BE6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20.6.2保险合同条款的变动</w:t>
      </w:r>
    </w:p>
    <w:p w14:paraId="6FBC483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承包人需要变动保险合同条款时，应事先征得发包人同意，并通知监理人。保险人作出变动的，承包人应在收到保险人通知后立即通知发包人和监理人。</w:t>
      </w:r>
    </w:p>
    <w:p w14:paraId="3743CF5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20.6.3 持续保险</w:t>
      </w:r>
    </w:p>
    <w:p w14:paraId="564DBB8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承包人应与保险人保持联系，使保险人能够随时了解工程实施中的变动，并确保按保险合同条款要求持续保险。</w:t>
      </w:r>
    </w:p>
    <w:p w14:paraId="295BCA3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20.6.4 保险金不足的补偿</w:t>
      </w:r>
    </w:p>
    <w:p w14:paraId="201981C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保险金不足以补偿损失的，应由承包人和（或）发包人按合同约定负责补偿。</w:t>
      </w:r>
    </w:p>
    <w:p w14:paraId="38ED054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20.6.5 未按约定投保的补救</w:t>
      </w:r>
    </w:p>
    <w:p w14:paraId="63DE51A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（1）由于负有投保义务的一方当事人未按合同约定办理保险，或未能使保险持续有效的，另一方当事人可代为办理，所需费用由对方当事人承担。</w:t>
      </w:r>
    </w:p>
    <w:p w14:paraId="7D723D5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（2）由于负有投保义务的一方当事人未按合同约定办理某项保险，导致受益人未能得到保险人的赔偿，原应从该项保险得到的保险金应由负有投保义务的一方当事人支付。</w:t>
      </w:r>
    </w:p>
    <w:p w14:paraId="6BF750A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20.6.6报告义务</w:t>
      </w:r>
    </w:p>
    <w:p w14:paraId="46E65AB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当保险事故发生时，投保人应按照保险单规定的条件和期限及时向保险人报告。</w:t>
      </w:r>
    </w:p>
    <w:p w14:paraId="4396F6BC">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21. 不可抗力</w:t>
      </w:r>
    </w:p>
    <w:p w14:paraId="1443D85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21.1 不可抗力的确认</w:t>
      </w:r>
    </w:p>
    <w:p w14:paraId="572D5B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C3720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526F6AE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21.2 不可抗力的通知</w:t>
      </w:r>
    </w:p>
    <w:p w14:paraId="1AC6E6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21.2.1 合同一方当事人遇到不可抗力事件，使其履行合同义务受到阻碍时，应立即通知合同另一方当事人和监理人，书面说明不可抗力和受阻碍的详细情况，并提供必要的证明。</w:t>
      </w:r>
    </w:p>
    <w:p w14:paraId="7F5E5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5DD4228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21.3 不可抗力后果及其处理</w:t>
      </w:r>
    </w:p>
    <w:p w14:paraId="113EFEC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21.3.1 不可抗力造成损害的责任</w:t>
      </w:r>
    </w:p>
    <w:p w14:paraId="737DB9E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除专用合同条款另有约定外，不可抗力导致的人员伤亡、财产损失、费用增加和（或）工期延误等后果，由合同双方按以下原则承担：</w:t>
      </w:r>
    </w:p>
    <w:p w14:paraId="08EE49B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（1）永久工程，包括已运至施工场地的材料和工程设备的损害，以及因工程损害造成的第三者人员伤亡和财产损失由发包人承担；</w:t>
      </w:r>
    </w:p>
    <w:p w14:paraId="280E751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（2）承包人设备的损坏由承包人承担；</w:t>
      </w:r>
    </w:p>
    <w:p w14:paraId="28635EF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（3）发包人和承包人各自承担其人员伤亡和其他财产损失及其相关费用；</w:t>
      </w:r>
    </w:p>
    <w:p w14:paraId="6D4CED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（4）承包人的停工损失由承包人承担，但停工期间应监理人要求照管工程和清理、修复工程的金额由发包人承担；</w:t>
      </w:r>
    </w:p>
    <w:p w14:paraId="5C59C1E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（5）不能按期竣工的，应合理延长工期，承包人不需支付逾期竣工违约金。发包人要求赶工的，承包人应采取赶工措施，赶工费用由发包人承担。</w:t>
      </w:r>
    </w:p>
    <w:p w14:paraId="74858992">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21.3.2 延迟履行期间发生的不可抗力</w:t>
      </w:r>
    </w:p>
    <w:p w14:paraId="412C70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合同一方当事人延迟履行，在延迟履行期间发生不可抗力的，不免除其责任。</w:t>
      </w:r>
    </w:p>
    <w:p w14:paraId="0E7B1E9F">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21.3.3 避免和减少不可抗力损失</w:t>
      </w:r>
    </w:p>
    <w:p w14:paraId="6B148F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不可抗力发生后，发包人和承包人均应采取措施尽量避免和减少损失的扩大，任何一方没有采取有效措施导致损失扩大的，应对扩大的损失承担责任。</w:t>
      </w:r>
    </w:p>
    <w:p w14:paraId="5DA23EA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21.3.4 因不可抗力解除合同</w:t>
      </w:r>
    </w:p>
    <w:p w14:paraId="4B3B7B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7D799E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22. 违约</w:t>
      </w:r>
    </w:p>
    <w:p w14:paraId="57203A1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22.1 承包人违约</w:t>
      </w:r>
    </w:p>
    <w:p w14:paraId="23E0914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22.1.1 承包人违约的情形</w:t>
      </w:r>
    </w:p>
    <w:p w14:paraId="3002F6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在履行合同过程中发生的下列情况属承包人违约：</w:t>
      </w:r>
    </w:p>
    <w:p w14:paraId="357A57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（1）承包人违反第1.8款或第4.3款的约定，私自将合同的全部或部分权利转让给其他人，或私自将合同的全部或部分义务转移给其他人；</w:t>
      </w:r>
    </w:p>
    <w:p w14:paraId="2C678B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（2）承包人违反第5.3款或第6.4款的约定，未经监理人批准，私自将已按合同约定进入施工场地的施工设备、临时设施或材料撤离施工场地；</w:t>
      </w:r>
    </w:p>
    <w:p w14:paraId="18C016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（3）承包人违反第5.4款的约定使用了不合格材料或工程设备，工程质量达不到标准要求，又拒绝清除不合格工程；</w:t>
      </w:r>
    </w:p>
    <w:p w14:paraId="494580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（4）承包人未能按合同进度计划及时完成合同约定的工作，已造成或预期造成工期延误；</w:t>
      </w:r>
    </w:p>
    <w:p w14:paraId="7281798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（5）承包人在缺陷责任期内，未能对工程接收证书所列的缺陷清单的内容或缺陷责任期内发生的缺陷进行修复，而又拒绝按监理人指示再进行修补；</w:t>
      </w:r>
    </w:p>
    <w:p w14:paraId="0C61BA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（6）承包人无法继续履行或明确表示不履行或实质上已停止履行合同；</w:t>
      </w:r>
    </w:p>
    <w:p w14:paraId="3601DFF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（7）承包人不按合同约定履行义务的其他情况。</w:t>
      </w:r>
    </w:p>
    <w:p w14:paraId="707C38B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22.1.2 对承包人违约的处理</w:t>
      </w:r>
    </w:p>
    <w:p w14:paraId="362B42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（1）承包人发生第22.1.1（6）目约定的违约情况时，发包人可通知承包人立即解除合同，并按有关法律处理。</w:t>
      </w:r>
    </w:p>
    <w:p w14:paraId="3F0004C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（2）承包人发生除第22.1.1（6）目约定以外的其他违约情况时，监理人可向承包人发出整改通知，要求其在指定的期限内改正。承包人应承担其违约所引起的费用增加和（或）工期延误。</w:t>
      </w:r>
    </w:p>
    <w:p w14:paraId="119C7A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（3）经检查证明承包人已采取了有效措施纠正违约行为，具备复工条件的，可由监理人签发复工通知复工。</w:t>
      </w:r>
    </w:p>
    <w:p w14:paraId="60EA6F1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22.1.3 承包人违约解除合同</w:t>
      </w:r>
    </w:p>
    <w:p w14:paraId="7B6CEFA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803ACA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22.1.4 合同解除后的估价、付款和结清</w:t>
      </w:r>
    </w:p>
    <w:p w14:paraId="33ABB1D4">
      <w:pPr>
        <w:pStyle w:val="48"/>
        <w:tabs>
          <w:tab w:val="left" w:pos="54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（1）合同解除后，监理人按第3.5款商定或确定承包人实际完成工作的价值，以及承包人已提供的材料、施工设备、工程设备和临时工程等的价值。 </w:t>
      </w:r>
    </w:p>
    <w:p w14:paraId="25FE38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（2）合同解除后，发包人应暂停对承包人的一切付款，查清各项付款和已扣款金额，包括承包人应支付的违约金。 </w:t>
      </w:r>
    </w:p>
    <w:p w14:paraId="351A44D5">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（3）合同解除后，发包人应按第23.4款的约定向承包人索赔由于解除合同给发包人造成的损失。</w:t>
      </w:r>
    </w:p>
    <w:p w14:paraId="7C7287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（4）合同双方确认上述往来款项后，出具最终结清付款证书，结清全部合同款项。</w:t>
      </w:r>
    </w:p>
    <w:p w14:paraId="62801A24">
      <w:pPr>
        <w:pStyle w:val="48"/>
        <w:spacing w:line="400" w:lineRule="atLeast"/>
        <w:ind w:right="25" w:rightChars="12" w:firstLine="480" w:firstLineChars="200"/>
        <w:rPr>
          <w:rFonts w:hint="eastAsia" w:ascii="宋体" w:hAnsi="宋体" w:eastAsia="宋体" w:cs="宋体"/>
          <w:color w:val="auto"/>
          <w:sz w:val="24"/>
        </w:rPr>
      </w:pPr>
      <w:r>
        <w:rPr>
          <w:rFonts w:hint="eastAsia" w:ascii="宋体" w:hAnsi="宋体" w:eastAsia="宋体" w:cs="宋体"/>
          <w:color w:val="auto"/>
          <w:sz w:val="24"/>
        </w:rPr>
        <w:t>（5）发包人和承包人未能就解除合同后的结清达成一致而形成争议的，按第24条的约定办理。</w:t>
      </w:r>
    </w:p>
    <w:p w14:paraId="38EFE6E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22.1.5 协议利益的转让</w:t>
      </w:r>
    </w:p>
    <w:p w14:paraId="3FC3422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75B80C8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22.1.6 紧急情况下无能力或不愿进行抢救</w:t>
      </w:r>
    </w:p>
    <w:p w14:paraId="78AB16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78434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22.2 发包人违约</w:t>
      </w:r>
    </w:p>
    <w:p w14:paraId="172C56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22.2.1发包人违约的情形</w:t>
      </w:r>
    </w:p>
    <w:p w14:paraId="1E242F8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在履行合同过程中发生的下列情形，属发包人违约：</w:t>
      </w:r>
    </w:p>
    <w:p w14:paraId="512FFA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（1）发包人未能按合同约定支付预付款或合同价款，或拖延、拒绝批准付款申请和支付凭证，导致付款延误的； </w:t>
      </w:r>
    </w:p>
    <w:p w14:paraId="7CE2A55E">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（2）发包人原因造成停工的；</w:t>
      </w:r>
    </w:p>
    <w:p w14:paraId="549B4A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（3）监理人无正当理由没有在约定期限内发出复工指示，导致承包人无法复工的；</w:t>
      </w:r>
    </w:p>
    <w:p w14:paraId="5233F7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（4）发包人无法继续履行或明确表示不履行或实质上已停止履行合同的；</w:t>
      </w:r>
    </w:p>
    <w:p w14:paraId="331F4FD9">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（5）发包人不履行合同约定其他义务的。</w:t>
      </w:r>
    </w:p>
    <w:p w14:paraId="37221FF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22.2.2 承包人有权暂停施工</w:t>
      </w:r>
    </w:p>
    <w:p w14:paraId="426FD3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B4F00A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22.2.3 发包人违约解除合同 </w:t>
      </w:r>
    </w:p>
    <w:p w14:paraId="7CC6EC1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（1）发生第22.2.1（4）目的违约情况时，承包人可书面通知发包人解除合同。   </w:t>
      </w:r>
    </w:p>
    <w:p w14:paraId="7860C90F">
      <w:pPr>
        <w:pStyle w:val="48"/>
        <w:tabs>
          <w:tab w:val="left" w:pos="720"/>
          <w:tab w:val="left" w:pos="90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1B354D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22.2.4 解除合同后的付款</w:t>
      </w:r>
    </w:p>
    <w:p w14:paraId="1B74FF5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因发包人违约解除合同的，发包人应在解除合同后28天内向承包人支付下列金额，承包人应在此期限内及时向发包人提交要求支付下列金额的有关资料和凭证：</w:t>
      </w:r>
    </w:p>
    <w:p w14:paraId="19E4C2F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（1）合同解除日以前所完成工作的价款；</w:t>
      </w:r>
    </w:p>
    <w:p w14:paraId="178F297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（2）承包人为该工程施工订购并已付款的材料、工程设备和其他物品的金额。发包人付还后，该材料、工程设备和其他物品归发包人所有；</w:t>
      </w:r>
    </w:p>
    <w:p w14:paraId="3D4C3D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（3）承包人为完成工程所发生的，而发包人未支付的金额；</w:t>
      </w:r>
    </w:p>
    <w:p w14:paraId="2ED737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（4）承包人撤离施工场地以及遣散承包人人员的金额；</w:t>
      </w:r>
    </w:p>
    <w:p w14:paraId="36DDA2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（5）由于解除合同应赔偿的承包人损失；</w:t>
      </w:r>
    </w:p>
    <w:p w14:paraId="229535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（6）按合同约定在合同解除日前应支付给承包人的其他金额。</w:t>
      </w:r>
    </w:p>
    <w:p w14:paraId="5AA214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发包人应按本项约定支付上述金额并退还质量保证金和履约担保，但有权要求承包人支付应偿还给发包人的各项金额。</w:t>
      </w:r>
    </w:p>
    <w:p w14:paraId="0A07F48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22.2.5 解除合同后的承包人撤离</w:t>
      </w:r>
    </w:p>
    <w:p w14:paraId="627A11D3">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DEEF4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22.3第三人造成的违约</w:t>
      </w:r>
    </w:p>
    <w:p w14:paraId="41DB49F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在履行合同过程中，一方当事人因第三人的原因造成违约的，应当向对方当事人承担违约责任。一方当事人和第三人之间的纠纷，依照法律规定或者按照约定解决。</w:t>
      </w:r>
    </w:p>
    <w:p w14:paraId="199223E0">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23. 索赔</w:t>
      </w:r>
    </w:p>
    <w:p w14:paraId="4C8201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23.1 承包人索赔的提出</w:t>
      </w:r>
    </w:p>
    <w:p w14:paraId="3CB1521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根据合同约定，承包人认为有权得到追加付款和（或）延长工期的，应按以下程序向发包人提出索赔：</w:t>
      </w:r>
    </w:p>
    <w:p w14:paraId="621DF4E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AD3E2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（2）承包人应在发出索赔意向通知书后28天内，向监理人正式递交索赔通知书。索赔通知书应详细说明索赔理由以及要求追加的付款金额和（或）延长的工期，并附必要的记录和证明材料；</w:t>
      </w:r>
    </w:p>
    <w:p w14:paraId="07C5C7D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（3）索赔事件具有连续影响的，承包人应按合理时间间隔继续递交延续索赔通知，说明连续影响的实际情况和记录，列出累计的追加付款金额和（或）工期延长天数；</w:t>
      </w:r>
    </w:p>
    <w:p w14:paraId="6372A6D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（4）在索赔事件影响结束后的28天内，承包人应向监理人递交最终索赔通知书，说明最终要求索赔的追加付款金额和延长的工期，并附必要的记录和证明材料。</w:t>
      </w:r>
    </w:p>
    <w:p w14:paraId="6A70C55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23.2 承包人索赔处理程序</w:t>
      </w:r>
    </w:p>
    <w:p w14:paraId="3871ED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（1）监理人收到承包人提交的索赔通知书后，应及时审查索赔通知书的内容、查验承包人的记录和证明材料，必要时监理人可要求承包人提交全部原始记录副本。</w:t>
      </w:r>
    </w:p>
    <w:p w14:paraId="24FB9C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（2）监理人应按第3.5款商定或确定追加的付款和（或）延长的工期，并在收到上述索赔通知书或有关索赔的进一步证明材料后的42天内，将索赔处理结果答复承包人。</w:t>
      </w:r>
    </w:p>
    <w:p w14:paraId="4CADF5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（3）承包人接受索赔处理结果的，发包人应在作出索赔处理结果答复后28天内完成赔付。承包人不接受索赔处理结果的，按第24条的约定办理。</w:t>
      </w:r>
    </w:p>
    <w:p w14:paraId="2CCF614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23.3 承包人提出索赔的期限</w:t>
      </w:r>
    </w:p>
    <w:p w14:paraId="75EA06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23.3.1 承包人按第17.5款的约定接受了竣工付款证书后，应被认为已无权再提出在合同工程接收证书颁发前所发生的任何索赔。</w:t>
      </w:r>
    </w:p>
    <w:p w14:paraId="6A551E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23.3.2 承包人按第17.6款的约定提交的最终结清申请单中，只限于提出工程接收证书颁发后发生的索赔。提出索赔的期限自接受最终结清证书时终止。</w:t>
      </w:r>
    </w:p>
    <w:p w14:paraId="37B0D555">
      <w:pPr>
        <w:pStyle w:val="48"/>
        <w:keepNext/>
        <w:keepLines/>
        <w:spacing w:before="240" w:after="240" w:line="380" w:lineRule="atLeast"/>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23.4 发包人的索赔        </w:t>
      </w:r>
      <w:r>
        <w:rPr>
          <w:rFonts w:hint="eastAsia" w:ascii="宋体" w:hAnsi="宋体" w:eastAsia="宋体" w:cs="宋体"/>
          <w:b/>
          <w:color w:val="auto"/>
          <w:sz w:val="24"/>
          <w:szCs w:val="24"/>
        </w:rPr>
        <w:t xml:space="preserve">                    </w:t>
      </w:r>
    </w:p>
    <w:p w14:paraId="496874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7596C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D82D99A">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24. 争议的解决</w:t>
      </w:r>
    </w:p>
    <w:p w14:paraId="663B4F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24.1 争议的解决方式</w:t>
      </w:r>
    </w:p>
    <w:p w14:paraId="2AC4693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952E1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（1）向约定的仲裁委员会申请仲裁；</w:t>
      </w:r>
    </w:p>
    <w:p w14:paraId="5F35AA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（2）向有管辖权的人民法院提起诉讼。</w:t>
      </w:r>
    </w:p>
    <w:p w14:paraId="04D04C2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24.2 友好解决</w:t>
      </w:r>
    </w:p>
    <w:p w14:paraId="0F51DF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在提请争议评审、仲裁或者诉讼前，以及在争议评审、仲裁或诉讼过程中，发包人和承包人均可共同努力友好协商解决争议。</w:t>
      </w:r>
    </w:p>
    <w:p w14:paraId="72F0C56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24.3 争议评审</w:t>
      </w:r>
    </w:p>
    <w:p w14:paraId="775210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24.3.1采用争议评审的，发包人和承包人应在开工日后的28天内或在争议发生后，协商成立争议评审组。争议评审组由有合同管理和工程实践经验的专家组成。</w:t>
      </w:r>
    </w:p>
    <w:p w14:paraId="4ABB31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24.3.2 合同双方的争议，应首先由申请人向争议评审组提交一份详细的评审申请报告，并附必要的文件、图纸和证明材料，申请人还应将上述报告的副本同时提交给被申请人和监理人。</w:t>
      </w:r>
    </w:p>
    <w:p w14:paraId="234F81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24.3.3 被申请人在收到申请人评审申请报告副本后的28天内，向争议评审组提交一份答辩报告，并附证明材料。被申请人应将答辩报告的副本同时提交给申请人和监理人。</w:t>
      </w:r>
    </w:p>
    <w:p w14:paraId="20BEA4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24.3.4 除专用合同条款另有约定外，争议评审组在收到合同双方报告后的14天内，邀请双方代表和有关人员举行调查会，向双方调查争议细节；必要时争议评审组可要求双方进一步提供补充材料。</w:t>
      </w:r>
    </w:p>
    <w:p w14:paraId="3CDF245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6A0D5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24.3.6 发包人和承包人接受评审意见的，由监理人根据评审意见拟定执行协议，经争议双方签字后作为合同的补充文件，并遵照执行。</w:t>
      </w:r>
    </w:p>
    <w:p w14:paraId="52FF50C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99A3078">
      <w:pPr>
        <w:pStyle w:val="48"/>
        <w:spacing w:line="440" w:lineRule="exact"/>
        <w:ind w:firstLine="392" w:firstLineChars="196"/>
        <w:rPr>
          <w:rFonts w:hint="eastAsia" w:ascii="宋体" w:hAnsi="宋体" w:eastAsia="宋体" w:cs="宋体"/>
          <w:color w:val="auto"/>
          <w:sz w:val="20"/>
          <w:szCs w:val="20"/>
        </w:rPr>
      </w:pPr>
    </w:p>
    <w:p w14:paraId="31F50B69">
      <w:pPr>
        <w:pStyle w:val="48"/>
        <w:spacing w:line="440" w:lineRule="exact"/>
        <w:ind w:firstLine="392" w:firstLineChars="196"/>
        <w:rPr>
          <w:rFonts w:hint="eastAsia" w:ascii="宋体" w:hAnsi="宋体" w:eastAsia="宋体" w:cs="宋体"/>
          <w:color w:val="auto"/>
          <w:sz w:val="20"/>
          <w:szCs w:val="20"/>
        </w:rPr>
      </w:pPr>
    </w:p>
    <w:p w14:paraId="4790C425">
      <w:pPr>
        <w:pStyle w:val="48"/>
        <w:spacing w:line="440" w:lineRule="exact"/>
        <w:ind w:firstLine="392" w:firstLineChars="196"/>
        <w:rPr>
          <w:rFonts w:hint="eastAsia" w:ascii="宋体" w:hAnsi="宋体" w:eastAsia="宋体" w:cs="宋体"/>
          <w:color w:val="auto"/>
          <w:sz w:val="20"/>
          <w:szCs w:val="20"/>
        </w:rPr>
      </w:pPr>
    </w:p>
    <w:p w14:paraId="4C5D188D">
      <w:pPr>
        <w:pStyle w:val="48"/>
        <w:rPr>
          <w:rFonts w:hint="eastAsia" w:ascii="宋体" w:hAnsi="宋体" w:eastAsia="宋体" w:cs="宋体"/>
          <w:color w:val="auto"/>
        </w:rPr>
      </w:pPr>
    </w:p>
    <w:p w14:paraId="2A39D9BC">
      <w:pPr>
        <w:pStyle w:val="48"/>
        <w:keepNext/>
        <w:keepLines/>
        <w:spacing w:before="260" w:after="260" w:line="480" w:lineRule="exact"/>
        <w:jc w:val="center"/>
        <w:outlineLvl w:val="1"/>
        <w:rPr>
          <w:rFonts w:hint="eastAsia" w:ascii="宋体" w:hAnsi="宋体" w:eastAsia="宋体" w:cs="宋体"/>
          <w:b/>
          <w:bCs/>
          <w:iCs/>
          <w:color w:val="auto"/>
          <w:sz w:val="42"/>
          <w:szCs w:val="42"/>
        </w:rPr>
      </w:pPr>
      <w:r>
        <w:rPr>
          <w:rFonts w:hint="eastAsia" w:ascii="宋体" w:hAnsi="宋体" w:eastAsia="宋体" w:cs="宋体"/>
          <w:color w:val="auto"/>
          <w:sz w:val="32"/>
          <w:szCs w:val="32"/>
        </w:rPr>
        <w:br w:type="page"/>
      </w:r>
      <w:bookmarkStart w:id="77" w:name="_Toc108171857"/>
      <w:r>
        <w:rPr>
          <w:rFonts w:hint="eastAsia" w:ascii="宋体" w:hAnsi="宋体" w:eastAsia="宋体" w:cs="宋体"/>
          <w:b/>
          <w:bCs/>
          <w:iCs/>
          <w:color w:val="auto"/>
          <w:sz w:val="42"/>
          <w:szCs w:val="42"/>
        </w:rPr>
        <w:t>第二节  专用合同条款</w:t>
      </w:r>
      <w:bookmarkEnd w:id="77"/>
    </w:p>
    <w:p w14:paraId="5560030F">
      <w:pPr>
        <w:pStyle w:val="48"/>
        <w:keepNext/>
        <w:keepLines/>
        <w:spacing w:before="240" w:after="240" w:line="380" w:lineRule="atLeast"/>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bookmarkStart w:id="78" w:name="_Toc108171858"/>
      <w:r>
        <w:rPr>
          <w:rFonts w:hint="eastAsia" w:ascii="宋体" w:hAnsi="宋体" w:eastAsia="宋体" w:cs="宋体"/>
          <w:bCs/>
          <w:color w:val="auto"/>
          <w:kern w:val="0"/>
          <w:sz w:val="32"/>
          <w:szCs w:val="32"/>
        </w:rPr>
        <w:t>A. 公路工程专用合同条款</w:t>
      </w:r>
      <w:bookmarkEnd w:id="78"/>
    </w:p>
    <w:p w14:paraId="2C8F1A76">
      <w:pPr>
        <w:pStyle w:val="48"/>
        <w:keepNext/>
        <w:keepLines/>
        <w:spacing w:before="240" w:after="240" w:line="380" w:lineRule="atLeast"/>
        <w:rPr>
          <w:rFonts w:hint="eastAsia" w:ascii="宋体" w:hAnsi="宋体" w:eastAsia="宋体" w:cs="宋体"/>
          <w:b/>
          <w:color w:val="auto"/>
          <w:sz w:val="24"/>
          <w:szCs w:val="24"/>
        </w:rPr>
      </w:pPr>
    </w:p>
    <w:p w14:paraId="4D64C2E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 一般约定</w:t>
      </w:r>
      <w:r>
        <w:rPr>
          <w:rFonts w:hint="eastAsia" w:ascii="宋体" w:hAnsi="宋体" w:eastAsia="宋体" w:cs="宋体"/>
          <w:bCs/>
          <w:color w:val="auto"/>
          <w:sz w:val="28"/>
          <w:szCs w:val="28"/>
        </w:rPr>
        <w:tab/>
      </w:r>
    </w:p>
    <w:p w14:paraId="2CD8F91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词语定义</w:t>
      </w:r>
    </w:p>
    <w:p w14:paraId="3263A4E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1.1.1 合同</w:t>
      </w:r>
    </w:p>
    <w:p w14:paraId="424027A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第1.1.1.6目细化为：</w:t>
      </w:r>
    </w:p>
    <w:p w14:paraId="14FBF7C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技术规范：指本合同所约定的技术标准和要求，是合同文件的组成部分。通用合同条款中“技术标准和要求”一词具有相同含义。</w:t>
      </w:r>
    </w:p>
    <w:p w14:paraId="57F1367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第1.1.1.8目细化为：</w:t>
      </w:r>
    </w:p>
    <w:p w14:paraId="4EDB2AA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5F9902C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本项补充第1.1.1.10目：</w:t>
      </w:r>
    </w:p>
    <w:p w14:paraId="26CC099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1.1.1.10 补遗书：指发出招标文件之后由招标人向已取得招标文件的投标人发出的、编号的对招标文件所作的澄清、修改书。</w:t>
      </w:r>
    </w:p>
    <w:p w14:paraId="348781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 合同当事人和人员</w:t>
      </w:r>
    </w:p>
    <w:p w14:paraId="70321C5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本项补充第1.1.2.8目：</w:t>
      </w:r>
    </w:p>
    <w:p w14:paraId="7A885FA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1.1.2.8 承包人项目总工：指由承包人书面委派常驻现场负责管理本合同工程的总工程师或技术总负责人。</w:t>
      </w:r>
    </w:p>
    <w:p w14:paraId="0342B9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1.1.3 工程和设备</w:t>
      </w:r>
    </w:p>
    <w:p w14:paraId="01B54BD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第1.1.3.4目细化为：</w:t>
      </w:r>
    </w:p>
    <w:p w14:paraId="6183A31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单位工程：指在建设项目中，根据签订的合同，具有独立施工条件的工程。</w:t>
      </w:r>
    </w:p>
    <w:p w14:paraId="6EED409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第1.1.3.10目细化为： </w:t>
      </w:r>
    </w:p>
    <w:p w14:paraId="007AF6FE">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永久占地：指为实施本合同工程而需要的一切永久占用的土地，包括公路两侧路权范围内的用地。</w:t>
      </w:r>
    </w:p>
    <w:p w14:paraId="52CFA27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第1.1.3.11目细化为：</w:t>
      </w:r>
    </w:p>
    <w:p w14:paraId="385712F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临时占地：指为实施本合同工程而需要的一切临时占用的土地，包括施工所用的临时支线、便道、便桥和现场的临时出入通道，以及生产（办公）、生活等临时设施用地等。</w:t>
      </w:r>
    </w:p>
    <w:p w14:paraId="10A2C0B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本项补充第1.1.3.12目、第1.1.3.13目：</w:t>
      </w:r>
    </w:p>
    <w:p w14:paraId="4CE0465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1.1.3.12 分部工程：指在单位工程中，按结构部位、路段长度及施工特点或施工任务划分的若干个工程。</w:t>
      </w:r>
    </w:p>
    <w:p w14:paraId="288E3E6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1.1.3.13 分项工程：指在分部工程中，按不同的施工方法、材料、工序及路段长度等划分的若干个工程。</w:t>
      </w:r>
    </w:p>
    <w:p w14:paraId="51E06DF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1.1.6 其他</w:t>
      </w:r>
    </w:p>
    <w:p w14:paraId="200A0C9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本项补充第1.1.6.2目～第1.1.6.8目：</w:t>
      </w:r>
    </w:p>
    <w:p w14:paraId="2540B1D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1.1.6.2 竣工验收：指《公路工程竣（交）工验收办法》中的竣工验收。通用合同条款中“国家验收”一词具有相同含义。</w:t>
      </w:r>
    </w:p>
    <w:p w14:paraId="0B0E8F1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1.1.6.3交工：指《公路工程竣（交）工验收办法》中的交工。通用合同条款中“竣工”一词具有相同含义。</w:t>
      </w:r>
    </w:p>
    <w:p w14:paraId="7776D94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1.1.6.3交工验收：指《公路工程竣（交）工验收办法》中的交工验收。通用合同条款中“竣工验收”一词具有相同含义。</w:t>
      </w:r>
    </w:p>
    <w:p w14:paraId="3C8C5D3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1.1.6.4交工验收证书：指《公路工程竣（交）工验收办法》中的交工验收证书。通用合同条款中“工程接收证书”一词具有相同含义。</w:t>
      </w:r>
    </w:p>
    <w:p w14:paraId="2DCDB28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1.1.6.5 转包：指承包人违反法律和不履行合同规定的责任和义务，将中标工程全部委托或以专业分包的名义将中标工程肢解后全部委托给其他施工企业施工的行为。</w:t>
      </w:r>
    </w:p>
    <w:p w14:paraId="1FB0CDB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1.1.6.6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D260608">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1.1.6.7劳务分包：指承包人与具有施工劳务资质的劳务企业签订劳务分包合同，由劳务企业提供劳务人员及机具，由承包人统一组织施工、统一控制工程质量、施工进度、材料采购、生产安全的施工行为。</w:t>
      </w:r>
    </w:p>
    <w:p w14:paraId="2CADC370">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1.1.6.8 雇用民工：指承包人与具有相应劳动能力的自然人签订劳动合同，由承包人统一组织管理，从事分项工程施工或配套工程施工的行为。</w:t>
      </w:r>
    </w:p>
    <w:p w14:paraId="1631848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 合同文件的优先顺序</w:t>
      </w:r>
    </w:p>
    <w:p w14:paraId="0053DDF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本款约定为：</w:t>
      </w:r>
    </w:p>
    <w:p w14:paraId="56E7E9B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组成合同的各项文件应互相解释，互为说明。除项目专用合同条款另有约定外，解释合同文件的优先顺序如下：</w:t>
      </w:r>
    </w:p>
    <w:p w14:paraId="3DBCFD0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（1）合同协议书及各种合同附件（含评标期间和合同谈判过程中的澄清文件和补充资料）；</w:t>
      </w:r>
    </w:p>
    <w:p w14:paraId="1354B2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（2）中标通知书；</w:t>
      </w:r>
    </w:p>
    <w:p w14:paraId="1683A9E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（3）投标函及投标函附录；</w:t>
      </w:r>
    </w:p>
    <w:p w14:paraId="7FBFA09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（4）项目专用合同条款；</w:t>
      </w:r>
    </w:p>
    <w:p w14:paraId="544D33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（5）公路工程专用合同条款；</w:t>
      </w:r>
    </w:p>
    <w:p w14:paraId="5750C7E7">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（6）通用合同条款；</w:t>
      </w:r>
    </w:p>
    <w:p w14:paraId="343DB30D">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（7）工程量清单计量规则；</w:t>
      </w:r>
    </w:p>
    <w:p w14:paraId="6F5747B9">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（8）技术规范；</w:t>
      </w:r>
    </w:p>
    <w:p w14:paraId="0B4B2E9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（9）图纸；</w:t>
      </w:r>
    </w:p>
    <w:p w14:paraId="7724E1F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（10）已标价工程量清单；</w:t>
      </w:r>
    </w:p>
    <w:p w14:paraId="01CBED5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（11）承包人有关人员、设备投入的承诺及投标文件中的施工组织设计；</w:t>
      </w:r>
    </w:p>
    <w:p w14:paraId="172943A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（12）其他合同文件。</w:t>
      </w:r>
    </w:p>
    <w:p w14:paraId="52EDAC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 合同协议书</w:t>
      </w:r>
    </w:p>
    <w:p w14:paraId="391BF92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7DEA3CB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制备本合同文件的费用由发包人承担。在合同协议书签订并生效之前，投标函和中标通知书将对双方具有约束力。</w:t>
      </w:r>
    </w:p>
    <w:p w14:paraId="6AFA6B9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 图纸和承包人文件</w:t>
      </w:r>
    </w:p>
    <w:p w14:paraId="0F82AC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 图纸的提供</w:t>
      </w:r>
    </w:p>
    <w:p w14:paraId="5B8DCB6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4B6A1AE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7DE5584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1.6.2 承包人提供的文件</w:t>
      </w:r>
    </w:p>
    <w:p w14:paraId="5F2703E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5A93C78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有下列情形之一的，承包人应免费向监理人提交相关部分工程的施工图纸3份，并附必要的计算书、技术资料，或施工工艺图、设备安装图及安装设备的使用和维护手册各2份供监理人批准。</w:t>
      </w:r>
    </w:p>
    <w:p w14:paraId="0719E4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（1）为使第1.6.1项所述的施工图纸适合于经施工测量后的纵、横断面；</w:t>
      </w:r>
    </w:p>
    <w:p w14:paraId="1410776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（2）为使第1.6.1项所述的施工图纸适合于现场具体地形；</w:t>
      </w:r>
    </w:p>
    <w:p w14:paraId="5E1EE4D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（3）为使第1.6.1项所述的施工图纸适合于因尺寸与位置变化而引起局部变更；</w:t>
      </w:r>
    </w:p>
    <w:p w14:paraId="37BA28A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（4）由于合同要求与施工需要。</w:t>
      </w:r>
    </w:p>
    <w:p w14:paraId="522BAF6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BC9F57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1.6.4 图纸的错误</w:t>
      </w:r>
    </w:p>
    <w:p w14:paraId="7C715F1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2098DDC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650C59A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 严禁贿赂</w:t>
      </w:r>
    </w:p>
    <w:p w14:paraId="711EC35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67DACBC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D08E65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 发包人义务</w:t>
      </w:r>
    </w:p>
    <w:p w14:paraId="6F4B06D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 提供施工场地</w:t>
      </w:r>
    </w:p>
    <w:p w14:paraId="5C26CB2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6FB01DD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61CDF62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0936DD4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3. 监理人</w:t>
      </w:r>
    </w:p>
    <w:p w14:paraId="46B2F8D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监理人的职责和权力 </w:t>
      </w:r>
    </w:p>
    <w:p w14:paraId="1836B5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第3.1.1项补充：</w:t>
      </w:r>
    </w:p>
    <w:p w14:paraId="1619CFA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监理人在行使下列权力前需要经发包人事先批准：</w:t>
      </w:r>
    </w:p>
    <w:p w14:paraId="756BBC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（1）根据第4.3款，同意分包本工程的某些非主体和非关键性工作；</w:t>
      </w:r>
    </w:p>
    <w:p w14:paraId="418D29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（2）确定第4.11款下产生的费用增加额；</w:t>
      </w:r>
    </w:p>
    <w:p w14:paraId="5A2951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（3）根据第11.1款、第12.3款、第12.4款发布开工通知、暂停施工指示或复工通知；</w:t>
      </w:r>
    </w:p>
    <w:p w14:paraId="7A4884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（4）决定第11.3款、第11.4款下的工期延长；</w:t>
      </w:r>
    </w:p>
    <w:p w14:paraId="59456C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（5）审查批准技术方案或设计的变更；</w:t>
      </w:r>
    </w:p>
    <w:p w14:paraId="4D3DB34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（6）根据第15.3款发出的变更指示，其单项工程变更或累计变更涉及的金额超过了项目专用合同条款数据表中规定的金额； </w:t>
      </w:r>
    </w:p>
    <w:p w14:paraId="3477D5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（7）确定第15.4款下变更工作的单价；</w:t>
      </w:r>
    </w:p>
    <w:p w14:paraId="55149F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（8）按照第15.6款决定有关暂列金额的使用； </w:t>
      </w:r>
    </w:p>
    <w:p w14:paraId="2BBFB8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（9）确定第15.8款项下的暂估价金额；</w:t>
      </w:r>
    </w:p>
    <w:p w14:paraId="699195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（10）确定第23.1款项下的索赔额。</w:t>
      </w:r>
    </w:p>
    <w:p w14:paraId="0F41459D">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17EB292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商定或确定</w:t>
      </w:r>
    </w:p>
    <w:p w14:paraId="5EEE4D4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第3.5.1项补充：</w:t>
      </w:r>
    </w:p>
    <w:p w14:paraId="368ED9A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如果这项商定或确定导致费用增加和（或）工期延长，或者涉及确定变更工程的价格，则总监理工程师在发出通知前，应征得发包人的同意。</w:t>
      </w:r>
    </w:p>
    <w:p w14:paraId="0752CA17">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4. 承包人</w:t>
      </w:r>
    </w:p>
    <w:p w14:paraId="4B5C6E3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 承包人的一般义务</w:t>
      </w:r>
    </w:p>
    <w:p w14:paraId="6B2B0CB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4.1.9 工程的维护和照管 </w:t>
      </w:r>
    </w:p>
    <w:p w14:paraId="4A27B6F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6B1DD79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44734C6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650B50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4.1.10 其他义务</w:t>
      </w:r>
    </w:p>
    <w:p w14:paraId="740611C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7803014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 临时占地由承包人向当地政府土地管理部门申请，并办理租用手续，承包人按有关规定直接支付其费用，发包人对此将予以协调。</w:t>
      </w:r>
    </w:p>
    <w:p w14:paraId="084166E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6677FCF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64DE1E1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9115C9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75B14B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39C4E5E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工资支付表应如实记录支付单位、支付时间、支付对象、支付数额、支付对象的身份证号和签字等信息。民工花名册和工资支付表应报监理人备查。</w:t>
      </w:r>
    </w:p>
    <w:p w14:paraId="03911A7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E2A6BF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100章中。</w:t>
      </w:r>
    </w:p>
    <w:p w14:paraId="445DAF1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（6）承包人应履行项目专用合同条款约定的其他义务。</w:t>
      </w:r>
    </w:p>
    <w:p w14:paraId="6F10E67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4.2 履约保证金</w:t>
      </w:r>
    </w:p>
    <w:p w14:paraId="2EA42F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15472D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承包人应保证其履约保证金在发包人签发交工验收证书且承包人按照合同约定缴纳质量保证金前一直有效。发包人应在收到承包人缴纳的质量保证金后28天内把履约保证金退还给承包人。</w:t>
      </w:r>
    </w:p>
    <w:p w14:paraId="7B21428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承包人拒绝按照本合同约定缴纳质量保证金的，发包人有权从竣工付款证书中扣留相应金额作为质量保证金，或者直接将履约保证金金额用于保证承包人在缺陷责任期内履行缺陷修复义务。</w:t>
      </w:r>
    </w:p>
    <w:p w14:paraId="797253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4.3 分包</w:t>
      </w:r>
    </w:p>
    <w:p w14:paraId="709F4E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第4.3.2项～第4.3.4项细化为：</w:t>
      </w:r>
    </w:p>
    <w:p w14:paraId="5BA00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4.3.2 承包人不得将工程关键性工作分包给第三人。经发包人同意，承包人可将工程的其他部分或工作分包给第三人。分包包括专业分包和劳务分包。</w:t>
      </w:r>
    </w:p>
    <w:p w14:paraId="493E72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4.3.3 专业分包</w:t>
      </w:r>
    </w:p>
    <w:p w14:paraId="19FD0B8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在工程施工过程中，承包人进行专业分包必须遵守以下规定：</w:t>
      </w:r>
    </w:p>
    <w:p w14:paraId="609C85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5041900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（2）专业分包人的资格能力（含安全生产能力）应与其分包工程的标准和规模相适应，且应当具备如下条件：</w:t>
      </w:r>
    </w:p>
    <w:p w14:paraId="43D677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具有经工商登记的法人资格；</w:t>
      </w:r>
    </w:p>
    <w:p w14:paraId="7853FA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b. 具有从事类似工程经验的管理与技术人员； </w:t>
      </w:r>
    </w:p>
    <w:p w14:paraId="70B184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具有（自有或租赁）分包工程所需的施工设备。</w:t>
      </w:r>
    </w:p>
    <w:p w14:paraId="50FAA0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承包人应向监理人提交专业分包人的资格能力证明材料，经监理人审查并报发包人批准后，可以将相应专业工程分包给该专业分包人。</w:t>
      </w:r>
    </w:p>
    <w:p w14:paraId="1795EC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（3）专业分包工程不得再次分包。</w:t>
      </w:r>
    </w:p>
    <w:p w14:paraId="301EEAB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350D37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0A9495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14:paraId="1F8E0A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600E77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7021CE1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违反上述规定之一者属违规分包。</w:t>
      </w:r>
    </w:p>
    <w:p w14:paraId="3AEA317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4.3.4 劳务分包</w:t>
      </w:r>
    </w:p>
    <w:p w14:paraId="11791B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在工程施工过程中，承包人进行劳务分包必须遵守以下规定：</w:t>
      </w:r>
    </w:p>
    <w:p w14:paraId="75CB208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（1）劳务分包人应具有施工劳务资质。</w:t>
      </w:r>
    </w:p>
    <w:p w14:paraId="2A1361A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A49B8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雇用的劳务作业应加入到承包人的施工班组统一管理。有关施工质量、施工安全、施工进度、环境保护、技术方案、试验检测、材料保管与供应、机械设备等都必须由承包人管理与调配，不得以包代管。</w:t>
      </w:r>
    </w:p>
    <w:p w14:paraId="1E07F3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（4）承包人应当对劳务分包人员进行安全培训和管理，劳务分包人不得将其分包的劳务作业再次分包。</w:t>
      </w:r>
    </w:p>
    <w:p w14:paraId="1DCE7F7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违反上述规定之一者属违规分包。</w:t>
      </w:r>
    </w:p>
    <w:p w14:paraId="758C7E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本款补充第4.3.6项、4.3.7项：</w:t>
      </w:r>
    </w:p>
    <w:p w14:paraId="61C8F5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4.3.6 发包人对承包人与分包人之间的法律与经济纠纷不承担任何责任和义务。</w:t>
      </w:r>
    </w:p>
    <w:p w14:paraId="46BC90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4.3.7 本项目的各项分包工作均应遵守《公路工程施工分包管理办法》的有关规定。</w:t>
      </w:r>
    </w:p>
    <w:p w14:paraId="55DDBC8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联合体</w:t>
      </w:r>
    </w:p>
    <w:p w14:paraId="4BB6BBB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本款补充第4.4.4项：</w:t>
      </w:r>
    </w:p>
    <w:p w14:paraId="4051BF9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4.4.4未经发包人事先同意，联合体的组成与结构不得变动。</w:t>
      </w:r>
    </w:p>
    <w:p w14:paraId="356CD42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4.6 承包人人员的管理</w:t>
      </w:r>
    </w:p>
    <w:p w14:paraId="4B4A445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第4.6.3项细化为：</w:t>
      </w:r>
    </w:p>
    <w:p w14:paraId="3256BB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76F02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本款补充第4.6.5项：</w:t>
      </w:r>
    </w:p>
    <w:p w14:paraId="3F1995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A6664C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4.7 撤换承包人项目经理和其他人员</w:t>
      </w:r>
    </w:p>
    <w:p w14:paraId="1E80846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3E9536A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D9081C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4.9 工程价款应专款专用</w:t>
      </w:r>
    </w:p>
    <w:p w14:paraId="7E2D316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3AF213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E2FA78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4.10 承包人现场查勘    </w:t>
      </w:r>
    </w:p>
    <w:p w14:paraId="1A0ED7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第4.10.1项细化为：</w:t>
      </w:r>
    </w:p>
    <w:p w14:paraId="7D7B18F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409ADF9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4.11 不利物质条件</w:t>
      </w:r>
    </w:p>
    <w:p w14:paraId="3E91D1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第4.11.2项细化为：</w:t>
      </w:r>
    </w:p>
    <w:p w14:paraId="296083E4">
      <w:pPr>
        <w:pStyle w:val="48"/>
        <w:spacing w:line="400" w:lineRule="atLeast"/>
        <w:ind w:firstLine="420"/>
        <w:rPr>
          <w:rFonts w:hint="eastAsia" w:ascii="宋体" w:hAnsi="宋体" w:eastAsia="宋体" w:cs="宋体"/>
          <w:iCs/>
          <w:color w:val="auto"/>
          <w:sz w:val="24"/>
        </w:rPr>
      </w:pPr>
      <w:r>
        <w:rPr>
          <w:rFonts w:hint="eastAsia" w:ascii="宋体" w:hAnsi="宋体" w:eastAsia="宋体" w:cs="宋体"/>
          <w:iCs/>
          <w:color w:val="auto"/>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F1446C9">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本款补充第4.11.3项：</w:t>
      </w:r>
    </w:p>
    <w:p w14:paraId="425C2D45">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4.11.3 可预见的不利物质条件</w:t>
      </w:r>
    </w:p>
    <w:p w14:paraId="6CA346F5">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（1）对于项目专用合同条款中已经明确指出的不利物质条件无论承包人是否有其经历和经验均视为承包人在接受合同时已预见其影响，并已在签约合同价中计入因其影响而可能发生的一切费用。</w:t>
      </w:r>
    </w:p>
    <w:p w14:paraId="5C4761D6">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（2）对于项目专用合同条款未明确指出，但是在不利物质条件发生之前，监理人已经指示承包人有可能发生，但承包人未能及时采取有效措施，而导致的损失和后果均由承包人承担。</w:t>
      </w:r>
    </w:p>
    <w:p w14:paraId="77C7D12E">
      <w:pPr>
        <w:pStyle w:val="48"/>
        <w:spacing w:line="400" w:lineRule="atLeast"/>
        <w:rPr>
          <w:rFonts w:hint="eastAsia" w:ascii="宋体" w:hAnsi="宋体" w:eastAsia="宋体" w:cs="宋体"/>
          <w:color w:val="auto"/>
          <w:sz w:val="24"/>
        </w:rPr>
      </w:pPr>
    </w:p>
    <w:p w14:paraId="235C038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补充第4.12、4.13款：</w:t>
      </w:r>
    </w:p>
    <w:p w14:paraId="559DDBE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4.12 投标文件的完备性</w:t>
      </w:r>
    </w:p>
    <w:p w14:paraId="01C066C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4371F1D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4.13 开展党建工作要求</w:t>
      </w:r>
    </w:p>
    <w:p w14:paraId="475332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对于政府投资的国家高速公路项目，或承包人为国有控股或参股企业的，承包人应按规定在项目现场设立基层党组织。承包人为非国有控股或参股企业的，应创造条件使党员能够参加党组织生活并接受相应管理。</w:t>
      </w:r>
    </w:p>
    <w:p w14:paraId="26AF07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3A8A5D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5. 材料和工程设备</w:t>
      </w:r>
    </w:p>
    <w:p w14:paraId="1E584E9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5.2 发包人提供的材料和工程设备</w:t>
      </w:r>
    </w:p>
    <w:p w14:paraId="535562F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第5.2.3项补充：</w:t>
      </w:r>
    </w:p>
    <w:p w14:paraId="3130B9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2445FEE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6. 施工设备和临时设施 </w:t>
      </w:r>
    </w:p>
    <w:p w14:paraId="65E2435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6.1 承包人提供的施工设备和临时设施</w:t>
      </w:r>
    </w:p>
    <w:p w14:paraId="170DB07B">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第6.1.2项约定为：</w:t>
      </w:r>
    </w:p>
    <w:p w14:paraId="4431DE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承包人应自行承担修建临时设施的费用，需要临时占地的，应由承包人按第4.1.10项（1）目的规定办理。</w:t>
      </w:r>
    </w:p>
    <w:p w14:paraId="2348FF9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6.3 要求承包人增加或更换施工设备</w:t>
      </w:r>
    </w:p>
    <w:p w14:paraId="7CFE5B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59A9F7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295CCEFC">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7. 交通运输 </w:t>
      </w:r>
    </w:p>
    <w:p w14:paraId="0702A4E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7.1 道路通行权和场外设施</w:t>
      </w:r>
    </w:p>
    <w:p w14:paraId="4A3F77B7">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本款约定为：</w:t>
      </w:r>
    </w:p>
    <w:p w14:paraId="45A7582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10237B0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8. 测量放线</w:t>
      </w:r>
    </w:p>
    <w:p w14:paraId="465DA9A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8.4 监理人使用施工控制网</w:t>
      </w:r>
    </w:p>
    <w:p w14:paraId="142915D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14F659B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经监理人批准，其他相关承包人也可免费使用施工控制网。</w:t>
      </w:r>
    </w:p>
    <w:p w14:paraId="20B719F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9. 施工安全、治安保卫和环境保护</w:t>
      </w:r>
    </w:p>
    <w:p w14:paraId="7B5B279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9.2 承包人的施工安全责任</w:t>
      </w:r>
    </w:p>
    <w:p w14:paraId="0B6AF1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第9.2.1项细化为：</w:t>
      </w:r>
    </w:p>
    <w:p w14:paraId="0BE83CD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D151F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6D56417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本项目需要编制专项施工方案的工程包括但不限于以下内容：</w:t>
      </w:r>
    </w:p>
    <w:p w14:paraId="68FA1D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（1）不良地质条件下有潜在危险性的土方、石方开挖；</w:t>
      </w:r>
    </w:p>
    <w:p w14:paraId="2E08BC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（2）滑坡和高边坡处理；</w:t>
      </w:r>
    </w:p>
    <w:p w14:paraId="548421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（3）桩基础、挡墙基础、深水基础及围堰工程；</w:t>
      </w:r>
    </w:p>
    <w:p w14:paraId="2DAA0D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（4）桥梁工程中的梁、拱、柱等构件施工等；</w:t>
      </w:r>
    </w:p>
    <w:p w14:paraId="771B7F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（5）隧道工程中的不良地质隧道、高瓦斯隧道等；</w:t>
      </w:r>
    </w:p>
    <w:p w14:paraId="16CF277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（6）水上工程中的打桩船作业、施工船作业、外海孤岛作业、边通航边施工作业等；</w:t>
      </w:r>
    </w:p>
    <w:p w14:paraId="77C679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（7）水下工程中的水下焊接、混凝土浇筑、爆破工程等；</w:t>
      </w:r>
    </w:p>
    <w:p w14:paraId="3D16126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（8）爆破工程；</w:t>
      </w:r>
    </w:p>
    <w:p w14:paraId="688ACA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（9）大型临时工程中的大型支架、模板、便桥的架设与拆除；桥梁、码头的加固与拆除；</w:t>
      </w:r>
    </w:p>
    <w:p w14:paraId="71DD8E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（10）其他危险性较大的工程。</w:t>
      </w:r>
    </w:p>
    <w:p w14:paraId="12A4C2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监理人和发包人在检查中发现有安全问题或有违反安全管理规章制度的情况时，可视为承包人违约，应按第22.1款的规定办理。</w:t>
      </w:r>
    </w:p>
    <w:p w14:paraId="79201749">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第9.2.5项细化为：</w:t>
      </w:r>
    </w:p>
    <w:p w14:paraId="407723AC">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7B27E1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本款补充第9.2.8项~第9.2.11项：</w:t>
      </w:r>
    </w:p>
    <w:p w14:paraId="3ED89CB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9.2.8 承包人应充分关注和保障所有在现场工作的人员的安全，采取以下有效措施，使现场和本合同工程的实施保持有条不紊，以免使上述人员的安全受到威胁。</w:t>
      </w:r>
    </w:p>
    <w:p w14:paraId="64A9AE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（1）按《公路水运工程安全生产监督管理办法》规定的最低数量和资质条件配备专职安全生产管理人员；</w:t>
      </w:r>
    </w:p>
    <w:p w14:paraId="7F3244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4A51C3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（3）所有施工机具设备和高空作业设备均应定期检查，并有安全员的签字记录；</w:t>
      </w:r>
    </w:p>
    <w:p w14:paraId="34A232D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（4）根据本合同各单位工程的施工特点，严格执行《公路水运工程安全生产监督管理办法》、《公路工程施工安全技术规范》等有关规定。</w:t>
      </w:r>
    </w:p>
    <w:p w14:paraId="7CB9B5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14:paraId="089D8A3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9.2.10 在通航水域施工时，承包人应与当地主管部门取得联系，设置必要的导航标志，及时发布航行通告，确保施工水域安全。</w:t>
      </w:r>
    </w:p>
    <w:p w14:paraId="7A77FE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5259E3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9.4 环境保护</w:t>
      </w:r>
    </w:p>
    <w:p w14:paraId="778DF6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本款补充第9.4.7项~第9.4.11项：</w:t>
      </w:r>
    </w:p>
    <w:p w14:paraId="0973F9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9.4.7 承包人应切实执行技术规范中有关环境保护方面的条款和规定。</w:t>
      </w:r>
    </w:p>
    <w:p w14:paraId="32FE5C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B1917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（2）对于公路施工中粉尘污染的主要污染源――灰土拌和、施工车辆和筑路机械运行及运输产生的扬尘，应采取有效措施减轻其对施工现场的大气污染，保护人民健康，如：</w:t>
      </w:r>
    </w:p>
    <w:p w14:paraId="4E5F92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拌和设备应有较好的密封，或有防尘设备。</w:t>
      </w:r>
    </w:p>
    <w:p w14:paraId="40A29F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b. 施工通道、沥青混凝土拌和站及灰土拌和站应经常进行洒水降尘。</w:t>
      </w:r>
    </w:p>
    <w:p w14:paraId="0164AFB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路面施工应注意保持水分，以免扬尘。</w:t>
      </w:r>
    </w:p>
    <w:p w14:paraId="5BA016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d. 隧道出渣和桥梁钻孔灌注桩施工时排出的泥浆要进行妥善处理，严禁向河流或农田排放。</w:t>
      </w:r>
    </w:p>
    <w:p w14:paraId="5124503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（3）采取可靠措施保证原有交通的正常通行，维持沿线村镇的居民饮水、农田灌溉、生产生活用电及通信等管线的正常使用。</w:t>
      </w:r>
    </w:p>
    <w:p w14:paraId="707FB59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3EE10F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9.4.9在施工期间，承包人应随时保持现场整洁，施工设备和材料、工程设备应整齐妥善存放和储存，废料与垃圾及不再需要的临时设施应及时从现场清除、拆除并运走。</w:t>
      </w:r>
    </w:p>
    <w:p w14:paraId="206D1F0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196924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6E101E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10. 进度计划</w:t>
      </w:r>
    </w:p>
    <w:p w14:paraId="04C3F28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10.1 合同进度计划</w:t>
      </w:r>
    </w:p>
    <w:p w14:paraId="0BA4F8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437A1A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承包人编制施工方案说明的内容见项目专用合同条款。</w:t>
      </w:r>
    </w:p>
    <w:p w14:paraId="236B6C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承包人向监理人报送施工进度计划和施工方案说明的期限：签订合同协议书后28天之内。</w:t>
      </w:r>
    </w:p>
    <w:p w14:paraId="7575E1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监理人应在14天内对承包人施工进度计划和施工方案说明予以批复或提出修改意见。</w:t>
      </w:r>
    </w:p>
    <w:p w14:paraId="442D1C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合同进度计划应按照关键线路网络图和主要工作横道图两种形式分别编绘，并应包括每月预计完成的工作量和形象进度。</w:t>
      </w:r>
    </w:p>
    <w:p w14:paraId="444202B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10.2 合同进度计划的修订</w:t>
      </w:r>
    </w:p>
    <w:p w14:paraId="2ED44CF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56B78CC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承包人提交合同进度计划修订申请报告，并附有关措施和相关资料的期限：实际进度发生滞后的当月25日前。</w:t>
      </w:r>
    </w:p>
    <w:p w14:paraId="09E35D8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监理人批复修订合同进度计划的期限：收到修订合同进度计划后14天内。</w:t>
      </w:r>
    </w:p>
    <w:p w14:paraId="2D5A3AC2">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补充第10.3款、第10.4款：</w:t>
      </w:r>
    </w:p>
    <w:p w14:paraId="106777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10.3 年度施工计划</w:t>
      </w:r>
    </w:p>
    <w:p w14:paraId="6B06D623">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8D65EA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10.4 合同用款计划</w:t>
      </w:r>
    </w:p>
    <w:p w14:paraId="271AFA9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2EC08AF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11. 开工和交工</w:t>
      </w:r>
    </w:p>
    <w:p w14:paraId="687EE2C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开工</w:t>
      </w:r>
    </w:p>
    <w:p w14:paraId="76067B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第11.1.2项补充：</w:t>
      </w:r>
    </w:p>
    <w:p w14:paraId="4B03C8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承包人应在分部工程开工前14天向监理人提交分部工程开工报审表，若承包人的开工准备、工作计划和质量控制方法是可接受的且已获得批准，则经监理人书面同意，分部工程才能开工。</w:t>
      </w:r>
    </w:p>
    <w:p w14:paraId="5D9EEAD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11.3 发包人的工期延误</w:t>
      </w:r>
    </w:p>
    <w:p w14:paraId="3CB420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1CE39D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即使由于上述原因造成工期延误，如果受影响的工程并非处在工程施工进度网络计划的关键线路上，则承包人无权要求延长总工期。</w:t>
      </w:r>
    </w:p>
    <w:p w14:paraId="2C55140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11.4异常恶劣的气候条件</w:t>
      </w:r>
    </w:p>
    <w:p w14:paraId="4A5C92E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4CD826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异常气候是指项目所在地30年以上一遇的罕见气候现象（包括</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"http://baike.baidu.com/view/8193.htm" \t "_blank" </w:instrText>
      </w:r>
      <w:r>
        <w:rPr>
          <w:rFonts w:hint="eastAsia" w:ascii="宋体" w:hAnsi="宋体" w:eastAsia="宋体" w:cs="宋体"/>
          <w:color w:val="auto"/>
          <w:sz w:val="24"/>
        </w:rPr>
        <w:fldChar w:fldCharType="separate"/>
      </w:r>
      <w:r>
        <w:rPr>
          <w:rFonts w:hint="eastAsia" w:ascii="宋体" w:hAnsi="宋体" w:eastAsia="宋体" w:cs="宋体"/>
          <w:color w:val="auto"/>
          <w:sz w:val="24"/>
          <w:u w:val="single"/>
        </w:rPr>
        <w:t>温度</w:t>
      </w:r>
      <w:r>
        <w:rPr>
          <w:rFonts w:hint="eastAsia" w:ascii="宋体" w:hAnsi="宋体" w:eastAsia="宋体" w:cs="宋体"/>
          <w:color w:val="auto"/>
          <w:sz w:val="24"/>
        </w:rPr>
        <w:fldChar w:fldCharType="end"/>
      </w:r>
      <w:r>
        <w:rPr>
          <w:rFonts w:hint="eastAsia" w:ascii="宋体" w:hAnsi="宋体" w:eastAsia="宋体" w:cs="宋体"/>
          <w:color w:val="auto"/>
          <w:sz w:val="24"/>
        </w:rPr>
        <w:t>、降水、降雪、风等）。异常恶劣的气候条件在项目专用合同条款中作具体规定。</w:t>
      </w:r>
    </w:p>
    <w:p w14:paraId="65C06DB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11.5 承包人的工期延误</w:t>
      </w:r>
    </w:p>
    <w:p w14:paraId="6AE3AD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76A3B4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7DE618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5950C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7F0A243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（4）承包人支付逾期交工违约金，不免除承包人完成工程及修补缺陷的义务。</w:t>
      </w:r>
    </w:p>
    <w:p w14:paraId="33762A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D5DEFB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11.6 工期提前</w:t>
      </w:r>
    </w:p>
    <w:p w14:paraId="5593EC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39D9A2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发包人不得随意要求承包人提前交工，承包人也不得随意提出提前交工的建议。如遇特殊情况，确需将工期提前的，发包人和承包人必须采取有效措施，确保工程质量。</w:t>
      </w:r>
    </w:p>
    <w:p w14:paraId="025098F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A678E3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补充第11.7款：</w:t>
      </w:r>
    </w:p>
    <w:p w14:paraId="556EEA4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11.7 工作时间的限制</w:t>
      </w:r>
    </w:p>
    <w:p w14:paraId="183721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承包人在夜间或国家规定的节假日进行永久工程的施工，应向监理人报告，以便监理人履行监理职责和义务。</w:t>
      </w:r>
    </w:p>
    <w:p w14:paraId="1D76390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但是，为了抢救生命或保护财产，或为了工程的安全、质量而不可避免地短暂作业，则不必事先向监理人报告。但承包人应在事后立即向监理人报告。</w:t>
      </w:r>
    </w:p>
    <w:p w14:paraId="6B9AF3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本款规定不适用于习惯上或施工本身要求实行连续生产的作业。</w:t>
      </w:r>
    </w:p>
    <w:p w14:paraId="5F00A33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12. 暂停施工</w:t>
      </w:r>
    </w:p>
    <w:p w14:paraId="2CB1FAE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12.1 承包人暂停施工的责任</w:t>
      </w:r>
    </w:p>
    <w:p w14:paraId="22B768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本款第（5）项细化为：</w:t>
      </w:r>
    </w:p>
    <w:p w14:paraId="010D31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（5）现场气候条件导致的必要停工（第11.4款规定的异常恶劣的气候条件除外）；</w:t>
      </w:r>
    </w:p>
    <w:p w14:paraId="5D35E4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（6）项目专用合同条款可能约定的由承包人承担的其他暂停施工。</w:t>
      </w:r>
    </w:p>
    <w:p w14:paraId="19596185">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13. 工程质量</w:t>
      </w:r>
    </w:p>
    <w:p w14:paraId="69D7A29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13.1 工程质量要求</w:t>
      </w:r>
    </w:p>
    <w:p w14:paraId="6749A6D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第13.1.1项约定为：</w:t>
      </w:r>
    </w:p>
    <w:p w14:paraId="28C7D07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工程质量验收按技术规范及《公路工程质量检验评定标准》执行。</w:t>
      </w:r>
    </w:p>
    <w:p w14:paraId="7AE0C4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本款补充第13.1.4项和第13.1.5项：</w:t>
      </w:r>
    </w:p>
    <w:p w14:paraId="739E2D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13.1.4 发包人和承包人应严格遵守《关于严格落实公路工程质量责任制的若干意见》的相关规定，认真执行工程质量责任登记制度并</w:t>
      </w:r>
      <w:r>
        <w:rPr>
          <w:rFonts w:hint="eastAsia" w:ascii="宋体" w:hAnsi="宋体" w:eastAsia="宋体" w:cs="宋体"/>
          <w:color w:val="auto"/>
          <w:kern w:val="0"/>
          <w:sz w:val="24"/>
        </w:rPr>
        <w:t>按要求填写工程质量责任登记表</w:t>
      </w:r>
      <w:r>
        <w:rPr>
          <w:rFonts w:hint="eastAsia" w:ascii="宋体" w:hAnsi="宋体" w:eastAsia="宋体" w:cs="宋体"/>
          <w:color w:val="auto"/>
          <w:sz w:val="24"/>
        </w:rPr>
        <w:t>。</w:t>
      </w:r>
    </w:p>
    <w:p w14:paraId="1C7EB9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13.1.5 本项目严格执行质量责任追究制度。质量事故处理实行“四不放过”原则：事故原因调查不清不放过；事故责任者没有受到教育不放过；没有防范措施不放过；相关责任人没受到处理不放过。</w:t>
      </w:r>
    </w:p>
    <w:p w14:paraId="223E8C5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13.2 承包人的质量管理</w:t>
      </w:r>
    </w:p>
    <w:p w14:paraId="2823702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第13.2.1项补充：</w:t>
      </w:r>
    </w:p>
    <w:p w14:paraId="2F6363D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承包人提交工程质量保证措施文件的期限：签订合同协议书后28天之内。</w:t>
      </w:r>
    </w:p>
    <w:p w14:paraId="6E9515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本款补充第13.2.3项~第13.2.10项：</w:t>
      </w:r>
    </w:p>
    <w:p w14:paraId="3A8E01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13.2.3 公路工程施行质量责任终身制。承包人应当书面明确相应的项目负责人和质量负责人。承包人的相关人员按照国家法律法规和有关规定在工程合理使用年限内承担相应的质量责任。</w:t>
      </w:r>
    </w:p>
    <w:p w14:paraId="1EAE54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340050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13.2.5 承包人对工程施工质量负责，应当按合同约定设立现场质量管理机构、配备工程技术人员和质量管理人员，落实工程施工质量责任制。</w:t>
      </w:r>
    </w:p>
    <w:p w14:paraId="4B1AC4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646AE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02A78B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7430AB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13.2.9 承包人应当依法规范分包行为，并对承担的工程质量负总责，分包单位对分包合同范围内的工程质量负责。</w:t>
      </w:r>
    </w:p>
    <w:p w14:paraId="3D8DC1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13.2.10 承包人驻工程现场机构应在现场驻地和重要的分部、分项工程施工现场设置明显的工程质量责任登记表公示牌。</w:t>
      </w:r>
    </w:p>
    <w:p w14:paraId="22C6762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13.4 监理人的质量检查</w:t>
      </w:r>
    </w:p>
    <w:p w14:paraId="7F43D50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2B4D39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监理人及其委派的检验人员，应能进入工程现场，以及材料或工程设备的制造、加工或制配的车间和场所，包括不属于承包人的车间或场所进行检查，承包人应为此提供便利和协助。</w:t>
      </w:r>
    </w:p>
    <w:p w14:paraId="09757A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5FE5E36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13.5 工程隐蔽部位覆盖前的检查</w:t>
      </w:r>
    </w:p>
    <w:p w14:paraId="09D9CD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第13.5.1项补充：</w:t>
      </w:r>
    </w:p>
    <w:p w14:paraId="700544E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0CDC2D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13.6 清除不合格工程</w:t>
      </w:r>
    </w:p>
    <w:p w14:paraId="6A74D84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第13.6.1项细化为：</w:t>
      </w:r>
    </w:p>
    <w:p w14:paraId="42F206C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142C36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（2）如果承包人未在规定时间内执行监理人的指示，发包人有权雇用他人执行，由此增加的费用和（或）工期延误由承包人承担。</w:t>
      </w:r>
    </w:p>
    <w:p w14:paraId="1AC9277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14. 试验和检验</w:t>
      </w:r>
    </w:p>
    <w:p w14:paraId="06F81C9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补充第14.4款：</w:t>
      </w:r>
    </w:p>
    <w:p w14:paraId="28786FC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14.4 试验和检验费用</w:t>
      </w:r>
    </w:p>
    <w:p w14:paraId="3FA3D3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（1）承包人应负责提供合同和技术规范规定的试验和检验所需的全部样品，并承担其费用。</w:t>
      </w:r>
    </w:p>
    <w:p w14:paraId="1B33802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（2）在合同中明确规定的试验和检验，包括无须在工程量清单中单独列项和已在工程量清单中单独列项的试验和检验，其试验和检验的费用由承包人负担。</w:t>
      </w:r>
    </w:p>
    <w:p w14:paraId="31F34D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68290FDA">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15. 变更</w:t>
      </w:r>
    </w:p>
    <w:p w14:paraId="348A2D3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15.1 变更的范围和内容</w:t>
      </w:r>
    </w:p>
    <w:p w14:paraId="25655D0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本款第（1）项细化为：</w:t>
      </w:r>
    </w:p>
    <w:p w14:paraId="7FD12B8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（1）取消合同中任何一项工作，但被取消的工作不能转由发包人或其他人实施，由于承包人违约造成的情况除外；</w:t>
      </w:r>
    </w:p>
    <w:p w14:paraId="12F0B0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15.3 变更程序</w:t>
      </w:r>
    </w:p>
    <w:p w14:paraId="781A9D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本款补充第15.3.4项：</w:t>
      </w:r>
    </w:p>
    <w:p w14:paraId="2E2A11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15.3.4 设计变更程序应执行《公路工程设计变更管理办法》的相关规定。</w:t>
      </w:r>
    </w:p>
    <w:p w14:paraId="4141F0B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15.4 变更的估价原则 </w:t>
      </w:r>
    </w:p>
    <w:p w14:paraId="04A4AE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688C4F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除项目专用合同条款另有约定外，因变更引起的价格调整按照本款约定处理。</w:t>
      </w:r>
    </w:p>
    <w:p w14:paraId="4A99F4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15.4.1 如果取消某项工作，则该项工作的总额价不予支付；</w:t>
      </w:r>
    </w:p>
    <w:p w14:paraId="663C87A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15.4.2 已标价工程量清单中有适用于变更工作的子目的，采用该子目的单价。</w:t>
      </w:r>
    </w:p>
    <w:p w14:paraId="070911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15.4.3 已标价工程量清单中无适用于变更工作的子目，但有类似子目的，可在合理范围内参照类似子目的单价，由监理人按第3.5款商定或确定变更工作的单价。</w:t>
      </w:r>
    </w:p>
    <w:p w14:paraId="2ABA00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15.4.4 已标价工程量清单中无适用或类似子目的单价，可在综合考虑承包人在投标时所提供的单价分析表的基础上，由监理人按第3.5款商定或确定变更工作的单价。</w:t>
      </w:r>
    </w:p>
    <w:p w14:paraId="030A3C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15.4.5 如果本工程的变更指示是因承包人过错、承包人违反合同或承包人责任造成的，则这种违约引起的任何额外费用应由承包人承担。</w:t>
      </w:r>
    </w:p>
    <w:p w14:paraId="5159F80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15.5 承包人的合理化建议</w:t>
      </w:r>
    </w:p>
    <w:p w14:paraId="10147CB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第15.5.2项约定为：</w:t>
      </w:r>
    </w:p>
    <w:p w14:paraId="20FA6E6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承包人提出的合理化建议缩短了工期，发包人按第11.6款的规定给予奖励。</w:t>
      </w:r>
    </w:p>
    <w:p w14:paraId="0DB4A45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承包人提出的合理化建议降低了合同价格或者提高了工程经济效益的，发包人按项目专用合同条款数据表中规定的金额给予奖励。</w:t>
      </w:r>
    </w:p>
    <w:p w14:paraId="4B97BD8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15.6暂列金额</w:t>
      </w:r>
    </w:p>
    <w:p w14:paraId="6E89959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本款细化为：</w:t>
      </w:r>
    </w:p>
    <w:p w14:paraId="08A303F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15.6.1 暂列金额应由监理人报发包人批准后指令全部或部分地使用，或者根本不予动用。</w:t>
      </w:r>
    </w:p>
    <w:p w14:paraId="79CB6EC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6807E74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15.6.3 当监理人提出要求时，承包人应提供有关暂列金额支出的所有报价单、发票、凭证和账单或收据，除非该工作是根据已标价工程量清单列明的单价或总额价进行的估价。</w:t>
      </w:r>
    </w:p>
    <w:p w14:paraId="3CBE1D1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16. 价格调整</w:t>
      </w:r>
    </w:p>
    <w:p w14:paraId="64F0AB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16.1 物价波动引起的价格调整</w:t>
      </w:r>
    </w:p>
    <w:p w14:paraId="5A564C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39F4DA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（1）除项目专用合同条款另有约定外，因物价波动引起的价格调整应按项目专用合同条款数据表的规定，按照第16.1.1项或第16.1.2项约定的原则处理；或者</w:t>
      </w:r>
    </w:p>
    <w:p w14:paraId="72006B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（2）在合同在执行期间（包括工期拖延期间）由于人工、材料和设备价格的上涨而引起工程施工成本增加的风险由承包人自行承担，合同价格不会因此而调整。</w:t>
      </w:r>
    </w:p>
    <w:p w14:paraId="4007BEA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 采用价格指数调整价格差额</w:t>
      </w:r>
    </w:p>
    <w:p w14:paraId="64E1AE7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16.1.1.1 价格调整公式</w:t>
      </w:r>
    </w:p>
    <w:p w14:paraId="4A39D23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价格调整公式后增加备注如下：</w:t>
      </w:r>
    </w:p>
    <w:p w14:paraId="19DF07F3">
      <w:pPr>
        <w:pStyle w:val="48"/>
        <w:spacing w:line="400" w:lineRule="atLeast"/>
        <w:ind w:firstLine="746" w:firstLineChars="311"/>
        <w:rPr>
          <w:rFonts w:hint="eastAsia" w:ascii="宋体" w:hAnsi="宋体" w:eastAsia="宋体" w:cs="宋体"/>
          <w:color w:val="auto"/>
          <w:sz w:val="24"/>
        </w:rPr>
      </w:pPr>
      <w:r>
        <w:rPr>
          <w:rFonts w:hint="eastAsia" w:ascii="宋体" w:hAnsi="宋体" w:eastAsia="宋体" w:cs="宋体"/>
          <w:bCs/>
          <w:color w:val="auto"/>
          <w:sz w:val="24"/>
        </w:rPr>
        <w:t>式中，</w:t>
      </w:r>
      <w:r>
        <w:rPr>
          <w:rFonts w:hint="eastAsia" w:ascii="宋体" w:hAnsi="宋体" w:eastAsia="宋体" w:cs="宋体"/>
          <w:b/>
          <w:bCs/>
          <w:color w:val="auto"/>
          <w:sz w:val="24"/>
        </w:rPr>
        <w:t>A=1－（B</w:t>
      </w:r>
      <w:r>
        <w:rPr>
          <w:rFonts w:hint="eastAsia" w:ascii="宋体" w:hAnsi="宋体" w:eastAsia="宋体" w:cs="宋体"/>
          <w:b/>
          <w:bCs/>
          <w:color w:val="auto"/>
          <w:sz w:val="24"/>
          <w:vertAlign w:val="subscript"/>
        </w:rPr>
        <w:t>1</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2</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3</w:t>
      </w:r>
      <w:r>
        <w:rPr>
          <w:rFonts w:hint="eastAsia" w:ascii="宋体" w:hAnsi="宋体" w:eastAsia="宋体" w:cs="宋体"/>
          <w:b/>
          <w:bCs/>
          <w:color w:val="auto"/>
          <w:sz w:val="24"/>
        </w:rPr>
        <w:t>＋</w:t>
      </w:r>
      <w:r>
        <w:rPr>
          <w:rFonts w:hint="eastAsia" w:ascii="宋体" w:hAnsi="宋体" w:eastAsia="宋体" w:cs="宋体"/>
          <w:b/>
          <w:bCs/>
          <w:color w:val="auto"/>
          <w:sz w:val="24"/>
          <w:vertAlign w:val="subscript"/>
        </w:rPr>
        <w:t>……</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n</w:t>
      </w:r>
      <w:r>
        <w:rPr>
          <w:rFonts w:hint="eastAsia" w:ascii="宋体" w:hAnsi="宋体" w:eastAsia="宋体" w:cs="宋体"/>
          <w:b/>
          <w:bCs/>
          <w:color w:val="auto"/>
          <w:sz w:val="24"/>
        </w:rPr>
        <w:t>）</w:t>
      </w:r>
      <w:r>
        <w:rPr>
          <w:rFonts w:hint="eastAsia" w:ascii="宋体" w:hAnsi="宋体" w:eastAsia="宋体" w:cs="宋体"/>
          <w:color w:val="auto"/>
          <w:sz w:val="24"/>
        </w:rPr>
        <w:t>。</w:t>
      </w:r>
    </w:p>
    <w:p w14:paraId="6FC99B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本目最后一段文字细化为：</w:t>
      </w:r>
    </w:p>
    <w:p w14:paraId="7D8ECE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在采用价格调整公式进行调价时，还应遵守以下规定：</w:t>
      </w:r>
    </w:p>
    <w:p w14:paraId="6D820234">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480EC0C6">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47C3838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17. 计量与支付</w:t>
      </w:r>
    </w:p>
    <w:p w14:paraId="083939B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17.1 计量 </w:t>
      </w:r>
    </w:p>
    <w:p w14:paraId="560AB7C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17.1.2 计量方法</w:t>
      </w:r>
    </w:p>
    <w:p w14:paraId="0794F5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本项约定为：</w:t>
      </w:r>
    </w:p>
    <w:p w14:paraId="4B37D2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工程的计量应以净值为准，除非项目专用合同条款另有约定。工程量清单中各个子目的具体计量方法按本合同文件技术规范中的规定执行。</w:t>
      </w:r>
    </w:p>
    <w:p w14:paraId="380297B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17.1.4 单价子目的计量</w:t>
      </w:r>
    </w:p>
    <w:p w14:paraId="328D15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0CCCD2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（7）承包人未在已标价工程量清单中填入单价或总额价的工程子目，将被认为其已包含在本合同的其他子目的单价和总额价中，发包人将不另行支付。</w:t>
      </w:r>
    </w:p>
    <w:p w14:paraId="10BE040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17.2 预付款</w:t>
      </w:r>
    </w:p>
    <w:p w14:paraId="265D237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17.2.1预付款</w:t>
      </w:r>
    </w:p>
    <w:p w14:paraId="6D397E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本项约定为：</w:t>
      </w:r>
    </w:p>
    <w:p w14:paraId="72501E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预付款包括开工预付款和材料、设备预付款。具体额度和预付办法如下：</w:t>
      </w:r>
    </w:p>
    <w:p w14:paraId="3683CE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（1）开工预付款的金额在项目专用合同条款数据表中约定。在承包人签订了合同协议书且承包人承诺的主要设备进场后，监理人应在当期进度付款证书中向承包人支付开工预付款。</w:t>
      </w:r>
    </w:p>
    <w:p w14:paraId="30F3BB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承包人不得将该预付款用于与本工程无关的支出，监理人有权监督承包人对该项费用的使用，如经查实承包人滥用开工预付款，发包人有权立即向银行索赔履约保证金，并解除合同。</w:t>
      </w:r>
    </w:p>
    <w:p w14:paraId="1FCDC2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（2）材料、设备预付款按项目专用合同条款数据表中所列主要材料、设备单据费用（进口的材料、设备为到岸价，国内采购的为出厂价或销售价，地方材料为堆场价）的百分比支付。其预付条件为：</w:t>
      </w:r>
    </w:p>
    <w:p w14:paraId="5CB167A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材料、设备符合规范要求并经监理人认可；</w:t>
      </w:r>
    </w:p>
    <w:p w14:paraId="3DA3E7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b. 承包人已出具材料、设备费用凭证或支付单据；</w:t>
      </w:r>
    </w:p>
    <w:p w14:paraId="67F8280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材料、设备已在现场交货，且存储良好，监理人认为材料、设备的存储方法符合要求。</w:t>
      </w:r>
    </w:p>
    <w:p w14:paraId="238BA71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则监理人应将此项金额作为材料、设备预付款计入下一次的进度付款证书中。在预计交工前3个月，将不再支付材料、设备预付款。</w:t>
      </w:r>
    </w:p>
    <w:p w14:paraId="7449691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17.2.2 预付款保函</w:t>
      </w:r>
    </w:p>
    <w:p w14:paraId="03781C9F">
      <w:pPr>
        <w:pStyle w:val="48"/>
        <w:spacing w:line="400" w:lineRule="atLeas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承包人无须向发包人提交预付款保函。发包人向承包人支付的预付款，应按照本合同第17.2.1项规定使用，承包人提交的履约保证金对预付款的正常使用承担保证责任。</w:t>
      </w:r>
    </w:p>
    <w:p w14:paraId="267DA7E1">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17.2.3 预付款的扣回与还清</w:t>
      </w:r>
    </w:p>
    <w:p w14:paraId="08433350">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本项约定为：</w:t>
      </w:r>
    </w:p>
    <w:p w14:paraId="47A08F4D">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61B0245F">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（2）当材料、设备已用于或安装在永久工程之中时，材料、设备预付款应从进度付款证书中扣回，扣回期不超过3个月。已经支付材料、设备预付款的材料、设备的所有权应属于发包人。</w:t>
      </w:r>
    </w:p>
    <w:p w14:paraId="28A50F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17.3 工程进度付款</w:t>
      </w:r>
    </w:p>
    <w:p w14:paraId="1B72895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17.3.3 进度付款证书和支付时间</w:t>
      </w:r>
    </w:p>
    <w:p w14:paraId="4E04405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本项（1）目补充：</w:t>
      </w:r>
    </w:p>
    <w:p w14:paraId="71EAB4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4E95DD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7CF11A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发包人应在监理人收到进度付款申请单且承包人提交了合格的增值税专用发票后的28天内，将进度应付款支付给承包人。</w:t>
      </w:r>
    </w:p>
    <w:p w14:paraId="164EA0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发包人不按期支付的，按项目专用合同条款数据表中约定的利率向承包人支付逾期付款违约金。违约金计算基数为发包人的全部未付款额，时间从应付而未付该款额之日算起（不计复利）。</w:t>
      </w:r>
    </w:p>
    <w:p w14:paraId="023D2C8E">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本款补充第17.3.5项：</w:t>
      </w:r>
    </w:p>
    <w:p w14:paraId="407B1DF1">
      <w:pPr>
        <w:pStyle w:val="48"/>
        <w:spacing w:line="42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17.3.5 农民工工资保证金</w:t>
      </w:r>
    </w:p>
    <w:p w14:paraId="2A3EFA3C">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（1）为确保施工过程中农民工工资实时、足额发放到位，承包人应按照项目专用合同条款约定的时间和金额缴存农民工工资保证金。</w:t>
      </w:r>
    </w:p>
    <w:p w14:paraId="291B65F3">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（2）农民工工资保证金可采用银行保函或现金、支票形式。采用银行保函时，出具保函的银行须具有相应担保能力，且按照发包人批准的格式出具，所需费用由承包人承担。</w:t>
      </w:r>
    </w:p>
    <w:p w14:paraId="682F789F">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（3）农民工工资保证金的扣留条件、返还时间按照项目专用合同条款的约定执行。</w:t>
      </w:r>
    </w:p>
    <w:p w14:paraId="37A8891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17.4 质量保证金</w:t>
      </w:r>
    </w:p>
    <w:p w14:paraId="570761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第17.4.1、17.4.2项细化为：</w:t>
      </w:r>
    </w:p>
    <w:p w14:paraId="4674CB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580C8841">
      <w:pPr>
        <w:pStyle w:val="48"/>
        <w:spacing w:line="40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质量保证金采用现金、支票形式提交的，发包人应在项目专用合同条款数据表中明确是否</w:t>
      </w:r>
      <w:r>
        <w:rPr>
          <w:rFonts w:hint="eastAsia" w:ascii="宋体" w:hAnsi="宋体" w:eastAsia="宋体" w:cs="宋体"/>
          <w:color w:val="auto"/>
          <w:kern w:val="0"/>
          <w:sz w:val="24"/>
        </w:rPr>
        <w:t>计付利息以及利息的计算方式。</w:t>
      </w:r>
    </w:p>
    <w:p w14:paraId="0ABEB5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72BD5AC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17.5 交工结算</w:t>
      </w:r>
    </w:p>
    <w:p w14:paraId="152F4A5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17.5.1 交工付款申请单</w:t>
      </w:r>
    </w:p>
    <w:p w14:paraId="693E0D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本项（1）目约定为：</w:t>
      </w:r>
    </w:p>
    <w:p w14:paraId="78BF93E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承包人向监理人提交交工付款申请单（包括相关证明材料）的份数在项目专用合同条款数据表中约定；期限：交工验收证书签发后42天内。</w:t>
      </w:r>
    </w:p>
    <w:p w14:paraId="5C4807C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17.5.2 交工付款证书及支付时间</w:t>
      </w:r>
    </w:p>
    <w:p w14:paraId="0C87139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本项（2）目细化为：</w:t>
      </w:r>
    </w:p>
    <w:p w14:paraId="451F14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发包人应在监理人出具交工付款证书且承包人提交了合格的增值税专用发票后的14天内，将应支付款支付给承包人。发包人不按期支付的，按第17.3.3（2）目的约定，将逾期付款违约金支付给承包人。</w:t>
      </w:r>
    </w:p>
    <w:p w14:paraId="7A99CF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17.6 最终结清</w:t>
      </w:r>
    </w:p>
    <w:p w14:paraId="0FE61A5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17.6.1 最终结清申请单</w:t>
      </w:r>
    </w:p>
    <w:p w14:paraId="18DD05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本项（1）目约定为：</w:t>
      </w:r>
    </w:p>
    <w:p w14:paraId="194B579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承包人向监理人提交最终结清申请单（包括相关证明材料）的份数在项目专用合同条款数据表中约定；期限：缺陷责任期终止证书签发后28天内。</w:t>
      </w:r>
    </w:p>
    <w:p w14:paraId="6D4722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最终结清申请单中的总金额应认为是代表了根据合同规定应付给承包人的全部款项的最后结算。</w:t>
      </w:r>
    </w:p>
    <w:p w14:paraId="6C2A7D6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17.6.2 最终结清证书和支付时间 </w:t>
      </w:r>
    </w:p>
    <w:p w14:paraId="4A4B85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1D12811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（2）发包人应在监理人出具最终结清证书且承包人提交了合格的增值税专用发票后的14天内，将应支付款支付给承包人。发包人不按期支付的，按第17.3.3（2）目的约定，将逾期付款违约金支付给承包人。</w:t>
      </w:r>
    </w:p>
    <w:p w14:paraId="41F95AB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18. 交工验收</w:t>
      </w:r>
    </w:p>
    <w:p w14:paraId="40F66B3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18.2 交工验收申请报告</w:t>
      </w:r>
    </w:p>
    <w:p w14:paraId="09E299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本款第（2）项约定为：</w:t>
      </w:r>
    </w:p>
    <w:p w14:paraId="3DE9D8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竣工资料的内容：承包人应按照《公路工程竣（交）工验收办法》和相关规定编制竣工资料。</w:t>
      </w:r>
    </w:p>
    <w:p w14:paraId="65EB52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竣工资料的份数在项目专用合同条款数据表中约定。</w:t>
      </w:r>
    </w:p>
    <w:p w14:paraId="03D0ACB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18.3 验收</w:t>
      </w:r>
    </w:p>
    <w:p w14:paraId="77B5D06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第18.3.2项补充：</w:t>
      </w:r>
    </w:p>
    <w:p w14:paraId="50DF0A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0B39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第18.3.5项约定为：</w:t>
      </w:r>
    </w:p>
    <w:p w14:paraId="639E9E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经验收合格工程的实际交工日期，以最终提交交工验收申请报告的日期为准，并在交工验收证书中写明。</w:t>
      </w:r>
    </w:p>
    <w:p w14:paraId="7B97096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本款补充第18.3.7项：</w:t>
      </w:r>
    </w:p>
    <w:p w14:paraId="0602CE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组织办理交工验收和签发交工验收证书的费用由发包人承担。但按照第18.3.4项规定达不到合格标准的交工验收费用由承包人承担。</w:t>
      </w:r>
    </w:p>
    <w:p w14:paraId="3F5A2DD5">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本条补充第18.9款：</w:t>
      </w:r>
    </w:p>
    <w:p w14:paraId="5758E47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18.9 竣工文件</w:t>
      </w:r>
    </w:p>
    <w:p w14:paraId="74EA861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承包人应按照《公路工程竣（交）工验收办法》的相关规定，在缺陷责任期内为竣工验收补充竣工资料，并在签发缺陷责任期终止证书之前提交。</w:t>
      </w:r>
    </w:p>
    <w:p w14:paraId="32E7A33F">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19. 缺陷责任与保修责任</w:t>
      </w:r>
    </w:p>
    <w:p w14:paraId="393294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19.2 缺陷责任</w:t>
      </w:r>
    </w:p>
    <w:p w14:paraId="24A89E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第19.2.2项补充：</w:t>
      </w:r>
    </w:p>
    <w:p w14:paraId="706D1A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在缺陷责任期内，承包人应尽快完成在交工验收证书中写明的未完成工作，并完成对本工程缺陷的修复或监理人指令的修补工作。</w:t>
      </w:r>
    </w:p>
    <w:p w14:paraId="74E7BDA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19.5 承包人的进入权 </w:t>
      </w:r>
    </w:p>
    <w:p w14:paraId="2EE12C7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322EFC2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承包人在缺陷修复施工过程中，应服从管养单位的有关安全管理规定，由于承包人自身原因造成的人员伤亡、设备和材料的损毁及罚款等责任由承包人自负。</w:t>
      </w:r>
    </w:p>
    <w:p w14:paraId="19DF825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19.7 保修责任</w:t>
      </w:r>
    </w:p>
    <w:p w14:paraId="55048E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053119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C13D9D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（2）在全部工程交工验收前，已经发包人提前验收的单位工程，其保修期的起算日期相应提前。</w:t>
      </w:r>
    </w:p>
    <w:p w14:paraId="5F7D7D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（3）工程保修期终止后28天内，监理人签发保修期终止证书。</w:t>
      </w:r>
    </w:p>
    <w:p w14:paraId="0E5A43B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（4）若承包人不履行保修义务和责任，则承包人应承担由于违约造成的法律后果，并由发包人将其违约行为上报省级交通运输主管部门，作为不良记录纳入公路建设市场信用信息管理系统。</w:t>
      </w:r>
    </w:p>
    <w:p w14:paraId="4E78A2E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20. 保险</w:t>
      </w:r>
    </w:p>
    <w:p w14:paraId="34B7FAC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20.1工程保险</w:t>
      </w:r>
    </w:p>
    <w:p w14:paraId="6B12210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3FBC58F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建筑工程一切险的投保内容：为本合同工程的永久工程、临时工程和设备及已运至施工工地用于永久工程的材料和设备所投的保险。</w:t>
      </w:r>
    </w:p>
    <w:p w14:paraId="06B9794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保险金额：工程量清单第100章（不含建筑工程一切险及第三者责任险的保险费）至700章的合计金额。</w:t>
      </w:r>
    </w:p>
    <w:p w14:paraId="11BFF2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保险费率：在项目专用合同条款数据表中约定。</w:t>
      </w:r>
    </w:p>
    <w:p w14:paraId="075DC6B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保险期限：开工日起直至本合同工程签发缺陷责任期终止证书止（即合同工期＋缺陷责任期）</w:t>
      </w:r>
    </w:p>
    <w:p w14:paraId="2DC4E66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承包人应以发包人和承包人的共同名义投保建筑工程一切险。建筑工程一切险的保险费由承包人报价时列入工程量清单100章内。发包人在接到保险单后，将按照保险单的费用直接向承包人支付。</w:t>
      </w:r>
    </w:p>
    <w:p w14:paraId="5D1B26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20.4 第三者责任险</w:t>
      </w:r>
    </w:p>
    <w:p w14:paraId="533B309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第20.4.2项补充：</w:t>
      </w:r>
    </w:p>
    <w:p w14:paraId="7AEDAA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第三者责任险的保险费由承包人报价时列入工程量清单100章内。发包人在接到保险单后，将按照保险单的费用直接向承包人支付。</w:t>
      </w:r>
    </w:p>
    <w:p w14:paraId="195E6F9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20.5 其他保险</w:t>
      </w:r>
    </w:p>
    <w:p w14:paraId="592B83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7CE04337">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承包人应为其施工设备等办理保险，其投保金额应足以现场重置。办理本款保险的一切费用均由承包人承担，并包括在工程量清单的单价及总额价中，发包人不单独支付。</w:t>
      </w:r>
    </w:p>
    <w:p w14:paraId="3A6ABF2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20.6 对各项保险的一般要求</w:t>
      </w:r>
    </w:p>
    <w:p w14:paraId="26AA8F7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20.6.1 保险凭证</w:t>
      </w:r>
    </w:p>
    <w:p w14:paraId="520DEAF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本项约定为：</w:t>
      </w:r>
    </w:p>
    <w:p w14:paraId="3979C0D4">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承包人向发包人提交各项保险生效的证据和保险单副本的期限：开工后56天内。</w:t>
      </w:r>
    </w:p>
    <w:p w14:paraId="17168AE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20.6.3 持续保险</w:t>
      </w:r>
    </w:p>
    <w:p w14:paraId="1EB740E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5F266D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在整个合同期内，承包人应按合同条款规定保证足够的保险额。</w:t>
      </w:r>
    </w:p>
    <w:p w14:paraId="3B9E2B7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20.6.4 保险金不足的补偿</w:t>
      </w:r>
    </w:p>
    <w:p w14:paraId="3EE07F1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本项细化为：</w:t>
      </w:r>
    </w:p>
    <w:p w14:paraId="27B51A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保险金不足以补偿损失的（包括免赔额和超过赔偿限额的部分），应由承包人和（或）发包人按合同约定负责补偿。</w:t>
      </w:r>
    </w:p>
    <w:p w14:paraId="396AB7D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20.6.5 未按约定投保的补救</w:t>
      </w:r>
    </w:p>
    <w:p w14:paraId="647DCE6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本项（2）目细化为：</w:t>
      </w:r>
    </w:p>
    <w:p w14:paraId="15CB383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E39070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21. 不可抗力</w:t>
      </w:r>
    </w:p>
    <w:p w14:paraId="369C53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21.1 不可抗力的确认</w:t>
      </w:r>
    </w:p>
    <w:p w14:paraId="4F659F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21.1.1项细化为：</w:t>
      </w:r>
    </w:p>
    <w:p w14:paraId="5B174B4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不可抗力是指承包人和发包人在订立合同时不可预见，在工程施工过程中不可避免发生并不能克服的自然灾害和社会性突发事件。包括但不限于：</w:t>
      </w:r>
    </w:p>
    <w:p w14:paraId="48ED1C3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（1）地震、海啸、火山爆发、泥石流、暴雨（雪）、台风、龙卷风、水灾等自然灾害；</w:t>
      </w:r>
    </w:p>
    <w:p w14:paraId="1F6CCC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（2）战争、骚乱、暴动，但纯属承包人或其分包人派遣与雇用的人员由于本合同工程施工原因引起者除外；</w:t>
      </w:r>
    </w:p>
    <w:p w14:paraId="7E271F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（3）核反应、辐射或放射性污染；</w:t>
      </w:r>
    </w:p>
    <w:p w14:paraId="24F998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（4）空中飞行物体坠落或非发包人或承包人责任造成的爆炸、火灾；</w:t>
      </w:r>
    </w:p>
    <w:p w14:paraId="56A187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（5）瘟疫；</w:t>
      </w:r>
    </w:p>
    <w:p w14:paraId="6C455CE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（6）项目专用合同条款约定的其他情形。</w:t>
      </w:r>
    </w:p>
    <w:p w14:paraId="65E375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21.3 不可抗力后果及其处理</w:t>
      </w:r>
    </w:p>
    <w:p w14:paraId="2834340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21.3.4 因不可抗力解除合同</w:t>
      </w:r>
    </w:p>
    <w:p w14:paraId="78E7AC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本项细化为：</w:t>
      </w:r>
    </w:p>
    <w:p w14:paraId="5F666B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6387BAC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22. 违约</w:t>
      </w:r>
    </w:p>
    <w:p w14:paraId="13052CF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22.1 承包人违约</w:t>
      </w:r>
    </w:p>
    <w:p w14:paraId="6D60900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22.1.1 承包人违约的情形</w:t>
      </w:r>
    </w:p>
    <w:p w14:paraId="10A1D13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0D3660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（2）承包人违反第5.3款或第6.4款的约定，未经监理人批准，私自将已按合同约定进入施工场地的施工设备、临时设施、材料或工程设备撤离施工场地；</w:t>
      </w:r>
    </w:p>
    <w:p w14:paraId="744478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本项（7）目细化为：</w:t>
      </w:r>
    </w:p>
    <w:p w14:paraId="7A31EF3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（7）承包人未能按期开工；</w:t>
      </w:r>
    </w:p>
    <w:p w14:paraId="0A8B1F1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（8）承包人违反第4.6款或6.3款的规定，未按承诺或未按监理人的要求及时配备称职的主要管理人员、技术骨干或关键施工设备；</w:t>
      </w:r>
    </w:p>
    <w:p w14:paraId="68491D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（9）经监理人和发包人检查，发现承包人有安全问题或有违反安全管理规章制度的情况；</w:t>
      </w:r>
    </w:p>
    <w:p w14:paraId="2CB102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（10）承包人不按合同约定履行义务的其他情况。</w:t>
      </w:r>
    </w:p>
    <w:p w14:paraId="56CA47E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22.1.2 对承包人违约的处理</w:t>
      </w:r>
    </w:p>
    <w:p w14:paraId="191640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7359E8C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20278C8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22.2 发包人违约</w:t>
      </w:r>
    </w:p>
    <w:p w14:paraId="2BF0B7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22.2.1发包人违约的情形</w:t>
      </w:r>
    </w:p>
    <w:p w14:paraId="0C47B9C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本项（5）目细化为：</w:t>
      </w:r>
    </w:p>
    <w:p w14:paraId="78F58A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（5）发包人无正当理由不按时返还履约保证金、质量保证金或农民工工资保证金的；</w:t>
      </w:r>
    </w:p>
    <w:p w14:paraId="5245B4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（6）发包人不履行合同约定其他义务的。</w:t>
      </w:r>
    </w:p>
    <w:p w14:paraId="5B6E898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22.2.2 承包人有权暂停施工</w:t>
      </w:r>
    </w:p>
    <w:p w14:paraId="7047F25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本项细化为：</w:t>
      </w:r>
    </w:p>
    <w:p w14:paraId="09CF99F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651E47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32ACA1C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22.2.4 解除合同后的付款</w:t>
      </w:r>
    </w:p>
    <w:p w14:paraId="7431059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369D787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（2）承包人为该工程施工订购并已付款的材料、工程设备和其他物品的金额。发包人付款后，该材料、工程设备和其他物品归发包人所有；</w:t>
      </w:r>
    </w:p>
    <w:p w14:paraId="63762FD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23. 索赔</w:t>
      </w:r>
    </w:p>
    <w:p w14:paraId="5B4199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23.1 承包人索赔的提出</w:t>
      </w:r>
    </w:p>
    <w:p w14:paraId="2F3F739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本款第（4）项细化为：</w:t>
      </w:r>
    </w:p>
    <w:p w14:paraId="59B634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（4）在索赔事件影响结束后的28天内，承包人应向监理人递交最终索赔通知书，说明最终要求索赔的追加付款金额和（或）延长的工期，并附必要的记录和证明材料。</w:t>
      </w:r>
    </w:p>
    <w:p w14:paraId="0D34522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23.2 承包人索赔处理程序</w:t>
      </w:r>
    </w:p>
    <w:p w14:paraId="4847839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本款第（2）项细化为：</w:t>
      </w:r>
    </w:p>
    <w:p w14:paraId="005887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1493752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24. 争议的解决</w:t>
      </w:r>
    </w:p>
    <w:p w14:paraId="708984C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24.3 争议评审</w:t>
      </w:r>
    </w:p>
    <w:p w14:paraId="0E23C6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第24.3.1项补充：</w:t>
      </w:r>
    </w:p>
    <w:p w14:paraId="26704A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87C7D7A">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本条补充第24.4、第24.5款（适用于采用仲裁方式最终解决争议的项目）：</w:t>
      </w:r>
    </w:p>
    <w:p w14:paraId="2024AAC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24.4 仲裁</w:t>
      </w:r>
    </w:p>
    <w:p w14:paraId="435EBE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（1）对于未能友好解决或未能通过争议评审解决的争议，发包人或承包人任一方均有权提交给第24.1款约定的仲裁委员会仲裁。</w:t>
      </w:r>
    </w:p>
    <w:p w14:paraId="33FFA4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7D540B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（3）仲裁裁决是终局性的并对发包人和承包人双方具有约束力。</w:t>
      </w:r>
    </w:p>
    <w:p w14:paraId="508E94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（4）全部仲裁费用应由败诉方承担；或按仲裁委员会裁决的比例分担。</w:t>
      </w:r>
    </w:p>
    <w:p w14:paraId="41CCC9F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24.5 仲裁的执行</w:t>
      </w:r>
    </w:p>
    <w:p w14:paraId="5EB060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（1）任何一方不履行仲裁机构的裁决的，对方可以向有管辖权的人民法院申请执行。</w:t>
      </w:r>
    </w:p>
    <w:p w14:paraId="094B864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3992317D">
      <w:pPr>
        <w:pStyle w:val="48"/>
        <w:keepNext/>
        <w:keepLines/>
        <w:widowControl/>
        <w:spacing w:before="120" w:after="120" w:line="360" w:lineRule="auto"/>
        <w:jc w:val="center"/>
        <w:outlineLvl w:val="2"/>
        <w:rPr>
          <w:rFonts w:hint="eastAsia" w:ascii="宋体" w:hAnsi="宋体" w:eastAsia="宋体" w:cs="宋体"/>
          <w:b/>
          <w:color w:val="auto"/>
          <w:kern w:val="0"/>
          <w:sz w:val="32"/>
          <w:szCs w:val="32"/>
        </w:rPr>
      </w:pPr>
      <w:r>
        <w:rPr>
          <w:rFonts w:hint="eastAsia" w:ascii="宋体" w:hAnsi="宋体" w:eastAsia="宋体" w:cs="宋体"/>
          <w:color w:val="auto"/>
          <w:kern w:val="0"/>
          <w:sz w:val="24"/>
          <w:szCs w:val="20"/>
        </w:rPr>
        <w:br w:type="page"/>
      </w:r>
      <w:bookmarkStart w:id="79" w:name="_Toc108171859"/>
      <w:r>
        <w:rPr>
          <w:rFonts w:hint="eastAsia" w:ascii="宋体" w:hAnsi="宋体" w:eastAsia="宋体" w:cs="宋体"/>
          <w:bCs/>
          <w:color w:val="auto"/>
          <w:kern w:val="0"/>
          <w:sz w:val="32"/>
          <w:szCs w:val="32"/>
        </w:rPr>
        <w:t>B. 项目专用合同条款</w:t>
      </w:r>
      <w:bookmarkEnd w:id="79"/>
    </w:p>
    <w:p w14:paraId="16A5EC42">
      <w:pPr>
        <w:pStyle w:val="48"/>
        <w:spacing w:line="440" w:lineRule="exact"/>
        <w:rPr>
          <w:rFonts w:hint="eastAsia" w:ascii="宋体" w:hAnsi="宋体" w:eastAsia="宋体" w:cs="宋体"/>
          <w:color w:val="auto"/>
          <w:sz w:val="27"/>
          <w:szCs w:val="27"/>
        </w:rPr>
      </w:pPr>
    </w:p>
    <w:p w14:paraId="783AC4D6">
      <w:pPr>
        <w:pStyle w:val="48"/>
        <w:snapToGrid w:val="0"/>
        <w:spacing w:after="120" w:line="400" w:lineRule="atLeast"/>
        <w:rPr>
          <w:rFonts w:hint="eastAsia" w:ascii="宋体" w:hAnsi="宋体" w:eastAsia="宋体" w:cs="宋体"/>
          <w:color w:val="auto"/>
          <w:sz w:val="24"/>
        </w:rPr>
      </w:pPr>
      <w:r>
        <w:rPr>
          <w:rFonts w:hint="eastAsia" w:ascii="宋体" w:hAnsi="宋体" w:eastAsia="宋体" w:cs="宋体"/>
          <w:color w:val="auto"/>
          <w:sz w:val="24"/>
        </w:rPr>
        <w:t>说  明：</w:t>
      </w:r>
    </w:p>
    <w:p w14:paraId="582B0879">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2BE70A1E">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2.项目专用合同条款的编号应与通用合同条款和公路工程专用合同条款一致。</w:t>
      </w:r>
    </w:p>
    <w:p w14:paraId="649A324E">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3.项目专用合同条款可对下列内容进行补充和细化：</w:t>
      </w:r>
    </w:p>
    <w:p w14:paraId="37914914">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7C3B4BB">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5CB5FECD">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（3）其他需要补充、细化的内容。</w:t>
      </w:r>
    </w:p>
    <w:p w14:paraId="6F66AF57">
      <w:pPr>
        <w:pStyle w:val="48"/>
        <w:snapToGrid w:val="0"/>
        <w:spacing w:after="120" w:line="400" w:lineRule="atLeast"/>
        <w:ind w:firstLine="720" w:firstLineChars="300"/>
        <w:rPr>
          <w:rFonts w:hint="eastAsia" w:ascii="宋体" w:hAnsi="宋体" w:eastAsia="宋体" w:cs="宋体"/>
          <w:color w:val="auto"/>
          <w:sz w:val="24"/>
        </w:rPr>
      </w:pPr>
    </w:p>
    <w:p w14:paraId="2DE749BB">
      <w:pPr>
        <w:pStyle w:val="49"/>
        <w:keepNext/>
        <w:keepLines/>
        <w:widowControl/>
        <w:spacing w:before="120" w:after="120" w:line="360" w:lineRule="auto"/>
        <w:jc w:val="center"/>
        <w:outlineLvl w:val="2"/>
        <w:rPr>
          <w:rFonts w:hint="eastAsia" w:ascii="宋体" w:hAnsi="宋体" w:eastAsia="宋体" w:cs="宋体"/>
          <w:b/>
          <w:color w:val="auto"/>
          <w:kern w:val="0"/>
          <w:sz w:val="32"/>
          <w:szCs w:val="32"/>
        </w:rPr>
      </w:pPr>
      <w:r>
        <w:rPr>
          <w:rFonts w:hint="eastAsia" w:ascii="宋体" w:hAnsi="宋体" w:eastAsia="宋体" w:cs="宋体"/>
          <w:color w:val="auto"/>
          <w:kern w:val="0"/>
          <w:sz w:val="28"/>
          <w:szCs w:val="20"/>
        </w:rPr>
        <w:br w:type="page"/>
      </w:r>
      <w:bookmarkStart w:id="80" w:name="_Toc108166915"/>
      <w:bookmarkStart w:id="81" w:name="_Toc108171860"/>
      <w:r>
        <w:rPr>
          <w:rFonts w:hint="eastAsia" w:ascii="宋体" w:hAnsi="宋体" w:eastAsia="宋体" w:cs="宋体"/>
          <w:bCs/>
          <w:color w:val="auto"/>
          <w:kern w:val="0"/>
          <w:sz w:val="32"/>
          <w:szCs w:val="32"/>
        </w:rPr>
        <w:t>项目专用合同条款数据表</w:t>
      </w:r>
      <w:bookmarkEnd w:id="80"/>
      <w:bookmarkEnd w:id="81"/>
    </w:p>
    <w:p w14:paraId="28C728F2">
      <w:pPr>
        <w:pStyle w:val="49"/>
        <w:snapToGrid w:val="0"/>
        <w:spacing w:line="400" w:lineRule="atLeast"/>
        <w:ind w:left="660" w:hanging="660" w:hangingChars="275"/>
        <w:rPr>
          <w:rFonts w:hint="eastAsia" w:ascii="宋体" w:hAnsi="宋体" w:eastAsia="宋体" w:cs="宋体"/>
          <w:color w:val="auto"/>
          <w:sz w:val="24"/>
        </w:rPr>
      </w:pPr>
      <w:r>
        <w:rPr>
          <w:rFonts w:hint="eastAsia" w:ascii="宋体" w:hAnsi="宋体" w:eastAsia="宋体" w:cs="宋体"/>
          <w:color w:val="auto"/>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14:paraId="030FC6F5">
      <w:pPr>
        <w:pStyle w:val="49"/>
        <w:snapToGrid w:val="0"/>
        <w:spacing w:line="400" w:lineRule="atLeast"/>
        <w:ind w:left="660" w:hanging="660" w:hangingChars="275"/>
        <w:rPr>
          <w:rFonts w:hint="eastAsia" w:ascii="宋体" w:hAnsi="宋体" w:eastAsia="宋体" w:cs="宋体"/>
          <w:color w:val="auto"/>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27F7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F26DB88">
            <w:pPr>
              <w:pStyle w:val="49"/>
              <w:snapToGrid w:val="0"/>
              <w:spacing w:before="100" w:beforeAutospacing="1" w:line="360" w:lineRule="atLeast"/>
              <w:ind w:left="-105" w:leftChars="-50" w:right="-105" w:rightChars="-5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C843B9A">
            <w:pPr>
              <w:pStyle w:val="49"/>
              <w:snapToGrid w:val="0"/>
              <w:spacing w:line="360" w:lineRule="atLeast"/>
              <w:ind w:left="-105" w:leftChars="-50" w:right="-105" w:rightChars="-50"/>
              <w:jc w:val="center"/>
              <w:rPr>
                <w:rFonts w:hint="eastAsia" w:ascii="宋体" w:hAnsi="宋体" w:eastAsia="宋体" w:cs="宋体"/>
                <w:b/>
                <w:color w:val="auto"/>
                <w:szCs w:val="21"/>
              </w:rPr>
            </w:pPr>
            <w:r>
              <w:rPr>
                <w:rFonts w:hint="eastAsia" w:ascii="宋体" w:hAnsi="宋体" w:eastAsia="宋体" w:cs="宋体"/>
                <w:b/>
                <w:color w:val="auto"/>
                <w:szCs w:val="21"/>
              </w:rPr>
              <w:t>条目号</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6D0B8C1">
            <w:pPr>
              <w:pStyle w:val="49"/>
              <w:snapToGrid w:val="0"/>
              <w:spacing w:line="360" w:lineRule="atLeast"/>
              <w:jc w:val="center"/>
              <w:rPr>
                <w:rFonts w:hint="eastAsia" w:ascii="宋体" w:hAnsi="宋体" w:eastAsia="宋体" w:cs="宋体"/>
                <w:b/>
                <w:color w:val="auto"/>
                <w:szCs w:val="21"/>
              </w:rPr>
            </w:pPr>
            <w:r>
              <w:rPr>
                <w:rFonts w:hint="eastAsia" w:ascii="宋体" w:hAnsi="宋体" w:eastAsia="宋体" w:cs="宋体"/>
                <w:b/>
                <w:color w:val="auto"/>
                <w:szCs w:val="21"/>
              </w:rPr>
              <w:t>信息或数据</w:t>
            </w:r>
          </w:p>
        </w:tc>
      </w:tr>
      <w:tr w14:paraId="613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DD4C20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5574D2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1.1.2.2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E6A68B8">
            <w:pPr>
              <w:pStyle w:val="49"/>
              <w:snapToGrid w:val="0"/>
              <w:spacing w:line="360" w:lineRule="atLeast"/>
              <w:ind w:firstLine="239" w:firstLineChars="114"/>
              <w:rPr>
                <w:rFonts w:hint="eastAsia" w:ascii="宋体" w:hAnsi="宋体" w:eastAsia="宋体" w:cs="宋体"/>
                <w:color w:val="auto"/>
                <w:szCs w:val="21"/>
                <w:lang w:eastAsia="zh-CN"/>
              </w:rPr>
            </w:pPr>
            <w:r>
              <w:rPr>
                <w:rFonts w:hint="eastAsia" w:ascii="宋体" w:hAnsi="宋体" w:eastAsia="宋体" w:cs="宋体"/>
                <w:color w:val="auto"/>
                <w:szCs w:val="21"/>
              </w:rPr>
              <w:t>发 包 人：</w:t>
            </w:r>
            <w:r>
              <w:rPr>
                <w:rFonts w:hint="eastAsia" w:ascii="宋体" w:hAnsi="宋体" w:cs="宋体"/>
                <w:color w:val="auto"/>
                <w:szCs w:val="21"/>
                <w:lang w:eastAsia="zh-CN"/>
              </w:rPr>
              <w:t>吴起县周湾镇人民政府</w:t>
            </w:r>
          </w:p>
          <w:p w14:paraId="1D2DC7F2">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 xml:space="preserve">地    址：陕西省延安市吴起县周湾镇周湾村                   </w:t>
            </w:r>
          </w:p>
          <w:p w14:paraId="525EF7DC">
            <w:pPr>
              <w:pStyle w:val="49"/>
              <w:snapToGrid w:val="0"/>
              <w:spacing w:line="360" w:lineRule="atLeast"/>
              <w:ind w:firstLine="239" w:firstLineChars="114"/>
              <w:rPr>
                <w:rFonts w:hint="eastAsia" w:ascii="宋体" w:hAnsi="宋体" w:eastAsia="宋体" w:cs="宋体"/>
                <w:color w:val="auto"/>
                <w:szCs w:val="21"/>
                <w:lang w:val="en-US" w:eastAsia="zh-CN"/>
              </w:rPr>
            </w:pPr>
            <w:r>
              <w:rPr>
                <w:rFonts w:hint="eastAsia" w:ascii="宋体" w:hAnsi="宋体" w:eastAsia="宋体" w:cs="宋体"/>
                <w:color w:val="auto"/>
                <w:szCs w:val="21"/>
              </w:rPr>
              <w:t>邮政编码：</w:t>
            </w:r>
            <w:r>
              <w:rPr>
                <w:rFonts w:hint="eastAsia" w:ascii="宋体" w:hAnsi="宋体" w:eastAsia="宋体" w:cs="宋体"/>
                <w:color w:val="auto"/>
                <w:szCs w:val="21"/>
                <w:lang w:val="en-US" w:eastAsia="zh-CN"/>
              </w:rPr>
              <w:t>717</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00</w:t>
            </w:r>
          </w:p>
        </w:tc>
      </w:tr>
      <w:tr w14:paraId="797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B6DFB34">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B0B8B9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1.1.2.6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F68DF36">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监理人：本合同工程的监理人由发包人以书面形式通知承包人。</w:t>
            </w:r>
          </w:p>
        </w:tc>
      </w:tr>
      <w:tr w14:paraId="3F42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0D66A1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59FB36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1.1.4.5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BFACC21">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缺陷责任期：自实际交工日期起计算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tc>
      </w:tr>
      <w:tr w14:paraId="1B31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0646B3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F58910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1.6.3</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3611D1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图纸需要修改和补充的，应由监理人取得发包人同意后，在该工程或工程相应部位施工前</w:t>
            </w:r>
            <w:r>
              <w:rPr>
                <w:rFonts w:hint="eastAsia" w:ascii="宋体" w:hAnsi="宋体" w:eastAsia="宋体" w:cs="宋体"/>
                <w:color w:val="auto"/>
                <w:szCs w:val="21"/>
                <w:u w:val="single"/>
              </w:rPr>
              <w:t xml:space="preserve">  7  </w:t>
            </w:r>
            <w:r>
              <w:rPr>
                <w:rFonts w:hint="eastAsia" w:ascii="宋体" w:hAnsi="宋体" w:eastAsia="宋体" w:cs="宋体"/>
                <w:color w:val="auto"/>
                <w:szCs w:val="21"/>
              </w:rPr>
              <w:t>天签发图纸修改图给承包人</w:t>
            </w:r>
          </w:p>
        </w:tc>
      </w:tr>
      <w:tr w14:paraId="1AE6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286B43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C22D44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3.1.1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8FFDE01">
            <w:pPr>
              <w:pStyle w:val="49"/>
              <w:snapToGrid w:val="0"/>
              <w:spacing w:line="360" w:lineRule="atLeast"/>
              <w:ind w:firstLine="225" w:firstLineChars="114"/>
              <w:rPr>
                <w:rFonts w:hint="eastAsia" w:ascii="宋体" w:hAnsi="宋体" w:eastAsia="宋体" w:cs="宋体"/>
                <w:color w:val="auto"/>
                <w:spacing w:val="-6"/>
                <w:szCs w:val="21"/>
              </w:rPr>
            </w:pPr>
            <w:r>
              <w:rPr>
                <w:rFonts w:hint="eastAsia" w:ascii="宋体" w:hAnsi="宋体" w:eastAsia="宋体" w:cs="宋体"/>
                <w:color w:val="auto"/>
                <w:spacing w:val="-6"/>
                <w:szCs w:val="21"/>
              </w:rPr>
              <w:t xml:space="preserve">监理人在行使下列权利前需要经发包人事先批准： </w:t>
            </w:r>
          </w:p>
          <w:p w14:paraId="02A9235F">
            <w:pPr>
              <w:pStyle w:val="49"/>
              <w:snapToGrid w:val="0"/>
              <w:spacing w:line="360" w:lineRule="atLeast"/>
              <w:ind w:firstLine="225" w:firstLineChars="114"/>
              <w:rPr>
                <w:rFonts w:hint="eastAsia" w:ascii="宋体" w:hAnsi="宋体" w:eastAsia="宋体" w:cs="宋体"/>
                <w:color w:val="auto"/>
                <w:spacing w:val="-6"/>
                <w:szCs w:val="21"/>
              </w:rPr>
            </w:pPr>
            <w:r>
              <w:rPr>
                <w:rFonts w:hint="eastAsia" w:ascii="宋体" w:hAnsi="宋体" w:eastAsia="宋体" w:cs="宋体"/>
                <w:color w:val="auto"/>
                <w:spacing w:val="-6"/>
                <w:szCs w:val="21"/>
              </w:rPr>
              <w:t xml:space="preserve">（6）根据第 15.3 款发出的变更指示，凡单项工程发生变更需上报发包人，征得发包人批准。 </w:t>
            </w:r>
          </w:p>
        </w:tc>
      </w:tr>
      <w:tr w14:paraId="5285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6F51E6E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EECCAB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5.2.1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5BB485A">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发包人是否提供材料或工程设备：</w:t>
            </w:r>
            <w:r>
              <w:rPr>
                <w:rFonts w:hint="eastAsia" w:ascii="宋体" w:hAnsi="宋体" w:eastAsia="宋体" w:cs="宋体"/>
                <w:color w:val="auto"/>
                <w:szCs w:val="21"/>
                <w:u w:val="single"/>
              </w:rPr>
              <w:t xml:space="preserve">否  </w:t>
            </w:r>
          </w:p>
        </w:tc>
      </w:tr>
      <w:tr w14:paraId="3223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785DB259">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904926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6.2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7A7941A">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发包人是否提供施工设备和临时设施：</w:t>
            </w:r>
            <w:r>
              <w:rPr>
                <w:rFonts w:hint="eastAsia" w:ascii="宋体" w:hAnsi="宋体" w:eastAsia="宋体" w:cs="宋体"/>
                <w:color w:val="auto"/>
                <w:szCs w:val="21"/>
                <w:u w:val="single"/>
              </w:rPr>
              <w:t xml:space="preserve"> 否  </w:t>
            </w:r>
          </w:p>
        </w:tc>
      </w:tr>
      <w:tr w14:paraId="7F67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1EDC5279">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46B055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8.1.1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6772056">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发包人提供测量基准点、基准线和水准点及其书面资料的期限：</w:t>
            </w:r>
            <w:r>
              <w:rPr>
                <w:rFonts w:hint="eastAsia" w:ascii="宋体" w:hAnsi="宋体" w:eastAsia="宋体" w:cs="宋体"/>
                <w:color w:val="auto"/>
                <w:szCs w:val="21"/>
                <w:u w:val="thick"/>
              </w:rPr>
              <w:t>开工前 7 天</w:t>
            </w:r>
            <w:r>
              <w:rPr>
                <w:rFonts w:hint="eastAsia" w:ascii="宋体" w:hAnsi="宋体" w:eastAsia="宋体" w:cs="宋体"/>
                <w:color w:val="auto"/>
                <w:szCs w:val="21"/>
              </w:rPr>
              <w:t xml:space="preserve"> </w:t>
            </w:r>
          </w:p>
          <w:p w14:paraId="4DB2C870">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承包人将施工控制网资料报送监理人审批的期限：</w:t>
            </w:r>
            <w:r>
              <w:rPr>
                <w:rFonts w:hint="eastAsia" w:ascii="宋体" w:hAnsi="宋体" w:eastAsia="宋体" w:cs="宋体"/>
                <w:color w:val="auto"/>
                <w:szCs w:val="21"/>
                <w:u w:val="single"/>
              </w:rPr>
              <w:t xml:space="preserve"> 发出开工通知后14 天  </w:t>
            </w:r>
          </w:p>
        </w:tc>
      </w:tr>
      <w:tr w14:paraId="5794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CAB19F8">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EB23478">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C79C793">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逾期交工违约金：</w:t>
            </w:r>
            <w:r>
              <w:rPr>
                <w:rFonts w:hint="eastAsia" w:ascii="宋体" w:hAnsi="宋体" w:eastAsia="宋体" w:cs="宋体"/>
                <w:color w:val="auto"/>
                <w:szCs w:val="21"/>
                <w:u w:val="single"/>
              </w:rPr>
              <w:t xml:space="preserve">5000 </w:t>
            </w:r>
            <w:r>
              <w:rPr>
                <w:rFonts w:hint="eastAsia" w:ascii="宋体" w:hAnsi="宋体" w:eastAsia="宋体" w:cs="宋体"/>
                <w:color w:val="auto"/>
                <w:szCs w:val="21"/>
              </w:rPr>
              <w:t>元/天</w:t>
            </w:r>
          </w:p>
        </w:tc>
      </w:tr>
      <w:tr w14:paraId="4128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4F1105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5897FD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37691BD">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逾期交工违约金限额：</w:t>
            </w:r>
            <w:r>
              <w:rPr>
                <w:rFonts w:hint="eastAsia" w:ascii="宋体" w:hAnsi="宋体" w:eastAsia="宋体" w:cs="宋体"/>
                <w:color w:val="auto"/>
                <w:szCs w:val="21"/>
                <w:u w:val="single"/>
              </w:rPr>
              <w:t xml:space="preserve"> 10  %签约合同价</w:t>
            </w:r>
          </w:p>
        </w:tc>
      </w:tr>
      <w:tr w14:paraId="2974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5537BD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7E696F8">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C0C7A45">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提前交工的奖金：</w:t>
            </w:r>
            <w:r>
              <w:rPr>
                <w:rFonts w:hint="eastAsia" w:ascii="宋体" w:hAnsi="宋体" w:eastAsia="宋体" w:cs="宋体"/>
                <w:color w:val="auto"/>
                <w:szCs w:val="21"/>
                <w:u w:val="single"/>
              </w:rPr>
              <w:t xml:space="preserve"> 无</w:t>
            </w:r>
          </w:p>
        </w:tc>
      </w:tr>
      <w:tr w14:paraId="62D6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EBB7B2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7E2176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9A83185">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提前交工的奖金限额：</w:t>
            </w:r>
            <w:r>
              <w:rPr>
                <w:rFonts w:hint="eastAsia" w:ascii="宋体" w:hAnsi="宋体" w:eastAsia="宋体" w:cs="宋体"/>
                <w:color w:val="auto"/>
                <w:szCs w:val="21"/>
                <w:u w:val="single"/>
              </w:rPr>
              <w:t>无</w:t>
            </w:r>
          </w:p>
        </w:tc>
      </w:tr>
      <w:tr w14:paraId="011B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1F897F8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4954F3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15.5.2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44AB2DC">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不适用</w:t>
            </w:r>
          </w:p>
        </w:tc>
      </w:tr>
      <w:tr w14:paraId="6AAB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78A333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C8FD73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5C80946A">
            <w:pPr>
              <w:pStyle w:val="49"/>
              <w:tabs>
                <w:tab w:val="left" w:pos="420"/>
                <w:tab w:val="center" w:pos="4153"/>
                <w:tab w:val="right" w:pos="8306"/>
              </w:tabs>
              <w:snapToGrid w:val="0"/>
              <w:spacing w:line="360" w:lineRule="atLeast"/>
              <w:ind w:firstLine="364" w:firstLineChars="114"/>
              <w:jc w:val="left"/>
              <w:rPr>
                <w:rFonts w:hint="eastAsia" w:ascii="宋体" w:hAnsi="宋体" w:eastAsia="宋体" w:cs="宋体"/>
                <w:color w:val="auto"/>
                <w:szCs w:val="21"/>
              </w:rPr>
            </w:pPr>
            <w:r>
              <w:rPr>
                <w:rFonts w:hint="eastAsia" w:ascii="宋体" w:hAnsi="宋体" w:eastAsia="宋体" w:cs="宋体"/>
                <w:color w:val="auto"/>
                <w:sz w:val="32"/>
                <w:szCs w:val="18"/>
              </w:rPr>
              <w:t>☑</w:t>
            </w:r>
            <w:r>
              <w:rPr>
                <w:rFonts w:hint="eastAsia" w:ascii="宋体" w:hAnsi="宋体" w:eastAsia="宋体" w:cs="宋体"/>
                <w:color w:val="auto"/>
                <w:szCs w:val="21"/>
              </w:rPr>
              <w:t>合同期内不调价</w:t>
            </w:r>
          </w:p>
        </w:tc>
      </w:tr>
      <w:tr w14:paraId="2699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82C6BD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8A924E9">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6E69754">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开工预付款：10 %签约合同价（根据工程进展情况分批予以拨付）</w:t>
            </w:r>
          </w:p>
        </w:tc>
      </w:tr>
      <w:tr w14:paraId="43F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41FEBB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257EA35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4D95939">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 xml:space="preserve">材料、设备预付款比例：10 %签约合同价（根据工程进展情况分批予以拨付） </w:t>
            </w:r>
          </w:p>
        </w:tc>
      </w:tr>
      <w:tr w14:paraId="7F7C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95AF6A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29DA96E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C2B2470">
            <w:pPr>
              <w:pStyle w:val="49"/>
              <w:snapToGrid w:val="0"/>
              <w:spacing w:line="360" w:lineRule="atLeast"/>
              <w:ind w:firstLine="234" w:firstLineChars="114"/>
              <w:rPr>
                <w:rFonts w:hint="eastAsia" w:ascii="宋体" w:hAnsi="宋体" w:eastAsia="宋体" w:cs="宋体"/>
                <w:color w:val="auto"/>
                <w:spacing w:val="-2"/>
                <w:szCs w:val="21"/>
              </w:rPr>
            </w:pPr>
            <w:r>
              <w:rPr>
                <w:rFonts w:hint="eastAsia" w:ascii="宋体" w:hAnsi="宋体" w:eastAsia="宋体" w:cs="宋体"/>
                <w:color w:val="auto"/>
                <w:spacing w:val="-2"/>
                <w:szCs w:val="21"/>
              </w:rPr>
              <w:t>承包人在每个付款周期末向监理人提交进度付款申请单的份数：</w:t>
            </w:r>
            <w:r>
              <w:rPr>
                <w:rFonts w:hint="eastAsia" w:ascii="宋体" w:hAnsi="宋体" w:eastAsia="宋体" w:cs="宋体"/>
                <w:color w:val="auto"/>
                <w:spacing w:val="-2"/>
                <w:szCs w:val="21"/>
                <w:u w:val="single"/>
              </w:rPr>
              <w:t xml:space="preserve">7 </w:t>
            </w:r>
            <w:r>
              <w:rPr>
                <w:rFonts w:hint="eastAsia" w:ascii="宋体" w:hAnsi="宋体" w:eastAsia="宋体" w:cs="宋体"/>
                <w:color w:val="auto"/>
                <w:spacing w:val="-2"/>
                <w:szCs w:val="21"/>
              </w:rPr>
              <w:t>份</w:t>
            </w:r>
          </w:p>
        </w:tc>
      </w:tr>
      <w:tr w14:paraId="0500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9F8609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94CABA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17.3.3（1）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B1C565F">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进度付款证书最低限额：</w:t>
            </w:r>
            <w:r>
              <w:rPr>
                <w:rFonts w:hint="eastAsia" w:ascii="宋体" w:hAnsi="宋体" w:eastAsia="宋体" w:cs="宋体"/>
                <w:color w:val="auto"/>
                <w:szCs w:val="21"/>
                <w:u w:val="single"/>
              </w:rPr>
              <w:t xml:space="preserve">  10 </w:t>
            </w:r>
            <w:r>
              <w:rPr>
                <w:rFonts w:hint="eastAsia" w:ascii="宋体" w:hAnsi="宋体" w:eastAsia="宋体" w:cs="宋体"/>
                <w:color w:val="auto"/>
                <w:szCs w:val="21"/>
              </w:rPr>
              <w:t>万元</w:t>
            </w:r>
          </w:p>
        </w:tc>
      </w:tr>
      <w:tr w14:paraId="0546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7FD22A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96CEB1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17.3.3（2）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1B3C60FF">
            <w:pPr>
              <w:pStyle w:val="49"/>
              <w:snapToGrid w:val="0"/>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逾期付款违约金的利率: / ‟/天（以同期中国人民银行短期贷款利率加手续费）</w:t>
            </w:r>
          </w:p>
        </w:tc>
      </w:tr>
      <w:tr w14:paraId="1228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F685247">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5A0381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17.4.1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61BE9FF">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质量保证金金额：</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%合同价格，若交工验收时承包人具备被招标项目所在地省级交通运输主管部门评定的最高信用等级，发包人给予</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%合同价格质量保证金的优惠。</w:t>
            </w:r>
          </w:p>
          <w:p w14:paraId="17A03221">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质量保证金是否</w:t>
            </w:r>
            <w:r>
              <w:rPr>
                <w:rFonts w:hint="eastAsia" w:ascii="宋体" w:hAnsi="宋体" w:eastAsia="宋体" w:cs="宋体"/>
                <w:color w:val="auto"/>
                <w:kern w:val="0"/>
                <w:szCs w:val="21"/>
              </w:rPr>
              <w:t xml:space="preserve">计付利息：否   </w:t>
            </w:r>
          </w:p>
        </w:tc>
      </w:tr>
      <w:tr w14:paraId="67ED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05AE6C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F8EE2C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17.5.1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B592DFA">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承包人向监理人提交交工付款申请单（包括相关证明材料）的份数：</w:t>
            </w:r>
          </w:p>
          <w:p w14:paraId="3FACD29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14:paraId="44E1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B9BA96F">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CC5BDC9">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7F078A1">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承包人向监理人提交最终结清申请单（包括相关证明材料）的份数：</w:t>
            </w:r>
          </w:p>
          <w:p w14:paraId="5E426096">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14:paraId="257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1DF29E2F">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173170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645694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竣工资料的份数：</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份</w:t>
            </w:r>
          </w:p>
        </w:tc>
      </w:tr>
      <w:tr w14:paraId="5AF8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1B75987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050DE4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18.5.1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A74535C">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单位工程或工程设备是否需投入施工期运行：</w:t>
            </w:r>
            <w:r>
              <w:rPr>
                <w:rFonts w:hint="eastAsia" w:ascii="宋体" w:hAnsi="宋体" w:eastAsia="宋体" w:cs="宋体"/>
                <w:color w:val="auto"/>
                <w:szCs w:val="21"/>
                <w:u w:val="single"/>
              </w:rPr>
              <w:t xml:space="preserve"> 否 </w:t>
            </w:r>
          </w:p>
        </w:tc>
      </w:tr>
      <w:tr w14:paraId="046B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793B2A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2101A07">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52F4DBD">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本工程及工程设备是否进行试运行：</w:t>
            </w:r>
            <w:r>
              <w:rPr>
                <w:rFonts w:hint="eastAsia" w:ascii="宋体" w:hAnsi="宋体" w:eastAsia="宋体" w:cs="宋体"/>
                <w:color w:val="auto"/>
                <w:szCs w:val="21"/>
                <w:u w:val="single"/>
              </w:rPr>
              <w:t xml:space="preserve"> 否  </w:t>
            </w:r>
          </w:p>
        </w:tc>
      </w:tr>
      <w:tr w14:paraId="3033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0FEFDC8">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9A44FE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19.7</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F9A53C7">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保修期：自实际交工日期起计算</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年</w:t>
            </w:r>
          </w:p>
        </w:tc>
      </w:tr>
      <w:tr w14:paraId="27FD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0D3443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889F2D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35F16A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建筑工程一切险的保险费率：</w:t>
            </w:r>
            <w:r>
              <w:rPr>
                <w:rFonts w:hint="eastAsia" w:ascii="宋体" w:hAnsi="宋体" w:eastAsia="宋体" w:cs="宋体"/>
                <w:color w:val="auto"/>
                <w:szCs w:val="21"/>
                <w:u w:val="single"/>
              </w:rPr>
              <w:t xml:space="preserve"> 0.25 </w:t>
            </w:r>
            <w:r>
              <w:rPr>
                <w:rFonts w:hint="eastAsia" w:ascii="宋体" w:hAnsi="宋体" w:eastAsia="宋体" w:cs="宋体"/>
                <w:color w:val="auto"/>
                <w:szCs w:val="21"/>
              </w:rPr>
              <w:t>‰</w:t>
            </w:r>
          </w:p>
        </w:tc>
      </w:tr>
      <w:tr w14:paraId="4FCF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1B9E5E1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B909DB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20.4.2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B1E8523">
            <w:pPr>
              <w:pStyle w:val="49"/>
              <w:snapToGrid w:val="0"/>
              <w:spacing w:line="360" w:lineRule="atLeast"/>
              <w:ind w:firstLine="237" w:firstLineChars="113"/>
              <w:rPr>
                <w:rFonts w:hint="eastAsia" w:ascii="宋体" w:hAnsi="宋体" w:eastAsia="宋体" w:cs="宋体"/>
                <w:color w:val="auto"/>
                <w:szCs w:val="21"/>
              </w:rPr>
            </w:pPr>
            <w:r>
              <w:rPr>
                <w:rFonts w:hint="eastAsia" w:ascii="宋体" w:hAnsi="宋体" w:eastAsia="宋体" w:cs="宋体"/>
                <w:color w:val="auto"/>
                <w:szCs w:val="21"/>
              </w:rPr>
              <w:t>第三者责任险的最低投保金额：</w:t>
            </w:r>
            <w:r>
              <w:rPr>
                <w:rFonts w:hint="eastAsia" w:ascii="宋体" w:hAnsi="宋体" w:eastAsia="宋体" w:cs="宋体"/>
                <w:color w:val="auto"/>
                <w:szCs w:val="21"/>
                <w:u w:val="single"/>
              </w:rPr>
              <w:t xml:space="preserve"> 100 </w:t>
            </w:r>
            <w:r>
              <w:rPr>
                <w:rFonts w:hint="eastAsia" w:ascii="宋体" w:hAnsi="宋体" w:eastAsia="宋体" w:cs="宋体"/>
                <w:color w:val="auto"/>
                <w:szCs w:val="21"/>
              </w:rPr>
              <w:t>万元，事故次数不限（不计免赔额）</w:t>
            </w:r>
          </w:p>
          <w:p w14:paraId="0134D14E">
            <w:pPr>
              <w:pStyle w:val="49"/>
              <w:snapToGrid w:val="0"/>
              <w:spacing w:line="360" w:lineRule="atLeast"/>
              <w:ind w:firstLine="237" w:firstLineChars="113"/>
              <w:rPr>
                <w:rFonts w:hint="eastAsia" w:ascii="宋体" w:hAnsi="宋体" w:eastAsia="宋体" w:cs="宋体"/>
                <w:color w:val="auto"/>
                <w:szCs w:val="21"/>
              </w:rPr>
            </w:pPr>
            <w:r>
              <w:rPr>
                <w:rFonts w:hint="eastAsia" w:ascii="宋体" w:hAnsi="宋体" w:eastAsia="宋体" w:cs="宋体"/>
                <w:color w:val="auto"/>
                <w:szCs w:val="21"/>
              </w:rPr>
              <w:t>保险费率：</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w:t>
            </w:r>
          </w:p>
        </w:tc>
      </w:tr>
      <w:tr w14:paraId="3CBF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07E49CF">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A01742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24.1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32454E2">
            <w:pPr>
              <w:pStyle w:val="49"/>
              <w:spacing w:line="360" w:lineRule="atLeast"/>
              <w:ind w:left="-17" w:leftChars="-8" w:firstLine="237" w:firstLineChars="113"/>
              <w:rPr>
                <w:rFonts w:hint="eastAsia" w:ascii="宋体" w:hAnsi="宋体" w:eastAsia="宋体" w:cs="宋体"/>
                <w:color w:val="auto"/>
                <w:szCs w:val="21"/>
              </w:rPr>
            </w:pPr>
            <w:r>
              <w:rPr>
                <w:rFonts w:hint="eastAsia" w:ascii="宋体" w:hAnsi="宋体" w:eastAsia="宋体" w:cs="宋体"/>
                <w:color w:val="auto"/>
                <w:szCs w:val="21"/>
              </w:rPr>
              <w:t>争议的最终解决方式：</w:t>
            </w:r>
            <w:r>
              <w:rPr>
                <w:rFonts w:hint="eastAsia" w:ascii="宋体" w:hAnsi="宋体" w:eastAsia="宋体" w:cs="宋体"/>
                <w:color w:val="auto"/>
                <w:szCs w:val="21"/>
                <w:u w:val="single"/>
              </w:rPr>
              <w:t xml:space="preserve">  仲裁  </w:t>
            </w:r>
          </w:p>
          <w:p w14:paraId="095AE1BA">
            <w:pPr>
              <w:pStyle w:val="49"/>
              <w:tabs>
                <w:tab w:val="left" w:pos="420"/>
                <w:tab w:val="center" w:pos="4153"/>
                <w:tab w:val="right" w:pos="8306"/>
              </w:tabs>
              <w:snapToGrid w:val="0"/>
              <w:spacing w:line="360" w:lineRule="atLeast"/>
              <w:ind w:firstLine="237" w:firstLineChars="113"/>
              <w:jc w:val="left"/>
              <w:rPr>
                <w:rFonts w:hint="eastAsia" w:ascii="宋体" w:hAnsi="宋体" w:eastAsia="宋体" w:cs="宋体"/>
                <w:color w:val="auto"/>
                <w:szCs w:val="21"/>
              </w:rPr>
            </w:pPr>
            <w:r>
              <w:rPr>
                <w:rFonts w:hint="eastAsia" w:ascii="宋体" w:hAnsi="宋体" w:eastAsia="宋体" w:cs="宋体"/>
                <w:color w:val="auto"/>
                <w:szCs w:val="21"/>
              </w:rPr>
              <w:t>仲裁委员会名称：</w:t>
            </w:r>
            <w:r>
              <w:rPr>
                <w:rFonts w:hint="eastAsia" w:ascii="宋体" w:hAnsi="宋体" w:cs="宋体"/>
                <w:color w:val="auto"/>
                <w:szCs w:val="21"/>
                <w:u w:val="single"/>
                <w:lang w:val="en-US" w:eastAsia="zh-CN"/>
              </w:rPr>
              <w:t>延安市吴起县</w:t>
            </w:r>
            <w:r>
              <w:rPr>
                <w:rFonts w:hint="eastAsia" w:ascii="宋体" w:hAnsi="宋体" w:eastAsia="宋体" w:cs="宋体"/>
                <w:color w:val="auto"/>
                <w:szCs w:val="21"/>
                <w:u w:val="single"/>
              </w:rPr>
              <w:t xml:space="preserve">仲裁委员会 </w:t>
            </w:r>
          </w:p>
        </w:tc>
      </w:tr>
    </w:tbl>
    <w:p w14:paraId="03361E72">
      <w:pPr>
        <w:pStyle w:val="49"/>
        <w:spacing w:line="380" w:lineRule="atLeast"/>
        <w:jc w:val="left"/>
        <w:rPr>
          <w:rFonts w:hint="eastAsia" w:ascii="宋体" w:hAnsi="宋体" w:eastAsia="宋体" w:cs="宋体"/>
          <w:color w:val="auto"/>
          <w:sz w:val="20"/>
          <w:szCs w:val="20"/>
        </w:rPr>
      </w:pPr>
    </w:p>
    <w:p w14:paraId="1602BB1A">
      <w:pPr>
        <w:pStyle w:val="48"/>
        <w:spacing w:line="380" w:lineRule="atLeast"/>
        <w:rPr>
          <w:rFonts w:hint="eastAsia" w:ascii="宋体" w:hAnsi="宋体" w:eastAsia="宋体" w:cs="宋体"/>
          <w:color w:val="auto"/>
          <w:sz w:val="24"/>
        </w:rPr>
      </w:pPr>
    </w:p>
    <w:p w14:paraId="1DE7D746">
      <w:pPr>
        <w:pStyle w:val="48"/>
        <w:spacing w:line="380" w:lineRule="atLeast"/>
        <w:rPr>
          <w:rFonts w:hint="eastAsia" w:ascii="宋体" w:hAnsi="宋体" w:eastAsia="宋体" w:cs="宋体"/>
          <w:color w:val="auto"/>
          <w:sz w:val="24"/>
        </w:rPr>
      </w:pPr>
    </w:p>
    <w:p w14:paraId="51CCAF85">
      <w:pPr>
        <w:pStyle w:val="48"/>
        <w:spacing w:line="380" w:lineRule="atLeast"/>
        <w:rPr>
          <w:rFonts w:hint="eastAsia" w:ascii="宋体" w:hAnsi="宋体" w:eastAsia="宋体" w:cs="宋体"/>
          <w:color w:val="auto"/>
          <w:sz w:val="24"/>
        </w:rPr>
      </w:pPr>
    </w:p>
    <w:p w14:paraId="47E63562">
      <w:pPr>
        <w:pStyle w:val="48"/>
        <w:spacing w:line="380" w:lineRule="atLeast"/>
        <w:rPr>
          <w:rFonts w:hint="eastAsia" w:ascii="宋体" w:hAnsi="宋体" w:eastAsia="宋体" w:cs="宋体"/>
          <w:color w:val="auto"/>
          <w:sz w:val="24"/>
        </w:rPr>
      </w:pPr>
    </w:p>
    <w:p w14:paraId="725AC125">
      <w:pPr>
        <w:pStyle w:val="48"/>
        <w:spacing w:line="380" w:lineRule="atLeast"/>
        <w:rPr>
          <w:rFonts w:hint="eastAsia" w:ascii="宋体" w:hAnsi="宋体" w:eastAsia="宋体" w:cs="宋体"/>
          <w:color w:val="auto"/>
          <w:sz w:val="24"/>
        </w:rPr>
      </w:pPr>
    </w:p>
    <w:p w14:paraId="387F76BD">
      <w:pPr>
        <w:pStyle w:val="48"/>
        <w:spacing w:line="380" w:lineRule="atLeast"/>
        <w:rPr>
          <w:rFonts w:hint="eastAsia" w:ascii="宋体" w:hAnsi="宋体" w:eastAsia="宋体" w:cs="宋体"/>
          <w:color w:val="auto"/>
          <w:sz w:val="24"/>
        </w:rPr>
      </w:pPr>
    </w:p>
    <w:p w14:paraId="2DFB8337">
      <w:pPr>
        <w:pStyle w:val="48"/>
        <w:spacing w:line="380" w:lineRule="atLeast"/>
        <w:rPr>
          <w:rFonts w:hint="eastAsia" w:ascii="宋体" w:hAnsi="宋体" w:eastAsia="宋体" w:cs="宋体"/>
          <w:color w:val="auto"/>
          <w:sz w:val="24"/>
        </w:rPr>
      </w:pPr>
    </w:p>
    <w:p w14:paraId="1E885746">
      <w:pPr>
        <w:pStyle w:val="48"/>
        <w:spacing w:line="380" w:lineRule="atLeast"/>
        <w:rPr>
          <w:rFonts w:hint="eastAsia" w:ascii="宋体" w:hAnsi="宋体" w:eastAsia="宋体" w:cs="宋体"/>
          <w:color w:val="auto"/>
          <w:sz w:val="24"/>
        </w:rPr>
      </w:pPr>
    </w:p>
    <w:p w14:paraId="285CA17F">
      <w:pPr>
        <w:pStyle w:val="48"/>
        <w:spacing w:line="380" w:lineRule="atLeast"/>
        <w:rPr>
          <w:rFonts w:hint="eastAsia" w:ascii="宋体" w:hAnsi="宋体" w:eastAsia="宋体" w:cs="宋体"/>
          <w:color w:val="auto"/>
          <w:sz w:val="24"/>
        </w:rPr>
      </w:pPr>
    </w:p>
    <w:p w14:paraId="3139B623">
      <w:pPr>
        <w:pStyle w:val="48"/>
        <w:spacing w:line="380" w:lineRule="atLeast"/>
        <w:rPr>
          <w:rFonts w:hint="eastAsia" w:ascii="宋体" w:hAnsi="宋体" w:eastAsia="宋体" w:cs="宋体"/>
          <w:color w:val="auto"/>
          <w:sz w:val="24"/>
        </w:rPr>
      </w:pPr>
    </w:p>
    <w:p w14:paraId="123FB439">
      <w:pPr>
        <w:pStyle w:val="48"/>
        <w:spacing w:line="380" w:lineRule="atLeast"/>
        <w:rPr>
          <w:rFonts w:hint="eastAsia" w:ascii="宋体" w:hAnsi="宋体" w:eastAsia="宋体" w:cs="宋体"/>
          <w:color w:val="auto"/>
          <w:sz w:val="24"/>
        </w:rPr>
      </w:pPr>
    </w:p>
    <w:p w14:paraId="6ED32001">
      <w:pPr>
        <w:pStyle w:val="48"/>
        <w:spacing w:line="380" w:lineRule="atLeast"/>
        <w:rPr>
          <w:rFonts w:hint="eastAsia" w:ascii="宋体" w:hAnsi="宋体" w:eastAsia="宋体" w:cs="宋体"/>
          <w:color w:val="auto"/>
          <w:sz w:val="24"/>
        </w:rPr>
      </w:pPr>
    </w:p>
    <w:p w14:paraId="47F8DE23">
      <w:pPr>
        <w:pStyle w:val="48"/>
        <w:spacing w:line="380" w:lineRule="atLeast"/>
        <w:rPr>
          <w:rFonts w:hint="eastAsia" w:ascii="宋体" w:hAnsi="宋体" w:eastAsia="宋体" w:cs="宋体"/>
          <w:color w:val="auto"/>
          <w:sz w:val="24"/>
        </w:rPr>
      </w:pPr>
    </w:p>
    <w:p w14:paraId="2A9B8636">
      <w:pPr>
        <w:pStyle w:val="48"/>
        <w:spacing w:line="380" w:lineRule="atLeast"/>
        <w:rPr>
          <w:rFonts w:hint="eastAsia" w:ascii="宋体" w:hAnsi="宋体" w:eastAsia="宋体" w:cs="宋体"/>
          <w:color w:val="auto"/>
          <w:sz w:val="24"/>
        </w:rPr>
      </w:pPr>
    </w:p>
    <w:p w14:paraId="721B1542">
      <w:pPr>
        <w:pStyle w:val="48"/>
        <w:spacing w:line="380" w:lineRule="atLeast"/>
        <w:rPr>
          <w:rFonts w:hint="eastAsia" w:ascii="宋体" w:hAnsi="宋体" w:eastAsia="宋体" w:cs="宋体"/>
          <w:color w:val="auto"/>
          <w:sz w:val="24"/>
        </w:rPr>
      </w:pPr>
    </w:p>
    <w:p w14:paraId="12A39F4D">
      <w:pPr>
        <w:pStyle w:val="48"/>
        <w:spacing w:line="380" w:lineRule="atLeast"/>
        <w:rPr>
          <w:rFonts w:hint="eastAsia" w:ascii="宋体" w:hAnsi="宋体" w:eastAsia="宋体" w:cs="宋体"/>
          <w:color w:val="auto"/>
          <w:sz w:val="24"/>
        </w:rPr>
      </w:pPr>
    </w:p>
    <w:p w14:paraId="1F47478D">
      <w:pPr>
        <w:pStyle w:val="48"/>
        <w:spacing w:line="380" w:lineRule="atLeast"/>
        <w:rPr>
          <w:rFonts w:hint="eastAsia" w:ascii="宋体" w:hAnsi="宋体" w:eastAsia="宋体" w:cs="宋体"/>
          <w:color w:val="auto"/>
          <w:sz w:val="24"/>
        </w:rPr>
      </w:pPr>
    </w:p>
    <w:p w14:paraId="17C1F987">
      <w:pPr>
        <w:pStyle w:val="48"/>
        <w:spacing w:line="380" w:lineRule="atLeast"/>
        <w:rPr>
          <w:rFonts w:hint="eastAsia" w:ascii="宋体" w:hAnsi="宋体" w:eastAsia="宋体" w:cs="宋体"/>
          <w:color w:val="auto"/>
          <w:sz w:val="24"/>
        </w:rPr>
      </w:pPr>
    </w:p>
    <w:p w14:paraId="38F80CE2">
      <w:pPr>
        <w:pStyle w:val="48"/>
        <w:spacing w:line="380" w:lineRule="atLeast"/>
        <w:rPr>
          <w:rFonts w:hint="eastAsia" w:ascii="宋体" w:hAnsi="宋体" w:eastAsia="宋体" w:cs="宋体"/>
          <w:color w:val="auto"/>
          <w:sz w:val="24"/>
        </w:rPr>
      </w:pPr>
    </w:p>
    <w:p w14:paraId="3C24DCC2">
      <w:pPr>
        <w:pStyle w:val="50"/>
        <w:keepNext/>
        <w:keepLines/>
        <w:spacing w:before="240" w:after="240" w:line="380" w:lineRule="atLeast"/>
        <w:jc w:val="center"/>
        <w:outlineLvl w:val="2"/>
        <w:rPr>
          <w:rFonts w:hint="eastAsia" w:ascii="宋体" w:hAnsi="宋体" w:eastAsia="宋体" w:cs="宋体"/>
          <w:bCs/>
          <w:color w:val="auto"/>
          <w:sz w:val="32"/>
          <w:szCs w:val="32"/>
        </w:rPr>
      </w:pPr>
      <w:bookmarkStart w:id="82" w:name="_Toc111194170"/>
      <w:bookmarkStart w:id="83" w:name="_Toc106802002"/>
      <w:bookmarkStart w:id="84" w:name="_Toc148522351"/>
      <w:bookmarkStart w:id="85" w:name="_Toc106189612"/>
      <w:bookmarkStart w:id="86" w:name="_Toc90284935"/>
      <w:r>
        <w:rPr>
          <w:rFonts w:hint="eastAsia" w:ascii="宋体" w:hAnsi="宋体" w:eastAsia="宋体" w:cs="宋体"/>
          <w:bCs/>
          <w:color w:val="auto"/>
          <w:sz w:val="32"/>
          <w:szCs w:val="32"/>
        </w:rPr>
        <w:t>项目专用合同条款</w:t>
      </w:r>
      <w:bookmarkEnd w:id="82"/>
      <w:bookmarkEnd w:id="83"/>
      <w:bookmarkEnd w:id="84"/>
      <w:bookmarkEnd w:id="85"/>
      <w:bookmarkEnd w:id="86"/>
    </w:p>
    <w:p w14:paraId="7871161B">
      <w:pPr>
        <w:pStyle w:val="50"/>
        <w:rPr>
          <w:rFonts w:hint="eastAsia" w:ascii="宋体" w:hAnsi="宋体" w:eastAsia="宋体" w:cs="宋体"/>
          <w:color w:val="auto"/>
        </w:rPr>
      </w:pPr>
    </w:p>
    <w:p w14:paraId="1CF9EA94">
      <w:pPr>
        <w:pStyle w:val="50"/>
        <w:snapToGrid w:val="0"/>
        <w:spacing w:line="400" w:lineRule="atLeast"/>
        <w:ind w:left="660" w:hanging="660" w:hangingChars="275"/>
        <w:rPr>
          <w:rFonts w:hint="eastAsia" w:ascii="宋体" w:hAnsi="宋体" w:eastAsia="宋体" w:cs="宋体"/>
          <w:color w:val="auto"/>
          <w:sz w:val="24"/>
        </w:rPr>
      </w:pPr>
      <w:r>
        <w:rPr>
          <w:rFonts w:hint="eastAsia" w:ascii="宋体" w:hAnsi="宋体" w:eastAsia="宋体" w:cs="宋体"/>
          <w:color w:val="auto"/>
          <w:sz w:val="24"/>
        </w:rPr>
        <w:t>说明：本部分所列的项目专用合同条款是对“公路工程专用合同条款”中规定必须在项目专用合同条款中明确的内容的集中，招标人编制的“项目专用合同条款”不限于本部分所列内容。</w:t>
      </w:r>
    </w:p>
    <w:p w14:paraId="3C47FF6E">
      <w:pPr>
        <w:pStyle w:val="49"/>
        <w:keepNext/>
        <w:keepLines/>
        <w:spacing w:before="120" w:beforeLines="50" w:line="360" w:lineRule="auto"/>
        <w:ind w:firstLine="480" w:firstLineChars="200"/>
        <w:outlineLvl w:val="0"/>
        <w:rPr>
          <w:rFonts w:hint="eastAsia" w:ascii="宋体" w:hAnsi="宋体" w:eastAsia="宋体" w:cs="宋体"/>
          <w:color w:val="auto"/>
          <w:sz w:val="24"/>
          <w:lang w:eastAsia="zh-CN"/>
        </w:rPr>
      </w:pPr>
      <w:bookmarkStart w:id="87" w:name="_Toc106189613"/>
      <w:bookmarkStart w:id="88" w:name="_Toc148522352"/>
      <w:bookmarkStart w:id="89" w:name="_Toc106802003"/>
      <w:bookmarkStart w:id="90" w:name="_Toc90284936"/>
      <w:bookmarkStart w:id="91" w:name="_Toc89944552"/>
      <w:bookmarkStart w:id="92" w:name="_Toc78021386"/>
      <w:bookmarkStart w:id="93" w:name="_Toc111194171"/>
      <w:bookmarkStart w:id="94" w:name="_Toc85465394"/>
      <w:bookmarkStart w:id="95" w:name="_Toc502667723"/>
      <w:bookmarkStart w:id="96" w:name="_Toc89940269"/>
      <w:r>
        <w:rPr>
          <w:rFonts w:hint="eastAsia" w:ascii="宋体" w:hAnsi="宋体" w:eastAsia="宋体" w:cs="宋体"/>
          <w:color w:val="auto"/>
          <w:sz w:val="24"/>
        </w:rPr>
        <w:t>1.1.2.2发包人：</w:t>
      </w:r>
      <w:bookmarkEnd w:id="87"/>
      <w:bookmarkEnd w:id="88"/>
      <w:bookmarkEnd w:id="89"/>
      <w:bookmarkEnd w:id="90"/>
      <w:bookmarkEnd w:id="91"/>
      <w:bookmarkEnd w:id="92"/>
      <w:bookmarkEnd w:id="93"/>
      <w:bookmarkEnd w:id="94"/>
      <w:bookmarkEnd w:id="95"/>
      <w:bookmarkEnd w:id="96"/>
      <w:r>
        <w:rPr>
          <w:rFonts w:hint="eastAsia" w:ascii="宋体" w:hAnsi="宋体" w:cs="宋体"/>
          <w:i w:val="0"/>
          <w:iCs w:val="0"/>
          <w:caps w:val="0"/>
          <w:color w:val="333333"/>
          <w:spacing w:val="0"/>
          <w:sz w:val="24"/>
          <w:szCs w:val="24"/>
          <w:shd w:val="clear" w:fill="FFFFFF"/>
          <w:vertAlign w:val="baseline"/>
          <w:lang w:eastAsia="zh-CN"/>
        </w:rPr>
        <w:t>吴起县周湾镇人民政府</w:t>
      </w:r>
    </w:p>
    <w:p w14:paraId="601363B1">
      <w:pPr>
        <w:pStyle w:val="49"/>
        <w:spacing w:line="360" w:lineRule="auto"/>
        <w:rPr>
          <w:rFonts w:hint="eastAsia" w:ascii="宋体" w:hAnsi="宋体" w:eastAsia="宋体" w:cs="宋体"/>
          <w:color w:val="auto"/>
          <w:sz w:val="24"/>
        </w:rPr>
      </w:pPr>
      <w:r>
        <w:rPr>
          <w:rFonts w:hint="eastAsia" w:ascii="宋体" w:hAnsi="宋体" w:eastAsia="宋体" w:cs="宋体"/>
          <w:color w:val="auto"/>
          <w:sz w:val="24"/>
        </w:rPr>
        <w:t>1.7联络</w:t>
      </w:r>
    </w:p>
    <w:p w14:paraId="5BF51573">
      <w:pPr>
        <w:pStyle w:val="4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1.7.2联络送达的期限：联络签发后3天内。</w:t>
      </w:r>
    </w:p>
    <w:p w14:paraId="3F9880BC">
      <w:pPr>
        <w:pStyle w:val="49"/>
        <w:spacing w:line="360" w:lineRule="auto"/>
        <w:rPr>
          <w:rFonts w:hint="eastAsia" w:ascii="宋体" w:hAnsi="宋体" w:eastAsia="宋体" w:cs="宋体"/>
          <w:color w:val="auto"/>
          <w:sz w:val="24"/>
        </w:rPr>
      </w:pPr>
      <w:r>
        <w:rPr>
          <w:rFonts w:hint="eastAsia" w:ascii="宋体" w:hAnsi="宋体" w:eastAsia="宋体" w:cs="宋体"/>
          <w:color w:val="auto"/>
          <w:sz w:val="24"/>
        </w:rPr>
        <w:t>3.监理人</w:t>
      </w:r>
    </w:p>
    <w:p w14:paraId="5700C833">
      <w:pPr>
        <w:pStyle w:val="4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本款补充第3.4.6项：发出的各项监理指令必须有回执。</w:t>
      </w:r>
    </w:p>
    <w:p w14:paraId="037E008B">
      <w:pPr>
        <w:pStyle w:val="49"/>
        <w:spacing w:line="440" w:lineRule="exact"/>
        <w:rPr>
          <w:rFonts w:hint="eastAsia" w:ascii="宋体" w:hAnsi="宋体" w:eastAsia="宋体" w:cs="宋体"/>
          <w:color w:val="auto"/>
          <w:sz w:val="24"/>
        </w:rPr>
      </w:pPr>
      <w:r>
        <w:rPr>
          <w:rFonts w:hint="eastAsia" w:ascii="宋体" w:hAnsi="宋体" w:eastAsia="宋体" w:cs="宋体"/>
          <w:color w:val="auto"/>
          <w:sz w:val="24"/>
        </w:rPr>
        <w:t>4.承包人</w:t>
      </w:r>
    </w:p>
    <w:p w14:paraId="67D97345">
      <w:pPr>
        <w:pStyle w:val="49"/>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4.1.10本项细化为：</w:t>
      </w:r>
    </w:p>
    <w:p w14:paraId="59C5F051">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及其上级有关单位对项目审计，涉及到本合同段时，承包人应积极配合，不得拒绝、隐藏和提供虚假资料，不得阻挠审计。对审计的结果和决定应予以执行。按照规定，本项目竣工决算审计没有完成，不结清尾留工程款。</w:t>
      </w:r>
    </w:p>
    <w:p w14:paraId="6841097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及监理在施工过程中，对于发现的设计与实际不符、方案不合理的问题，应及时向项目法人提出优化完善的意见和建议。如因未及时发现和提出而继续施工造成质量问题，要承担相应责任并按照陕西省交通厅及招标人有关质量及信誉评价规定处罚。</w:t>
      </w:r>
    </w:p>
    <w:p w14:paraId="1518D16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承包人应尊重项目所在地的乡规民俗，处理好与地方政府、人民群众的关系，积极处理与建设环境有关的纠纷，与发包人共同维护和保障建设施工环境。如出现承包人自身原因引起的建设环境问题，应视为承包人违约，按22.1.2项向承包人处以违约罚金。</w:t>
      </w:r>
    </w:p>
    <w:p w14:paraId="0A6DACF8">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（10）承包人应严格遵守发包人为本项目顺利实施而制定的一系列管理办法，否则视为承包人违约，按22.1.2项向承包人处以违约罚金。</w:t>
      </w:r>
    </w:p>
    <w:p w14:paraId="33706EED">
      <w:pPr>
        <w:pStyle w:val="49"/>
        <w:spacing w:line="440" w:lineRule="exact"/>
        <w:rPr>
          <w:rFonts w:hint="eastAsia" w:ascii="宋体" w:hAnsi="宋体" w:eastAsia="宋体" w:cs="宋体"/>
          <w:color w:val="auto"/>
          <w:sz w:val="24"/>
        </w:rPr>
      </w:pPr>
      <w:r>
        <w:rPr>
          <w:rFonts w:hint="eastAsia" w:ascii="宋体" w:hAnsi="宋体" w:eastAsia="宋体" w:cs="宋体"/>
          <w:color w:val="auto"/>
          <w:sz w:val="24"/>
        </w:rPr>
        <w:t>4.6承包人人员的管理</w:t>
      </w:r>
    </w:p>
    <w:p w14:paraId="55AAE60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本款补充4.6.6、4.6.7项：</w:t>
      </w:r>
    </w:p>
    <w:p w14:paraId="4F420515">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4.6.6 若承包人确实无法按4.6.1提供人员到位或需替换，由承包人提出申请，监理人审查，发包人批准后，用同等或更高资质和经历的人员替换，发包人可按以下标准处以违约偿金；</w:t>
      </w:r>
    </w:p>
    <w:p w14:paraId="47BB028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 项目经理：每更换1人/次，处以5万元人民币违约金，若未经批准擅自更换，每更换1人次，处以10万元人民币违约金，并重新更换为符合要求的同等或更高资质和经历的人员。</w:t>
      </w:r>
    </w:p>
    <w:p w14:paraId="66237C3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②项目总工，每更换1人/次，处以5万元人民币违约金，若未经批准擅自更换，每更换1人/次，处以10万元人民币违约金，并重新更换为符合要求的同等或更高资质和经历的人员。</w:t>
      </w:r>
    </w:p>
    <w:p w14:paraId="675DBA4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③其他主要人员每更换1人/次，处以2万元违约金，若未经批准擅自更换，每更换1人/次，处以5万元违约金，并重新更换为符合要求的同等资质和经历的人员。</w:t>
      </w:r>
    </w:p>
    <w:p w14:paraId="4A65F9E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如若在监理人要求时间内新更换的人员未到场，则视为无故不到岗，按5000元/天·人标准向发包人支付违约偿金。</w:t>
      </w:r>
    </w:p>
    <w:p w14:paraId="08A04DC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如果多次更换的项目经理、总工达不到业主要求，则对承包人进行违约处罚，直至清退出场。</w:t>
      </w:r>
    </w:p>
    <w:p w14:paraId="15F429F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4.6.7 在工程施工期间，为加强管理和认真履行合同义务，承包人应按4.6.1提供人员委派项目经理和总工，应保证及时到位并常驻现场进行对本合同工程的管理，并保持其岗位的相对稳定；</w:t>
      </w:r>
    </w:p>
    <w:p w14:paraId="143F8C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项目经理和总工无特殊情况每月坚守工地时间不少于25天，未到场或缺勤按5000元/天·人标准发包人向支付违约偿金。项目经理和总工需要离开工地时必须向发包人请假，获批准后方可离开工地，否则按缺勤处理，项目经理和项目总工不得兼任其他工程的任何职务。</w:t>
      </w:r>
    </w:p>
    <w:p w14:paraId="45C15E9D">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（2）其他主要人员每月坚守工地时间不少于25天，未到场或缺勤按1500元/天·人标准向发包人支付违约偿金。</w:t>
      </w:r>
    </w:p>
    <w:p w14:paraId="287A091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如果需要更换投标书附表所报项目经理或项目总工名单时，应事先取得发包人的同意，但仍将按第22.1款视为承包人违约。</w:t>
      </w:r>
    </w:p>
    <w:p w14:paraId="4CBBA30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发包人认为项目经理或项目总工的工作能力和业务水平不称职，需要撤换时，承包人应在接到通知后，尽快按合同要求委派合同文件中备选项目经理或项目总工，并对新委派的项目经理或项目总工进行为期一个月的考察，合格后方可上岗，否则重新委派，在此期间原任项目经理或项目总工不得离开工地。</w:t>
      </w:r>
    </w:p>
    <w:p w14:paraId="17582CC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10.进度计划</w:t>
      </w:r>
    </w:p>
    <w:p w14:paraId="2498106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 合同进度计划</w:t>
      </w:r>
    </w:p>
    <w:p w14:paraId="4AA033B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编制施工方案的内容：1）施工的基本情况；2）施工内容；3）详细的施工方法和工作程序；4）施工管理机构及人员分工；5）计划进度；6）投入的材料、设备、劳力的安排；7）质量保证措施；8）安全保证措施；9）环保措施；10）文明施工；11）标准化施工措施。</w:t>
      </w:r>
    </w:p>
    <w:p w14:paraId="7C1FB19D">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报送施工进度计划和施工方案的期限：承包人应在确保合同工期的前提下，每一个月对进度计划进行一次修订，并应在前一个进度计划的最后一个月20日前，将下个月的进度计划提交给监理人。修改后的工程进度计划仍应保证本合同工程在合同规定的工期内完成。</w:t>
      </w:r>
    </w:p>
    <w:p w14:paraId="34A3238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同时，根据项目的总体及年度计划安排，承包人应于每月20日提交次月工程形象进度和完成工作量计划，经批准后，作为考核承包人月进度计划的依据。否则视违约处理。</w:t>
      </w:r>
    </w:p>
    <w:p w14:paraId="7D849A6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监理人批复施工进度计划和施工方案的期限：收到进度计划书7天内。</w:t>
      </w:r>
    </w:p>
    <w:p w14:paraId="703ED5F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异常恶劣的气候条件</w:t>
      </w:r>
    </w:p>
    <w:p w14:paraId="20C70B8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异常恶劣的气候条件的范围：不适用。</w:t>
      </w:r>
    </w:p>
    <w:p w14:paraId="5E614543">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15.变更</w:t>
      </w:r>
    </w:p>
    <w:p w14:paraId="3DA44286">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15.3变更程序</w:t>
      </w:r>
    </w:p>
    <w:p w14:paraId="7A2FB7C7">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15.3.3变更指示</w:t>
      </w:r>
    </w:p>
    <w:p w14:paraId="3B4A2F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第（1）项细化为：</w:t>
      </w:r>
    </w:p>
    <w:p w14:paraId="56BCDC0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变更指示只能由发包人或监理人发出。</w:t>
      </w:r>
    </w:p>
    <w:p w14:paraId="68256688">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15.4变更的估价原则：</w:t>
      </w:r>
    </w:p>
    <w:p w14:paraId="6B22A323">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第15.4.3项增加：有不平衡报价的项目，不能按此原则确定单价。</w:t>
      </w:r>
    </w:p>
    <w:p w14:paraId="16CF4BA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第15.4.4项细化为：</w:t>
      </w:r>
    </w:p>
    <w:p w14:paraId="4FD5D435">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工程量清单中无相似或相近项目，无法确定单价时，依据交通运输部现行预算编制办法，按陕西省交通运输厅定额站当期信息价为依据，经监理人审查后报发包人批准。</w:t>
      </w:r>
    </w:p>
    <w:p w14:paraId="1E7AEBA7">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16.价格调整</w:t>
      </w:r>
    </w:p>
    <w:p w14:paraId="4318001C">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物价波动引起的价格调整</w:t>
      </w:r>
    </w:p>
    <w:p w14:paraId="39BDD96B">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执行此条：（2）在合同执行期间（包括工期拖延期间），由于人工、材料和设备价格的上涨而引起工程施工成本增加的风险由承包人自行承担，合同价格不会因此而调整。</w:t>
      </w:r>
    </w:p>
    <w:p w14:paraId="7993D461">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17.1计量</w:t>
      </w:r>
    </w:p>
    <w:p w14:paraId="13BB5923">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17.1.5本项目工程量清单中总额价子目的支付原则和支付进度：承包人在每月25日前，对当月已完成的工程进行计量，并向监理人提交进度付款申请单、分项计量的支持性资料，以及所达到工程形象目标的工程量和计量资料，由监理人审核。审核完成后支付本月完成工程量。</w:t>
      </w:r>
    </w:p>
    <w:p w14:paraId="42473A3D">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17.2.1工程材料预付款：/。</w:t>
      </w:r>
    </w:p>
    <w:p w14:paraId="59DCBFEA">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17.3工程进度付款</w:t>
      </w:r>
    </w:p>
    <w:p w14:paraId="33938962">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17.3.5农民工工资保证金的缴存时间：签订合同前</w:t>
      </w:r>
    </w:p>
    <w:p w14:paraId="036D7CAF">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农民工工资保证金的缴存金额：签约合同价的1%,单个项目缴存金额不超过500万元。</w:t>
      </w:r>
    </w:p>
    <w:p w14:paraId="5D1E5AE8">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农民工工资保证金的扣留条件：施工企业未按要求发放农民工工资。</w:t>
      </w:r>
    </w:p>
    <w:p w14:paraId="375BD0B4">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农民工工资保证金的返还时间：签发交工验收证书起1年，建议为：按照相关要求返还。</w:t>
      </w:r>
    </w:p>
    <w:p w14:paraId="5F30929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22.1承包人违约</w:t>
      </w:r>
    </w:p>
    <w:p w14:paraId="11CB690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22.1.2对承包人违约的处理</w:t>
      </w:r>
    </w:p>
    <w:p w14:paraId="171CECB6">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59FE330C">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承包人发生第22.1.1项约定的违约情况时，无论发包人是否解除合同，发包人均有权向承包人处以项目专用合同条款中规定的违约金，并由发包人将其违约行为上报省级交通主管部门，作为不良记录纳入公路建设市场信用信息管理系统。</w:t>
      </w:r>
    </w:p>
    <w:p w14:paraId="10F7750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发包人在向承包人发出书面通知的14天内未见纠正后，发包人将按以下规定向承包人处以违约金：承包人不按合同约定按时进场施工与试验检测设备，施工机械不依据合同承诺按时进场，发包方将根据对工程的影响程度，最高处以50万元人民币违约金；主要试验检测设备不依据合同承诺按时到场，发包人将根据对工程的影响程度，最高处以30万元人民币违约金。</w:t>
      </w:r>
    </w:p>
    <w:p w14:paraId="73609E0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（13）当承包人发生第22.1.1项约定的违约情况时，发包人有权向承包人处以违约金，具体约定如下：根据具体情况处以最高签约合同价的5%违约金。 </w:t>
      </w:r>
    </w:p>
    <w:p w14:paraId="0B3D5A81">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22.2</w:t>
      </w:r>
    </w:p>
    <w:p w14:paraId="2425AC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23.索赔</w:t>
      </w:r>
    </w:p>
    <w:p w14:paraId="14C6BB5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承包人索赔的提出</w:t>
      </w:r>
    </w:p>
    <w:p w14:paraId="668F564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第（3）项细化为：</w:t>
      </w:r>
    </w:p>
    <w:p w14:paraId="7067C77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索赔事件具有连续性影响的，承包人应每隔7天向监理人提交延续索赔的通知，说明连续影响的实际情况和记录，列出累计的追加付款金额和（或）工期延长天数。</w:t>
      </w:r>
    </w:p>
    <w:p w14:paraId="78939A7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24.争议的解决</w:t>
      </w:r>
    </w:p>
    <w:p w14:paraId="18638FD7">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 争议的解决方式</w:t>
      </w:r>
    </w:p>
    <w:p w14:paraId="2C180195">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发包人和承包人在履行合同中发生争议的，可以友好协商。友好协商不成，向延安市仲裁委员会提起仲裁。</w:t>
      </w:r>
    </w:p>
    <w:p w14:paraId="79BAD5F6">
      <w:pPr>
        <w:pStyle w:val="49"/>
        <w:spacing w:line="42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增加25款 不平衡报价的修正</w:t>
      </w:r>
    </w:p>
    <w:p w14:paraId="6C427410">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若评标委员会认为投标人投标文件中已标价的工程量清单(经算术性错误修正后，如果有)存在严重不平衡报价，评标委员会将通过招标人进行澄清，投标人须合理说明，否则作废标处理。</w:t>
      </w:r>
    </w:p>
    <w:p w14:paraId="2496F720">
      <w:pPr>
        <w:pStyle w:val="51"/>
        <w:spacing w:line="380" w:lineRule="atLeast"/>
        <w:rPr>
          <w:rFonts w:hint="eastAsia" w:ascii="宋体" w:hAnsi="宋体" w:eastAsia="宋体" w:cs="宋体"/>
          <w:color w:val="auto"/>
          <w:sz w:val="24"/>
        </w:rPr>
      </w:pPr>
      <w:r>
        <w:rPr>
          <w:rFonts w:hint="eastAsia" w:ascii="宋体" w:hAnsi="宋体" w:eastAsia="宋体" w:cs="宋体"/>
          <w:color w:val="auto"/>
          <w:sz w:val="24"/>
        </w:rPr>
        <w:t>………</w:t>
      </w:r>
    </w:p>
    <w:p w14:paraId="5751DF68">
      <w:pPr>
        <w:pStyle w:val="50"/>
        <w:spacing w:line="380" w:lineRule="atLeast"/>
        <w:rPr>
          <w:rFonts w:hint="eastAsia" w:ascii="宋体" w:hAnsi="宋体" w:eastAsia="宋体" w:cs="宋体"/>
          <w:color w:val="auto"/>
          <w:sz w:val="20"/>
          <w:szCs w:val="20"/>
        </w:rPr>
      </w:pPr>
    </w:p>
    <w:p w14:paraId="1C74CC11">
      <w:pPr>
        <w:pStyle w:val="50"/>
        <w:spacing w:line="380" w:lineRule="atLeast"/>
        <w:rPr>
          <w:rFonts w:hint="eastAsia" w:ascii="宋体" w:hAnsi="宋体" w:eastAsia="宋体" w:cs="宋体"/>
          <w:color w:val="auto"/>
          <w:sz w:val="20"/>
          <w:szCs w:val="20"/>
        </w:rPr>
      </w:pPr>
    </w:p>
    <w:p w14:paraId="07183A5D">
      <w:pPr>
        <w:pStyle w:val="48"/>
        <w:spacing w:line="380" w:lineRule="atLeast"/>
        <w:rPr>
          <w:rFonts w:hint="eastAsia" w:ascii="宋体" w:hAnsi="宋体" w:eastAsia="宋体" w:cs="宋体"/>
          <w:color w:val="auto"/>
          <w:sz w:val="20"/>
          <w:szCs w:val="20"/>
        </w:rPr>
      </w:pPr>
    </w:p>
    <w:p w14:paraId="33843C35">
      <w:pPr>
        <w:pStyle w:val="48"/>
        <w:keepNext/>
        <w:keepLines/>
        <w:spacing w:before="260" w:after="260" w:line="480" w:lineRule="exact"/>
        <w:jc w:val="center"/>
        <w:outlineLvl w:val="1"/>
        <w:rPr>
          <w:rFonts w:hint="eastAsia" w:ascii="宋体" w:hAnsi="宋体" w:eastAsia="宋体" w:cs="宋体"/>
          <w:bCs/>
          <w:iCs/>
          <w:color w:val="auto"/>
          <w:sz w:val="32"/>
          <w:szCs w:val="32"/>
        </w:rPr>
      </w:pPr>
      <w:bookmarkStart w:id="97" w:name="_Toc108171861"/>
      <w:r>
        <w:rPr>
          <w:rFonts w:hint="eastAsia" w:ascii="宋体" w:hAnsi="宋体" w:eastAsia="宋体" w:cs="宋体"/>
          <w:bCs/>
          <w:iCs/>
          <w:color w:val="auto"/>
          <w:sz w:val="32"/>
          <w:szCs w:val="32"/>
        </w:rPr>
        <w:t>第三节  合同附件格式</w:t>
      </w:r>
      <w:bookmarkEnd w:id="97"/>
    </w:p>
    <w:p w14:paraId="01332911">
      <w:pPr>
        <w:pStyle w:val="48"/>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14:paraId="77E5B23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0"/>
          <w:szCs w:val="20"/>
        </w:rPr>
        <w:br w:type="page"/>
      </w:r>
      <w:bookmarkStart w:id="98" w:name="_Toc108171862"/>
      <w:r>
        <w:rPr>
          <w:rFonts w:hint="eastAsia" w:ascii="宋体" w:hAnsi="宋体" w:eastAsia="宋体" w:cs="宋体"/>
          <w:bCs/>
          <w:color w:val="auto"/>
          <w:kern w:val="0"/>
          <w:sz w:val="24"/>
          <w:szCs w:val="24"/>
        </w:rPr>
        <w:t>附件一：合同协议书</w:t>
      </w:r>
      <w:bookmarkEnd w:id="98"/>
    </w:p>
    <w:p w14:paraId="76E70222">
      <w:pPr>
        <w:pStyle w:val="48"/>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 同 协 议 书</w:t>
      </w:r>
    </w:p>
    <w:p w14:paraId="3F22AAF9">
      <w:pPr>
        <w:pStyle w:val="48"/>
        <w:spacing w:line="440" w:lineRule="exact"/>
        <w:ind w:firstLine="480" w:firstLineChars="200"/>
        <w:rPr>
          <w:rFonts w:hint="eastAsia" w:ascii="宋体" w:hAnsi="宋体" w:eastAsia="宋体" w:cs="宋体"/>
          <w:color w:val="auto"/>
          <w:sz w:val="24"/>
          <w:u w:val="single"/>
        </w:rPr>
      </w:pPr>
    </w:p>
    <w:p w14:paraId="0963AA91">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（发包人名称，以下简称“发包人”）为实施</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（项目名称），已接受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（承包人名称，以下简称“承包人”）对该项目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标段施工的投标。发包人和承包人共同达成如下协议。</w:t>
      </w:r>
    </w:p>
    <w:p w14:paraId="60D6265D">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 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标段由K</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至K</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，长约</w:t>
      </w:r>
      <w:r>
        <w:rPr>
          <w:rFonts w:hint="eastAsia" w:ascii="宋体" w:hAnsi="宋体" w:eastAsia="宋体" w:cs="宋体"/>
          <w:color w:val="auto"/>
          <w:sz w:val="24"/>
          <w:u w:val="single"/>
        </w:rPr>
        <w:t xml:space="preserve">   </w:t>
      </w:r>
      <w:r>
        <w:rPr>
          <w:rFonts w:hint="eastAsia" w:ascii="宋体" w:hAnsi="宋体" w:eastAsia="宋体" w:cs="宋体"/>
          <w:color w:val="auto"/>
          <w:sz w:val="24"/>
        </w:rPr>
        <w:t>km，公路等级为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，设计时速为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路面，有</w:t>
      </w:r>
      <w:r>
        <w:rPr>
          <w:rFonts w:hint="eastAsia" w:ascii="宋体" w:hAnsi="宋体" w:eastAsia="宋体" w:cs="宋体"/>
          <w:color w:val="auto"/>
          <w:sz w:val="24"/>
          <w:u w:val="single"/>
        </w:rPr>
        <w:t xml:space="preserve">   </w:t>
      </w:r>
      <w:r>
        <w:rPr>
          <w:rFonts w:hint="eastAsia" w:ascii="宋体" w:hAnsi="宋体" w:eastAsia="宋体" w:cs="宋体"/>
          <w:color w:val="auto"/>
          <w:sz w:val="24"/>
        </w:rPr>
        <w:t>立交</w:t>
      </w:r>
      <w:r>
        <w:rPr>
          <w:rFonts w:hint="eastAsia" w:ascii="宋体" w:hAnsi="宋体" w:eastAsia="宋体" w:cs="宋体"/>
          <w:color w:val="auto"/>
          <w:sz w:val="24"/>
          <w:u w:val="single"/>
        </w:rPr>
        <w:t xml:space="preserve">   </w:t>
      </w:r>
      <w:r>
        <w:rPr>
          <w:rFonts w:hint="eastAsia" w:ascii="宋体" w:hAnsi="宋体" w:eastAsia="宋体" w:cs="宋体"/>
          <w:color w:val="auto"/>
          <w:sz w:val="24"/>
        </w:rPr>
        <w:t>处；特大桥</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m；大中桥</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m；隧道</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m以及其他构造物工程等。</w:t>
      </w:r>
    </w:p>
    <w:p w14:paraId="43093E2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2. 下列文件应视为构成合同文件的组成部分：</w:t>
      </w:r>
    </w:p>
    <w:p w14:paraId="0C066F7F">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（1）本协议书及各种合同附件（含评标期间和合同谈判过程中的澄清文件和补充资料）；</w:t>
      </w:r>
    </w:p>
    <w:p w14:paraId="401C1167">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（2）中标通知书；</w:t>
      </w:r>
    </w:p>
    <w:p w14:paraId="54F7FA8C">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（3）投标函及投标函附录；</w:t>
      </w:r>
    </w:p>
    <w:p w14:paraId="0338EF30">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（4）项目专用合同条款；</w:t>
      </w:r>
    </w:p>
    <w:p w14:paraId="395E2C29">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（5）公路工程专用合同条款；</w:t>
      </w:r>
    </w:p>
    <w:p w14:paraId="6BBDE22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（6）通用合同条款；</w:t>
      </w:r>
    </w:p>
    <w:p w14:paraId="36523881">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（7）工程量清单计量规则；</w:t>
      </w:r>
    </w:p>
    <w:p w14:paraId="6E0A3E92">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（8）技术规范；</w:t>
      </w:r>
    </w:p>
    <w:p w14:paraId="78197EE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（9）图纸；</w:t>
      </w:r>
    </w:p>
    <w:p w14:paraId="41A3E688">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（10）已标价工程量清单；</w:t>
      </w:r>
    </w:p>
    <w:p w14:paraId="5DD7D4A9">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（11）承包人有关人员、设备投入的承诺及投标文件中的施工组织设计；</w:t>
      </w:r>
    </w:p>
    <w:p w14:paraId="7D5CF6A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（12）其他合同文件。</w:t>
      </w:r>
    </w:p>
    <w:p w14:paraId="1E1C3BB1">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上述合同文件互相补充和解释。如果合同文件之间存在矛盾或不一致之处，以上述文件的排列顺序在先者为准。</w:t>
      </w:r>
    </w:p>
    <w:p w14:paraId="0C71B13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3. 根据工程量清单所列的预计数量和单价或总额价计算的签约合同价：人民币（大写）________元（¥________）。</w:t>
      </w:r>
    </w:p>
    <w:p w14:paraId="4087BB9C">
      <w:pPr>
        <w:pStyle w:val="48"/>
        <w:spacing w:line="440" w:lineRule="exact"/>
        <w:ind w:right="34" w:rightChars="16" w:firstLine="616" w:firstLineChars="257"/>
        <w:rPr>
          <w:rFonts w:hint="eastAsia" w:ascii="宋体" w:hAnsi="宋体" w:eastAsia="宋体" w:cs="宋体"/>
          <w:color w:val="auto"/>
          <w:sz w:val="24"/>
          <w:u w:val="single"/>
        </w:rPr>
      </w:pPr>
      <w:r>
        <w:rPr>
          <w:rFonts w:hint="eastAsia" w:ascii="宋体" w:hAnsi="宋体" w:eastAsia="宋体" w:cs="宋体"/>
          <w:color w:val="auto"/>
          <w:sz w:val="24"/>
        </w:rPr>
        <w:t>4. 承包人项目经理：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。承包人项目总工：</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B0E0E6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5. 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标准。工程安全目标：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8412B9B">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6. 承包人承诺按合同约定承担工程的实施、完成及缺陷修复。</w:t>
      </w:r>
    </w:p>
    <w:p w14:paraId="0DD36FA5">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7. 发包人承诺按合同约定的条件、时间和方式向承包人支付合同价款。</w:t>
      </w:r>
    </w:p>
    <w:p w14:paraId="0F48FDD6">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8. 承包人应按照监理人指示开工，工期为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7135340D">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9. 本协议书在承包人提供履约保证金后，由双方法定代表人或其委托代理人签署并加盖单位章后生效。全部工程完工后经交工验收合格、缺陷责任期满签发缺陷责任终止证书后失效。</w:t>
      </w:r>
    </w:p>
    <w:p w14:paraId="73E02B70">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10. 本协议书正本二份、副本____份，合同双方各执正本一份，副本____份，当正本与副本的内容不一致时，以正本为准。</w:t>
      </w:r>
    </w:p>
    <w:p w14:paraId="1604BBF0">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11. 合同未尽事宜，双方另行签订补充协议。补充协议是合同的组成部分。</w:t>
      </w:r>
    </w:p>
    <w:p w14:paraId="6CC29F14">
      <w:pPr>
        <w:pStyle w:val="48"/>
        <w:spacing w:line="440" w:lineRule="exact"/>
        <w:rPr>
          <w:rFonts w:hint="eastAsia" w:ascii="宋体" w:hAnsi="宋体" w:eastAsia="宋体" w:cs="宋体"/>
          <w:color w:val="auto"/>
          <w:sz w:val="24"/>
        </w:rPr>
      </w:pPr>
    </w:p>
    <w:p w14:paraId="500ED39C">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2FC9F5F6">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08B6CB35">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DD1AC9E">
      <w:pPr>
        <w:pStyle w:val="48"/>
        <w:spacing w:line="440" w:lineRule="exact"/>
        <w:rPr>
          <w:rFonts w:hint="eastAsia" w:ascii="宋体" w:hAnsi="宋体" w:eastAsia="宋体" w:cs="宋体"/>
          <w:color w:val="auto"/>
          <w:sz w:val="24"/>
        </w:rPr>
      </w:pPr>
    </w:p>
    <w:p w14:paraId="12DC2F5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99" w:name="_Toc108171863"/>
      <w:r>
        <w:rPr>
          <w:rFonts w:hint="eastAsia" w:ascii="宋体" w:hAnsi="宋体" w:eastAsia="宋体" w:cs="宋体"/>
          <w:bCs/>
          <w:color w:val="auto"/>
          <w:kern w:val="0"/>
          <w:sz w:val="24"/>
          <w:szCs w:val="24"/>
        </w:rPr>
        <w:t>附件二：廉政合同</w:t>
      </w:r>
      <w:bookmarkEnd w:id="99"/>
    </w:p>
    <w:p w14:paraId="5661DC3B">
      <w:pPr>
        <w:pStyle w:val="48"/>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廉 政 合 同</w:t>
      </w:r>
    </w:p>
    <w:p w14:paraId="741E7DB8">
      <w:pPr>
        <w:pStyle w:val="48"/>
        <w:spacing w:line="400" w:lineRule="atLeast"/>
        <w:rPr>
          <w:rFonts w:hint="eastAsia" w:ascii="宋体" w:hAnsi="宋体" w:eastAsia="宋体" w:cs="宋体"/>
          <w:b/>
          <w:color w:val="auto"/>
          <w:spacing w:val="30"/>
          <w:sz w:val="24"/>
        </w:rPr>
      </w:pPr>
    </w:p>
    <w:p w14:paraId="136CA15A">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（项目名称）的项目法人</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（项目法人名称，以下简称“发包人”）与该项目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标段的施工单位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（施工单位名称，以下简称“承包人”），特订立如下合同。</w:t>
      </w:r>
    </w:p>
    <w:p w14:paraId="6BA9EA2C">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 发包人和承包人双方的权利和义务</w:t>
      </w:r>
    </w:p>
    <w:p w14:paraId="539B6B0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（1）严格遵守党的政策规定和国家有关法律法规及交通运输部的有关规定。</w:t>
      </w:r>
    </w:p>
    <w:p w14:paraId="248F82FD">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（2）严格执行</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标段施工合同文件，自觉按合同办事。</w:t>
      </w:r>
    </w:p>
    <w:p w14:paraId="5FBF75D4">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（3）双方的业务活动坚持公开、公正、诚信、透明的原则（法律认定的商业秘密和合同文件另有规定除外），不得损害国家和集体利益，不得违反工程建设管理规章制度。</w:t>
      </w:r>
    </w:p>
    <w:p w14:paraId="75D0AFD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（4）建立健全廉政制度，开展廉政教育，设立廉政告示牌，公布举报电话，监督并认真查处违法违纪行为。</w:t>
      </w:r>
    </w:p>
    <w:p w14:paraId="480E71E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（5）发现对方在业务活动中有违反廉政规定的行为，有及时提醒对方纠正的权利和义务。</w:t>
      </w:r>
    </w:p>
    <w:p w14:paraId="5BEA855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（6）发现对方严重违反本合同义务条款的行为，有向其上级有关部门举报、建议给予处理并要求告知处理结果的权利。</w:t>
      </w:r>
    </w:p>
    <w:p w14:paraId="7D263AF9">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 发包人的义务</w:t>
      </w:r>
    </w:p>
    <w:p w14:paraId="1E1E655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（1）发包人及其工作人员不得索要或接受承包人的礼金、有价证券和贵重物品，不得让承包人报销任何应由发包人或发包人工作人员个人支付的费用等。</w:t>
      </w:r>
    </w:p>
    <w:p w14:paraId="17DCD92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（2）发包人工作人员不得参加承包人安排的超标准宴请和娱乐活动；不得接受承包人提供的通讯工具、交通工具和高档办公用品等。</w:t>
      </w:r>
    </w:p>
    <w:p w14:paraId="385A2F68">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（3）发包人及其工作人员不得要求或者接受承包人为其住房装修、婚丧嫁娶活动、配偶子女的工作安排以及出国出境、旅游等提供方便等。</w:t>
      </w:r>
    </w:p>
    <w:p w14:paraId="0581507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（4）发包人工作人员及其配偶、子女不得从事与发包人工程有关的材料设备供应、工程分包、劳务等经济活动等。</w:t>
      </w:r>
    </w:p>
    <w:p w14:paraId="601C4B41">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（5）发包人及其工作人员不得以任何理由向承包人推荐分包单位或推销材料，不得要求承包人购买合同规定外的材料和设备。</w:t>
      </w:r>
    </w:p>
    <w:p w14:paraId="52944A4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（6）发包人工作人员要秉公办事，不准营私舞弊，不准利用职权从事各种个人有偿中介活动和安排个人施工队伍。</w:t>
      </w:r>
    </w:p>
    <w:p w14:paraId="544F03E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3. 承包人的义务</w:t>
      </w:r>
    </w:p>
    <w:p w14:paraId="648C59D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（1）承包人不得以任何理由向发包人及其工作人员行贿或馈赠礼金、有价证券、贵重礼品。</w:t>
      </w:r>
    </w:p>
    <w:p w14:paraId="3A1D27E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（2）承包人不得以任何名义为发包人及其工作人员报销应由发包人单位或个人支付的任何费用。</w:t>
      </w:r>
    </w:p>
    <w:p w14:paraId="741C517E">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（3）承包人不得以任何理由安排发包人工作人员参加超标准宴请及娱乐活动。</w:t>
      </w:r>
    </w:p>
    <w:p w14:paraId="61F64012">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（4）承包人不得为发包人单位和个人购置或提供通信工具、交通工具和高档办公用品等。</w:t>
      </w:r>
    </w:p>
    <w:p w14:paraId="0746B973">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 违约责任</w:t>
      </w:r>
    </w:p>
    <w:p w14:paraId="6810C321">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（1）发包人及其工作人员违反本合同第1、2条，按管理权限，依据有关规定给予党纪、政纪或组织处理；涉嫌犯罪的，移交司法机关追究刑事责任；给承包人单位造成经济损失的，应予以赔偿。</w:t>
      </w:r>
    </w:p>
    <w:p w14:paraId="0736C88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DC1BBB4">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E5315FD">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 本合同有效期为发包人和承包人签署之日起至该工程项目竣工验收后止。</w:t>
      </w:r>
    </w:p>
    <w:p w14:paraId="1300CFB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7. 本合同作为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标段施工合同的附件，与工程施工合同具有同等的法律效力，经合同双方签署后立即生效。</w:t>
      </w:r>
    </w:p>
    <w:p w14:paraId="0348CD6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8. 本合同一式四份，由发包人和承包人各执一份，送交发包人和承包人的监督单位各一份。</w:t>
      </w:r>
    </w:p>
    <w:p w14:paraId="22BD473D">
      <w:pPr>
        <w:pStyle w:val="48"/>
        <w:spacing w:line="400" w:lineRule="atLeast"/>
        <w:rPr>
          <w:rFonts w:hint="eastAsia" w:ascii="宋体" w:hAnsi="宋体" w:eastAsia="宋体" w:cs="宋体"/>
          <w:color w:val="auto"/>
          <w:sz w:val="24"/>
        </w:rPr>
      </w:pPr>
    </w:p>
    <w:p w14:paraId="3F7E7C21">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3696E6CF">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4DC42A08">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056468E">
      <w:pPr>
        <w:pStyle w:val="48"/>
        <w:spacing w:line="440" w:lineRule="exact"/>
        <w:ind w:firstLine="360" w:firstLineChars="150"/>
        <w:rPr>
          <w:rFonts w:hint="eastAsia" w:ascii="宋体" w:hAnsi="宋体" w:eastAsia="宋体" w:cs="宋体"/>
          <w:color w:val="auto"/>
          <w:sz w:val="24"/>
        </w:rPr>
      </w:pPr>
    </w:p>
    <w:p w14:paraId="1189F970">
      <w:pPr>
        <w:pStyle w:val="48"/>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发包人监督单位：</w:t>
      </w:r>
      <w:r>
        <w:rPr>
          <w:rFonts w:hint="eastAsia" w:ascii="宋体" w:hAnsi="宋体" w:eastAsia="宋体" w:cs="宋体"/>
          <w:color w:val="auto"/>
          <w:sz w:val="24"/>
          <w:u w:val="single"/>
        </w:rPr>
        <w:t>（全称）（盖单位章）</w:t>
      </w:r>
      <w:r>
        <w:rPr>
          <w:rFonts w:hint="eastAsia" w:ascii="宋体" w:hAnsi="宋体" w:eastAsia="宋体" w:cs="宋体"/>
          <w:color w:val="auto"/>
          <w:sz w:val="24"/>
        </w:rPr>
        <w:t xml:space="preserve">    承包人监督单位：</w:t>
      </w:r>
      <w:r>
        <w:rPr>
          <w:rFonts w:hint="eastAsia" w:ascii="宋体" w:hAnsi="宋体" w:eastAsia="宋体" w:cs="宋体"/>
          <w:color w:val="auto"/>
          <w:sz w:val="24"/>
          <w:u w:val="single"/>
        </w:rPr>
        <w:t>（全称）（盖单位章）</w:t>
      </w:r>
    </w:p>
    <w:p w14:paraId="44067CF2">
      <w:pPr>
        <w:pStyle w:val="48"/>
        <w:spacing w:line="400" w:lineRule="atLeast"/>
        <w:rPr>
          <w:rFonts w:hint="eastAsia" w:ascii="宋体" w:hAnsi="宋体" w:eastAsia="宋体" w:cs="宋体"/>
          <w:color w:val="auto"/>
          <w:sz w:val="24"/>
          <w:u w:val="single"/>
        </w:rPr>
      </w:pPr>
      <w:r>
        <w:rPr>
          <w:rFonts w:hint="eastAsia" w:ascii="宋体" w:hAnsi="宋体" w:eastAsia="宋体" w:cs="宋体"/>
          <w:color w:val="auto"/>
          <w:sz w:val="24"/>
          <w:u w:val="single"/>
        </w:rPr>
        <w:br w:type="page"/>
      </w:r>
    </w:p>
    <w:p w14:paraId="6DDE845E">
      <w:pPr>
        <w:pStyle w:val="48"/>
        <w:keepNext/>
        <w:keepLines/>
        <w:spacing w:line="380" w:lineRule="atLeast"/>
        <w:outlineLvl w:val="2"/>
        <w:rPr>
          <w:rFonts w:hint="eastAsia" w:ascii="宋体" w:hAnsi="宋体" w:eastAsia="宋体" w:cs="宋体"/>
          <w:b/>
          <w:color w:val="auto"/>
          <w:sz w:val="24"/>
          <w:szCs w:val="24"/>
        </w:rPr>
      </w:pPr>
      <w:bookmarkStart w:id="100" w:name="_Toc108171864"/>
      <w:r>
        <w:rPr>
          <w:rFonts w:hint="eastAsia" w:ascii="宋体" w:hAnsi="宋体" w:eastAsia="宋体" w:cs="宋体"/>
          <w:bCs/>
          <w:color w:val="auto"/>
          <w:kern w:val="0"/>
          <w:sz w:val="24"/>
          <w:szCs w:val="24"/>
        </w:rPr>
        <w:t>附件三：安全生产合同</w:t>
      </w:r>
      <w:bookmarkEnd w:id="100"/>
    </w:p>
    <w:p w14:paraId="393595DD">
      <w:pPr>
        <w:pStyle w:val="48"/>
        <w:spacing w:line="39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安全生产合同</w:t>
      </w:r>
    </w:p>
    <w:p w14:paraId="39B17432">
      <w:pPr>
        <w:pStyle w:val="48"/>
        <w:spacing w:line="390" w:lineRule="atLeast"/>
        <w:rPr>
          <w:rFonts w:hint="eastAsia" w:ascii="宋体" w:hAnsi="宋体" w:eastAsia="宋体" w:cs="宋体"/>
          <w:b/>
          <w:color w:val="auto"/>
          <w:sz w:val="24"/>
        </w:rPr>
      </w:pPr>
    </w:p>
    <w:p w14:paraId="65E7A38E">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为在</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标段施工合同的实施过程中创造安全、高效的施工环境，切实搞好本项目的安全管理工作，本项目发包人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（发包人名称，以下简称“发包人”）与承包人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（承包人名称，以下简称“承包人”）特此签订安全生产合同：</w:t>
      </w:r>
    </w:p>
    <w:p w14:paraId="500E81E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1.发包人职责</w:t>
      </w:r>
    </w:p>
    <w:p w14:paraId="4B63BFF3">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（1）严格遵守国家有关安全生产的法律法规，认真执行工程承包合同中的有关安全要求。</w:t>
      </w:r>
    </w:p>
    <w:p w14:paraId="67651050">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（2）按照“安全第一、预防为主”和坚持“管生产必须管安全”的原则进行安全生产管理，做到生产与安全工作同时计划、布置、检查、总结和评比。</w:t>
      </w:r>
    </w:p>
    <w:p w14:paraId="6FBDC778">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（3）重要的安全设施必须坚持与主体工程“三同时”的原则，即：同时设计、审批，同时施工，同时验收，投入使用。</w:t>
      </w:r>
    </w:p>
    <w:p w14:paraId="76B0DEC5">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（4）定期召开安全生产调度会，及时传达中央及地方有关安全生产的精神。</w:t>
      </w:r>
    </w:p>
    <w:p w14:paraId="2D917D7E">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（5）组织对承包人施工现场进行安全生产检查，监督承包人及时处理发现的各种安全隐患。</w:t>
      </w:r>
    </w:p>
    <w:p w14:paraId="29CA915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2.承包人职责</w:t>
      </w:r>
    </w:p>
    <w:p w14:paraId="4CC5D841">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FBC9F6C">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2B4972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E81321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（4）承包人在任何时候都应采取各种合理的预防措施，防止其员工发生任何违法、违禁、暴力或妨碍治安的行为。</w:t>
      </w:r>
    </w:p>
    <w:p w14:paraId="0B53B84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F03610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F58C384">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（7）操作人员上岗，必须按规定穿戴防护用品。施工负责人和安全检查员应随时检查劳动防护用品的穿戴情况，不按规定穿戴防护用品的人员不得上岗。</w:t>
      </w:r>
    </w:p>
    <w:p w14:paraId="58293EE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（8）所有施工机具设备和高空作业的设备均应定期检查，并有安全员的签字记录，保证其经常处于完好状态；不合格的机具、设备和劳动保护用品严禁使用。</w:t>
      </w:r>
    </w:p>
    <w:p w14:paraId="220FD800">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（9）施工中采用新技术、新工艺、新设备、新材料时，必须制定相应的安全技术措施，施工现场必须具有相关的安全标志牌。</w:t>
      </w:r>
    </w:p>
    <w:p w14:paraId="1790AA2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534B22">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（11）安全生产费用按照《公路水运工程安全生产监督管理办法》的相关规定使用和管理。</w:t>
      </w:r>
    </w:p>
    <w:p w14:paraId="38FC1923">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3.违约责任</w:t>
      </w:r>
    </w:p>
    <w:p w14:paraId="4AE4CC4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如因发包人或承包人违约造成安全事故，将依法追究责任。</w:t>
      </w:r>
    </w:p>
    <w:p w14:paraId="2F7201B4">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 本合同由双方法定代表人或其授权的代理人签署并加盖单位章后生效，全部工程竣工验收后失效。</w:t>
      </w:r>
    </w:p>
    <w:p w14:paraId="75918DF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 本合同正本二份、副本____份，合同双方各执正本一份，副本____份，当正本与副本的内容不一致时，以正本为准。</w:t>
      </w:r>
    </w:p>
    <w:p w14:paraId="0C44B8B7">
      <w:pPr>
        <w:pStyle w:val="48"/>
        <w:spacing w:line="400" w:lineRule="atLeast"/>
        <w:ind w:firstLine="525"/>
        <w:rPr>
          <w:rFonts w:hint="eastAsia" w:ascii="宋体" w:hAnsi="宋体" w:eastAsia="宋体" w:cs="宋体"/>
          <w:color w:val="auto"/>
          <w:sz w:val="24"/>
        </w:rPr>
      </w:pPr>
    </w:p>
    <w:p w14:paraId="5C14ABB3">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588AD2C7">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i/>
          <w:color w:val="auto"/>
          <w:sz w:val="24"/>
        </w:rPr>
        <w:t>（</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0D73E0A1">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21D9A92">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101" w:name="_Toc108171865"/>
      <w:r>
        <w:rPr>
          <w:rFonts w:hint="eastAsia" w:ascii="宋体" w:hAnsi="宋体" w:eastAsia="宋体" w:cs="宋体"/>
          <w:bCs/>
          <w:color w:val="auto"/>
          <w:kern w:val="0"/>
          <w:sz w:val="24"/>
          <w:szCs w:val="24"/>
        </w:rPr>
        <w:t>附件四：其他管理和技术人员最低要求</w:t>
      </w:r>
      <w:bookmarkEnd w:id="101"/>
      <w:r>
        <w:rPr>
          <w:rFonts w:hint="eastAsia" w:ascii="宋体" w:hAnsi="宋体" w:eastAsia="宋体" w:cs="宋体"/>
          <w:bCs/>
          <w:color w:val="auto"/>
          <w:kern w:val="0"/>
          <w:sz w:val="24"/>
          <w:szCs w:val="24"/>
        </w:rPr>
        <w:t xml:space="preserve"> </w:t>
      </w:r>
    </w:p>
    <w:p w14:paraId="52312F6C">
      <w:pPr>
        <w:pStyle w:val="48"/>
        <w:adjustRightInd w:val="0"/>
        <w:snapToGrid w:val="0"/>
        <w:spacing w:line="400" w:lineRule="atLeast"/>
        <w:rPr>
          <w:rFonts w:hint="eastAsia" w:ascii="宋体" w:hAnsi="宋体" w:eastAsia="宋体" w:cs="宋体"/>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14:paraId="3B92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086657D">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人  员</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929B9AB">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数  量</w:t>
            </w: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B3540B0">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资 格 要 求</w:t>
            </w:r>
          </w:p>
        </w:tc>
      </w:tr>
      <w:tr w14:paraId="113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04C811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281315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7177FEB">
            <w:pPr>
              <w:pStyle w:val="48"/>
              <w:spacing w:line="400" w:lineRule="atLeast"/>
              <w:rPr>
                <w:rFonts w:hint="eastAsia" w:ascii="宋体" w:hAnsi="宋体" w:eastAsia="宋体" w:cs="宋体"/>
                <w:color w:val="auto"/>
                <w:sz w:val="24"/>
              </w:rPr>
            </w:pPr>
          </w:p>
        </w:tc>
      </w:tr>
      <w:tr w14:paraId="6BFE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BE61B27">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054D69F">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3FCB6FB4">
            <w:pPr>
              <w:pStyle w:val="48"/>
              <w:spacing w:line="400" w:lineRule="atLeast"/>
              <w:rPr>
                <w:rFonts w:hint="eastAsia" w:ascii="宋体" w:hAnsi="宋体" w:eastAsia="宋体" w:cs="宋体"/>
                <w:color w:val="auto"/>
                <w:sz w:val="24"/>
              </w:rPr>
            </w:pPr>
          </w:p>
        </w:tc>
      </w:tr>
      <w:tr w14:paraId="409F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291888F">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9C71280">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44B4773">
            <w:pPr>
              <w:pStyle w:val="48"/>
              <w:spacing w:line="400" w:lineRule="atLeast"/>
              <w:rPr>
                <w:rFonts w:hint="eastAsia" w:ascii="宋体" w:hAnsi="宋体" w:eastAsia="宋体" w:cs="宋体"/>
                <w:color w:val="auto"/>
                <w:sz w:val="24"/>
              </w:rPr>
            </w:pPr>
          </w:p>
        </w:tc>
      </w:tr>
      <w:tr w14:paraId="5479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EFCF21F">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8ED8B6C">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2D6DA77C">
            <w:pPr>
              <w:pStyle w:val="48"/>
              <w:spacing w:line="400" w:lineRule="atLeast"/>
              <w:rPr>
                <w:rFonts w:hint="eastAsia" w:ascii="宋体" w:hAnsi="宋体" w:eastAsia="宋体" w:cs="宋体"/>
                <w:color w:val="auto"/>
                <w:sz w:val="24"/>
              </w:rPr>
            </w:pPr>
          </w:p>
        </w:tc>
      </w:tr>
      <w:tr w14:paraId="4D0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472213B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6E1A220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8C28E8B">
            <w:pPr>
              <w:pStyle w:val="48"/>
              <w:spacing w:line="400" w:lineRule="atLeast"/>
              <w:rPr>
                <w:rFonts w:hint="eastAsia" w:ascii="宋体" w:hAnsi="宋体" w:eastAsia="宋体" w:cs="宋体"/>
                <w:color w:val="auto"/>
                <w:sz w:val="24"/>
              </w:rPr>
            </w:pPr>
          </w:p>
        </w:tc>
      </w:tr>
      <w:tr w14:paraId="6EF9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5B327789">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E222294">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4B910A8">
            <w:pPr>
              <w:pStyle w:val="48"/>
              <w:spacing w:line="400" w:lineRule="atLeast"/>
              <w:rPr>
                <w:rFonts w:hint="eastAsia" w:ascii="宋体" w:hAnsi="宋体" w:eastAsia="宋体" w:cs="宋体"/>
                <w:color w:val="auto"/>
                <w:sz w:val="24"/>
              </w:rPr>
            </w:pPr>
          </w:p>
        </w:tc>
      </w:tr>
      <w:tr w14:paraId="3FF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4917F9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C2DAA62">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572235C">
            <w:pPr>
              <w:pStyle w:val="48"/>
              <w:spacing w:line="400" w:lineRule="atLeast"/>
              <w:rPr>
                <w:rFonts w:hint="eastAsia" w:ascii="宋体" w:hAnsi="宋体" w:eastAsia="宋体" w:cs="宋体"/>
                <w:color w:val="auto"/>
                <w:sz w:val="24"/>
              </w:rPr>
            </w:pPr>
          </w:p>
        </w:tc>
      </w:tr>
      <w:tr w14:paraId="6B5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3199A721">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24996C8">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090AA1A">
            <w:pPr>
              <w:pStyle w:val="48"/>
              <w:spacing w:line="400" w:lineRule="atLeast"/>
              <w:rPr>
                <w:rFonts w:hint="eastAsia" w:ascii="宋体" w:hAnsi="宋体" w:eastAsia="宋体" w:cs="宋体"/>
                <w:color w:val="auto"/>
                <w:sz w:val="24"/>
              </w:rPr>
            </w:pPr>
          </w:p>
        </w:tc>
      </w:tr>
      <w:tr w14:paraId="0F6D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C875F3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F443303">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5F6F8A0">
            <w:pPr>
              <w:pStyle w:val="48"/>
              <w:spacing w:line="400" w:lineRule="atLeast"/>
              <w:rPr>
                <w:rFonts w:hint="eastAsia" w:ascii="宋体" w:hAnsi="宋体" w:eastAsia="宋体" w:cs="宋体"/>
                <w:color w:val="auto"/>
                <w:sz w:val="24"/>
              </w:rPr>
            </w:pPr>
          </w:p>
        </w:tc>
      </w:tr>
      <w:tr w14:paraId="48ED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DD53A96">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D6A930C">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F6DFA54">
            <w:pPr>
              <w:pStyle w:val="48"/>
              <w:spacing w:line="400" w:lineRule="atLeast"/>
              <w:rPr>
                <w:rFonts w:hint="eastAsia" w:ascii="宋体" w:hAnsi="宋体" w:eastAsia="宋体" w:cs="宋体"/>
                <w:color w:val="auto"/>
                <w:sz w:val="24"/>
              </w:rPr>
            </w:pPr>
          </w:p>
        </w:tc>
      </w:tr>
      <w:tr w14:paraId="1396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4844AB6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A0A0666">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7935B1C9">
            <w:pPr>
              <w:pStyle w:val="48"/>
              <w:spacing w:line="400" w:lineRule="atLeast"/>
              <w:rPr>
                <w:rFonts w:hint="eastAsia" w:ascii="宋体" w:hAnsi="宋体" w:eastAsia="宋体" w:cs="宋体"/>
                <w:color w:val="auto"/>
                <w:sz w:val="24"/>
              </w:rPr>
            </w:pPr>
          </w:p>
        </w:tc>
      </w:tr>
      <w:tr w14:paraId="267B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00D07B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81CF4E1">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4018A5D6">
            <w:pPr>
              <w:pStyle w:val="48"/>
              <w:spacing w:line="400" w:lineRule="atLeast"/>
              <w:rPr>
                <w:rFonts w:hint="eastAsia" w:ascii="宋体" w:hAnsi="宋体" w:eastAsia="宋体" w:cs="宋体"/>
                <w:color w:val="auto"/>
                <w:sz w:val="24"/>
              </w:rPr>
            </w:pPr>
          </w:p>
        </w:tc>
      </w:tr>
      <w:tr w14:paraId="3442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46FF228">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6A6DE5E">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9479F34">
            <w:pPr>
              <w:pStyle w:val="48"/>
              <w:spacing w:line="400" w:lineRule="atLeast"/>
              <w:rPr>
                <w:rFonts w:hint="eastAsia" w:ascii="宋体" w:hAnsi="宋体" w:eastAsia="宋体" w:cs="宋体"/>
                <w:color w:val="auto"/>
                <w:sz w:val="24"/>
              </w:rPr>
            </w:pPr>
          </w:p>
        </w:tc>
      </w:tr>
      <w:tr w14:paraId="05DF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597749D5">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B75FEB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8A2BF0E">
            <w:pPr>
              <w:pStyle w:val="48"/>
              <w:spacing w:line="400" w:lineRule="atLeast"/>
              <w:rPr>
                <w:rFonts w:hint="eastAsia" w:ascii="宋体" w:hAnsi="宋体" w:eastAsia="宋体" w:cs="宋体"/>
                <w:color w:val="auto"/>
                <w:sz w:val="24"/>
              </w:rPr>
            </w:pPr>
          </w:p>
        </w:tc>
      </w:tr>
      <w:tr w14:paraId="6334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17B1A79">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82E96B5">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473FF4E3">
            <w:pPr>
              <w:pStyle w:val="48"/>
              <w:spacing w:line="400" w:lineRule="atLeast"/>
              <w:rPr>
                <w:rFonts w:hint="eastAsia" w:ascii="宋体" w:hAnsi="宋体" w:eastAsia="宋体" w:cs="宋体"/>
                <w:color w:val="auto"/>
                <w:sz w:val="24"/>
              </w:rPr>
            </w:pPr>
          </w:p>
        </w:tc>
      </w:tr>
    </w:tbl>
    <w:p w14:paraId="5777CB1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102" w:name="_Toc108171866"/>
      <w:r>
        <w:rPr>
          <w:rFonts w:hint="eastAsia" w:ascii="宋体" w:hAnsi="宋体" w:eastAsia="宋体" w:cs="宋体"/>
          <w:b/>
          <w:color w:val="auto"/>
          <w:kern w:val="0"/>
          <w:sz w:val="24"/>
          <w:szCs w:val="24"/>
        </w:rPr>
        <w:t>附件五：主要机械设备和试验检测设备最低要求</w:t>
      </w:r>
      <w:bookmarkEnd w:id="102"/>
    </w:p>
    <w:p w14:paraId="0551B916">
      <w:pPr>
        <w:pStyle w:val="48"/>
        <w:adjustRightInd w:val="0"/>
        <w:snapToGrid w:val="0"/>
        <w:spacing w:line="400" w:lineRule="atLeast"/>
        <w:rPr>
          <w:rFonts w:hint="eastAsia" w:ascii="宋体" w:hAnsi="宋体" w:eastAsia="宋体" w:cs="宋体"/>
          <w:bCs/>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14:paraId="0C2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44412C6">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设备名称</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ECADDEE">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规格、功率及容量</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AEBE660">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E7460F1">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最低数量要求</w:t>
            </w:r>
          </w:p>
        </w:tc>
      </w:tr>
      <w:tr w14:paraId="7A8B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9D3C0B1">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7A0AE3A">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75ED9AD">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6A834AB">
            <w:pPr>
              <w:pStyle w:val="48"/>
              <w:spacing w:line="400" w:lineRule="atLeast"/>
              <w:rPr>
                <w:rFonts w:hint="eastAsia" w:ascii="宋体" w:hAnsi="宋体" w:eastAsia="宋体" w:cs="宋体"/>
                <w:color w:val="auto"/>
                <w:sz w:val="24"/>
              </w:rPr>
            </w:pPr>
          </w:p>
        </w:tc>
      </w:tr>
      <w:tr w14:paraId="6DDA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0C80725">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0E203D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D42221D">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2BA7AAF3">
            <w:pPr>
              <w:pStyle w:val="48"/>
              <w:spacing w:line="400" w:lineRule="atLeast"/>
              <w:rPr>
                <w:rFonts w:hint="eastAsia" w:ascii="宋体" w:hAnsi="宋体" w:eastAsia="宋体" w:cs="宋体"/>
                <w:color w:val="auto"/>
                <w:sz w:val="24"/>
              </w:rPr>
            </w:pPr>
          </w:p>
        </w:tc>
      </w:tr>
      <w:tr w14:paraId="5F87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3F270C5">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B4DD285">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AEA2FF6">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2019554">
            <w:pPr>
              <w:pStyle w:val="48"/>
              <w:spacing w:line="400" w:lineRule="atLeast"/>
              <w:rPr>
                <w:rFonts w:hint="eastAsia" w:ascii="宋体" w:hAnsi="宋体" w:eastAsia="宋体" w:cs="宋体"/>
                <w:color w:val="auto"/>
                <w:sz w:val="24"/>
              </w:rPr>
            </w:pPr>
          </w:p>
        </w:tc>
      </w:tr>
      <w:tr w14:paraId="3CAB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0B8485E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091D613">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C94FB73">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091D46C">
            <w:pPr>
              <w:pStyle w:val="48"/>
              <w:spacing w:line="400" w:lineRule="atLeast"/>
              <w:rPr>
                <w:rFonts w:hint="eastAsia" w:ascii="宋体" w:hAnsi="宋体" w:eastAsia="宋体" w:cs="宋体"/>
                <w:color w:val="auto"/>
                <w:sz w:val="24"/>
              </w:rPr>
            </w:pPr>
          </w:p>
        </w:tc>
      </w:tr>
      <w:tr w14:paraId="301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408BD90">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8B67CE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473097C">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DDED3A0">
            <w:pPr>
              <w:pStyle w:val="48"/>
              <w:spacing w:line="400" w:lineRule="atLeast"/>
              <w:rPr>
                <w:rFonts w:hint="eastAsia" w:ascii="宋体" w:hAnsi="宋体" w:eastAsia="宋体" w:cs="宋体"/>
                <w:color w:val="auto"/>
                <w:sz w:val="24"/>
              </w:rPr>
            </w:pPr>
          </w:p>
        </w:tc>
      </w:tr>
      <w:tr w14:paraId="45BF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2591C12F">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98A2DDF">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DF4CD6B">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12B195B">
            <w:pPr>
              <w:pStyle w:val="48"/>
              <w:spacing w:line="400" w:lineRule="atLeast"/>
              <w:rPr>
                <w:rFonts w:hint="eastAsia" w:ascii="宋体" w:hAnsi="宋体" w:eastAsia="宋体" w:cs="宋体"/>
                <w:color w:val="auto"/>
                <w:sz w:val="24"/>
              </w:rPr>
            </w:pPr>
          </w:p>
        </w:tc>
      </w:tr>
      <w:tr w14:paraId="2100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45A4F94">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238B589">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2AC7074">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4027FFD">
            <w:pPr>
              <w:pStyle w:val="48"/>
              <w:spacing w:line="400" w:lineRule="atLeast"/>
              <w:rPr>
                <w:rFonts w:hint="eastAsia" w:ascii="宋体" w:hAnsi="宋体" w:eastAsia="宋体" w:cs="宋体"/>
                <w:color w:val="auto"/>
                <w:sz w:val="24"/>
              </w:rPr>
            </w:pPr>
          </w:p>
        </w:tc>
      </w:tr>
      <w:tr w14:paraId="0C10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F1CE13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1214307">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9018D42">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E7CF0CB">
            <w:pPr>
              <w:pStyle w:val="48"/>
              <w:spacing w:line="400" w:lineRule="atLeast"/>
              <w:rPr>
                <w:rFonts w:hint="eastAsia" w:ascii="宋体" w:hAnsi="宋体" w:eastAsia="宋体" w:cs="宋体"/>
                <w:color w:val="auto"/>
                <w:sz w:val="24"/>
              </w:rPr>
            </w:pPr>
          </w:p>
        </w:tc>
      </w:tr>
      <w:tr w14:paraId="16E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0CC2B9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A9D2267">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C214653">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F83E620">
            <w:pPr>
              <w:pStyle w:val="48"/>
              <w:spacing w:line="400" w:lineRule="atLeast"/>
              <w:rPr>
                <w:rFonts w:hint="eastAsia" w:ascii="宋体" w:hAnsi="宋体" w:eastAsia="宋体" w:cs="宋体"/>
                <w:color w:val="auto"/>
                <w:sz w:val="24"/>
              </w:rPr>
            </w:pPr>
          </w:p>
        </w:tc>
      </w:tr>
      <w:tr w14:paraId="6737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227B15A8">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6E25A74">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E1EE6B6">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D1BDF4C">
            <w:pPr>
              <w:pStyle w:val="48"/>
              <w:spacing w:line="400" w:lineRule="atLeast"/>
              <w:rPr>
                <w:rFonts w:hint="eastAsia" w:ascii="宋体" w:hAnsi="宋体" w:eastAsia="宋体" w:cs="宋体"/>
                <w:color w:val="auto"/>
                <w:sz w:val="24"/>
              </w:rPr>
            </w:pPr>
          </w:p>
        </w:tc>
      </w:tr>
      <w:tr w14:paraId="498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34C8DE19">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697E2C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3D62969">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8A7E323">
            <w:pPr>
              <w:pStyle w:val="48"/>
              <w:spacing w:line="400" w:lineRule="atLeast"/>
              <w:rPr>
                <w:rFonts w:hint="eastAsia" w:ascii="宋体" w:hAnsi="宋体" w:eastAsia="宋体" w:cs="宋体"/>
                <w:color w:val="auto"/>
                <w:sz w:val="24"/>
              </w:rPr>
            </w:pPr>
          </w:p>
        </w:tc>
      </w:tr>
      <w:tr w14:paraId="4A56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1622FF8">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AEAB129">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4AF2E10">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009CD34">
            <w:pPr>
              <w:pStyle w:val="48"/>
              <w:spacing w:line="400" w:lineRule="atLeast"/>
              <w:rPr>
                <w:rFonts w:hint="eastAsia" w:ascii="宋体" w:hAnsi="宋体" w:eastAsia="宋体" w:cs="宋体"/>
                <w:color w:val="auto"/>
                <w:sz w:val="24"/>
              </w:rPr>
            </w:pPr>
          </w:p>
        </w:tc>
      </w:tr>
      <w:tr w14:paraId="0C86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8CD9EE4">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B52CE8D">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D2FD46A">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CF2FD97">
            <w:pPr>
              <w:pStyle w:val="48"/>
              <w:spacing w:line="400" w:lineRule="atLeast"/>
              <w:rPr>
                <w:rFonts w:hint="eastAsia" w:ascii="宋体" w:hAnsi="宋体" w:eastAsia="宋体" w:cs="宋体"/>
                <w:color w:val="auto"/>
                <w:sz w:val="24"/>
              </w:rPr>
            </w:pPr>
          </w:p>
        </w:tc>
      </w:tr>
      <w:tr w14:paraId="62CE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FAEF9DE">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ED820EC">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2B53501">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871C067">
            <w:pPr>
              <w:pStyle w:val="48"/>
              <w:spacing w:line="400" w:lineRule="atLeast"/>
              <w:rPr>
                <w:rFonts w:hint="eastAsia" w:ascii="宋体" w:hAnsi="宋体" w:eastAsia="宋体" w:cs="宋体"/>
                <w:color w:val="auto"/>
                <w:sz w:val="24"/>
              </w:rPr>
            </w:pPr>
          </w:p>
        </w:tc>
      </w:tr>
      <w:tr w14:paraId="5838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6B01856">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8AE46D8">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A9B0B3C">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0035A60">
            <w:pPr>
              <w:pStyle w:val="48"/>
              <w:spacing w:line="400" w:lineRule="atLeast"/>
              <w:rPr>
                <w:rFonts w:hint="eastAsia" w:ascii="宋体" w:hAnsi="宋体" w:eastAsia="宋体" w:cs="宋体"/>
                <w:color w:val="auto"/>
                <w:sz w:val="24"/>
              </w:rPr>
            </w:pPr>
          </w:p>
        </w:tc>
      </w:tr>
    </w:tbl>
    <w:p w14:paraId="7DAF51E5">
      <w:pPr>
        <w:pStyle w:val="48"/>
        <w:spacing w:line="400" w:lineRule="atLeast"/>
        <w:rPr>
          <w:rFonts w:hint="eastAsia" w:ascii="宋体" w:hAnsi="宋体" w:eastAsia="宋体" w:cs="宋体"/>
          <w:color w:val="auto"/>
          <w:sz w:val="24"/>
        </w:rPr>
      </w:pPr>
    </w:p>
    <w:p w14:paraId="39DC3C8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br w:type="page"/>
      </w:r>
    </w:p>
    <w:p w14:paraId="3DB5C483">
      <w:pPr>
        <w:pStyle w:val="48"/>
        <w:keepNext/>
        <w:keepLines/>
        <w:spacing w:line="380" w:lineRule="atLeast"/>
        <w:jc w:val="left"/>
        <w:outlineLvl w:val="2"/>
        <w:rPr>
          <w:rFonts w:hint="eastAsia" w:ascii="宋体" w:hAnsi="宋体" w:eastAsia="宋体" w:cs="宋体"/>
          <w:b/>
          <w:color w:val="auto"/>
          <w:kern w:val="0"/>
          <w:sz w:val="24"/>
          <w:szCs w:val="24"/>
        </w:rPr>
      </w:pPr>
      <w:bookmarkStart w:id="103" w:name="_Toc108171867"/>
      <w:r>
        <w:rPr>
          <w:rFonts w:hint="eastAsia" w:ascii="宋体" w:hAnsi="宋体" w:eastAsia="宋体" w:cs="宋体"/>
          <w:b/>
          <w:color w:val="auto"/>
          <w:kern w:val="0"/>
          <w:sz w:val="24"/>
          <w:szCs w:val="24"/>
        </w:rPr>
        <w:t>附件六：项目经理委任书</w:t>
      </w:r>
      <w:bookmarkEnd w:id="103"/>
    </w:p>
    <w:p w14:paraId="6EA530C3">
      <w:pPr>
        <w:pStyle w:val="48"/>
        <w:snapToGrid w:val="0"/>
        <w:spacing w:line="400" w:lineRule="atLeast"/>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（承包人全称）</w:t>
      </w:r>
    </w:p>
    <w:p w14:paraId="09BA462A">
      <w:pPr>
        <w:pStyle w:val="48"/>
        <w:snapToGrid w:val="0"/>
        <w:spacing w:line="4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（合同工程名称） </w:t>
      </w:r>
      <w:r>
        <w:rPr>
          <w:rFonts w:hint="eastAsia" w:ascii="宋体" w:hAnsi="宋体" w:eastAsia="宋体" w:cs="宋体"/>
          <w:color w:val="auto"/>
          <w:sz w:val="28"/>
          <w:szCs w:val="28"/>
        </w:rPr>
        <w:t>项目经理委任书</w:t>
      </w:r>
    </w:p>
    <w:p w14:paraId="5B6B3E32">
      <w:pPr>
        <w:pStyle w:val="48"/>
        <w:snapToGrid w:val="0"/>
        <w:spacing w:line="400" w:lineRule="atLeast"/>
        <w:rPr>
          <w:rFonts w:hint="eastAsia" w:ascii="宋体" w:hAnsi="宋体" w:eastAsia="宋体" w:cs="宋体"/>
          <w:color w:val="auto"/>
          <w:sz w:val="24"/>
        </w:rPr>
      </w:pPr>
    </w:p>
    <w:p w14:paraId="3BA146BB">
      <w:pPr>
        <w:pStyle w:val="48"/>
        <w:snapToGrid w:val="0"/>
        <w:spacing w:line="400" w:lineRule="atLeast"/>
        <w:rPr>
          <w:rFonts w:hint="eastAsia" w:ascii="宋体" w:hAnsi="宋体" w:eastAsia="宋体" w:cs="宋体"/>
          <w:color w:val="auto"/>
          <w:sz w:val="24"/>
        </w:rPr>
      </w:pPr>
    </w:p>
    <w:p w14:paraId="61279C4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（发包人全称）</w:t>
      </w:r>
    </w:p>
    <w:p w14:paraId="4A17E376">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u w:val="single"/>
        </w:rPr>
        <w:t xml:space="preserve">  （承包人全称） </w:t>
      </w: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（职务、姓名） </w:t>
      </w:r>
      <w:r>
        <w:rPr>
          <w:rFonts w:hint="eastAsia" w:ascii="宋体" w:hAnsi="宋体" w:eastAsia="宋体" w:cs="宋体"/>
          <w:color w:val="auto"/>
          <w:sz w:val="24"/>
        </w:rPr>
        <w:t>代表本单位委任</w:t>
      </w:r>
      <w:r>
        <w:rPr>
          <w:rFonts w:hint="eastAsia" w:ascii="宋体" w:hAnsi="宋体" w:eastAsia="宋体" w:cs="宋体"/>
          <w:color w:val="auto"/>
          <w:sz w:val="24"/>
          <w:u w:val="single"/>
        </w:rPr>
        <w:t xml:space="preserve"> （职务、姓名） </w:t>
      </w:r>
      <w:r>
        <w:rPr>
          <w:rFonts w:hint="eastAsia" w:ascii="宋体" w:hAnsi="宋体" w:eastAsia="宋体" w:cs="宋体"/>
          <w:color w:val="auto"/>
          <w:sz w:val="24"/>
        </w:rPr>
        <w:t>为</w:t>
      </w:r>
      <w:r>
        <w:rPr>
          <w:rFonts w:hint="eastAsia" w:ascii="宋体" w:hAnsi="宋体" w:eastAsia="宋体" w:cs="宋体"/>
          <w:color w:val="auto"/>
          <w:sz w:val="24"/>
          <w:u w:val="single"/>
        </w:rPr>
        <w:t>（合同工程名称）</w:t>
      </w:r>
      <w:r>
        <w:rPr>
          <w:rFonts w:hint="eastAsia" w:ascii="宋体" w:hAnsi="宋体" w:eastAsia="宋体" w:cs="宋体"/>
          <w:color w:val="auto"/>
          <w:sz w:val="24"/>
        </w:rPr>
        <w:t>的项目经理。凡本合同执行中的有关技术、工程进度、现场管理、质量检验、结算与支付等方面工作，由</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代表本单位全面负责。</w:t>
      </w:r>
    </w:p>
    <w:p w14:paraId="2FF69DE4">
      <w:pPr>
        <w:pStyle w:val="48"/>
        <w:spacing w:line="400" w:lineRule="atLeast"/>
        <w:ind w:firstLine="616" w:firstLineChars="257"/>
        <w:rPr>
          <w:rFonts w:hint="eastAsia" w:ascii="宋体" w:hAnsi="宋体" w:eastAsia="宋体" w:cs="宋体"/>
          <w:color w:val="auto"/>
          <w:sz w:val="24"/>
        </w:rPr>
      </w:pPr>
    </w:p>
    <w:p w14:paraId="78BE1BAA">
      <w:pPr>
        <w:pStyle w:val="48"/>
        <w:snapToGrid w:val="0"/>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BC26680">
      <w:pPr>
        <w:pStyle w:val="48"/>
        <w:snapToGrid w:val="0"/>
        <w:spacing w:line="400" w:lineRule="atLeast"/>
        <w:ind w:firstLine="4603" w:firstLineChars="1918"/>
        <w:jc w:val="left"/>
        <w:rPr>
          <w:rFonts w:hint="eastAsia" w:ascii="宋体" w:hAnsi="宋体" w:eastAsia="宋体" w:cs="宋体"/>
          <w:color w:val="auto"/>
          <w:sz w:val="24"/>
          <w:u w:val="single"/>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（职务）        </w:t>
      </w:r>
    </w:p>
    <w:p w14:paraId="34D7029B">
      <w:pPr>
        <w:pStyle w:val="48"/>
        <w:snapToGrid w:val="0"/>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（姓名）       </w:t>
      </w:r>
    </w:p>
    <w:p w14:paraId="1D5F25AD">
      <w:pPr>
        <w:pStyle w:val="48"/>
        <w:snapToGrid w:val="0"/>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（签字）       </w:t>
      </w:r>
    </w:p>
    <w:p w14:paraId="75877CB1">
      <w:pPr>
        <w:pStyle w:val="48"/>
        <w:snapToGrid w:val="0"/>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4E74A9C">
      <w:pPr>
        <w:pStyle w:val="48"/>
        <w:snapToGrid w:val="0"/>
        <w:spacing w:line="400" w:lineRule="atLeast"/>
        <w:rPr>
          <w:rFonts w:hint="eastAsia" w:ascii="宋体" w:hAnsi="宋体" w:eastAsia="宋体" w:cs="宋体"/>
          <w:color w:val="auto"/>
          <w:sz w:val="24"/>
        </w:rPr>
      </w:pPr>
    </w:p>
    <w:p w14:paraId="6348EC20">
      <w:pPr>
        <w:pStyle w:val="48"/>
        <w:snapToGrid w:val="0"/>
        <w:spacing w:line="400" w:lineRule="atLeast"/>
        <w:rPr>
          <w:rFonts w:hint="eastAsia" w:ascii="宋体" w:hAnsi="宋体" w:eastAsia="宋体" w:cs="宋体"/>
          <w:b/>
          <w:color w:val="auto"/>
          <w:kern w:val="0"/>
          <w:sz w:val="24"/>
          <w:szCs w:val="24"/>
        </w:rPr>
      </w:pPr>
      <w:r>
        <w:rPr>
          <w:rFonts w:hint="eastAsia" w:ascii="宋体" w:hAnsi="宋体" w:eastAsia="宋体" w:cs="宋体"/>
          <w:color w:val="auto"/>
          <w:sz w:val="24"/>
        </w:rPr>
        <w:t>抄送：</w:t>
      </w:r>
      <w:r>
        <w:rPr>
          <w:rFonts w:hint="eastAsia" w:ascii="宋体" w:hAnsi="宋体" w:eastAsia="宋体" w:cs="宋体"/>
          <w:color w:val="auto"/>
          <w:sz w:val="24"/>
          <w:u w:val="single"/>
        </w:rPr>
        <w:t xml:space="preserve">  （监理人）  </w:t>
      </w:r>
      <w:r>
        <w:rPr>
          <w:rFonts w:hint="eastAsia" w:ascii="宋体" w:hAnsi="宋体" w:eastAsia="宋体" w:cs="宋体"/>
          <w:color w:val="auto"/>
          <w:sz w:val="24"/>
        </w:rPr>
        <w:br w:type="page"/>
      </w:r>
      <w:r>
        <w:rPr>
          <w:rFonts w:hint="eastAsia" w:ascii="宋体" w:hAnsi="宋体" w:eastAsia="宋体" w:cs="宋体"/>
          <w:b/>
          <w:color w:val="auto"/>
          <w:kern w:val="0"/>
          <w:sz w:val="24"/>
          <w:szCs w:val="24"/>
        </w:rPr>
        <w:t>附件七：履约保证金格式</w:t>
      </w:r>
    </w:p>
    <w:p w14:paraId="38461B3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如采用银行保函，格式如下。</w:t>
      </w:r>
    </w:p>
    <w:p w14:paraId="6AEA641C">
      <w:pPr>
        <w:pStyle w:val="48"/>
        <w:spacing w:line="400" w:lineRule="atLeast"/>
        <w:ind w:firstLine="3360" w:firstLineChars="1200"/>
        <w:rPr>
          <w:rFonts w:hint="eastAsia" w:ascii="宋体" w:hAnsi="宋体" w:eastAsia="宋体" w:cs="宋体"/>
          <w:color w:val="auto"/>
          <w:sz w:val="28"/>
          <w:szCs w:val="28"/>
        </w:rPr>
      </w:pPr>
    </w:p>
    <w:p w14:paraId="6239B55E">
      <w:pPr>
        <w:pStyle w:val="48"/>
        <w:spacing w:line="4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履约保证金</w:t>
      </w:r>
    </w:p>
    <w:p w14:paraId="3AE7EA60">
      <w:pPr>
        <w:pStyle w:val="48"/>
        <w:spacing w:line="400" w:lineRule="atLeast"/>
        <w:rPr>
          <w:rFonts w:hint="eastAsia" w:ascii="宋体" w:hAnsi="宋体" w:eastAsia="宋体" w:cs="宋体"/>
          <w:color w:val="auto"/>
          <w:sz w:val="24"/>
        </w:rPr>
      </w:pPr>
    </w:p>
    <w:p w14:paraId="6F3A79D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w:t>
      </w:r>
    </w:p>
    <w:p w14:paraId="46702FF1">
      <w:pPr>
        <w:pStyle w:val="48"/>
        <w:spacing w:line="400" w:lineRule="atLeast"/>
        <w:rPr>
          <w:rFonts w:hint="eastAsia" w:ascii="宋体" w:hAnsi="宋体" w:eastAsia="宋体" w:cs="宋体"/>
          <w:color w:val="auto"/>
          <w:sz w:val="24"/>
        </w:rPr>
      </w:pPr>
    </w:p>
    <w:p w14:paraId="1A375560">
      <w:pPr>
        <w:pStyle w:val="48"/>
        <w:spacing w:line="400" w:lineRule="atLeast"/>
        <w:ind w:firstLine="600" w:firstLineChars="25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标段施工的投标。我方愿意无条件地、不可撤销地就承包人履行与你方订立的合同，向你方提供担保。</w:t>
      </w:r>
    </w:p>
    <w:p w14:paraId="7F0292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元（¥</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11D2E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担保有效期自发包人与承包人签订的合同生效之日起至发包人签发交工验收证书且承包人按照合同约定缴纳质量保证金之日止。</w:t>
      </w:r>
    </w:p>
    <w:p w14:paraId="766F2A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 在本担保有效期内，因承包人违反合同约定的义务给你方造成经济损失时，我方在收到你方以书面形式提出的在担保金额内的赔偿要求后，在7日内无条件支付，无须你方出具证明或陈述理由。</w:t>
      </w:r>
    </w:p>
    <w:p w14:paraId="106777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 发包人和承包人按合同条款第15条变更合同时，无论我方是否收到该变更，我方承担本担保规定的义务不变。</w:t>
      </w:r>
    </w:p>
    <w:p w14:paraId="4F59DF31">
      <w:pPr>
        <w:pStyle w:val="48"/>
        <w:spacing w:line="400" w:lineRule="atLeast"/>
        <w:rPr>
          <w:rFonts w:hint="eastAsia" w:ascii="宋体" w:hAnsi="宋体" w:eastAsia="宋体" w:cs="宋体"/>
          <w:color w:val="auto"/>
          <w:sz w:val="24"/>
        </w:rPr>
      </w:pPr>
    </w:p>
    <w:p w14:paraId="50E1B193">
      <w:pPr>
        <w:pStyle w:val="48"/>
        <w:spacing w:line="400" w:lineRule="atLeast"/>
        <w:rPr>
          <w:rFonts w:hint="eastAsia" w:ascii="宋体" w:hAnsi="宋体" w:eastAsia="宋体" w:cs="宋体"/>
          <w:color w:val="auto"/>
          <w:sz w:val="24"/>
        </w:rPr>
      </w:pPr>
    </w:p>
    <w:p w14:paraId="566ECFB1">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担保人名称：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25612CD9">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4F0BB3C3">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1E4D1748">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1EFB2B09">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46F7FF90">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5B3F26F">
      <w:pPr>
        <w:pStyle w:val="48"/>
        <w:spacing w:line="400" w:lineRule="atLeast"/>
        <w:ind w:firstLine="4216" w:firstLineChars="1757"/>
        <w:jc w:val="righ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7F4E014">
      <w:pPr>
        <w:pStyle w:val="48"/>
        <w:spacing w:line="400" w:lineRule="atLeast"/>
        <w:ind w:firstLine="4216" w:firstLineChars="1757"/>
        <w:jc w:val="right"/>
        <w:rPr>
          <w:rFonts w:hint="eastAsia" w:ascii="宋体" w:hAnsi="宋体" w:eastAsia="宋体" w:cs="宋体"/>
          <w:color w:val="auto"/>
          <w:sz w:val="24"/>
        </w:rPr>
      </w:pPr>
    </w:p>
    <w:p w14:paraId="5F8A731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br w:type="page"/>
      </w:r>
    </w:p>
    <w:p w14:paraId="00577281">
      <w:pPr>
        <w:pStyle w:val="48"/>
        <w:keepNext/>
        <w:keepLines/>
        <w:spacing w:line="380" w:lineRule="atLeast"/>
        <w:rPr>
          <w:rFonts w:hint="eastAsia" w:ascii="宋体" w:hAnsi="宋体" w:eastAsia="宋体" w:cs="宋体"/>
          <w:b/>
          <w:color w:val="auto"/>
          <w:sz w:val="24"/>
          <w:szCs w:val="24"/>
        </w:rPr>
      </w:pPr>
      <w:r>
        <w:rPr>
          <w:rFonts w:hint="eastAsia" w:ascii="宋体" w:hAnsi="宋体" w:eastAsia="宋体" w:cs="宋体"/>
          <w:b/>
          <w:color w:val="auto"/>
          <w:sz w:val="24"/>
          <w:szCs w:val="24"/>
        </w:rPr>
        <w:t>附件八：工程资金监管协议格式</w:t>
      </w:r>
    </w:p>
    <w:p w14:paraId="17538CDE">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（发包人与承包人签订合同协议书时应与发包人指定的银行签署工程资金监管协议，工程资金监管协议内容在保证本项目资金有效监管的前提下由三方共同商定）</w:t>
      </w:r>
    </w:p>
    <w:p w14:paraId="3F70E2F8">
      <w:pPr>
        <w:pStyle w:val="48"/>
        <w:spacing w:line="380" w:lineRule="atLeast"/>
        <w:rPr>
          <w:rFonts w:hint="eastAsia" w:ascii="宋体" w:hAnsi="宋体" w:eastAsia="宋体" w:cs="宋体"/>
          <w:color w:val="auto"/>
          <w:sz w:val="24"/>
        </w:rPr>
      </w:pPr>
    </w:p>
    <w:p w14:paraId="201EF0CA">
      <w:pPr>
        <w:pStyle w:val="48"/>
        <w:spacing w:line="38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工程资金监管协议</w:t>
      </w:r>
    </w:p>
    <w:p w14:paraId="7736567B">
      <w:pPr>
        <w:pStyle w:val="48"/>
        <w:spacing w:line="380" w:lineRule="atLeast"/>
        <w:jc w:val="center"/>
        <w:rPr>
          <w:rFonts w:hint="eastAsia" w:ascii="宋体" w:hAnsi="宋体" w:eastAsia="宋体" w:cs="宋体"/>
          <w:color w:val="auto"/>
          <w:sz w:val="28"/>
          <w:szCs w:val="28"/>
        </w:rPr>
      </w:pPr>
    </w:p>
    <w:p w14:paraId="7879E365">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0A2FCB77">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04DD344D">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经办银行：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（以下简称“丙方”）</w:t>
      </w:r>
    </w:p>
    <w:p w14:paraId="2B7F21F5">
      <w:pPr>
        <w:pStyle w:val="48"/>
        <w:spacing w:line="380" w:lineRule="atLeast"/>
        <w:jc w:val="left"/>
        <w:rPr>
          <w:rFonts w:hint="eastAsia" w:ascii="宋体" w:hAnsi="宋体" w:eastAsia="宋体" w:cs="宋体"/>
          <w:color w:val="auto"/>
          <w:sz w:val="24"/>
        </w:rPr>
      </w:pPr>
    </w:p>
    <w:p w14:paraId="1DE6D0E1">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为了促进</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（项目名称）的顺利实施，管好用好建设资金，确保工程资金专款专用，同时为承包人提供便捷有效的银行业务服务，根据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（项目名称）合同条款有关规定，经甲、乙、丙三方协商，达成协议如下：</w:t>
      </w:r>
    </w:p>
    <w:p w14:paraId="45F0E26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资金管理的内容</w:t>
      </w:r>
    </w:p>
    <w:p w14:paraId="0CF12B64">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（1）乙方为完成</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（项目名称）工程成立的项目经理部在丙方开设基本结算户；</w:t>
      </w:r>
    </w:p>
    <w:p w14:paraId="23FCDC16">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（2）甲方应按合同规定将工程款汇入乙方在丙方开设的账户；</w:t>
      </w:r>
    </w:p>
    <w:p w14:paraId="4522CA1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（3）乙方应将流动资金及甲方所拨付资金专项用于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p>
    <w:p w14:paraId="4705EE03">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（4）丙方应为乙方提供便捷有效的银行业务服务，并接受甲方委托对乙方在丙方开设的基本结算户资金使用情况进行监督。</w:t>
      </w:r>
    </w:p>
    <w:p w14:paraId="1B3FA68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甲方的权责</w:t>
      </w:r>
    </w:p>
    <w:p w14:paraId="0040A29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（1）按照</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（项目名称）合同有关条款规定的时间和方式，向乙方支付工程款；</w:t>
      </w:r>
    </w:p>
    <w:p w14:paraId="33E6D6A4">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（2）在发现乙方将本项目资金挪用、转移时，甲方有权中止工程支付，直至乙方改正为止；</w:t>
      </w:r>
    </w:p>
    <w:p w14:paraId="3F385125">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（3）不定期审查丙方对乙方的资金使用监督情况，如丙方不能履行其责任，甲方有权随时终止本协议；</w:t>
      </w:r>
    </w:p>
    <w:p w14:paraId="472A72A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（4）在乙、丙双方发生争议时，甲方应负责协调、解决。</w:t>
      </w:r>
    </w:p>
    <w:p w14:paraId="650C4C1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 乙方的权责</w:t>
      </w:r>
    </w:p>
    <w:p w14:paraId="6FD7A97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（1）项目经理部成立以后，乙方应尽快在丙方开设基本结算户；</w:t>
      </w:r>
    </w:p>
    <w:p w14:paraId="69A4D833">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（2）确保本项目资金专款专用，不发生挪用、转移资金的现象；保证不通过权益转让、抵押、担保承担债务等任何其他方式使用基本结算户的资金；</w:t>
      </w:r>
    </w:p>
    <w:p w14:paraId="539514C0">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（3）办理材料、设备等采购业务金额在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万元以上的，应出示购货合同、协议和发票；在办理总额超过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万元以上的采购业务时，应将合同、协议和发票复印件送丙方备案；购买应急材料、设备时可先办理支付手续，但事后必须补备有关资料；</w:t>
      </w:r>
    </w:p>
    <w:p w14:paraId="3F02C68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（4）用银行转账支票办理支付款项时，必须将转账支票送交丙方，由丙方负责办理支票转付手续；</w:t>
      </w:r>
    </w:p>
    <w:p w14:paraId="5C8D7FE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（5）向分包单位支付工程进度款时，应附甲方批准分包的文件；</w:t>
      </w:r>
    </w:p>
    <w:p w14:paraId="7FC4165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（6）向上级单位缴纳管理费、机械设备及周转材料租赁摊销费等款项时，应附上级单位出具的转账通知等有关资料，以确保资金专款专用。</w:t>
      </w:r>
    </w:p>
    <w:p w14:paraId="0549549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 丙方的权责</w:t>
      </w:r>
    </w:p>
    <w:p w14:paraId="41F875D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（1）成立</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（项目名称）工程资金管理服务小组，明确业务流程，提高工作效率，杜绝“压票”现象；</w:t>
      </w:r>
    </w:p>
    <w:p w14:paraId="3D5AEB8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（2）根据乙方提供的购货合同、协议和发票，检查其所购材料、设备是否用于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（项目名称）工程建设，对本标段以外的购货款项，有权拒绝办理，并及时报告甲方；</w:t>
      </w:r>
    </w:p>
    <w:p w14:paraId="0DB4AFB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（3）根据乙方与分包单位签订的合同及支付文件，检查其支付款项是否符合有关条件，向分包单位以外单位的支付有权拒绝办理，并及时报告甲方；</w:t>
      </w:r>
    </w:p>
    <w:p w14:paraId="71D4F1CD">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（4）根据乙方提供的上级单位出具的转账通知等有关资料，办理管理费、机械设备及周转材料租赁摊销费等款项的支付；对超出转账通知等有关资料以外的支付，有权拒绝办理，并及时报告甲方；</w:t>
      </w:r>
    </w:p>
    <w:p w14:paraId="0298AEE1">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（5）定期将乙方前一个周期的支付情况，整理后书面报送甲方；乙方复印备案的材料一并送甲方。</w:t>
      </w:r>
    </w:p>
    <w:p w14:paraId="4F9C9F2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 甲、乙、丙三方都应履行保密责任，不得将其他两方的业务情况透露给三方以外的其他单位或个人。</w:t>
      </w:r>
    </w:p>
    <w:p w14:paraId="75BCC9E2">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 本协议有效期自乙方在丙方开户起，至工程交工验收甲方向乙方颁发交工验收证书后结束。</w:t>
      </w:r>
    </w:p>
    <w:p w14:paraId="40262DF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 本协议未尽事宜，由甲方牵头，三方协商解决。</w:t>
      </w:r>
    </w:p>
    <w:p w14:paraId="53A97D0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 本协议正本三份、副本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份。合同三方各执正本一份、副本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份，当正本与副本内容不一致时，以正本为准。</w:t>
      </w:r>
    </w:p>
    <w:p w14:paraId="70D54C0F">
      <w:pPr>
        <w:pStyle w:val="48"/>
        <w:spacing w:line="340" w:lineRule="atLeast"/>
        <w:rPr>
          <w:rFonts w:hint="eastAsia" w:ascii="宋体" w:hAnsi="宋体" w:eastAsia="宋体" w:cs="宋体"/>
          <w:b/>
          <w:color w:val="auto"/>
          <w:sz w:val="24"/>
        </w:rPr>
      </w:pPr>
    </w:p>
    <w:p w14:paraId="2B5049B1">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6E3AD053">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36EA7083">
      <w:pPr>
        <w:pStyle w:val="48"/>
        <w:spacing w:line="340" w:lineRule="atLeast"/>
        <w:ind w:firstLine="1920" w:firstLineChars="800"/>
        <w:rPr>
          <w:rFonts w:hint="eastAsia" w:ascii="宋体" w:hAnsi="宋体" w:eastAsia="宋体" w:cs="宋体"/>
          <w:b/>
          <w:bCs/>
          <w:color w:val="auto"/>
          <w:sz w:val="4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    </w:t>
      </w:r>
    </w:p>
    <w:p w14:paraId="5F23CCBB">
      <w:pPr>
        <w:pStyle w:val="48"/>
        <w:spacing w:line="340" w:lineRule="atLeast"/>
        <w:rPr>
          <w:rFonts w:hint="eastAsia" w:ascii="宋体" w:hAnsi="宋体" w:eastAsia="宋体" w:cs="宋体"/>
          <w:color w:val="auto"/>
          <w:sz w:val="24"/>
        </w:rPr>
      </w:pPr>
    </w:p>
    <w:p w14:paraId="5D8E4471">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3EC4E34B">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3A7A8E4E">
      <w:pPr>
        <w:pStyle w:val="48"/>
        <w:spacing w:line="340" w:lineRule="atLeast"/>
        <w:ind w:firstLine="1920" w:firstLineChars="800"/>
        <w:rPr>
          <w:rFonts w:hint="eastAsia" w:ascii="宋体" w:hAnsi="宋体" w:eastAsia="宋体" w:cs="宋体"/>
          <w:b/>
          <w:bCs/>
          <w:color w:val="auto"/>
          <w:sz w:val="4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    </w:t>
      </w:r>
    </w:p>
    <w:p w14:paraId="76C40590">
      <w:pPr>
        <w:pStyle w:val="48"/>
        <w:spacing w:line="340" w:lineRule="atLeast"/>
        <w:rPr>
          <w:rFonts w:hint="eastAsia" w:ascii="宋体" w:hAnsi="宋体" w:eastAsia="宋体" w:cs="宋体"/>
          <w:color w:val="auto"/>
          <w:sz w:val="24"/>
        </w:rPr>
      </w:pPr>
    </w:p>
    <w:p w14:paraId="41E45B75">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经办银行：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320742E8">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284475C7">
      <w:pPr>
        <w:pStyle w:val="48"/>
        <w:spacing w:line="340" w:lineRule="atLeast"/>
        <w:ind w:firstLine="1920" w:firstLineChars="800"/>
        <w:rPr>
          <w:rFonts w:hint="eastAsia" w:ascii="宋体" w:hAnsi="宋体" w:eastAsia="宋体" w:cs="宋体"/>
          <w:color w:val="auto"/>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2046E06">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第六部分 响应文件格式</w:t>
      </w:r>
      <w:bookmarkEnd w:id="73"/>
      <w:bookmarkEnd w:id="74"/>
      <w:bookmarkEnd w:id="75"/>
    </w:p>
    <w:p w14:paraId="0C644BC7">
      <w:pPr>
        <w:spacing w:line="360" w:lineRule="auto"/>
        <w:ind w:firstLine="480" w:firstLineChars="200"/>
        <w:rPr>
          <w:rFonts w:hint="eastAsia" w:ascii="宋体" w:hAnsi="宋体" w:cs="宋体"/>
          <w:color w:val="auto"/>
          <w:sz w:val="24"/>
          <w:szCs w:val="24"/>
          <w:highlight w:val="none"/>
        </w:rPr>
      </w:pPr>
    </w:p>
    <w:p w14:paraId="4F2E81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编制说明：</w:t>
      </w:r>
    </w:p>
    <w:p w14:paraId="3E5036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文件格式，仅起到样式作用，编制</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文件前，请详细阅读</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w:t>
      </w:r>
    </w:p>
    <w:p w14:paraId="58EDFB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文件的编制应按照本格式提供的内容，做出逐一的明确答复；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认为</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必要，还可以做其它补充说明。</w:t>
      </w:r>
    </w:p>
    <w:p w14:paraId="2501E7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文件中相关表格如不够填写时，</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可以自行扩展。</w:t>
      </w:r>
    </w:p>
    <w:p w14:paraId="34C130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文件格式中要求响应的内容应完整，不得随意删减。</w:t>
      </w:r>
    </w:p>
    <w:p w14:paraId="75DD1DBC">
      <w:pPr>
        <w:spacing w:line="360" w:lineRule="auto"/>
        <w:ind w:firstLine="480" w:firstLineChars="200"/>
        <w:rPr>
          <w:rFonts w:hint="eastAsia"/>
          <w:b/>
          <w:color w:val="auto"/>
          <w:sz w:val="30"/>
          <w:szCs w:val="30"/>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w:t>
      </w:r>
      <w:r>
        <w:rPr>
          <w:rFonts w:hint="eastAsia" w:ascii="宋体" w:hAnsi="宋体" w:cs="宋体"/>
          <w:b/>
          <w:bCs/>
          <w:color w:val="auto"/>
          <w:sz w:val="24"/>
          <w:szCs w:val="24"/>
          <w:highlight w:val="none"/>
        </w:rPr>
        <w:t>须编写目录</w:t>
      </w:r>
      <w:r>
        <w:rPr>
          <w:rFonts w:hint="eastAsia" w:ascii="宋体" w:hAnsi="宋体" w:cs="宋体"/>
          <w:b/>
          <w:bCs/>
          <w:color w:val="auto"/>
          <w:sz w:val="24"/>
          <w:szCs w:val="24"/>
          <w:highlight w:val="none"/>
          <w:lang w:val="en-US" w:eastAsia="zh-CN"/>
        </w:rPr>
        <w:t>及页码</w:t>
      </w:r>
      <w:r>
        <w:rPr>
          <w:rFonts w:hint="eastAsia" w:ascii="宋体" w:hAnsi="宋体" w:cs="宋体"/>
          <w:color w:val="auto"/>
          <w:sz w:val="24"/>
          <w:szCs w:val="24"/>
          <w:highlight w:val="none"/>
        </w:rPr>
        <w:t>。</w:t>
      </w:r>
    </w:p>
    <w:p w14:paraId="6131186C">
      <w:pPr>
        <w:spacing w:line="360" w:lineRule="auto"/>
        <w:rPr>
          <w:rFonts w:hint="eastAsia" w:ascii="宋体" w:hAnsi="宋体"/>
          <w:color w:val="auto"/>
          <w:sz w:val="24"/>
          <w:szCs w:val="24"/>
          <w:highlight w:val="none"/>
        </w:rPr>
      </w:pPr>
    </w:p>
    <w:p w14:paraId="33D8A7DA">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14:paraId="693FAA9F">
      <w:pPr>
        <w:jc w:val="right"/>
        <w:outlineLvl w:val="9"/>
        <w:rPr>
          <w:rFonts w:hint="default"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正本/副本</w:t>
      </w:r>
    </w:p>
    <w:p w14:paraId="296A59EB">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textAlignment w:val="baseline"/>
        <w:outlineLvl w:val="9"/>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项目编号：</w:t>
      </w:r>
      <w:r>
        <w:rPr>
          <w:rFonts w:hint="eastAsia" w:eastAsia="宋体" w:cs="宋体"/>
          <w:b/>
          <w:bCs/>
          <w:color w:val="auto"/>
          <w:sz w:val="28"/>
          <w:szCs w:val="36"/>
          <w:highlight w:val="none"/>
          <w:lang w:val="en-US" w:eastAsia="zh-CN"/>
        </w:rPr>
        <w:t>HC-ZFCG-2025-030</w:t>
      </w:r>
    </w:p>
    <w:p w14:paraId="48A1F083">
      <w:pPr>
        <w:jc w:val="center"/>
        <w:outlineLvl w:val="9"/>
        <w:rPr>
          <w:rFonts w:hint="eastAsia" w:ascii="宋体" w:hAnsi="宋体" w:eastAsia="宋体" w:cs="宋体"/>
          <w:b/>
          <w:bCs/>
          <w:i w:val="0"/>
          <w:iCs w:val="0"/>
          <w:color w:val="auto"/>
          <w:sz w:val="48"/>
          <w:szCs w:val="48"/>
          <w:highlight w:val="none"/>
          <w:lang w:val="en-US" w:eastAsia="zh-CN"/>
        </w:rPr>
      </w:pPr>
    </w:p>
    <w:p w14:paraId="24167A02">
      <w:pPr>
        <w:pStyle w:val="3"/>
        <w:rPr>
          <w:rFonts w:hint="eastAsia"/>
          <w:color w:val="auto"/>
          <w:lang w:val="en-US" w:eastAsia="zh-CN"/>
        </w:rPr>
      </w:pPr>
    </w:p>
    <w:p w14:paraId="13412EFC">
      <w:pPr>
        <w:jc w:val="center"/>
        <w:outlineLvl w:val="9"/>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吴起县周湾镇2025年重点工程配套</w:t>
      </w:r>
    </w:p>
    <w:p w14:paraId="48131CBF">
      <w:pPr>
        <w:jc w:val="center"/>
        <w:outlineLvl w:val="9"/>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以工代赈示范项目</w:t>
      </w:r>
    </w:p>
    <w:p w14:paraId="2DAADC9F">
      <w:pPr>
        <w:jc w:val="center"/>
        <w:outlineLvl w:val="9"/>
        <w:rPr>
          <w:rFonts w:hint="eastAsia" w:ascii="宋体" w:hAnsi="宋体" w:eastAsia="宋体" w:cs="宋体"/>
          <w:b w:val="0"/>
          <w:bCs w:val="0"/>
          <w:i w:val="0"/>
          <w:iCs w:val="0"/>
          <w:color w:val="auto"/>
          <w:sz w:val="56"/>
          <w:szCs w:val="96"/>
          <w:highlight w:val="none"/>
          <w:lang w:val="en-US" w:eastAsia="zh-CN"/>
        </w:rPr>
      </w:pPr>
    </w:p>
    <w:p w14:paraId="7B31BEA0">
      <w:pPr>
        <w:jc w:val="center"/>
        <w:outlineLvl w:val="9"/>
        <w:rPr>
          <w:rFonts w:hint="eastAsia" w:ascii="宋体" w:hAnsi="宋体" w:eastAsia="宋体" w:cs="宋体"/>
          <w:b/>
          <w:bCs/>
          <w:color w:val="auto"/>
          <w:sz w:val="72"/>
          <w:szCs w:val="144"/>
          <w:highlight w:val="none"/>
          <w:lang w:val="en-US" w:eastAsia="zh-CN"/>
        </w:rPr>
      </w:pPr>
    </w:p>
    <w:p w14:paraId="1A0EA637">
      <w:pPr>
        <w:jc w:val="center"/>
        <w:outlineLvl w:val="9"/>
        <w:rPr>
          <w:rFonts w:hint="eastAsia" w:ascii="宋体" w:hAnsi="宋体" w:eastAsia="宋体" w:cs="宋体"/>
          <w:b/>
          <w:bCs/>
          <w:color w:val="auto"/>
          <w:sz w:val="72"/>
          <w:szCs w:val="144"/>
          <w:highlight w:val="none"/>
          <w:lang w:val="en-US" w:eastAsia="zh-CN"/>
        </w:rPr>
      </w:pPr>
    </w:p>
    <w:p w14:paraId="60606D92">
      <w:pPr>
        <w:pStyle w:val="7"/>
        <w:rPr>
          <w:rFonts w:hint="eastAsia"/>
          <w:color w:val="auto"/>
          <w:lang w:val="en-US" w:eastAsia="zh-CN"/>
        </w:rPr>
      </w:pPr>
    </w:p>
    <w:p w14:paraId="612486B5">
      <w:pPr>
        <w:spacing w:line="600" w:lineRule="auto"/>
        <w:ind w:firstLine="211"/>
        <w:jc w:val="center"/>
        <w:outlineLvl w:val="9"/>
        <w:rPr>
          <w:rFonts w:hint="eastAsia" w:ascii="宋体" w:hAnsi="宋体"/>
          <w:b/>
          <w:color w:val="auto"/>
          <w:sz w:val="48"/>
          <w:szCs w:val="48"/>
          <w:highlight w:val="none"/>
        </w:rPr>
      </w:pPr>
      <w:r>
        <w:rPr>
          <w:rFonts w:hint="eastAsia" w:ascii="宋体" w:hAnsi="宋体" w:eastAsia="宋体" w:cs="宋体"/>
          <w:b/>
          <w:bCs/>
          <w:i w:val="0"/>
          <w:iCs w:val="0"/>
          <w:color w:val="auto"/>
          <w:sz w:val="44"/>
          <w:szCs w:val="44"/>
          <w:highlight w:val="none"/>
          <w:lang w:val="en-US" w:eastAsia="zh-CN"/>
        </w:rPr>
        <w:t>竞争性磋商响应文件</w:t>
      </w:r>
    </w:p>
    <w:p w14:paraId="0FFB463D">
      <w:pPr>
        <w:jc w:val="center"/>
        <w:outlineLvl w:val="9"/>
        <w:rPr>
          <w:rFonts w:hint="eastAsia" w:ascii="宋体" w:hAnsi="宋体" w:eastAsia="宋体" w:cs="宋体"/>
          <w:b/>
          <w:bCs/>
          <w:color w:val="auto"/>
          <w:sz w:val="72"/>
          <w:szCs w:val="144"/>
          <w:highlight w:val="none"/>
          <w:lang w:val="en-US" w:eastAsia="zh-CN"/>
        </w:rPr>
      </w:pPr>
    </w:p>
    <w:p w14:paraId="762F766F">
      <w:pPr>
        <w:pStyle w:val="7"/>
        <w:rPr>
          <w:rFonts w:hint="eastAsia"/>
          <w:color w:val="auto"/>
          <w:lang w:val="en-US" w:eastAsia="zh-CN"/>
        </w:rPr>
      </w:pPr>
    </w:p>
    <w:p w14:paraId="7F3A3EE3">
      <w:pPr>
        <w:jc w:val="center"/>
        <w:outlineLvl w:val="9"/>
        <w:rPr>
          <w:rFonts w:hint="eastAsia" w:ascii="宋体" w:hAnsi="宋体" w:eastAsia="宋体" w:cs="宋体"/>
          <w:b/>
          <w:bCs/>
          <w:color w:val="auto"/>
          <w:sz w:val="72"/>
          <w:szCs w:val="144"/>
          <w:highlight w:val="none"/>
          <w:lang w:val="en-US" w:eastAsia="zh-CN"/>
        </w:rPr>
      </w:pPr>
    </w:p>
    <w:p w14:paraId="461DB45D">
      <w:pPr>
        <w:spacing w:line="600" w:lineRule="auto"/>
        <w:ind w:firstLine="1285" w:firstLineChars="400"/>
        <w:outlineLvl w:val="9"/>
        <w:rPr>
          <w:rFonts w:hint="eastAsia" w:ascii="宋体" w:hAnsi="宋体"/>
          <w:b/>
          <w:bCs/>
          <w:color w:val="auto"/>
          <w:sz w:val="32"/>
          <w:szCs w:val="32"/>
          <w:highlight w:val="none"/>
          <w:u w:val="single"/>
        </w:rPr>
      </w:pP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（公章）</w:t>
      </w:r>
    </w:p>
    <w:p w14:paraId="7FAF35E7">
      <w:pPr>
        <w:spacing w:line="600" w:lineRule="auto"/>
        <w:ind w:firstLine="1285" w:firstLineChars="400"/>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法定代表人</w:t>
      </w:r>
      <w:r>
        <w:rPr>
          <w:rFonts w:hint="eastAsia" w:ascii="宋体" w:hAnsi="宋体"/>
          <w:b/>
          <w:bCs/>
          <w:color w:val="auto"/>
          <w:sz w:val="32"/>
          <w:szCs w:val="32"/>
          <w:highlight w:val="none"/>
          <w:lang w:val="en-US" w:eastAsia="zh-CN"/>
        </w:rPr>
        <w:t>或授权代表</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（签字或盖章）</w:t>
      </w:r>
    </w:p>
    <w:p w14:paraId="56D79DE4">
      <w:pPr>
        <w:spacing w:line="480" w:lineRule="auto"/>
        <w:ind w:firstLine="1285" w:firstLineChars="400"/>
        <w:outlineLvl w:val="9"/>
        <w:rPr>
          <w:rFonts w:hint="eastAsia" w:ascii="宋体" w:hAnsi="宋体" w:eastAsiaTheme="minorEastAsia"/>
          <w:color w:val="auto"/>
          <w:sz w:val="32"/>
          <w:szCs w:val="32"/>
          <w:highlight w:val="none"/>
          <w:lang w:val="en-US" w:eastAsia="zh-CN"/>
        </w:rPr>
      </w:pPr>
      <w:r>
        <w:rPr>
          <w:rFonts w:hint="eastAsia" w:ascii="宋体" w:hAnsi="宋体"/>
          <w:b/>
          <w:bCs/>
          <w:color w:val="auto"/>
          <w:sz w:val="32"/>
          <w:szCs w:val="32"/>
          <w:highlight w:val="none"/>
        </w:rPr>
        <w:t>时    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none"/>
          <w:lang w:val="en-US" w:eastAsia="zh-CN"/>
        </w:rPr>
        <w:t>日</w:t>
      </w:r>
    </w:p>
    <w:p w14:paraId="03A58125">
      <w:pPr>
        <w:widowControl/>
        <w:spacing w:line="480" w:lineRule="auto"/>
        <w:jc w:val="center"/>
        <w:outlineLvl w:val="9"/>
        <w:rPr>
          <w:rFonts w:ascii="宋体" w:hAnsi="宋体"/>
          <w:color w:val="auto"/>
          <w:sz w:val="32"/>
          <w:szCs w:val="32"/>
          <w:highlight w:val="none"/>
        </w:rPr>
      </w:pPr>
      <w:r>
        <w:rPr>
          <w:rFonts w:ascii="宋体" w:hAnsi="宋体"/>
          <w:color w:val="auto"/>
          <w:sz w:val="32"/>
          <w:szCs w:val="32"/>
          <w:highlight w:val="none"/>
        </w:rPr>
        <w:br w:type="page"/>
      </w:r>
    </w:p>
    <w:p w14:paraId="09F3306D">
      <w:pPr>
        <w:widowControl/>
        <w:spacing w:line="480" w:lineRule="auto"/>
        <w:jc w:val="center"/>
        <w:outlineLvl w:val="9"/>
        <w:rPr>
          <w:rFonts w:ascii="宋体" w:hAnsi="宋体"/>
          <w:color w:val="auto"/>
          <w:sz w:val="32"/>
          <w:szCs w:val="32"/>
          <w:highlight w:val="none"/>
        </w:rPr>
      </w:pPr>
      <w:bookmarkStart w:id="104" w:name="_Toc75259380"/>
      <w:r>
        <w:rPr>
          <w:rFonts w:hint="eastAsia" w:ascii="宋体" w:hAnsi="宋体"/>
          <w:b/>
          <w:color w:val="auto"/>
          <w:sz w:val="32"/>
          <w:szCs w:val="28"/>
          <w:highlight w:val="none"/>
        </w:rPr>
        <w:t xml:space="preserve">目 </w:t>
      </w:r>
      <w:r>
        <w:rPr>
          <w:rFonts w:ascii="宋体" w:hAnsi="宋体"/>
          <w:b/>
          <w:color w:val="auto"/>
          <w:sz w:val="32"/>
          <w:szCs w:val="28"/>
          <w:highlight w:val="none"/>
        </w:rPr>
        <w:t xml:space="preserve"> </w:t>
      </w:r>
      <w:r>
        <w:rPr>
          <w:rFonts w:hint="eastAsia" w:ascii="宋体" w:hAnsi="宋体"/>
          <w:b/>
          <w:color w:val="auto"/>
          <w:sz w:val="32"/>
          <w:szCs w:val="28"/>
          <w:highlight w:val="none"/>
        </w:rPr>
        <w:t>录</w:t>
      </w:r>
      <w:bookmarkEnd w:id="104"/>
    </w:p>
    <w:p w14:paraId="2492E307">
      <w:pPr>
        <w:pStyle w:val="24"/>
        <w:spacing w:line="480" w:lineRule="auto"/>
        <w:jc w:val="left"/>
        <w:outlineLvl w:val="9"/>
        <w:rPr>
          <w:color w:val="auto"/>
          <w:sz w:val="24"/>
          <w:szCs w:val="24"/>
          <w:highlight w:val="none"/>
        </w:rPr>
      </w:pPr>
      <w:r>
        <w:rPr>
          <w:rFonts w:hint="eastAsia"/>
          <w:color w:val="auto"/>
          <w:sz w:val="24"/>
          <w:szCs w:val="24"/>
          <w:highlight w:val="none"/>
        </w:rPr>
        <w:t>一、</w:t>
      </w:r>
      <w:r>
        <w:rPr>
          <w:rFonts w:hint="eastAsia"/>
          <w:color w:val="auto"/>
          <w:sz w:val="24"/>
          <w:szCs w:val="24"/>
          <w:highlight w:val="none"/>
          <w:lang w:val="en-US" w:eastAsia="zh-CN"/>
        </w:rPr>
        <w:t>磋商响应</w:t>
      </w:r>
      <w:r>
        <w:rPr>
          <w:rFonts w:hint="eastAsia"/>
          <w:color w:val="auto"/>
          <w:sz w:val="24"/>
          <w:szCs w:val="24"/>
          <w:highlight w:val="none"/>
        </w:rPr>
        <w:t>函</w:t>
      </w:r>
    </w:p>
    <w:p w14:paraId="460FFECC">
      <w:pPr>
        <w:pStyle w:val="24"/>
        <w:spacing w:line="480" w:lineRule="auto"/>
        <w:jc w:val="left"/>
        <w:outlineLvl w:val="9"/>
        <w:rPr>
          <w:color w:val="auto"/>
          <w:sz w:val="24"/>
          <w:szCs w:val="24"/>
          <w:highlight w:val="none"/>
        </w:rPr>
      </w:pPr>
      <w:r>
        <w:rPr>
          <w:rFonts w:hint="eastAsia"/>
          <w:color w:val="auto"/>
          <w:sz w:val="24"/>
          <w:szCs w:val="24"/>
          <w:highlight w:val="none"/>
        </w:rPr>
        <w:t>二、</w:t>
      </w:r>
      <w:r>
        <w:rPr>
          <w:rFonts w:hint="eastAsia"/>
          <w:color w:val="auto"/>
          <w:sz w:val="24"/>
          <w:szCs w:val="24"/>
          <w:highlight w:val="none"/>
          <w:lang w:val="en-US" w:eastAsia="zh-CN"/>
        </w:rPr>
        <w:t>报价</w:t>
      </w:r>
      <w:r>
        <w:rPr>
          <w:rFonts w:hint="eastAsia"/>
          <w:color w:val="auto"/>
          <w:sz w:val="24"/>
          <w:szCs w:val="24"/>
          <w:highlight w:val="none"/>
        </w:rPr>
        <w:t>一览表</w:t>
      </w:r>
    </w:p>
    <w:p w14:paraId="2E58C85B">
      <w:pPr>
        <w:pStyle w:val="24"/>
        <w:spacing w:line="480" w:lineRule="auto"/>
        <w:jc w:val="left"/>
        <w:outlineLvl w:val="9"/>
        <w:rPr>
          <w:rFonts w:hint="eastAsia"/>
          <w:color w:val="auto"/>
          <w:sz w:val="24"/>
          <w:szCs w:val="24"/>
          <w:highlight w:val="none"/>
        </w:rPr>
      </w:pPr>
      <w:r>
        <w:rPr>
          <w:rFonts w:hint="eastAsia"/>
          <w:color w:val="auto"/>
          <w:sz w:val="24"/>
          <w:szCs w:val="24"/>
          <w:highlight w:val="none"/>
        </w:rPr>
        <w:t>三、法定代表人身份证明及法定代表人授权委托书</w:t>
      </w:r>
    </w:p>
    <w:p w14:paraId="7FCADBFC">
      <w:pPr>
        <w:pStyle w:val="24"/>
        <w:spacing w:line="480" w:lineRule="auto"/>
        <w:jc w:val="left"/>
        <w:outlineLvl w:val="9"/>
        <w:rPr>
          <w:rFonts w:hint="eastAsia"/>
          <w:color w:val="auto"/>
          <w:sz w:val="24"/>
          <w:szCs w:val="24"/>
          <w:highlight w:val="none"/>
        </w:rPr>
      </w:pPr>
      <w:r>
        <w:rPr>
          <w:rFonts w:hint="eastAsia"/>
          <w:color w:val="auto"/>
          <w:sz w:val="24"/>
          <w:szCs w:val="24"/>
          <w:highlight w:val="none"/>
        </w:rPr>
        <w:t>四、资格证明文件</w:t>
      </w:r>
    </w:p>
    <w:p w14:paraId="152B42B3">
      <w:pPr>
        <w:pStyle w:val="24"/>
        <w:spacing w:line="480" w:lineRule="auto"/>
        <w:jc w:val="left"/>
        <w:outlineLvl w:val="9"/>
        <w:rPr>
          <w:bCs/>
          <w:color w:val="auto"/>
          <w:sz w:val="24"/>
          <w:szCs w:val="24"/>
          <w:highlight w:val="none"/>
        </w:rPr>
      </w:pPr>
      <w:r>
        <w:rPr>
          <w:rFonts w:hint="eastAsia"/>
          <w:bCs/>
          <w:color w:val="auto"/>
          <w:sz w:val="24"/>
          <w:szCs w:val="24"/>
          <w:highlight w:val="none"/>
        </w:rPr>
        <w:t>五、商务部分</w:t>
      </w:r>
    </w:p>
    <w:p w14:paraId="15F3CD2C">
      <w:pPr>
        <w:pStyle w:val="24"/>
        <w:spacing w:line="480" w:lineRule="auto"/>
        <w:jc w:val="left"/>
        <w:outlineLvl w:val="9"/>
        <w:rPr>
          <w:bCs/>
          <w:color w:val="auto"/>
          <w:sz w:val="24"/>
          <w:szCs w:val="24"/>
          <w:highlight w:val="none"/>
        </w:rPr>
      </w:pPr>
      <w:r>
        <w:rPr>
          <w:rFonts w:hint="eastAsia"/>
          <w:bCs/>
          <w:color w:val="auto"/>
          <w:sz w:val="24"/>
          <w:szCs w:val="24"/>
          <w:highlight w:val="none"/>
          <w:lang w:eastAsia="zh-CN"/>
        </w:rPr>
        <w:t>六</w:t>
      </w:r>
      <w:r>
        <w:rPr>
          <w:rFonts w:hint="eastAsia"/>
          <w:bCs/>
          <w:color w:val="auto"/>
          <w:sz w:val="24"/>
          <w:szCs w:val="24"/>
          <w:highlight w:val="none"/>
        </w:rPr>
        <w:t>、技术部分</w:t>
      </w:r>
    </w:p>
    <w:p w14:paraId="5AE27E74">
      <w:pPr>
        <w:pStyle w:val="24"/>
        <w:spacing w:line="480" w:lineRule="auto"/>
        <w:jc w:val="left"/>
        <w:outlineLvl w:val="9"/>
        <w:rPr>
          <w:rFonts w:hint="eastAsia"/>
          <w:color w:val="auto"/>
          <w:sz w:val="24"/>
          <w:szCs w:val="24"/>
          <w:highlight w:val="none"/>
        </w:rPr>
      </w:pPr>
      <w:r>
        <w:rPr>
          <w:rFonts w:hint="eastAsia"/>
          <w:bCs/>
          <w:color w:val="auto"/>
          <w:sz w:val="24"/>
          <w:szCs w:val="24"/>
          <w:highlight w:val="none"/>
          <w:lang w:eastAsia="zh-CN"/>
        </w:rPr>
        <w:t>七</w:t>
      </w:r>
      <w:r>
        <w:rPr>
          <w:rFonts w:hint="eastAsia"/>
          <w:bCs/>
          <w:color w:val="auto"/>
          <w:sz w:val="24"/>
          <w:szCs w:val="24"/>
          <w:highlight w:val="none"/>
        </w:rPr>
        <w:t>、其他材料</w:t>
      </w:r>
    </w:p>
    <w:p w14:paraId="5D06915B">
      <w:pPr>
        <w:outlineLvl w:val="9"/>
        <w:rPr>
          <w:color w:val="auto"/>
          <w:highlight w:val="none"/>
        </w:rPr>
      </w:pPr>
    </w:p>
    <w:p w14:paraId="4B73F203">
      <w:pPr>
        <w:outlineLvl w:val="9"/>
        <w:rPr>
          <w:rFonts w:hint="eastAsia"/>
          <w:color w:val="auto"/>
          <w:highlight w:val="none"/>
        </w:rPr>
      </w:pPr>
    </w:p>
    <w:p w14:paraId="2098E3E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b/>
          <w:color w:val="auto"/>
          <w:sz w:val="36"/>
          <w:szCs w:val="36"/>
          <w:highlight w:val="none"/>
        </w:rPr>
      </w:pPr>
      <w:r>
        <w:rPr>
          <w:b/>
          <w:color w:val="auto"/>
          <w:sz w:val="30"/>
          <w:szCs w:val="30"/>
          <w:highlight w:val="none"/>
        </w:rPr>
        <w:br w:type="page"/>
      </w:r>
      <w:bookmarkStart w:id="105" w:name="_Toc75259381"/>
      <w:r>
        <w:rPr>
          <w:rFonts w:hint="eastAsia" w:ascii="宋体" w:hAnsi="宋体"/>
          <w:b/>
          <w:color w:val="auto"/>
          <w:sz w:val="32"/>
          <w:szCs w:val="24"/>
          <w:highlight w:val="none"/>
        </w:rPr>
        <w:t>一、</w:t>
      </w:r>
      <w:r>
        <w:rPr>
          <w:rFonts w:hint="eastAsia" w:ascii="宋体" w:hAnsi="宋体"/>
          <w:b/>
          <w:color w:val="auto"/>
          <w:sz w:val="32"/>
          <w:szCs w:val="24"/>
          <w:highlight w:val="none"/>
          <w:lang w:val="en-US" w:eastAsia="zh-CN"/>
        </w:rPr>
        <w:t>磋商响应</w:t>
      </w:r>
      <w:r>
        <w:rPr>
          <w:rFonts w:hint="eastAsia" w:ascii="宋体" w:hAnsi="宋体"/>
          <w:b/>
          <w:color w:val="auto"/>
          <w:sz w:val="32"/>
          <w:szCs w:val="24"/>
          <w:highlight w:val="none"/>
        </w:rPr>
        <w:t>函</w:t>
      </w:r>
      <w:bookmarkEnd w:id="105"/>
    </w:p>
    <w:p w14:paraId="52267EAA">
      <w:pPr>
        <w:pStyle w:val="2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华春建设工程项目管理有限责任公司</w:t>
      </w:r>
      <w:r>
        <w:rPr>
          <w:rFonts w:hint="eastAsia" w:ascii="宋体" w:hAnsi="宋体" w:eastAsia="宋体" w:cs="宋体"/>
          <w:b w:val="0"/>
          <w:bCs/>
          <w:color w:val="auto"/>
          <w:sz w:val="24"/>
          <w:szCs w:val="24"/>
          <w:highlight w:val="none"/>
        </w:rPr>
        <w:t>：</w:t>
      </w:r>
    </w:p>
    <w:p w14:paraId="2C72D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6" w:name="_Hlk74735128"/>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lang w:val="en-US" w:eastAsia="zh-CN"/>
        </w:rPr>
        <w:t xml:space="preserve">项目名称：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文件，经详细研究，我们决定参加本次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活动。为此，我方郑重声明以下诸点，并负法律责任。</w:t>
      </w:r>
    </w:p>
    <w:p w14:paraId="50126E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一、愿意按照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文件中的要求，提供相应的技术服务，完成合同的责任和义务。</w:t>
      </w:r>
    </w:p>
    <w:p w14:paraId="4B9640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文件的规定，我公司的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报价为：人民币（大写）：</w:t>
      </w:r>
      <w:r>
        <w:rPr>
          <w:rFonts w:hint="eastAsia" w:ascii="仿宋_GB2312" w:hAnsi="仿宋_GB2312" w:eastAsia="仿宋_GB2312" w:cs="仿宋_GB2312"/>
          <w:color w:val="auto"/>
          <w:sz w:val="32"/>
          <w:szCs w:val="32"/>
          <w:highlight w:val="none"/>
          <w:u w:val="single"/>
        </w:rPr>
        <w:t xml:space="preserve">       </w:t>
      </w:r>
      <w:r>
        <w:rPr>
          <w:rFonts w:hint="eastAsia" w:ascii="宋体" w:hAnsi="宋体" w:eastAsia="宋体" w:cs="宋体"/>
          <w:color w:val="auto"/>
          <w:sz w:val="24"/>
          <w:szCs w:val="24"/>
          <w:highlight w:val="none"/>
        </w:rPr>
        <w:t>（</w:t>
      </w:r>
      <w:r>
        <w:rPr>
          <w:rFonts w:hint="eastAsia" w:ascii="微软雅黑" w:hAnsi="微软雅黑" w:eastAsia="微软雅黑" w:cs="微软雅黑"/>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元），并对</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报价负法律责任。</w:t>
      </w:r>
    </w:p>
    <w:p w14:paraId="010FC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三、我方承诺遵守《中华人民共和国政府采购法》及其实施条例的有关规定，保证在获得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资格后按照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文件确定的事项签订政府采购合同，履行双方所签订的合同，并承担合同规定的责任和义务，保证合同签订生效后</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2D7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份。</w:t>
      </w:r>
    </w:p>
    <w:p w14:paraId="662586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五、我方已详细阅读了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w:t>
      </w:r>
      <w:r>
        <w:rPr>
          <w:rFonts w:hint="eastAsia" w:ascii="宋体" w:hAnsi="宋体" w:eastAsia="宋体" w:cs="宋体"/>
          <w:color w:val="auto"/>
          <w:sz w:val="24"/>
          <w:szCs w:val="24"/>
          <w:highlight w:val="none"/>
          <w:lang w:val="en-US" w:eastAsia="zh-CN"/>
        </w:rPr>
        <w:t>完全同意采购文件的各项商务要求及实质性要求</w:t>
      </w:r>
      <w:r>
        <w:rPr>
          <w:rFonts w:hint="eastAsia" w:ascii="宋体" w:hAnsi="宋体" w:eastAsia="宋体" w:cs="宋体"/>
          <w:color w:val="auto"/>
          <w:sz w:val="24"/>
          <w:szCs w:val="24"/>
          <w:highlight w:val="none"/>
        </w:rPr>
        <w:t>。</w:t>
      </w:r>
    </w:p>
    <w:p w14:paraId="141F9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后在规定的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有效期内撤回</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，我们愿接受有关处罚决定。</w:t>
      </w:r>
    </w:p>
    <w:p w14:paraId="723E1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七、同意向贵方提供可能要求的，与本次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有关的任何证据或资料。我们完全理解最低</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报价不作为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的唯一条件，且尊重</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的评审结论和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w:t>
      </w:r>
    </w:p>
    <w:p w14:paraId="3EE89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后有效期为90个日历天，若我方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文件有效期自动延长至合同执行完毕。</w:t>
      </w:r>
    </w:p>
    <w:p w14:paraId="1D52D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九、有关于本</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文件的函电，请按下列地址联系。</w:t>
      </w:r>
    </w:p>
    <w:p w14:paraId="2E763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2404E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0FB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09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2C97B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p>
    <w:p w14:paraId="76EA9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0D9B2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3FD2B8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color w:val="auto"/>
          <w:sz w:val="24"/>
          <w:szCs w:val="24"/>
          <w:highlight w:val="none"/>
        </w:rPr>
      </w:pPr>
    </w:p>
    <w:p w14:paraId="4E1EA0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b/>
          <w:bCs/>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日</w:t>
      </w:r>
    </w:p>
    <w:bookmarkEnd w:id="106"/>
    <w:p w14:paraId="001810FF">
      <w:pPr>
        <w:widowControl/>
        <w:spacing w:line="360" w:lineRule="auto"/>
        <w:jc w:val="center"/>
        <w:outlineLvl w:val="9"/>
        <w:rPr>
          <w:rFonts w:ascii="宋体" w:hAnsi="宋体"/>
          <w:b/>
          <w:color w:val="auto"/>
          <w:sz w:val="32"/>
          <w:szCs w:val="24"/>
          <w:highlight w:val="none"/>
        </w:rPr>
      </w:pPr>
      <w:r>
        <w:rPr>
          <w:rFonts w:ascii="宋体" w:hAnsi="宋体"/>
          <w:b/>
          <w:color w:val="auto"/>
          <w:sz w:val="32"/>
          <w:szCs w:val="24"/>
          <w:highlight w:val="none"/>
        </w:rPr>
        <w:br w:type="page"/>
      </w:r>
      <w:bookmarkStart w:id="107" w:name="_Toc75259382"/>
      <w:r>
        <w:rPr>
          <w:rFonts w:hint="eastAsia" w:ascii="宋体" w:hAnsi="宋体"/>
          <w:b/>
          <w:color w:val="auto"/>
          <w:sz w:val="32"/>
          <w:szCs w:val="24"/>
          <w:highlight w:val="none"/>
        </w:rPr>
        <w:t>二、</w:t>
      </w:r>
      <w:r>
        <w:rPr>
          <w:rFonts w:hint="eastAsia" w:ascii="宋体" w:hAnsi="宋体"/>
          <w:b/>
          <w:color w:val="auto"/>
          <w:sz w:val="32"/>
          <w:szCs w:val="24"/>
          <w:highlight w:val="none"/>
          <w:lang w:eastAsia="zh-CN"/>
        </w:rPr>
        <w:t>报价</w:t>
      </w:r>
      <w:r>
        <w:rPr>
          <w:rFonts w:hint="eastAsia" w:ascii="宋体" w:hAnsi="宋体"/>
          <w:b/>
          <w:color w:val="auto"/>
          <w:sz w:val="32"/>
          <w:szCs w:val="24"/>
          <w:highlight w:val="none"/>
        </w:rPr>
        <w:t>一览表</w:t>
      </w:r>
      <w:bookmarkEnd w:id="107"/>
    </w:p>
    <w:p w14:paraId="2E906168">
      <w:pPr>
        <w:jc w:val="center"/>
        <w:outlineLvl w:val="9"/>
        <w:rPr>
          <w:color w:val="auto"/>
          <w:highlight w:val="none"/>
        </w:rPr>
      </w:pPr>
    </w:p>
    <w:p w14:paraId="1FB57EC8">
      <w:pPr>
        <w:jc w:val="center"/>
        <w:outlineLvl w:val="9"/>
        <w:rPr>
          <w:rFonts w:hint="eastAsia"/>
          <w:color w:val="auto"/>
          <w:highlight w:val="none"/>
        </w:rPr>
      </w:pPr>
    </w:p>
    <w:tbl>
      <w:tblPr>
        <w:tblStyle w:val="2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444"/>
      </w:tblGrid>
      <w:tr w14:paraId="663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282AF611">
            <w:pPr>
              <w:jc w:val="center"/>
              <w:outlineLvl w:val="9"/>
              <w:rPr>
                <w:rFonts w:hint="eastAsia" w:ascii="Times New Roman" w:hAnsi="Times New Roman" w:cs="宋体"/>
                <w:color w:val="auto"/>
                <w:sz w:val="24"/>
                <w:szCs w:val="32"/>
                <w:highlight w:val="none"/>
              </w:rPr>
            </w:pPr>
            <w:r>
              <w:rPr>
                <w:rFonts w:hint="eastAsia" w:ascii="宋体" w:hAnsi="宋体" w:cs="宋体"/>
                <w:color w:val="auto"/>
                <w:sz w:val="32"/>
                <w:szCs w:val="32"/>
                <w:highlight w:val="none"/>
              </w:rPr>
              <w:t xml:space="preserve"> </w:t>
            </w:r>
            <w:r>
              <w:rPr>
                <w:rFonts w:hint="eastAsia" w:ascii="Times New Roman" w:hAnsi="Times New Roman" w:cs="宋体"/>
                <w:color w:val="auto"/>
                <w:sz w:val="24"/>
                <w:szCs w:val="32"/>
                <w:highlight w:val="none"/>
              </w:rPr>
              <w:t>项目名称</w:t>
            </w:r>
          </w:p>
        </w:tc>
        <w:tc>
          <w:tcPr>
            <w:tcW w:w="5444" w:type="dxa"/>
            <w:vAlign w:val="center"/>
          </w:tcPr>
          <w:p w14:paraId="7D99AF57">
            <w:pPr>
              <w:outlineLvl w:val="9"/>
              <w:rPr>
                <w:rFonts w:hint="eastAsia" w:ascii="Times New Roman" w:hAnsi="Times New Roman" w:cs="宋体" w:eastAsiaTheme="minorEastAsia"/>
                <w:color w:val="auto"/>
                <w:sz w:val="24"/>
                <w:szCs w:val="32"/>
                <w:highlight w:val="none"/>
                <w:lang w:eastAsia="zh-CN"/>
              </w:rPr>
            </w:pPr>
            <w:r>
              <w:rPr>
                <w:rFonts w:hint="eastAsia" w:ascii="Times New Roman" w:hAnsi="Times New Roman" w:cs="宋体"/>
                <w:color w:val="auto"/>
                <w:sz w:val="24"/>
                <w:szCs w:val="32"/>
                <w:highlight w:val="none"/>
                <w:lang w:val="en-US" w:eastAsia="zh-CN"/>
              </w:rPr>
              <w:t>吴起县周湾镇2025年重点工程配套以工代赈示范项目</w:t>
            </w:r>
          </w:p>
        </w:tc>
      </w:tr>
      <w:tr w14:paraId="408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0EBB334C">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磋商</w:t>
            </w:r>
            <w:r>
              <w:rPr>
                <w:rFonts w:hint="eastAsia" w:ascii="Times New Roman" w:hAnsi="Times New Roman" w:cs="宋体"/>
                <w:color w:val="auto"/>
                <w:sz w:val="24"/>
                <w:szCs w:val="32"/>
                <w:highlight w:val="none"/>
              </w:rPr>
              <w:t>总报价（元）</w:t>
            </w:r>
          </w:p>
        </w:tc>
        <w:tc>
          <w:tcPr>
            <w:tcW w:w="5444" w:type="dxa"/>
            <w:vAlign w:val="center"/>
          </w:tcPr>
          <w:p w14:paraId="54A31D3C">
            <w:pPr>
              <w:jc w:val="left"/>
              <w:outlineLvl w:val="9"/>
              <w:rPr>
                <w:rFonts w:ascii="Times New Roman" w:hAnsi="Times New Roman"/>
                <w:color w:val="auto"/>
                <w:sz w:val="24"/>
                <w:szCs w:val="32"/>
                <w:highlight w:val="none"/>
              </w:rPr>
            </w:pPr>
            <w:r>
              <w:rPr>
                <w:rFonts w:hint="eastAsia" w:ascii="Times New Roman" w:hAnsi="Times New Roman" w:cs="宋体"/>
                <w:color w:val="auto"/>
                <w:sz w:val="24"/>
                <w:szCs w:val="32"/>
                <w:highlight w:val="none"/>
              </w:rPr>
              <w:t>大写：</w:t>
            </w:r>
          </w:p>
          <w:p w14:paraId="0AE5624D">
            <w:pPr>
              <w:outlineLvl w:val="9"/>
              <w:rPr>
                <w:rFonts w:hint="eastAsia" w:ascii="Times New Roman" w:hAnsi="Times New Roman" w:cs="宋体"/>
                <w:color w:val="auto"/>
                <w:sz w:val="24"/>
                <w:szCs w:val="32"/>
                <w:highlight w:val="none"/>
                <w:u w:val="single"/>
              </w:rPr>
            </w:pPr>
            <w:r>
              <w:rPr>
                <w:rFonts w:hint="eastAsia" w:ascii="Times New Roman" w:hAnsi="Times New Roman" w:cs="宋体"/>
                <w:color w:val="auto"/>
                <w:sz w:val="24"/>
                <w:szCs w:val="32"/>
                <w:highlight w:val="none"/>
              </w:rPr>
              <w:t>小写：</w:t>
            </w:r>
          </w:p>
        </w:tc>
      </w:tr>
      <w:tr w14:paraId="7CDD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384E754E">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u w:val="none"/>
                <w:lang w:val="en-US" w:eastAsia="zh-CN"/>
              </w:rPr>
              <w:t>工</w:t>
            </w:r>
            <w:r>
              <w:rPr>
                <w:rFonts w:hint="eastAsia" w:ascii="Times New Roman" w:hAnsi="Times New Roman" w:cs="宋体"/>
                <w:color w:val="auto"/>
                <w:sz w:val="24"/>
                <w:szCs w:val="32"/>
                <w:highlight w:val="none"/>
                <w:u w:val="none"/>
              </w:rPr>
              <w:t>期</w:t>
            </w:r>
          </w:p>
        </w:tc>
        <w:tc>
          <w:tcPr>
            <w:tcW w:w="5444" w:type="dxa"/>
            <w:vAlign w:val="center"/>
          </w:tcPr>
          <w:p w14:paraId="746E2853">
            <w:pPr>
              <w:jc w:val="left"/>
              <w:outlineLvl w:val="9"/>
              <w:rPr>
                <w:rFonts w:hint="eastAsia" w:ascii="Times New Roman" w:hAnsi="Times New Roman" w:cs="宋体"/>
                <w:color w:val="auto"/>
                <w:sz w:val="24"/>
                <w:szCs w:val="32"/>
                <w:highlight w:val="none"/>
              </w:rPr>
            </w:pPr>
          </w:p>
        </w:tc>
      </w:tr>
      <w:tr w14:paraId="5CBE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1F3745E1">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质量标准</w:t>
            </w:r>
          </w:p>
        </w:tc>
        <w:tc>
          <w:tcPr>
            <w:tcW w:w="5444" w:type="dxa"/>
            <w:vAlign w:val="center"/>
          </w:tcPr>
          <w:p w14:paraId="7C9E8765">
            <w:pPr>
              <w:jc w:val="left"/>
              <w:outlineLvl w:val="9"/>
              <w:rPr>
                <w:rFonts w:hint="eastAsia" w:ascii="Times New Roman" w:hAnsi="Times New Roman" w:cs="宋体"/>
                <w:color w:val="auto"/>
                <w:sz w:val="24"/>
                <w:szCs w:val="32"/>
                <w:highlight w:val="none"/>
              </w:rPr>
            </w:pPr>
          </w:p>
        </w:tc>
      </w:tr>
      <w:tr w14:paraId="6244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7D3C45F4">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项目经理姓名及证号</w:t>
            </w:r>
          </w:p>
        </w:tc>
        <w:tc>
          <w:tcPr>
            <w:tcW w:w="5444" w:type="dxa"/>
            <w:vAlign w:val="center"/>
          </w:tcPr>
          <w:p w14:paraId="15A98080">
            <w:pPr>
              <w:pStyle w:val="7"/>
              <w:rPr>
                <w:rFonts w:hint="eastAsia" w:eastAsia="楷体_GB2312"/>
                <w:color w:val="auto"/>
                <w:sz w:val="36"/>
                <w:szCs w:val="32"/>
                <w:lang w:eastAsia="zh-CN"/>
              </w:rPr>
            </w:pPr>
          </w:p>
        </w:tc>
      </w:tr>
      <w:tr w14:paraId="7275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640E9494">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其他说明事项</w:t>
            </w:r>
          </w:p>
        </w:tc>
        <w:tc>
          <w:tcPr>
            <w:tcW w:w="5444" w:type="dxa"/>
            <w:vAlign w:val="center"/>
          </w:tcPr>
          <w:p w14:paraId="018D2AC1">
            <w:pPr>
              <w:pStyle w:val="7"/>
              <w:rPr>
                <w:rFonts w:hint="eastAsia" w:eastAsia="楷体_GB2312"/>
                <w:color w:val="auto"/>
                <w:sz w:val="36"/>
                <w:szCs w:val="32"/>
                <w:lang w:eastAsia="zh-CN"/>
              </w:rPr>
            </w:pPr>
          </w:p>
        </w:tc>
      </w:tr>
    </w:tbl>
    <w:p w14:paraId="474E6C31">
      <w:pPr>
        <w:spacing w:line="360" w:lineRule="auto"/>
        <w:outlineLvl w:val="9"/>
        <w:rPr>
          <w:color w:val="auto"/>
          <w:highlight w:val="none"/>
        </w:rPr>
      </w:pPr>
    </w:p>
    <w:p w14:paraId="3A438883">
      <w:pPr>
        <w:outlineLvl w:val="9"/>
        <w:rPr>
          <w:color w:val="auto"/>
          <w:highlight w:val="none"/>
        </w:rPr>
      </w:pPr>
    </w:p>
    <w:p w14:paraId="4F06D71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264671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246D9E2">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bookmarkStart w:id="108" w:name="_Toc75259383"/>
    </w:p>
    <w:p w14:paraId="25D9EAA3">
      <w:pPr>
        <w:pStyle w:val="7"/>
        <w:rPr>
          <w:rFonts w:hint="eastAsia"/>
          <w:color w:val="auto"/>
          <w:lang w:val="en-US" w:eastAsia="zh-CN"/>
        </w:rPr>
      </w:pPr>
    </w:p>
    <w:bookmarkEnd w:id="108"/>
    <w:p w14:paraId="5B003B75">
      <w:pPr>
        <w:rPr>
          <w:rFonts w:hint="eastAsia" w:ascii="宋体" w:hAnsi="宋体"/>
          <w:b/>
          <w:color w:val="auto"/>
          <w:sz w:val="32"/>
          <w:szCs w:val="24"/>
          <w:highlight w:val="none"/>
        </w:rPr>
      </w:pPr>
      <w:r>
        <w:rPr>
          <w:rFonts w:hint="eastAsia" w:cs="宋体"/>
          <w:b/>
          <w:color w:val="auto"/>
          <w:sz w:val="32"/>
          <w:szCs w:val="32"/>
          <w:highlight w:val="none"/>
          <w:lang w:val="en-US" w:eastAsia="zh-CN"/>
        </w:rPr>
        <w:br w:type="page"/>
      </w:r>
      <w:bookmarkStart w:id="109" w:name="_Toc75259385"/>
    </w:p>
    <w:p w14:paraId="340125B1">
      <w:pPr>
        <w:widowControl/>
        <w:spacing w:line="360" w:lineRule="auto"/>
        <w:jc w:val="center"/>
        <w:outlineLvl w:val="9"/>
        <w:rPr>
          <w:rFonts w:hint="eastAsia" w:ascii="宋体" w:hAnsi="宋体"/>
          <w:b/>
          <w:color w:val="auto"/>
          <w:sz w:val="32"/>
          <w:szCs w:val="24"/>
          <w:highlight w:val="none"/>
          <w:lang w:val="en-US" w:eastAsia="zh-CN"/>
        </w:rPr>
      </w:pPr>
      <w:r>
        <w:rPr>
          <w:rFonts w:hint="eastAsia" w:ascii="宋体" w:hAnsi="宋体"/>
          <w:b/>
          <w:color w:val="auto"/>
          <w:sz w:val="32"/>
          <w:szCs w:val="24"/>
          <w:highlight w:val="none"/>
        </w:rPr>
        <w:t>三、</w:t>
      </w:r>
      <w:bookmarkStart w:id="110" w:name="_Hlk63340562"/>
      <w:r>
        <w:rPr>
          <w:rFonts w:hint="eastAsia" w:ascii="宋体" w:hAnsi="宋体"/>
          <w:b/>
          <w:color w:val="auto"/>
          <w:sz w:val="32"/>
          <w:szCs w:val="24"/>
          <w:highlight w:val="none"/>
          <w:lang w:val="en-US" w:eastAsia="zh-CN"/>
        </w:rPr>
        <w:t>工程量清单计价表</w:t>
      </w:r>
    </w:p>
    <w:p w14:paraId="171DD8B9">
      <w:pPr>
        <w:pStyle w:val="11"/>
        <w:ind w:firstLine="562"/>
        <w:rPr>
          <w:rFonts w:hint="eastAsia" w:ascii="宋体" w:hAnsi="宋体" w:eastAsia="宋体" w:cs="宋体"/>
          <w:b/>
          <w:sz w:val="28"/>
          <w:szCs w:val="28"/>
          <w:highlight w:val="none"/>
        </w:rPr>
      </w:pPr>
    </w:p>
    <w:p w14:paraId="42F8323A">
      <w:pPr>
        <w:spacing w:line="500" w:lineRule="exact"/>
        <w:rPr>
          <w:rFonts w:hint="eastAsia" w:ascii="宋体" w:hAnsi="宋体" w:eastAsia="宋体" w:cs="宋体"/>
          <w:sz w:val="28"/>
          <w:szCs w:val="28"/>
          <w:highlight w:val="none"/>
        </w:rPr>
      </w:pPr>
    </w:p>
    <w:p w14:paraId="7CF6AE68">
      <w:pPr>
        <w:spacing w:line="500" w:lineRule="exact"/>
        <w:rPr>
          <w:rFonts w:hint="eastAsia" w:ascii="宋体" w:hAnsi="宋体" w:eastAsia="宋体" w:cs="宋体"/>
          <w:sz w:val="28"/>
          <w:szCs w:val="28"/>
          <w:highlight w:val="none"/>
        </w:rPr>
      </w:pPr>
    </w:p>
    <w:p w14:paraId="406ECB0F">
      <w:pPr>
        <w:spacing w:line="500" w:lineRule="exact"/>
        <w:rPr>
          <w:rFonts w:hint="eastAsia" w:ascii="宋体" w:hAnsi="宋体" w:eastAsia="宋体" w:cs="宋体"/>
          <w:sz w:val="28"/>
          <w:szCs w:val="28"/>
          <w:highlight w:val="none"/>
        </w:rPr>
      </w:pPr>
    </w:p>
    <w:p w14:paraId="64FD2898">
      <w:pPr>
        <w:spacing w:line="500" w:lineRule="exact"/>
        <w:rPr>
          <w:rFonts w:hint="eastAsia" w:ascii="宋体" w:hAnsi="宋体" w:eastAsia="宋体" w:cs="宋体"/>
          <w:sz w:val="28"/>
          <w:szCs w:val="28"/>
          <w:highlight w:val="none"/>
        </w:rPr>
      </w:pPr>
    </w:p>
    <w:p w14:paraId="27E26ACE">
      <w:pPr>
        <w:jc w:val="center"/>
        <w:outlineLvl w:val="9"/>
        <w:rPr>
          <w:rFonts w:hint="eastAsia" w:ascii="宋体" w:hAnsi="宋体" w:eastAsia="宋体" w:cs="宋体"/>
          <w:b/>
          <w:sz w:val="44"/>
          <w:szCs w:val="44"/>
          <w:highlight w:val="none"/>
        </w:rPr>
      </w:pPr>
      <w:r>
        <w:rPr>
          <w:rFonts w:hint="eastAsia" w:ascii="宋体" w:hAnsi="宋体" w:eastAsia="宋体" w:cs="宋体"/>
          <w:b/>
          <w:sz w:val="36"/>
          <w:highlight w:val="none"/>
          <w:u w:val="single"/>
        </w:rPr>
        <w:t xml:space="preserve">                            </w:t>
      </w:r>
      <w:r>
        <w:rPr>
          <w:rFonts w:hint="eastAsia" w:ascii="宋体" w:hAnsi="宋体" w:eastAsia="宋体" w:cs="宋体"/>
          <w:b/>
          <w:sz w:val="44"/>
          <w:szCs w:val="44"/>
          <w:highlight w:val="none"/>
        </w:rPr>
        <w:t>工程</w:t>
      </w:r>
    </w:p>
    <w:p w14:paraId="1D2CB7F6">
      <w:pPr>
        <w:rPr>
          <w:rFonts w:hint="eastAsia" w:ascii="宋体" w:hAnsi="宋体" w:eastAsia="宋体" w:cs="宋体"/>
          <w:b/>
          <w:sz w:val="36"/>
          <w:highlight w:val="none"/>
        </w:rPr>
      </w:pPr>
    </w:p>
    <w:p w14:paraId="16D56760">
      <w:pPr>
        <w:jc w:val="center"/>
        <w:outlineLvl w:val="9"/>
        <w:rPr>
          <w:rFonts w:hint="eastAsia" w:ascii="宋体" w:hAnsi="宋体" w:eastAsia="宋体" w:cs="宋体"/>
          <w:b/>
          <w:sz w:val="44"/>
          <w:highlight w:val="none"/>
        </w:rPr>
      </w:pPr>
    </w:p>
    <w:p w14:paraId="0C1A265E">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 xml:space="preserve">投 标 总 价 </w:t>
      </w:r>
    </w:p>
    <w:p w14:paraId="456C9D48">
      <w:pPr>
        <w:ind w:firstLine="984" w:firstLineChars="350"/>
        <w:rPr>
          <w:rFonts w:hint="eastAsia" w:ascii="宋体" w:hAnsi="宋体" w:eastAsia="宋体" w:cs="宋体"/>
          <w:b/>
          <w:sz w:val="28"/>
          <w:szCs w:val="28"/>
          <w:highlight w:val="none"/>
        </w:rPr>
      </w:pPr>
    </w:p>
    <w:p w14:paraId="74BB385A">
      <w:pPr>
        <w:spacing w:line="360" w:lineRule="auto"/>
        <w:ind w:firstLine="984" w:firstLineChars="35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投标总价(小写)：__________________________________</w:t>
      </w:r>
    </w:p>
    <w:p w14:paraId="07E683C6">
      <w:pPr>
        <w:spacing w:line="360" w:lineRule="auto"/>
        <w:ind w:firstLine="2108" w:firstLineChars="750"/>
        <w:rPr>
          <w:rFonts w:hint="eastAsia" w:ascii="宋体" w:hAnsi="宋体" w:eastAsia="宋体" w:cs="宋体"/>
          <w:b/>
          <w:sz w:val="28"/>
          <w:szCs w:val="28"/>
          <w:highlight w:val="none"/>
        </w:rPr>
      </w:pPr>
      <w:r>
        <w:rPr>
          <w:rFonts w:hint="eastAsia" w:ascii="宋体" w:hAnsi="宋体" w:eastAsia="宋体" w:cs="宋体"/>
          <w:b/>
          <w:sz w:val="28"/>
          <w:szCs w:val="28"/>
          <w:highlight w:val="none"/>
        </w:rPr>
        <w:t>(大写)：__________________________________</w:t>
      </w:r>
    </w:p>
    <w:p w14:paraId="17386A29">
      <w:pPr>
        <w:ind w:firstLine="2108" w:firstLineChars="750"/>
        <w:rPr>
          <w:rFonts w:hint="eastAsia" w:ascii="宋体" w:hAnsi="宋体" w:eastAsia="宋体" w:cs="宋体"/>
          <w:b/>
          <w:sz w:val="28"/>
          <w:szCs w:val="28"/>
          <w:highlight w:val="none"/>
        </w:rPr>
      </w:pPr>
    </w:p>
    <w:p w14:paraId="30BE6D2A">
      <w:pPr>
        <w:rPr>
          <w:rFonts w:hint="eastAsia" w:ascii="宋体" w:hAnsi="宋体" w:eastAsia="宋体" w:cs="宋体"/>
          <w:b/>
          <w:sz w:val="28"/>
          <w:szCs w:val="28"/>
          <w:highlight w:val="none"/>
        </w:rPr>
      </w:pPr>
    </w:p>
    <w:p w14:paraId="11246A7B">
      <w:pPr>
        <w:pStyle w:val="3"/>
        <w:rPr>
          <w:rFonts w:hint="eastAsia" w:ascii="宋体" w:hAnsi="宋体" w:eastAsia="宋体" w:cs="宋体"/>
        </w:rPr>
      </w:pPr>
    </w:p>
    <w:p w14:paraId="7F42514B">
      <w:pPr>
        <w:rPr>
          <w:rFonts w:hint="eastAsia" w:ascii="宋体" w:hAnsi="宋体" w:eastAsia="宋体" w:cs="宋体"/>
          <w:b/>
          <w:sz w:val="28"/>
          <w:szCs w:val="28"/>
          <w:highlight w:val="none"/>
        </w:rPr>
      </w:pPr>
    </w:p>
    <w:p w14:paraId="6D2DE555">
      <w:pPr>
        <w:rPr>
          <w:rFonts w:hint="eastAsia" w:ascii="宋体" w:hAnsi="宋体" w:eastAsia="宋体" w:cs="宋体"/>
          <w:b/>
          <w:sz w:val="28"/>
          <w:szCs w:val="28"/>
          <w:highlight w:val="none"/>
        </w:rPr>
      </w:pPr>
    </w:p>
    <w:p w14:paraId="2E30BFB3">
      <w:pPr>
        <w:rPr>
          <w:rFonts w:hint="eastAsia" w:ascii="宋体" w:hAnsi="宋体" w:eastAsia="宋体" w:cs="宋体"/>
          <w:b/>
          <w:sz w:val="28"/>
          <w:szCs w:val="28"/>
          <w:highlight w:val="none"/>
        </w:rPr>
      </w:pPr>
    </w:p>
    <w:p w14:paraId="728A15EF">
      <w:pPr>
        <w:spacing w:line="480" w:lineRule="auto"/>
        <w:rPr>
          <w:rFonts w:hint="eastAsia" w:ascii="宋体" w:hAnsi="宋体" w:eastAsia="宋体" w:cs="宋体"/>
          <w:b/>
          <w:sz w:val="28"/>
          <w:szCs w:val="28"/>
          <w:highlight w:val="none"/>
          <w:u w:val="single"/>
        </w:rPr>
      </w:pP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投 标 人：</w:t>
      </w:r>
      <w:r>
        <w:rPr>
          <w:rFonts w:hint="eastAsia" w:ascii="宋体" w:hAnsi="宋体" w:eastAsia="宋体" w:cs="宋体"/>
          <w:b/>
          <w:sz w:val="28"/>
          <w:szCs w:val="28"/>
          <w:highlight w:val="none"/>
          <w:u w:val="single"/>
        </w:rPr>
        <w:t xml:space="preserve">                          (单位盖章)</w:t>
      </w:r>
    </w:p>
    <w:p w14:paraId="348AC03A">
      <w:pPr>
        <w:spacing w:line="480" w:lineRule="auto"/>
        <w:ind w:firstLine="984" w:firstLineChars="350"/>
        <w:rPr>
          <w:rFonts w:ascii="宋体" w:hAnsi="宋体"/>
          <w:b/>
          <w:sz w:val="28"/>
          <w:szCs w:val="28"/>
          <w:highlight w:val="none"/>
        </w:rPr>
      </w:pPr>
      <w:r>
        <w:rPr>
          <w:rFonts w:hint="eastAsia" w:ascii="宋体" w:hAnsi="宋体" w:eastAsia="宋体" w:cs="宋体"/>
          <w:b/>
          <w:sz w:val="28"/>
          <w:szCs w:val="28"/>
          <w:highlight w:val="none"/>
        </w:rPr>
        <w:t>法定代表人或其授权人：</w:t>
      </w:r>
      <w:r>
        <w:rPr>
          <w:rFonts w:hint="eastAsia" w:ascii="宋体" w:hAnsi="宋体" w:eastAsia="宋体" w:cs="宋体"/>
          <w:b/>
          <w:sz w:val="28"/>
          <w:szCs w:val="28"/>
          <w:highlight w:val="none"/>
          <w:u w:val="single"/>
        </w:rPr>
        <w:t xml:space="preserve">              (签字或盖章)</w:t>
      </w:r>
      <w:r>
        <w:rPr>
          <w:rFonts w:hint="eastAsia" w:ascii="宋体" w:hAnsi="宋体" w:eastAsia="宋体" w:cs="宋体"/>
          <w:b/>
          <w:sz w:val="28"/>
          <w:szCs w:val="28"/>
          <w:highlight w:val="none"/>
        </w:rPr>
        <w:t xml:space="preserve">   </w:t>
      </w:r>
      <w:r>
        <w:rPr>
          <w:rFonts w:hint="eastAsia" w:ascii="宋体" w:hAnsi="宋体"/>
          <w:b/>
          <w:sz w:val="28"/>
          <w:szCs w:val="28"/>
          <w:highlight w:val="none"/>
        </w:rPr>
        <w:t xml:space="preserve">  </w:t>
      </w:r>
    </w:p>
    <w:p w14:paraId="13F17A37">
      <w:pPr>
        <w:spacing w:line="480" w:lineRule="auto"/>
        <w:ind w:firstLine="967" w:firstLineChars="344"/>
        <w:rPr>
          <w:rFonts w:hint="eastAsia" w:ascii="宋体" w:hAnsi="宋体"/>
          <w:b/>
          <w:sz w:val="28"/>
          <w:szCs w:val="28"/>
          <w:highlight w:val="none"/>
        </w:rPr>
      </w:pPr>
      <w:r>
        <w:rPr>
          <w:rFonts w:hint="eastAsia" w:ascii="宋体" w:hAnsi="宋体"/>
          <w:b/>
          <w:sz w:val="28"/>
          <w:szCs w:val="28"/>
          <w:highlight w:val="none"/>
        </w:rPr>
        <w:t>编制时间：</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6960B9B3">
      <w:pPr>
        <w:widowControl/>
        <w:spacing w:line="360" w:lineRule="auto"/>
        <w:jc w:val="center"/>
        <w:outlineLvl w:val="9"/>
        <w:rPr>
          <w:rFonts w:hint="eastAsia" w:ascii="宋体" w:hAnsi="宋体"/>
          <w:b/>
          <w:color w:val="auto"/>
          <w:sz w:val="32"/>
          <w:szCs w:val="24"/>
          <w:highlight w:val="none"/>
        </w:rPr>
      </w:pPr>
    </w:p>
    <w:p w14:paraId="6E176D93">
      <w:pPr>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6E39E6D0">
      <w:pPr>
        <w:spacing w:line="360" w:lineRule="auto"/>
        <w:jc w:val="center"/>
        <w:outlineLvl w:val="1"/>
        <w:rPr>
          <w:rFonts w:hint="eastAsia" w:ascii="宋体" w:hAnsi="宋体" w:eastAsia="宋体" w:cs="宋体"/>
          <w:b/>
          <w:sz w:val="32"/>
          <w:szCs w:val="32"/>
          <w:highlight w:val="none"/>
        </w:rPr>
      </w:pPr>
      <w:r>
        <w:rPr>
          <w:rFonts w:hint="eastAsia" w:ascii="宋体" w:hAnsi="宋体"/>
          <w:b/>
          <w:color w:val="auto"/>
          <w:sz w:val="32"/>
          <w:szCs w:val="24"/>
          <w:highlight w:val="none"/>
          <w:lang w:val="en-US" w:eastAsia="zh-CN"/>
        </w:rPr>
        <w:t>四、</w:t>
      </w:r>
      <w:r>
        <w:rPr>
          <w:rFonts w:hint="eastAsia" w:ascii="宋体" w:hAnsi="宋体" w:eastAsia="宋体" w:cs="宋体"/>
          <w:b/>
          <w:sz w:val="32"/>
          <w:szCs w:val="32"/>
          <w:highlight w:val="none"/>
          <w:lang w:val="en-US" w:eastAsia="zh-CN"/>
        </w:rPr>
        <w:t>磋商</w:t>
      </w:r>
      <w:r>
        <w:rPr>
          <w:rFonts w:hint="eastAsia" w:ascii="宋体" w:hAnsi="宋体" w:eastAsia="宋体" w:cs="宋体"/>
          <w:b/>
          <w:sz w:val="32"/>
          <w:szCs w:val="32"/>
          <w:highlight w:val="none"/>
        </w:rPr>
        <w:t>保证金缴纳凭证</w:t>
      </w:r>
    </w:p>
    <w:p w14:paraId="45622395">
      <w:pPr>
        <w:spacing w:line="360" w:lineRule="auto"/>
        <w:ind w:left="1262"/>
        <w:outlineLvl w:val="9"/>
        <w:rPr>
          <w:rFonts w:hint="eastAsia" w:ascii="宋体" w:hAnsi="宋体" w:eastAsia="宋体" w:cs="宋体"/>
          <w:sz w:val="24"/>
          <w:highlight w:val="none"/>
        </w:rPr>
      </w:pPr>
    </w:p>
    <w:tbl>
      <w:tblPr>
        <w:tblStyle w:val="28"/>
        <w:tblW w:w="828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280"/>
      </w:tblGrid>
      <w:tr w14:paraId="57EC7D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573" w:hRule="atLeast"/>
          <w:jc w:val="center"/>
        </w:trPr>
        <w:tc>
          <w:tcPr>
            <w:tcW w:w="8280" w:type="dxa"/>
            <w:vAlign w:val="center"/>
          </w:tcPr>
          <w:p w14:paraId="50969D9A">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粘贴处</w:t>
            </w:r>
          </w:p>
        </w:tc>
      </w:tr>
    </w:tbl>
    <w:p w14:paraId="2473CEFE">
      <w:pPr>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1D1A6A57">
      <w:pPr>
        <w:widowControl/>
        <w:spacing w:line="360" w:lineRule="auto"/>
        <w:jc w:val="center"/>
        <w:outlineLvl w:val="9"/>
        <w:rPr>
          <w:rFonts w:hint="eastAsia"/>
          <w:b/>
          <w:color w:val="auto"/>
          <w:sz w:val="30"/>
          <w:szCs w:val="30"/>
          <w:highlight w:val="none"/>
        </w:rPr>
      </w:pPr>
      <w:r>
        <w:rPr>
          <w:rFonts w:hint="eastAsia" w:ascii="宋体" w:hAnsi="宋体"/>
          <w:b/>
          <w:color w:val="auto"/>
          <w:sz w:val="32"/>
          <w:szCs w:val="24"/>
          <w:highlight w:val="none"/>
          <w:lang w:val="en-US" w:eastAsia="zh-CN"/>
        </w:rPr>
        <w:t>五、</w:t>
      </w:r>
      <w:r>
        <w:rPr>
          <w:rFonts w:hint="eastAsia" w:ascii="宋体" w:hAnsi="宋体"/>
          <w:b/>
          <w:color w:val="auto"/>
          <w:sz w:val="32"/>
          <w:szCs w:val="24"/>
          <w:highlight w:val="none"/>
        </w:rPr>
        <w:t>法定代表人（自然人）身份证明</w:t>
      </w:r>
      <w:bookmarkEnd w:id="109"/>
    </w:p>
    <w:bookmarkEnd w:id="110"/>
    <w:p w14:paraId="2CE7B21A">
      <w:pPr>
        <w:autoSpaceDE w:val="0"/>
        <w:autoSpaceDN w:val="0"/>
        <w:adjustRightInd w:val="0"/>
        <w:spacing w:line="360" w:lineRule="auto"/>
        <w:jc w:val="right"/>
        <w:outlineLvl w:val="9"/>
        <w:rPr>
          <w:rFonts w:hint="eastAsia" w:ascii="宋体" w:hAnsi="宋体"/>
          <w:color w:val="auto"/>
          <w:szCs w:val="21"/>
          <w:highlight w:val="none"/>
          <w:lang w:val="zh-CN"/>
        </w:rPr>
      </w:pPr>
    </w:p>
    <w:p w14:paraId="75612D7A">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供应商名称：</w:t>
      </w:r>
      <w:r>
        <w:rPr>
          <w:rFonts w:hint="eastAsia" w:ascii="宋体" w:hAnsi="宋体"/>
          <w:color w:val="auto"/>
          <w:sz w:val="24"/>
          <w:szCs w:val="24"/>
          <w:highlight w:val="none"/>
          <w:u w:val="single"/>
          <w:lang w:val="zh-CN"/>
        </w:rPr>
        <w:t xml:space="preserve">                                    </w:t>
      </w:r>
    </w:p>
    <w:p w14:paraId="108E83DD">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性别：</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年龄：</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系</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（供应商名称）的法定代表人。</w:t>
      </w:r>
    </w:p>
    <w:p w14:paraId="65102582">
      <w:pPr>
        <w:autoSpaceDE w:val="0"/>
        <w:autoSpaceDN w:val="0"/>
        <w:adjustRightInd w:val="0"/>
        <w:spacing w:line="600" w:lineRule="auto"/>
        <w:ind w:right="105" w:firstLine="480" w:firstLineChars="200"/>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特此证明。</w:t>
      </w:r>
    </w:p>
    <w:p w14:paraId="54F7567F">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附：法定代表人身份证复印件。</w:t>
      </w:r>
    </w:p>
    <w:tbl>
      <w:tblPr>
        <w:tblStyle w:val="29"/>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0"/>
        <w:gridCol w:w="4550"/>
      </w:tblGrid>
      <w:tr w14:paraId="101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4550" w:type="dxa"/>
          </w:tcPr>
          <w:p w14:paraId="4CC95B50">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c>
          <w:tcPr>
            <w:tcW w:w="4550" w:type="dxa"/>
          </w:tcPr>
          <w:p w14:paraId="6010A143">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r>
    </w:tbl>
    <w:p w14:paraId="34F3D059">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70F95831">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0E103517">
      <w:pPr>
        <w:outlineLvl w:val="9"/>
        <w:rPr>
          <w:rFonts w:hint="eastAsia"/>
          <w:color w:val="auto"/>
          <w:highlight w:val="none"/>
          <w:lang w:val="zh-CN"/>
        </w:rPr>
      </w:pPr>
    </w:p>
    <w:p w14:paraId="1EF78757">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5337E5F6">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注：自然人</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lang w:val="zh-CN"/>
        </w:rPr>
        <w:t>的此处只附身份证复印件。</w:t>
      </w:r>
    </w:p>
    <w:p w14:paraId="2641BBAF">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40773765">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21E2235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0AEBFD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FAF492F">
      <w:pPr>
        <w:autoSpaceDE w:val="0"/>
        <w:autoSpaceDN w:val="0"/>
        <w:adjustRightInd w:val="0"/>
        <w:spacing w:line="360" w:lineRule="auto"/>
        <w:jc w:val="left"/>
        <w:outlineLvl w:val="9"/>
        <w:rPr>
          <w:rFonts w:hint="eastAsia" w:ascii="宋体" w:hAnsi="宋体"/>
          <w:color w:val="auto"/>
          <w:szCs w:val="21"/>
          <w:highlight w:val="none"/>
          <w:lang w:val="zh-CN"/>
        </w:rPr>
      </w:pPr>
    </w:p>
    <w:p w14:paraId="6FC89092">
      <w:pPr>
        <w:spacing w:line="360" w:lineRule="auto"/>
        <w:ind w:firstLine="210"/>
        <w:jc w:val="center"/>
        <w:outlineLvl w:val="9"/>
        <w:rPr>
          <w:rFonts w:hint="eastAsia"/>
          <w:b/>
          <w:color w:val="auto"/>
          <w:sz w:val="32"/>
          <w:szCs w:val="32"/>
          <w:highlight w:val="none"/>
        </w:rPr>
      </w:pPr>
      <w:r>
        <w:rPr>
          <w:rFonts w:ascii="宋体" w:hAnsi="宋体"/>
          <w:color w:val="auto"/>
          <w:szCs w:val="21"/>
          <w:highlight w:val="none"/>
          <w:lang w:val="zh-CN"/>
        </w:rPr>
        <w:br w:type="page"/>
      </w:r>
      <w:bookmarkStart w:id="111" w:name="_Toc75259386"/>
      <w:r>
        <w:rPr>
          <w:rFonts w:hint="eastAsia" w:ascii="宋体" w:hAnsi="宋体"/>
          <w:b/>
          <w:bCs/>
          <w:color w:val="auto"/>
          <w:sz w:val="32"/>
          <w:szCs w:val="32"/>
          <w:highlight w:val="none"/>
          <w:lang w:val="en-US" w:eastAsia="zh-CN"/>
        </w:rPr>
        <w:t>法定代表人</w:t>
      </w:r>
      <w:r>
        <w:rPr>
          <w:rFonts w:hint="eastAsia" w:ascii="宋体" w:hAnsi="宋体" w:cs="宋体"/>
          <w:b/>
          <w:color w:val="auto"/>
          <w:sz w:val="32"/>
          <w:szCs w:val="32"/>
          <w:highlight w:val="none"/>
        </w:rPr>
        <w:t>授权委托书</w:t>
      </w:r>
      <w:bookmarkEnd w:id="111"/>
    </w:p>
    <w:p w14:paraId="61C7DC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bookmarkStart w:id="112" w:name="_Toc75259387"/>
      <w:r>
        <w:rPr>
          <w:rFonts w:hint="eastAsia" w:asciiTheme="minorEastAsia" w:hAnsiTheme="minorEastAsia" w:eastAsiaTheme="minorEastAsia" w:cstheme="minorEastAsia"/>
          <w:color w:val="auto"/>
          <w:sz w:val="24"/>
          <w:szCs w:val="24"/>
          <w:highlight w:val="none"/>
          <w:lang w:val="zh-CN"/>
        </w:rPr>
        <w:t>本人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（姓名）系</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名称）的法定代表人，现委托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（姓名）为我方</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根据授权，以我方名义签署、澄清确认、递交、撤回、修改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rPr>
        <w:t>文件、签订合同和处理有关事宜，其法律后果由我方承担。</w:t>
      </w:r>
    </w:p>
    <w:p w14:paraId="43EFCC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委托期限：同</w:t>
      </w:r>
      <w:r>
        <w:rPr>
          <w:rFonts w:hint="eastAsia" w:asciiTheme="minorEastAsia" w:hAnsi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zh-CN"/>
        </w:rPr>
        <w:t>有效期。</w:t>
      </w:r>
    </w:p>
    <w:p w14:paraId="6C0F37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被授权人无转委托权。</w:t>
      </w:r>
    </w:p>
    <w:p w14:paraId="1F9712B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p>
    <w:p w14:paraId="3F78D6F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附：法定代表人身份证复印件及被授权人身份证复印件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4610"/>
      </w:tblGrid>
      <w:tr w14:paraId="1F69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610" w:type="dxa"/>
          </w:tcPr>
          <w:p w14:paraId="1C53D37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57791F6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r w14:paraId="4BD8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4610" w:type="dxa"/>
          </w:tcPr>
          <w:p w14:paraId="11D5D21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19FB615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bl>
    <w:p w14:paraId="5AC68D39">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（盖单位公章）</w:t>
      </w:r>
    </w:p>
    <w:p w14:paraId="5349B093">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法定代表人：</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4F4680B1">
      <w:pPr>
        <w:wordWrap w:val="0"/>
        <w:autoSpaceDE w:val="0"/>
        <w:autoSpaceDN w:val="0"/>
        <w:adjustRightInd w:val="0"/>
        <w:spacing w:line="600" w:lineRule="auto"/>
        <w:ind w:left="0" w:leftChars="0" w:right="21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授权代表</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66DE173B">
      <w:pPr>
        <w:autoSpaceDE w:val="0"/>
        <w:autoSpaceDN w:val="0"/>
        <w:adjustRightInd w:val="0"/>
        <w:spacing w:line="600" w:lineRule="auto"/>
        <w:ind w:firstLine="6000" w:firstLineChars="2500"/>
        <w:jc w:val="right"/>
        <w:outlineLvl w:val="9"/>
        <w:rPr>
          <w:rFonts w:hint="eastAsia" w:ascii="宋体" w:hAnsi="宋体"/>
          <w:color w:val="auto"/>
          <w:szCs w:val="21"/>
          <w:highlight w:val="none"/>
          <w:lang w:val="zh-CN"/>
        </w:rPr>
      </w:pPr>
      <w:r>
        <w:rPr>
          <w:rFonts w:hint="eastAsia" w:ascii="宋体" w:hAnsi="宋体"/>
          <w:color w:val="auto"/>
          <w:sz w:val="24"/>
          <w:szCs w:val="24"/>
          <w:highlight w:val="none"/>
          <w:lang w:val="zh-CN"/>
        </w:rPr>
        <w:t>年    月    日</w:t>
      </w:r>
    </w:p>
    <w:p w14:paraId="43FB45C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zh-CN"/>
        </w:rPr>
        <w:t>注：法定代表人（自然人）本人直接</w:t>
      </w:r>
      <w:r>
        <w:rPr>
          <w:rFonts w:hint="eastAsia" w:asciiTheme="minorEastAsia" w:hAnsiTheme="minorEastAsia" w:cstheme="minorEastAsia"/>
          <w:b/>
          <w:bCs/>
          <w:color w:val="auto"/>
          <w:sz w:val="22"/>
          <w:szCs w:val="22"/>
          <w:highlight w:val="none"/>
          <w:lang w:val="en-US" w:eastAsia="zh-CN"/>
        </w:rPr>
        <w:t>参与响应</w:t>
      </w:r>
      <w:r>
        <w:rPr>
          <w:rFonts w:hint="eastAsia" w:asciiTheme="minorEastAsia" w:hAnsiTheme="minorEastAsia" w:eastAsiaTheme="minorEastAsia" w:cstheme="minorEastAsia"/>
          <w:b/>
          <w:bCs/>
          <w:color w:val="auto"/>
          <w:sz w:val="22"/>
          <w:szCs w:val="22"/>
          <w:highlight w:val="none"/>
          <w:lang w:val="zh-CN"/>
        </w:rPr>
        <w:t>的不填写本部分内容。</w:t>
      </w:r>
    </w:p>
    <w:p w14:paraId="2BD179D3">
      <w:pPr>
        <w:outlineLvl w:val="9"/>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33611C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b/>
          <w:color w:val="auto"/>
          <w:sz w:val="30"/>
          <w:szCs w:val="30"/>
          <w:highlight w:val="none"/>
        </w:rPr>
      </w:pPr>
      <w:r>
        <w:rPr>
          <w:rFonts w:hint="eastAsia" w:ascii="宋体" w:hAnsi="宋体"/>
          <w:b/>
          <w:color w:val="auto"/>
          <w:sz w:val="32"/>
          <w:szCs w:val="24"/>
          <w:highlight w:val="none"/>
          <w:lang w:val="en-US" w:eastAsia="zh-CN"/>
        </w:rPr>
        <w:t>六</w:t>
      </w:r>
      <w:r>
        <w:rPr>
          <w:rFonts w:hint="eastAsia" w:ascii="宋体" w:hAnsi="宋体"/>
          <w:b/>
          <w:color w:val="auto"/>
          <w:sz w:val="32"/>
          <w:szCs w:val="24"/>
          <w:highlight w:val="none"/>
        </w:rPr>
        <w:t>、资格证明文件</w:t>
      </w:r>
      <w:bookmarkEnd w:id="112"/>
    </w:p>
    <w:p w14:paraId="7B769ED6">
      <w:pPr>
        <w:pStyle w:val="35"/>
        <w:spacing w:line="360" w:lineRule="auto"/>
        <w:outlineLvl w:val="9"/>
        <w:rPr>
          <w:rFonts w:hint="eastAsia" w:ascii="宋体" w:hAnsi="宋体"/>
          <w:b/>
          <w:bCs/>
          <w:color w:val="auto"/>
          <w:kern w:val="2"/>
          <w:sz w:val="21"/>
          <w:highlight w:val="none"/>
        </w:rPr>
      </w:pPr>
    </w:p>
    <w:p w14:paraId="029A32E1">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此处需附供应商资格证明文件并加盖公章</w:t>
      </w:r>
    </w:p>
    <w:p w14:paraId="3DD7EC65">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本项目的特定资格要求：</w:t>
      </w:r>
    </w:p>
    <w:p w14:paraId="538629E4">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本项目专门面向中小企业采购，供应商须为中型、小型、微型企业，并提供《中小企业声明函》（采购标的对应所属行业为建筑业，声明函格式按照《政府采购促进中小企业发展管理办法》（财库〔2020〕46号）要求提供）。</w:t>
      </w:r>
    </w:p>
    <w:p w14:paraId="34BB7B56">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1CF35275">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（2）供应商须具有开户许可证或基本存款账户信息证明；</w:t>
      </w:r>
      <w:r>
        <w:rPr>
          <w:rFonts w:hint="eastAsia"/>
          <w:color w:val="auto"/>
          <w:highlight w:val="none"/>
          <w:lang w:val="en-US" w:eastAsia="zh-CN"/>
        </w:rPr>
        <w:br w:type="textWrapping"/>
      </w:r>
      <w:r>
        <w:rPr>
          <w:rFonts w:hint="eastAsia"/>
          <w:color w:val="auto"/>
          <w:highlight w:val="none"/>
          <w:lang w:val="en-US" w:eastAsia="zh-CN"/>
        </w:rPr>
        <w:t xml:space="preserve">    （3）供应商需提供法定代表人委托授权书（法定代表人参加投标不需提供，但需要提供法定代表人身份证）及被授权人身份证；</w:t>
      </w:r>
    </w:p>
    <w:p w14:paraId="52BAD40F">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（4）供应商须具备公路工程施工总承包三级（含三级）及以上资质，并具有安全生产许可证；</w:t>
      </w:r>
    </w:p>
    <w:p w14:paraId="57DC5892">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（5）供应商拟派项目经理须具有公路工程专业二级及以上注册建造师资格和交通运输主管部门颁发的安全生产考核合格B证书，且无其他在建工程；</w:t>
      </w:r>
    </w:p>
    <w:p w14:paraId="38CFC0BA">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（6）供应商需提供提交响应文件截止日前近一年内至少一个月的纳税证明或完税证明，依法免税的单位应提供相关证明材料；</w:t>
      </w:r>
    </w:p>
    <w:p w14:paraId="3DC25B87">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（7）供应商需提供提交响应文件截止日前近一年内至少一个月的社会保障资金缴存单据或社保机构开具的社会保险参保缴费情况证明，依法不需要缴纳社会保资金的单位应提供相关证明材料； </w:t>
      </w:r>
    </w:p>
    <w:p w14:paraId="0EBB5A9E">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（8）供应商需提供2024年度经审计的财务报告，或其基本存款账户开户银行出具的资信证明及基本存款账户开户许可证(《基本存款账户信息》)；</w:t>
      </w:r>
    </w:p>
    <w:p w14:paraId="131406D8">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（9）供应商需提供参加本次政府采购活动前三年内在经营活动中没有重大违法记录的书面声明函；</w:t>
      </w:r>
    </w:p>
    <w:p w14:paraId="479AF4F1">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511C868">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（11）单位负责人为同一人或者存在控股、管理关系的不同供应商，不得参加同一合同项下的政府采购活动；</w:t>
      </w:r>
    </w:p>
    <w:p w14:paraId="6048D984">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（12）本项目不接受联合体磋商。</w:t>
      </w:r>
    </w:p>
    <w:p w14:paraId="17333CFD">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p>
    <w:p w14:paraId="469EE31C">
      <w:pPr>
        <w:widowControl/>
        <w:tabs>
          <w:tab w:val="left" w:pos="1620"/>
        </w:tabs>
        <w:wordWrap w:val="0"/>
        <w:spacing w:line="360" w:lineRule="auto"/>
        <w:ind w:right="-197" w:rightChars="-94" w:firstLine="420" w:firstLineChars="200"/>
        <w:jc w:val="left"/>
        <w:outlineLvl w:val="9"/>
        <w:rPr>
          <w:color w:val="auto"/>
          <w:highlight w:val="none"/>
        </w:rPr>
      </w:pPr>
    </w:p>
    <w:p w14:paraId="6BB23A79">
      <w:pPr>
        <w:spacing w:line="360" w:lineRule="auto"/>
        <w:jc w:val="center"/>
        <w:outlineLvl w:val="9"/>
        <w:rPr>
          <w:rFonts w:hint="eastAsia" w:ascii="宋体" w:hAnsi="宋体"/>
          <w:b/>
          <w:color w:val="auto"/>
          <w:sz w:val="30"/>
          <w:szCs w:val="30"/>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lang w:eastAsia="zh-CN"/>
        </w:rPr>
        <w:t>、</w:t>
      </w:r>
      <w:bookmarkStart w:id="113" w:name="_Toc75259388"/>
      <w:r>
        <w:rPr>
          <w:rFonts w:hint="eastAsia" w:ascii="宋体" w:hAnsi="宋体"/>
          <w:b/>
          <w:color w:val="auto"/>
          <w:sz w:val="32"/>
          <w:szCs w:val="24"/>
          <w:highlight w:val="none"/>
        </w:rPr>
        <w:t>商务部分</w:t>
      </w:r>
      <w:bookmarkEnd w:id="113"/>
    </w:p>
    <w:p w14:paraId="4714FA88">
      <w:pPr>
        <w:pStyle w:val="34"/>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auto"/>
          <w:sz w:val="24"/>
          <w:szCs w:val="24"/>
          <w:highlight w:val="none"/>
          <w:lang w:val="en-US" w:eastAsia="zh-CN"/>
        </w:rPr>
      </w:pPr>
    </w:p>
    <w:p w14:paraId="4214BBBB">
      <w:pPr>
        <w:pStyle w:val="34"/>
        <w:keepNext w:val="0"/>
        <w:keepLines w:val="0"/>
        <w:pageBreakBefore w:val="0"/>
        <w:kinsoku/>
        <w:overflowPunct/>
        <w:topLinePunct w:val="0"/>
        <w:autoSpaceDE/>
        <w:autoSpaceDN/>
        <w:bidi w:val="0"/>
        <w:adjustRightInd/>
        <w:snapToGrid/>
        <w:spacing w:line="360" w:lineRule="auto"/>
        <w:jc w:val="both"/>
        <w:rPr>
          <w:rFonts w:hint="default"/>
          <w:color w:val="auto"/>
          <w:lang w:val="en-US" w:eastAsia="zh-CN"/>
        </w:rPr>
      </w:pPr>
      <w:r>
        <w:rPr>
          <w:rFonts w:hint="eastAsia" w:ascii="宋体" w:hAnsi="宋体" w:eastAsia="宋体" w:cs="宋体"/>
          <w:color w:val="auto"/>
          <w:sz w:val="24"/>
          <w:szCs w:val="24"/>
          <w:highlight w:val="none"/>
          <w:lang w:val="en-US" w:eastAsia="zh-CN"/>
        </w:rPr>
        <w:t>供应商根据采购文件第11.3.1项详细评审因素-商务部分编写</w:t>
      </w:r>
    </w:p>
    <w:p w14:paraId="6DCE3D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114" w:name="_Toc75259389"/>
      <w:r>
        <w:rPr>
          <w:rFonts w:hint="eastAsia" w:ascii="宋体" w:hAnsi="宋体"/>
          <w:b/>
          <w:color w:val="auto"/>
          <w:sz w:val="32"/>
          <w:szCs w:val="24"/>
          <w:highlight w:val="none"/>
          <w:lang w:val="en-US" w:eastAsia="zh-CN"/>
        </w:rPr>
        <w:t>八</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技术部分</w:t>
      </w:r>
      <w:bookmarkEnd w:id="114"/>
    </w:p>
    <w:p w14:paraId="6E67BEA8">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4"/>
          <w:szCs w:val="24"/>
          <w:highlight w:val="none"/>
          <w:lang w:val="en-US" w:eastAsia="zh-CN"/>
        </w:rPr>
      </w:pPr>
    </w:p>
    <w:p w14:paraId="20096F26">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供应商根据采购文件第11.3.1项详细评审因素-技术部分编写</w:t>
      </w:r>
    </w:p>
    <w:p w14:paraId="1EA919D3">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lang w:val="en-US" w:eastAsia="zh-CN"/>
        </w:rPr>
      </w:pPr>
    </w:p>
    <w:p w14:paraId="0FE4DC0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115" w:name="_Toc75259390"/>
      <w:r>
        <w:rPr>
          <w:rFonts w:hint="eastAsia" w:ascii="宋体" w:hAnsi="宋体"/>
          <w:b/>
          <w:color w:val="auto"/>
          <w:sz w:val="32"/>
          <w:szCs w:val="24"/>
          <w:highlight w:val="none"/>
          <w:lang w:val="en-US" w:eastAsia="zh-CN"/>
        </w:rPr>
        <w:t>九</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其他材料</w:t>
      </w:r>
      <w:bookmarkEnd w:id="115"/>
    </w:p>
    <w:p w14:paraId="31D4AE82">
      <w:pPr>
        <w:autoSpaceDE w:val="0"/>
        <w:autoSpaceDN w:val="0"/>
        <w:adjustRightInd w:val="0"/>
        <w:spacing w:line="360" w:lineRule="auto"/>
        <w:jc w:val="center"/>
        <w:outlineLvl w:val="9"/>
        <w:rPr>
          <w:rFonts w:hint="eastAsia" w:ascii="宋体" w:hAnsi="宋体"/>
          <w:b/>
          <w:color w:val="auto"/>
          <w:sz w:val="28"/>
          <w:szCs w:val="28"/>
          <w:highlight w:val="none"/>
          <w:lang w:val="zh-CN"/>
        </w:rPr>
      </w:pPr>
      <w:bookmarkStart w:id="116" w:name="_Hlk74736213"/>
      <w:r>
        <w:rPr>
          <w:rFonts w:hint="eastAsia" w:ascii="宋体" w:hAnsi="宋体"/>
          <w:b/>
          <w:color w:val="auto"/>
          <w:sz w:val="28"/>
          <w:szCs w:val="28"/>
          <w:highlight w:val="none"/>
          <w:lang w:val="zh-CN"/>
        </w:rPr>
        <w:t>1、供应商拒绝政府采购领域商业贿赂承诺书</w:t>
      </w:r>
    </w:p>
    <w:p w14:paraId="36E6268B">
      <w:pPr>
        <w:outlineLvl w:val="9"/>
        <w:rPr>
          <w:color w:val="auto"/>
          <w:lang w:val="zh-CN"/>
        </w:rPr>
      </w:pPr>
    </w:p>
    <w:p w14:paraId="5C7BBC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为响应党中央、国务院关于治理采购领域商业贿赂行为的号召，我公司</w:t>
      </w:r>
      <w:r>
        <w:rPr>
          <w:rFonts w:hint="eastAsia" w:asciiTheme="minorEastAsia" w:hAnsiTheme="minorEastAsia" w:cstheme="minorEastAsia"/>
          <w:color w:val="auto"/>
          <w:sz w:val="24"/>
          <w:szCs w:val="24"/>
          <w:highlight w:val="none"/>
          <w:lang w:val="en-US" w:eastAsia="zh-CN"/>
        </w:rPr>
        <w:t>在此</w:t>
      </w:r>
      <w:r>
        <w:rPr>
          <w:rFonts w:hint="eastAsia" w:asciiTheme="minorEastAsia" w:hAnsiTheme="minorEastAsia" w:eastAsiaTheme="minorEastAsia" w:cstheme="minorEastAsia"/>
          <w:color w:val="auto"/>
          <w:sz w:val="24"/>
          <w:szCs w:val="24"/>
          <w:highlight w:val="none"/>
          <w:lang w:val="zh-CN"/>
        </w:rPr>
        <w:t>承诺：</w:t>
      </w:r>
    </w:p>
    <w:p w14:paraId="1175E7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在参与采购活动中遵纪守法、诚信经营、公平竞标。</w:t>
      </w:r>
    </w:p>
    <w:p w14:paraId="6E8209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不向采购人、采购代理机构和采购评审专家进行任何形式的商业贿赂以谋取交易机会。</w:t>
      </w:r>
    </w:p>
    <w:p w14:paraId="125E7C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color w:val="auto"/>
          <w:sz w:val="24"/>
          <w:szCs w:val="24"/>
          <w:highlight w:val="none"/>
          <w:lang w:val="zh-CN"/>
        </w:rPr>
        <w:t>成交</w:t>
      </w:r>
      <w:r>
        <w:rPr>
          <w:rFonts w:hint="eastAsia" w:asciiTheme="minorEastAsia" w:hAnsiTheme="minorEastAsia" w:eastAsiaTheme="minorEastAsia" w:cstheme="minorEastAsia"/>
          <w:color w:val="auto"/>
          <w:sz w:val="24"/>
          <w:szCs w:val="24"/>
          <w:highlight w:val="none"/>
          <w:lang w:val="zh-CN"/>
        </w:rPr>
        <w:t>、成交。</w:t>
      </w:r>
    </w:p>
    <w:p w14:paraId="64BC33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不采取“围标、陪标”等商业欺诈手段获取采购订单。</w:t>
      </w:r>
    </w:p>
    <w:p w14:paraId="0A2FFF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不采取不正当手段诋毁、排挤其他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w:t>
      </w:r>
    </w:p>
    <w:p w14:paraId="232492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不在提供商品和服务时“偷梁换柱、以次充好”损害采购人的合法权益。</w:t>
      </w:r>
    </w:p>
    <w:p w14:paraId="6AA067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不与采购人、采购代理机构、采购评审专家或其他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恶意串通，进行质疑和投诉，维护采购市场秩序。</w:t>
      </w:r>
    </w:p>
    <w:p w14:paraId="7CD11A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尊重和接受采购监督管理部门的监督和采购代理机构</w:t>
      </w:r>
      <w:r>
        <w:rPr>
          <w:rFonts w:hint="eastAsia" w:asciiTheme="minorEastAsia" w:hAnsiTheme="minorEastAsia" w:cstheme="minorEastAsia"/>
          <w:color w:val="auto"/>
          <w:sz w:val="24"/>
          <w:szCs w:val="24"/>
          <w:highlight w:val="none"/>
          <w:lang w:val="zh-CN"/>
        </w:rPr>
        <w:t>采购</w:t>
      </w:r>
      <w:r>
        <w:rPr>
          <w:rFonts w:hint="eastAsia" w:asciiTheme="minorEastAsia" w:hAnsiTheme="minorEastAsia" w:eastAsiaTheme="minorEastAsia" w:cstheme="minorEastAsia"/>
          <w:color w:val="auto"/>
          <w:sz w:val="24"/>
          <w:szCs w:val="24"/>
          <w:highlight w:val="none"/>
          <w:lang w:val="zh-CN"/>
        </w:rPr>
        <w:t>采购要求，承担因违约行为给采购人造成的损失。</w:t>
      </w:r>
    </w:p>
    <w:p w14:paraId="38F0C8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color w:val="auto"/>
          <w:szCs w:val="21"/>
          <w:highlight w:val="none"/>
          <w:lang w:val="zh-CN"/>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不发生其他有悖于政府采购公开、公平、公正和诚信原则的行为。</w:t>
      </w:r>
    </w:p>
    <w:p w14:paraId="5FDCB07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olor w:val="auto"/>
          <w:szCs w:val="21"/>
          <w:highlight w:val="none"/>
          <w:lang w:val="zh-CN"/>
        </w:rPr>
      </w:pPr>
    </w:p>
    <w:p w14:paraId="3696192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458CFE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6FBA82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0F05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color w:val="auto"/>
          <w:sz w:val="24"/>
          <w:szCs w:val="24"/>
          <w:highlight w:val="none"/>
          <w:lang w:val="zh-CN"/>
        </w:rPr>
        <w:t xml:space="preserve"> </w:t>
      </w:r>
      <w:r>
        <w:rPr>
          <w:rFonts w:hint="eastAsia" w:ascii="宋体" w:hAnsi="宋体"/>
          <w:color w:val="auto"/>
          <w:szCs w:val="21"/>
          <w:highlight w:val="none"/>
          <w:lang w:val="zh-CN"/>
        </w:rPr>
        <w:t xml:space="preserve">      </w:t>
      </w:r>
    </w:p>
    <w:p w14:paraId="497C3369">
      <w:pPr>
        <w:autoSpaceDE w:val="0"/>
        <w:autoSpaceDN w:val="0"/>
        <w:adjustRightInd w:val="0"/>
        <w:spacing w:line="360" w:lineRule="auto"/>
        <w:ind w:firstLine="420" w:firstLineChars="200"/>
        <w:jc w:val="right"/>
        <w:outlineLvl w:val="9"/>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14:paraId="335E04A8">
      <w:pPr>
        <w:autoSpaceDE w:val="0"/>
        <w:autoSpaceDN w:val="0"/>
        <w:adjustRightInd w:val="0"/>
        <w:spacing w:line="360" w:lineRule="auto"/>
        <w:ind w:firstLine="480" w:firstLineChars="200"/>
        <w:jc w:val="right"/>
        <w:outlineLvl w:val="9"/>
        <w:rPr>
          <w:rFonts w:ascii="宋体" w:hAnsi="宋体"/>
          <w:color w:val="auto"/>
          <w:szCs w:val="21"/>
          <w:highlight w:val="none"/>
          <w:lang w:val="zh-CN"/>
        </w:rPr>
      </w:pPr>
      <w:r>
        <w:rPr>
          <w:rFonts w:hint="eastAsia" w:ascii="宋体" w:hAnsi="宋体"/>
          <w:color w:val="auto"/>
          <w:sz w:val="24"/>
          <w:szCs w:val="24"/>
          <w:highlight w:val="none"/>
          <w:lang w:val="zh-CN"/>
        </w:rPr>
        <w:t xml:space="preserve"> 年    月    日</w:t>
      </w:r>
    </w:p>
    <w:p w14:paraId="13B4FF5A">
      <w:pPr>
        <w:autoSpaceDE w:val="0"/>
        <w:autoSpaceDN w:val="0"/>
        <w:adjustRightInd w:val="0"/>
        <w:spacing w:line="360" w:lineRule="auto"/>
        <w:ind w:firstLine="420" w:firstLineChars="200"/>
        <w:jc w:val="left"/>
        <w:outlineLvl w:val="9"/>
        <w:rPr>
          <w:rFonts w:ascii="宋体" w:hAnsi="宋体"/>
          <w:color w:val="auto"/>
          <w:szCs w:val="21"/>
          <w:highlight w:val="none"/>
          <w:lang w:val="zh-CN"/>
        </w:rPr>
      </w:pPr>
    </w:p>
    <w:p w14:paraId="1C2B8531">
      <w:pPr>
        <w:autoSpaceDE w:val="0"/>
        <w:autoSpaceDN w:val="0"/>
        <w:adjustRightInd w:val="0"/>
        <w:spacing w:line="360" w:lineRule="auto"/>
        <w:jc w:val="left"/>
        <w:outlineLvl w:val="9"/>
        <w:rPr>
          <w:rFonts w:ascii="宋体" w:hAnsi="宋体"/>
          <w:b/>
          <w:color w:val="auto"/>
          <w:sz w:val="28"/>
          <w:szCs w:val="28"/>
          <w:highlight w:val="none"/>
          <w:lang w:val="zh-CN"/>
        </w:rPr>
      </w:pPr>
    </w:p>
    <w:p w14:paraId="57A2695D">
      <w:pPr>
        <w:autoSpaceDE w:val="0"/>
        <w:autoSpaceDN w:val="0"/>
        <w:adjustRightInd w:val="0"/>
        <w:spacing w:line="360" w:lineRule="auto"/>
        <w:jc w:val="center"/>
        <w:outlineLvl w:val="9"/>
        <w:rPr>
          <w:rFonts w:hint="eastAsia" w:ascii="宋体" w:hAnsi="宋体"/>
          <w:b/>
          <w:color w:val="auto"/>
          <w:sz w:val="28"/>
          <w:szCs w:val="28"/>
          <w:highlight w:val="none"/>
          <w:lang w:val="zh-CN"/>
        </w:rPr>
      </w:pPr>
      <w:r>
        <w:rPr>
          <w:rFonts w:ascii="宋体" w:hAnsi="宋体"/>
          <w:b/>
          <w:color w:val="auto"/>
          <w:sz w:val="28"/>
          <w:szCs w:val="28"/>
          <w:highlight w:val="none"/>
          <w:lang w:val="zh-CN"/>
        </w:rPr>
        <w:br w:type="page"/>
      </w:r>
      <w:r>
        <w:rPr>
          <w:rFonts w:hint="eastAsia" w:asciiTheme="minorEastAsia" w:hAnsiTheme="minorEastAsia" w:eastAsiaTheme="minorEastAsia" w:cstheme="minorEastAsia"/>
          <w:b/>
          <w:color w:val="auto"/>
          <w:sz w:val="28"/>
          <w:szCs w:val="28"/>
          <w:highlight w:val="none"/>
          <w:lang w:val="zh-CN"/>
        </w:rPr>
        <w:t>2、</w:t>
      </w:r>
      <w:r>
        <w:rPr>
          <w:rFonts w:hint="eastAsia" w:ascii="宋体" w:hAnsi="宋体"/>
          <w:b/>
          <w:color w:val="auto"/>
          <w:sz w:val="28"/>
          <w:szCs w:val="28"/>
          <w:highlight w:val="none"/>
          <w:lang w:val="zh-CN"/>
        </w:rPr>
        <w:t>供应商资格承诺书</w:t>
      </w:r>
    </w:p>
    <w:p w14:paraId="61EA3839">
      <w:pPr>
        <w:outlineLvl w:val="9"/>
        <w:rPr>
          <w:color w:val="auto"/>
          <w:lang w:val="zh-CN"/>
        </w:rPr>
      </w:pPr>
    </w:p>
    <w:p w14:paraId="549B9BD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1621D8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6B806A0C">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117" w:name="_Toc10578_WPSOffice_Level2"/>
      <w:bookmarkStart w:id="118" w:name="_Toc14125_WPSOffice_Level2"/>
      <w:bookmarkStart w:id="119" w:name="_Toc16297_WPSOffice_Level2"/>
      <w:r>
        <w:rPr>
          <w:rFonts w:hint="eastAsia" w:ascii="宋体" w:hAnsi="宋体"/>
          <w:color w:val="auto"/>
          <w:sz w:val="24"/>
          <w:szCs w:val="24"/>
          <w:highlight w:val="none"/>
          <w:lang w:val="zh-CN"/>
        </w:rPr>
        <w:t>1.1股权关系说明</w:t>
      </w:r>
      <w:bookmarkEnd w:id="117"/>
      <w:bookmarkEnd w:id="118"/>
      <w:bookmarkEnd w:id="119"/>
    </w:p>
    <w:p w14:paraId="29910A9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4CE248D2">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232D6D8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1D4CC63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120" w:name="_Toc1335_WPSOffice_Level2"/>
      <w:bookmarkStart w:id="121" w:name="_Toc20668_WPSOffice_Level2"/>
      <w:bookmarkStart w:id="122" w:name="_Toc26574_WPSOffice_Level2"/>
      <w:r>
        <w:rPr>
          <w:rFonts w:hint="eastAsia" w:ascii="宋体" w:hAnsi="宋体"/>
          <w:color w:val="auto"/>
          <w:sz w:val="24"/>
          <w:szCs w:val="24"/>
          <w:highlight w:val="none"/>
          <w:lang w:val="zh-CN"/>
        </w:rPr>
        <w:t>1.2管理关系说明</w:t>
      </w:r>
      <w:bookmarkEnd w:id="120"/>
      <w:bookmarkEnd w:id="121"/>
      <w:bookmarkEnd w:id="122"/>
    </w:p>
    <w:p w14:paraId="7A4DE4C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55D7326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8E550F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7D0A80E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47BA6FF8">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162EC2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FE30F10">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23F4825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15E31F7B">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08086871">
      <w:pPr>
        <w:spacing w:line="500" w:lineRule="exact"/>
        <w:ind w:firstLine="480" w:firstLineChars="200"/>
        <w:outlineLvl w:val="9"/>
        <w:rPr>
          <w:color w:val="auto"/>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4A4FF2EC">
      <w:pPr>
        <w:autoSpaceDE w:val="0"/>
        <w:autoSpaceDN w:val="0"/>
        <w:adjustRightInd w:val="0"/>
        <w:spacing w:line="360" w:lineRule="auto"/>
        <w:jc w:val="left"/>
        <w:outlineLvl w:val="9"/>
        <w:rPr>
          <w:rFonts w:ascii="宋体" w:hAnsi="宋体"/>
          <w:color w:val="auto"/>
          <w:szCs w:val="21"/>
          <w:highlight w:val="none"/>
        </w:rPr>
      </w:pPr>
    </w:p>
    <w:p w14:paraId="22DD7C7B">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9E829C9">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96DF2F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5D84711">
      <w:pPr>
        <w:autoSpaceDE w:val="0"/>
        <w:autoSpaceDN w:val="0"/>
        <w:adjustRightInd w:val="0"/>
        <w:spacing w:line="360" w:lineRule="auto"/>
        <w:jc w:val="center"/>
        <w:outlineLvl w:val="9"/>
        <w:rPr>
          <w:rFonts w:hint="eastAsia" w:ascii="宋体" w:hAnsi="宋体" w:cs="宋体"/>
          <w:b/>
          <w:color w:val="auto"/>
          <w:sz w:val="28"/>
          <w:szCs w:val="28"/>
          <w:highlight w:val="none"/>
          <w:lang w:val="zh-CN"/>
        </w:rPr>
      </w:pPr>
      <w:r>
        <w:rPr>
          <w:color w:val="auto"/>
          <w:highlight w:val="none"/>
        </w:rPr>
        <w:br w:type="page"/>
      </w:r>
      <w:r>
        <w:rPr>
          <w:rFonts w:hint="eastAsia" w:asciiTheme="minorEastAsia" w:hAnsiTheme="minorEastAsia" w:eastAsiaTheme="minorEastAsia" w:cstheme="minorEastAsia"/>
          <w:b/>
          <w:bCs/>
          <w:color w:val="auto"/>
          <w:sz w:val="28"/>
          <w:szCs w:val="36"/>
          <w:highlight w:val="none"/>
          <w:lang w:val="en-US" w:eastAsia="zh-CN"/>
        </w:rPr>
        <w:t>3、</w:t>
      </w:r>
      <w:r>
        <w:rPr>
          <w:rFonts w:hint="eastAsia" w:ascii="宋体" w:hAnsi="宋体" w:cs="宋体"/>
          <w:b/>
          <w:color w:val="auto"/>
          <w:sz w:val="28"/>
          <w:szCs w:val="28"/>
          <w:highlight w:val="none"/>
          <w:lang w:val="zh-CN"/>
        </w:rPr>
        <w:t>供应商书面声明函</w:t>
      </w:r>
    </w:p>
    <w:p w14:paraId="5C836AE6">
      <w:pPr>
        <w:autoSpaceDE w:val="0"/>
        <w:autoSpaceDN w:val="0"/>
        <w:adjustRightInd w:val="0"/>
        <w:spacing w:line="360" w:lineRule="auto"/>
        <w:ind w:firstLine="420" w:firstLineChars="200"/>
        <w:jc w:val="left"/>
        <w:outlineLvl w:val="9"/>
        <w:rPr>
          <w:rFonts w:hint="eastAsia" w:ascii="宋体" w:hAnsi="宋体" w:cs="宋体"/>
          <w:color w:val="auto"/>
          <w:szCs w:val="21"/>
          <w:highlight w:val="none"/>
          <w:lang w:val="zh-CN"/>
        </w:rPr>
      </w:pPr>
    </w:p>
    <w:p w14:paraId="6C2AF4D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56E46F6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03684D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2EBE67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1FB4AEB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153680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42FAAAB5">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3BB774A">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144930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16885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1A2A76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1578585">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492C278">
      <w:pPr>
        <w:shd w:val="clear"/>
        <w:rPr>
          <w:rFonts w:hint="eastAsia" w:asciiTheme="minorEastAsia" w:hAnsiTheme="minorEastAsia" w:eastAsiaTheme="minorEastAsia" w:cstheme="minorEastAsia"/>
          <w:color w:val="auto"/>
          <w:sz w:val="24"/>
          <w:szCs w:val="24"/>
          <w:highlight w:val="none"/>
          <w:u w:val="single"/>
        </w:rPr>
      </w:pPr>
    </w:p>
    <w:p w14:paraId="0CE4466D">
      <w:pPr>
        <w:pStyle w:val="2"/>
        <w:shd w:val="clear"/>
        <w:spacing w:line="360" w:lineRule="auto"/>
        <w:ind w:firstLine="442"/>
        <w:jc w:val="center"/>
        <w:rPr>
          <w:rFonts w:hint="eastAsia" w:ascii="宋体" w:hAnsi="宋体" w:cs="宋体" w:eastAsiaTheme="minorEastAsia"/>
          <w:b/>
          <w:color w:val="auto"/>
          <w:kern w:val="2"/>
          <w:sz w:val="28"/>
          <w:szCs w:val="28"/>
          <w:highlight w:val="none"/>
          <w:lang w:val="zh-CN" w:eastAsia="zh-CN" w:bidi="ar-SA"/>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color w:val="auto"/>
          <w:sz w:val="18"/>
          <w:highlight w:val="none"/>
        </w:rPr>
        <w:br w:type="page"/>
      </w:r>
      <w:bookmarkStart w:id="123" w:name="_Hlk63418484"/>
      <w:r>
        <w:rPr>
          <w:rFonts w:hint="eastAsia" w:ascii="宋体" w:hAnsi="宋体" w:cs="宋体" w:eastAsiaTheme="minorEastAsia"/>
          <w:b/>
          <w:color w:val="auto"/>
          <w:kern w:val="2"/>
          <w:sz w:val="28"/>
          <w:szCs w:val="28"/>
          <w:highlight w:val="none"/>
          <w:lang w:val="en-US" w:eastAsia="zh-CN" w:bidi="ar-SA"/>
        </w:rPr>
        <w:t>4、</w:t>
      </w:r>
      <w:r>
        <w:rPr>
          <w:rFonts w:hint="eastAsia" w:ascii="宋体" w:hAnsi="宋体" w:cs="宋体" w:eastAsiaTheme="minorEastAsia"/>
          <w:b/>
          <w:color w:val="auto"/>
          <w:kern w:val="2"/>
          <w:sz w:val="28"/>
          <w:szCs w:val="28"/>
          <w:highlight w:val="none"/>
          <w:lang w:val="zh-CN" w:eastAsia="zh-CN" w:bidi="ar-SA"/>
        </w:rPr>
        <w:t>《中华人民共和国政府采购法》第二十二条的书面承诺函</w:t>
      </w:r>
    </w:p>
    <w:p w14:paraId="04EA5DB5">
      <w:pPr>
        <w:pStyle w:val="2"/>
        <w:shd w:val="clear"/>
        <w:spacing w:line="360" w:lineRule="auto"/>
        <w:ind w:firstLine="240"/>
        <w:rPr>
          <w:rFonts w:hint="eastAsia" w:ascii="宋体" w:hAnsi="宋体" w:eastAsia="宋体" w:cs="宋体"/>
          <w:sz w:val="24"/>
          <w:szCs w:val="24"/>
        </w:rPr>
      </w:pPr>
    </w:p>
    <w:p w14:paraId="5B735527">
      <w:pPr>
        <w:shd w:val="clea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0E7B3FB4">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我单位作为参加</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采购项目的</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，现郑重承诺我单位具备《中华人民共和国政府采购法》第二十二条供应商参加政府采购活动的基本资格条件： </w:t>
      </w:r>
    </w:p>
    <w:p w14:paraId="07D7795D">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（一）我单位具有独立承担民事责任的能力； </w:t>
      </w:r>
    </w:p>
    <w:p w14:paraId="686DE19F">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（二）我单位具有良好的商业信誉和健全的财务会计制度；</w:t>
      </w:r>
    </w:p>
    <w:p w14:paraId="76E6004D">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（三）我单位具有履行合同所必需的设备和专业技术能力； </w:t>
      </w:r>
    </w:p>
    <w:p w14:paraId="3F70FDFF">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（四）我单位有依法缴纳税收和社会保障资金的良好记录； </w:t>
      </w:r>
    </w:p>
    <w:p w14:paraId="00B66ABE">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（五）我单位参加政府采购活动前三年内，在经营活动中没有重大违法记录； </w:t>
      </w:r>
    </w:p>
    <w:p w14:paraId="6DE3263D">
      <w:pPr>
        <w:pStyle w:val="2"/>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（六）我单位满足法律、行政法规规定的其他条件。</w:t>
      </w:r>
    </w:p>
    <w:p w14:paraId="3C81E3F7">
      <w:pPr>
        <w:pStyle w:val="2"/>
        <w:shd w:val="clear"/>
        <w:spacing w:line="360" w:lineRule="auto"/>
        <w:ind w:firstLine="480" w:firstLineChars="200"/>
        <w:rPr>
          <w:rFonts w:hint="eastAsia" w:ascii="宋体" w:hAnsi="宋体" w:eastAsia="宋体" w:cs="宋体"/>
          <w:sz w:val="24"/>
          <w:szCs w:val="24"/>
        </w:rPr>
      </w:pPr>
    </w:p>
    <w:p w14:paraId="7AA98273">
      <w:pPr>
        <w:shd w:val="clear"/>
        <w:spacing w:line="360" w:lineRule="auto"/>
        <w:ind w:firstLine="482" w:firstLineChars="200"/>
        <w:rPr>
          <w:rFonts w:hint="eastAsia" w:ascii="宋体" w:hAnsi="宋体" w:eastAsia="宋体" w:cs="宋体"/>
          <w:b/>
          <w:color w:val="000000"/>
          <w:sz w:val="24"/>
          <w:szCs w:val="24"/>
        </w:rPr>
      </w:pPr>
    </w:p>
    <w:p w14:paraId="79437295">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供应商：</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 xml:space="preserve">（盖章）  </w:t>
      </w:r>
    </w:p>
    <w:p w14:paraId="41C9A1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法定代表人</w:t>
      </w:r>
      <w:r>
        <w:rPr>
          <w:rFonts w:hint="eastAsia" w:ascii="宋体" w:hAnsi="宋体" w:eastAsia="宋体" w:cs="宋体"/>
          <w:b w:val="0"/>
          <w:bCs/>
          <w:color w:val="000000"/>
          <w:sz w:val="24"/>
          <w:szCs w:val="24"/>
          <w:lang w:eastAsia="zh-CN"/>
        </w:rPr>
        <w:t>或</w:t>
      </w:r>
    </w:p>
    <w:p w14:paraId="26AD33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w:t>
      </w:r>
      <w:r>
        <w:rPr>
          <w:rFonts w:hint="eastAsia" w:ascii="宋体" w:hAnsi="宋体" w:eastAsia="宋体" w:cs="宋体"/>
          <w:b w:val="0"/>
          <w:bCs/>
          <w:color w:val="000000"/>
          <w:sz w:val="24"/>
          <w:szCs w:val="24"/>
          <w:lang w:eastAsia="zh-CN"/>
        </w:rPr>
        <w:t>盖章</w:t>
      </w:r>
      <w:r>
        <w:rPr>
          <w:rFonts w:hint="eastAsia" w:ascii="宋体" w:hAnsi="宋体" w:eastAsia="宋体" w:cs="宋体"/>
          <w:b w:val="0"/>
          <w:bCs/>
          <w:color w:val="000000"/>
          <w:sz w:val="24"/>
          <w:szCs w:val="24"/>
        </w:rPr>
        <w:t xml:space="preserve">）  </w:t>
      </w:r>
    </w:p>
    <w:p w14:paraId="676F573E">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    期：  年  月  日</w:t>
      </w:r>
    </w:p>
    <w:p w14:paraId="76720EEB">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p w14:paraId="1CAE8807">
      <w:pPr>
        <w:shd w:val="clea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5、</w:t>
      </w:r>
      <w:r>
        <w:rPr>
          <w:rFonts w:hint="eastAsia" w:ascii="宋体" w:hAnsi="宋体" w:eastAsia="宋体" w:cs="宋体"/>
          <w:b/>
          <w:color w:val="000000"/>
          <w:sz w:val="30"/>
          <w:szCs w:val="30"/>
        </w:rPr>
        <w:t>非联合体投标声明</w:t>
      </w:r>
    </w:p>
    <w:p w14:paraId="7F351C64">
      <w:pPr>
        <w:shd w:val="clear"/>
        <w:spacing w:line="360" w:lineRule="auto"/>
        <w:jc w:val="center"/>
        <w:rPr>
          <w:rFonts w:hint="eastAsia" w:ascii="宋体" w:hAnsi="宋体" w:eastAsia="宋体" w:cs="宋体"/>
          <w:b/>
          <w:color w:val="000000"/>
          <w:sz w:val="44"/>
          <w:szCs w:val="44"/>
        </w:rPr>
      </w:pPr>
    </w:p>
    <w:p w14:paraId="49B9EE9E">
      <w:pPr>
        <w:shd w:val="clear"/>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01032821">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我公司收到贵单位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文件，经详细研究，我们决定参加该项目的</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活动。为此，我方郑重声明以下内容，并负法律责任。</w:t>
      </w:r>
    </w:p>
    <w:p w14:paraId="6CD72211">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1.本项目我公司以自己的名义参加</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，不存在联合体</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的情况。</w:t>
      </w:r>
    </w:p>
    <w:p w14:paraId="1CDB66CD">
      <w:pPr>
        <w:pStyle w:val="25"/>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2.我公司愿按《中华人民共和国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》履行自己的全部责任。</w:t>
      </w:r>
    </w:p>
    <w:p w14:paraId="77211737">
      <w:pPr>
        <w:pStyle w:val="25"/>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0674FE46">
      <w:pPr>
        <w:pStyle w:val="25"/>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66162201">
      <w:pPr>
        <w:pStyle w:val="25"/>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67AF44BB">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（盖章）</w:t>
      </w:r>
    </w:p>
    <w:p w14:paraId="731AD9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法定代表人</w:t>
      </w:r>
      <w:r>
        <w:rPr>
          <w:rFonts w:hint="eastAsia" w:ascii="宋体" w:hAnsi="宋体" w:eastAsia="宋体" w:cs="宋体"/>
          <w:b w:val="0"/>
          <w:bCs/>
          <w:color w:val="000000"/>
          <w:sz w:val="24"/>
          <w:szCs w:val="24"/>
          <w:lang w:eastAsia="zh-CN"/>
        </w:rPr>
        <w:t>或</w:t>
      </w:r>
    </w:p>
    <w:p w14:paraId="380F562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w:t>
      </w:r>
      <w:r>
        <w:rPr>
          <w:rFonts w:hint="eastAsia" w:ascii="宋体" w:hAnsi="宋体" w:eastAsia="宋体" w:cs="宋体"/>
          <w:b w:val="0"/>
          <w:bCs/>
          <w:color w:val="000000"/>
          <w:sz w:val="24"/>
          <w:szCs w:val="24"/>
          <w:lang w:eastAsia="zh-CN"/>
        </w:rPr>
        <w:t>盖章</w:t>
      </w:r>
      <w:r>
        <w:rPr>
          <w:rFonts w:hint="eastAsia" w:ascii="宋体" w:hAnsi="宋体" w:eastAsia="宋体" w:cs="宋体"/>
          <w:b w:val="0"/>
          <w:bCs/>
          <w:color w:val="000000"/>
          <w:sz w:val="24"/>
          <w:szCs w:val="24"/>
        </w:rPr>
        <w:t>）</w:t>
      </w:r>
    </w:p>
    <w:p w14:paraId="299560DE">
      <w:pPr>
        <w:shd w:val="clear"/>
        <w:spacing w:line="360" w:lineRule="auto"/>
        <w:ind w:right="540" w:rightChars="257"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日期：  年  月  日</w:t>
      </w:r>
    </w:p>
    <w:p w14:paraId="4E2C8A8C">
      <w:pPr>
        <w:pStyle w:val="2"/>
        <w:rPr>
          <w:rFonts w:hint="eastAsia"/>
        </w:rPr>
      </w:pPr>
    </w:p>
    <w:p w14:paraId="4D4AC88A">
      <w:pPr>
        <w:rPr>
          <w:color w:val="auto"/>
          <w:sz w:val="18"/>
          <w:highlight w:val="none"/>
        </w:rPr>
      </w:pPr>
      <w:r>
        <w:rPr>
          <w:color w:val="auto"/>
          <w:sz w:val="18"/>
          <w:highlight w:val="none"/>
        </w:rPr>
        <w:br w:type="page"/>
      </w:r>
    </w:p>
    <w:p w14:paraId="2BEAA055">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123"/>
    <w:p w14:paraId="59F3F006">
      <w:pPr>
        <w:shd w:val="clear" w:color="auto" w:fill="auto"/>
        <w:bidi w:val="0"/>
        <w:spacing w:line="240" w:lineRule="auto"/>
        <w:jc w:val="center"/>
        <w:rPr>
          <w:rFonts w:hint="eastAsia" w:ascii="宋体" w:hAnsi="宋体" w:eastAsia="宋体" w:cs="宋体"/>
          <w:b/>
          <w:bCs/>
          <w:color w:val="auto"/>
          <w:spacing w:val="15"/>
          <w:szCs w:val="36"/>
          <w:highlight w:val="none"/>
          <w:shd w:val="clear" w:color="auto" w:fill="FFFFFF"/>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eastAsia="zh-CN"/>
        </w:rPr>
        <w:t>工程</w:t>
      </w:r>
      <w:r>
        <w:rPr>
          <w:rFonts w:hint="eastAsia" w:ascii="宋体" w:hAnsi="宋体" w:eastAsia="宋体" w:cs="宋体"/>
          <w:b/>
          <w:bCs/>
          <w:color w:val="auto"/>
          <w:sz w:val="28"/>
          <w:szCs w:val="28"/>
          <w:highlight w:val="none"/>
        </w:rPr>
        <w:t>)</w:t>
      </w:r>
    </w:p>
    <w:p w14:paraId="0C0166B5">
      <w:pPr>
        <w:pStyle w:val="2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ascii="宋体" w:hAnsi="宋体" w:eastAsia="宋体" w:cs="宋体"/>
          <w:b/>
          <w:bCs/>
          <w:color w:val="auto"/>
          <w:spacing w:val="15"/>
          <w:sz w:val="24"/>
          <w:szCs w:val="32"/>
          <w:highlight w:val="none"/>
          <w:shd w:val="clear" w:color="auto" w:fill="FFFFFF"/>
        </w:rPr>
      </w:pPr>
    </w:p>
    <w:p w14:paraId="7A045F3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采购活动，工程的施工单位全部为符合政策要求的中小企业。相关企业(含联合体中的中小企业、签订分包意向协议的中小企业)的具体情况如下:</w:t>
      </w:r>
    </w:p>
    <w:p w14:paraId="173437A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7E18106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24" w:name="_Hlk74735468"/>
      <w:r>
        <w:rPr>
          <w:rFonts w:hint="eastAsia" w:ascii="宋体" w:hAnsi="宋体" w:eastAsia="宋体" w:cs="宋体"/>
          <w:color w:val="auto"/>
          <w:sz w:val="24"/>
          <w:szCs w:val="24"/>
          <w:highlight w:val="none"/>
          <w:lang w:val="en-US" w:eastAsia="zh-CN"/>
        </w:rPr>
        <w:t>......</w:t>
      </w:r>
    </w:p>
    <w:p w14:paraId="006187D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30699D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bookmarkEnd w:id="124"/>
    <w:p w14:paraId="6FFE90B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DE60A7F">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5957FC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6"/>
          <w:szCs w:val="32"/>
          <w:highlight w:val="none"/>
        </w:rPr>
      </w:pPr>
      <w:r>
        <w:rPr>
          <w:rFonts w:hint="eastAsia" w:ascii="宋体" w:hAnsi="宋体" w:eastAsia="宋体" w:cs="宋体"/>
          <w:color w:val="auto"/>
          <w:sz w:val="24"/>
          <w:szCs w:val="24"/>
          <w:highlight w:val="none"/>
        </w:rPr>
        <w:t xml:space="preserve">日  期： 年 月 </w:t>
      </w:r>
      <w:r>
        <w:rPr>
          <w:rFonts w:hint="eastAsia" w:ascii="宋体" w:hAnsi="宋体" w:eastAsia="宋体" w:cs="宋体"/>
          <w:color w:val="auto"/>
          <w:spacing w:val="6"/>
          <w:szCs w:val="32"/>
          <w:highlight w:val="none"/>
        </w:rPr>
        <w:t>日</w:t>
      </w:r>
    </w:p>
    <w:p w14:paraId="35C8530D">
      <w:pPr>
        <w:pStyle w:val="25"/>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p w14:paraId="2163597A">
      <w:pPr>
        <w:pStyle w:val="25"/>
        <w:numPr>
          <w:ilvl w:val="0"/>
          <w:numId w:val="0"/>
        </w:numPr>
        <w:shd w:val="clear" w:color="auto" w:fill="auto"/>
        <w:tabs>
          <w:tab w:val="left" w:pos="0"/>
        </w:tabs>
        <w:spacing w:before="0" w:beforeAutospacing="0" w:after="0" w:afterAutospacing="0" w:line="360" w:lineRule="auto"/>
        <w:ind w:leftChars="0"/>
        <w:jc w:val="both"/>
        <w:outlineLvl w:val="9"/>
        <w:rPr>
          <w:rFonts w:hint="eastAsia" w:ascii="宋体" w:hAnsi="宋体" w:eastAsia="宋体" w:cs="宋体"/>
          <w:b/>
          <w:bCs/>
          <w:color w:val="auto"/>
          <w:spacing w:val="15"/>
          <w:sz w:val="21"/>
          <w:highlight w:val="none"/>
          <w:shd w:val="clear" w:color="auto" w:fill="FFFFFF"/>
        </w:rPr>
      </w:pPr>
      <w:r>
        <w:rPr>
          <w:rFonts w:hint="eastAsia" w:ascii="宋体" w:hAnsi="宋体" w:eastAsia="宋体" w:cs="宋体"/>
          <w:b/>
          <w:bCs/>
          <w:color w:val="auto"/>
          <w:spacing w:val="15"/>
          <w:sz w:val="21"/>
          <w:highlight w:val="none"/>
          <w:shd w:val="clear" w:color="auto" w:fill="FFFFFF"/>
          <w:lang w:val="en-US" w:eastAsia="zh-CN"/>
        </w:rPr>
        <w:t>注：1、</w:t>
      </w:r>
      <w:r>
        <w:rPr>
          <w:rFonts w:hint="eastAsia" w:ascii="宋体" w:hAnsi="宋体" w:eastAsia="宋体" w:cs="宋体"/>
          <w:b/>
          <w:bCs/>
          <w:color w:val="auto"/>
          <w:spacing w:val="15"/>
          <w:sz w:val="21"/>
          <w:highlight w:val="none"/>
          <w:shd w:val="clear" w:color="auto" w:fill="FFFFFF"/>
        </w:rPr>
        <w:t>从业人员、营业收入、资产总额填报上一年度数据，无上一年度数据的新成立企业可不填报。</w:t>
      </w:r>
    </w:p>
    <w:p w14:paraId="699E75C4">
      <w:pPr>
        <w:numPr>
          <w:ilvl w:val="0"/>
          <w:numId w:val="0"/>
        </w:numPr>
        <w:shd w:val="clear" w:color="auto" w:fill="auto"/>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如不是该类企业则不需提供相关声明，若提供虚假材料谋取中标、成交的，将按照《政府采购法》第七十七条规定对</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B3E893">
      <w:pPr>
        <w:outlineLvl w:val="9"/>
        <w:rPr>
          <w:rFonts w:eastAsia="仿宋_GB2312"/>
          <w:color w:val="auto"/>
          <w:spacing w:val="6"/>
          <w:sz w:val="30"/>
          <w:szCs w:val="30"/>
          <w:highlight w:val="none"/>
        </w:rPr>
      </w:pPr>
    </w:p>
    <w:p w14:paraId="083B96A9">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1061B0F">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0A583446">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E4E5E0E">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61B7C7B8">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BD7A149">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3348A21A">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5BCC607B">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7110D3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38CB0C64">
      <w:pPr>
        <w:numPr>
          <w:ilvl w:val="0"/>
          <w:numId w:val="1"/>
        </w:numPr>
        <w:suppressAutoHyphens/>
        <w:spacing w:line="360" w:lineRule="auto"/>
        <w:outlineLvl w:val="9"/>
        <w:rPr>
          <w:rFonts w:hint="eastAsia" w:ascii="宋体" w:hAnsi="宋体" w:eastAsia="宋体" w:cs="宋体"/>
          <w:color w:val="auto"/>
          <w:spacing w:val="6"/>
          <w:sz w:val="24"/>
          <w:szCs w:val="32"/>
          <w:highlight w:val="none"/>
        </w:rPr>
      </w:pPr>
    </w:p>
    <w:p w14:paraId="1AE28445">
      <w:pPr>
        <w:numPr>
          <w:ilvl w:val="0"/>
          <w:numId w:val="1"/>
        </w:numPr>
        <w:spacing w:line="588" w:lineRule="exact"/>
        <w:outlineLvl w:val="9"/>
        <w:rPr>
          <w:rFonts w:ascii="宋体" w:hAnsi="宋体" w:cs="宋体"/>
          <w:color w:val="auto"/>
          <w:spacing w:val="15"/>
          <w:kern w:val="0"/>
          <w:sz w:val="24"/>
          <w:highlight w:val="none"/>
          <w:shd w:val="clear" w:color="auto" w:fill="FFFFFF"/>
        </w:rPr>
      </w:pPr>
    </w:p>
    <w:p w14:paraId="4FB0503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7B914588">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136ED39A">
      <w:pPr>
        <w:numPr>
          <w:ilvl w:val="0"/>
          <w:numId w:val="1"/>
        </w:numPr>
        <w:jc w:val="center"/>
        <w:outlineLvl w:val="9"/>
        <w:rPr>
          <w:rFonts w:hint="eastAsia" w:ascii="宋体" w:hAnsi="宋体" w:cs="宋体"/>
          <w:b/>
          <w:color w:val="auto"/>
          <w:szCs w:val="21"/>
          <w:highlight w:val="none"/>
        </w:rPr>
      </w:pPr>
    </w:p>
    <w:p w14:paraId="7484573E">
      <w:pPr>
        <w:numPr>
          <w:ilvl w:val="0"/>
          <w:numId w:val="1"/>
        </w:numPr>
        <w:jc w:val="center"/>
        <w:outlineLvl w:val="9"/>
        <w:rPr>
          <w:rFonts w:hint="eastAsia" w:ascii="宋体" w:hAnsi="宋体" w:cs="宋体"/>
          <w:b/>
          <w:color w:val="auto"/>
          <w:szCs w:val="21"/>
          <w:highlight w:val="none"/>
        </w:rPr>
      </w:pPr>
    </w:p>
    <w:p w14:paraId="2A8677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FC349A">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color w:val="auto"/>
          <w:szCs w:val="21"/>
          <w:highlight w:val="none"/>
        </w:rPr>
        <w:br w:type="page"/>
      </w:r>
      <w:bookmarkEnd w:id="116"/>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2A399E92">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1DA565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6C705B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4074B8CA">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F84AE74">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BD91B2B">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7266C4CF">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387624EE">
      <w:pPr>
        <w:outlineLvl w:val="9"/>
        <w:rPr>
          <w:rFonts w:hint="eastAsia" w:ascii="宋体" w:hAnsi="宋体" w:cs="宋体"/>
          <w:color w:val="auto"/>
          <w:szCs w:val="21"/>
          <w:highlight w:val="none"/>
        </w:rPr>
      </w:pPr>
    </w:p>
    <w:p w14:paraId="7A38D5A1">
      <w:pPr>
        <w:outlineLvl w:val="9"/>
        <w:rPr>
          <w:rFonts w:hint="eastAsia" w:ascii="宋体" w:hAnsi="宋体" w:cs="宋体"/>
          <w:color w:val="auto"/>
          <w:szCs w:val="21"/>
          <w:highlight w:val="none"/>
          <w:lang w:val="en-US" w:eastAsia="zh-CN"/>
        </w:rPr>
      </w:pPr>
    </w:p>
    <w:p w14:paraId="0AD54C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36FB92F6">
      <w:pPr>
        <w:pStyle w:val="7"/>
        <w:rPr>
          <w:rFonts w:hint="default"/>
          <w:color w:val="auto"/>
          <w:lang w:val="en-US" w:eastAsia="zh-CN"/>
        </w:rPr>
      </w:pPr>
    </w:p>
    <w:p w14:paraId="2B82A6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47416">
      <w:pPr>
        <w:pStyle w:val="7"/>
        <w:rPr>
          <w:rFonts w:hint="default"/>
          <w:color w:val="auto"/>
          <w:lang w:val="en-US" w:eastAsia="zh-CN"/>
        </w:rPr>
      </w:pPr>
    </w:p>
    <w:sectPr>
      <w:footerReference r:id="rId8" w:type="default"/>
      <w:pgSz w:w="11906" w:h="16838"/>
      <w:pgMar w:top="1417" w:right="1417" w:bottom="1417" w:left="1417" w:header="992"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F91A">
    <w:pPr>
      <w:pStyle w:val="20"/>
      <w:pBdr>
        <w:top w:val="none" w:color="auto" w:sz="0" w:space="1"/>
        <w:left w:val="none" w:color="auto" w:sz="0" w:space="4"/>
        <w:bottom w:val="none" w:color="auto" w:sz="0" w:space="1"/>
        <w:right w:val="none" w:color="auto" w:sz="0" w:space="4"/>
        <w:between w:val="none" w:color="auto" w:sz="0" w:space="0"/>
      </w:pBdr>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C005">
    <w:pPr>
      <w:pStyle w:val="20"/>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8E9D7">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A8E9D7">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9551">
    <w:pPr>
      <w:pStyle w:val="20"/>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2E1DB">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72E1DB">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5759">
    <w:pPr>
      <w:pStyle w:val="20"/>
      <w:pBdr>
        <w:top w:val="none" w:color="auto" w:sz="0" w:space="1"/>
        <w:left w:val="none" w:color="auto" w:sz="0" w:space="4"/>
        <w:bottom w:val="none" w:color="auto" w:sz="0" w:space="1"/>
        <w:right w:val="none" w:color="auto" w:sz="0" w:space="4"/>
        <w:between w:val="none" w:color="auto" w:sz="0" w:space="0"/>
      </w:pBd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B861">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EDB861">
                    <w:pPr>
                      <w:pStyle w:val="20"/>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C348">
    <w:pPr>
      <w:pStyle w:val="21"/>
      <w:pBdr>
        <w:bottom w:val="none" w:color="auto" w:sz="0" w:space="1"/>
      </w:pBdr>
      <w:jc w:val="right"/>
      <w:rPr>
        <w:rFonts w:hint="eastAsia" w:ascii="宋体" w:hAnsi="宋体" w:eastAsia="宋体" w:cs="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37AE">
    <w:pPr>
      <w:pStyle w:val="20"/>
      <w:pBdr>
        <w:top w:val="none" w:color="auto" w:sz="0" w:space="1"/>
        <w:left w:val="none" w:color="auto" w:sz="0" w:space="4"/>
        <w:bottom w:val="none" w:color="auto" w:sz="0" w:space="1"/>
        <w:right w:val="none" w:color="auto" w:sz="0" w:space="4"/>
        <w:between w:val="none" w:color="auto" w:sz="0" w:space="0"/>
      </w:pBdr>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UsImhkaWQiOiJiZjhkNTBhNjRiZmU4ZjU3Yjk5MDBmYTdlNGQ5YWM3ZCIsInVzZXJDb3VudCI6MjZ9"/>
    <w:docVar w:name="KSO_WPS_MARK_KEY" w:val="2e30f5e9-a5cd-4a98-97ce-93280a9ce60e"/>
  </w:docVars>
  <w:rsids>
    <w:rsidRoot w:val="538E1483"/>
    <w:rsid w:val="00213043"/>
    <w:rsid w:val="006F6BEC"/>
    <w:rsid w:val="007B34C5"/>
    <w:rsid w:val="00932EA7"/>
    <w:rsid w:val="00FC02BF"/>
    <w:rsid w:val="012654C2"/>
    <w:rsid w:val="01B80805"/>
    <w:rsid w:val="01C301AB"/>
    <w:rsid w:val="021332F5"/>
    <w:rsid w:val="022E3A7D"/>
    <w:rsid w:val="027D26BF"/>
    <w:rsid w:val="039D3787"/>
    <w:rsid w:val="04013182"/>
    <w:rsid w:val="041A3266"/>
    <w:rsid w:val="048762FD"/>
    <w:rsid w:val="04B072CD"/>
    <w:rsid w:val="04DB3D9A"/>
    <w:rsid w:val="051C0CEF"/>
    <w:rsid w:val="057E6715"/>
    <w:rsid w:val="06B425B3"/>
    <w:rsid w:val="079E3E7E"/>
    <w:rsid w:val="08642F7B"/>
    <w:rsid w:val="088C403D"/>
    <w:rsid w:val="09BA4003"/>
    <w:rsid w:val="09E455C4"/>
    <w:rsid w:val="0B2E5555"/>
    <w:rsid w:val="0B967837"/>
    <w:rsid w:val="0C454CAB"/>
    <w:rsid w:val="0C4A0DEB"/>
    <w:rsid w:val="0D801976"/>
    <w:rsid w:val="0DBD4381"/>
    <w:rsid w:val="0E276BBD"/>
    <w:rsid w:val="0EB27397"/>
    <w:rsid w:val="0F2A44F0"/>
    <w:rsid w:val="0F3E53AB"/>
    <w:rsid w:val="0F6730C7"/>
    <w:rsid w:val="119F0C46"/>
    <w:rsid w:val="11B36079"/>
    <w:rsid w:val="11D230A2"/>
    <w:rsid w:val="1248390A"/>
    <w:rsid w:val="12A82A2A"/>
    <w:rsid w:val="12B02782"/>
    <w:rsid w:val="12B73901"/>
    <w:rsid w:val="12CD07BD"/>
    <w:rsid w:val="12DF7E44"/>
    <w:rsid w:val="137C27E0"/>
    <w:rsid w:val="1393119E"/>
    <w:rsid w:val="13C253E9"/>
    <w:rsid w:val="13E214AD"/>
    <w:rsid w:val="14846311"/>
    <w:rsid w:val="14CB5A92"/>
    <w:rsid w:val="150C0A16"/>
    <w:rsid w:val="15201985"/>
    <w:rsid w:val="1540215A"/>
    <w:rsid w:val="155939A6"/>
    <w:rsid w:val="16A757E2"/>
    <w:rsid w:val="17096457"/>
    <w:rsid w:val="17973BE5"/>
    <w:rsid w:val="18525B00"/>
    <w:rsid w:val="18816044"/>
    <w:rsid w:val="18FE17AD"/>
    <w:rsid w:val="19CD1B5D"/>
    <w:rsid w:val="1A1D29DB"/>
    <w:rsid w:val="1A29799F"/>
    <w:rsid w:val="1AD51892"/>
    <w:rsid w:val="1AF02A44"/>
    <w:rsid w:val="1AF15B75"/>
    <w:rsid w:val="1B525FB3"/>
    <w:rsid w:val="1C205EA6"/>
    <w:rsid w:val="1C3C5F7F"/>
    <w:rsid w:val="1D305121"/>
    <w:rsid w:val="1DD6376D"/>
    <w:rsid w:val="1F15491F"/>
    <w:rsid w:val="20664819"/>
    <w:rsid w:val="21005580"/>
    <w:rsid w:val="217B5198"/>
    <w:rsid w:val="22BA1922"/>
    <w:rsid w:val="22C4560A"/>
    <w:rsid w:val="22E51EDA"/>
    <w:rsid w:val="23A82279"/>
    <w:rsid w:val="23E87C64"/>
    <w:rsid w:val="240F6752"/>
    <w:rsid w:val="241B4257"/>
    <w:rsid w:val="24B12340"/>
    <w:rsid w:val="24D07B95"/>
    <w:rsid w:val="250C6CFC"/>
    <w:rsid w:val="25125A1C"/>
    <w:rsid w:val="25783280"/>
    <w:rsid w:val="25BC2BEF"/>
    <w:rsid w:val="26EA34C6"/>
    <w:rsid w:val="28050C76"/>
    <w:rsid w:val="29274E64"/>
    <w:rsid w:val="29D33D5C"/>
    <w:rsid w:val="2A5C4ABD"/>
    <w:rsid w:val="2AB92391"/>
    <w:rsid w:val="2AEC4179"/>
    <w:rsid w:val="2BCD0185"/>
    <w:rsid w:val="2C1A16AC"/>
    <w:rsid w:val="2C4A0F09"/>
    <w:rsid w:val="2CA8493F"/>
    <w:rsid w:val="2DBC39F3"/>
    <w:rsid w:val="2DE977FF"/>
    <w:rsid w:val="2DF95B61"/>
    <w:rsid w:val="30207172"/>
    <w:rsid w:val="313D659C"/>
    <w:rsid w:val="31420A9C"/>
    <w:rsid w:val="321B0836"/>
    <w:rsid w:val="32916D4E"/>
    <w:rsid w:val="32B46EF9"/>
    <w:rsid w:val="33141852"/>
    <w:rsid w:val="33437FFC"/>
    <w:rsid w:val="33660F1D"/>
    <w:rsid w:val="33F34DF0"/>
    <w:rsid w:val="34057765"/>
    <w:rsid w:val="342477F8"/>
    <w:rsid w:val="34E564DF"/>
    <w:rsid w:val="354E2054"/>
    <w:rsid w:val="36062A6B"/>
    <w:rsid w:val="362426FA"/>
    <w:rsid w:val="364B03CB"/>
    <w:rsid w:val="372A1601"/>
    <w:rsid w:val="37DE61B2"/>
    <w:rsid w:val="38066101"/>
    <w:rsid w:val="387A6511"/>
    <w:rsid w:val="38E57068"/>
    <w:rsid w:val="39162D68"/>
    <w:rsid w:val="3949624A"/>
    <w:rsid w:val="39621496"/>
    <w:rsid w:val="396E5AEE"/>
    <w:rsid w:val="39916116"/>
    <w:rsid w:val="39EB36F3"/>
    <w:rsid w:val="3AC76C6D"/>
    <w:rsid w:val="3B025F76"/>
    <w:rsid w:val="3B094FE2"/>
    <w:rsid w:val="3B516704"/>
    <w:rsid w:val="3B5F4EEA"/>
    <w:rsid w:val="3B675829"/>
    <w:rsid w:val="3B857BD7"/>
    <w:rsid w:val="3C3F0722"/>
    <w:rsid w:val="3C8B6E7A"/>
    <w:rsid w:val="3CB70A48"/>
    <w:rsid w:val="3E7147CA"/>
    <w:rsid w:val="3EA6012D"/>
    <w:rsid w:val="40811FBA"/>
    <w:rsid w:val="408F2762"/>
    <w:rsid w:val="40CB38BE"/>
    <w:rsid w:val="410B3E5B"/>
    <w:rsid w:val="41284465"/>
    <w:rsid w:val="42285EA1"/>
    <w:rsid w:val="42AF3B46"/>
    <w:rsid w:val="438D1B94"/>
    <w:rsid w:val="449528FE"/>
    <w:rsid w:val="44B75423"/>
    <w:rsid w:val="45CE0E96"/>
    <w:rsid w:val="460728F4"/>
    <w:rsid w:val="494552C4"/>
    <w:rsid w:val="4A614B3F"/>
    <w:rsid w:val="4AC85440"/>
    <w:rsid w:val="4C0119DC"/>
    <w:rsid w:val="4C6319E4"/>
    <w:rsid w:val="4C9E28EA"/>
    <w:rsid w:val="4DBF0779"/>
    <w:rsid w:val="4FF90C20"/>
    <w:rsid w:val="505D0DBB"/>
    <w:rsid w:val="512A6294"/>
    <w:rsid w:val="514C0DAD"/>
    <w:rsid w:val="51D01703"/>
    <w:rsid w:val="52B25E02"/>
    <w:rsid w:val="52D72F56"/>
    <w:rsid w:val="538C04D9"/>
    <w:rsid w:val="538E1483"/>
    <w:rsid w:val="54054518"/>
    <w:rsid w:val="545710C7"/>
    <w:rsid w:val="54B17E17"/>
    <w:rsid w:val="5567155C"/>
    <w:rsid w:val="570606C5"/>
    <w:rsid w:val="57136356"/>
    <w:rsid w:val="58010C9D"/>
    <w:rsid w:val="5853496B"/>
    <w:rsid w:val="587D3437"/>
    <w:rsid w:val="59B35F2D"/>
    <w:rsid w:val="5A0741A4"/>
    <w:rsid w:val="5AA13726"/>
    <w:rsid w:val="5AD4603B"/>
    <w:rsid w:val="5C0D61A2"/>
    <w:rsid w:val="5C34451E"/>
    <w:rsid w:val="5C9522F3"/>
    <w:rsid w:val="5E344E15"/>
    <w:rsid w:val="5EEC1AE2"/>
    <w:rsid w:val="5F67138C"/>
    <w:rsid w:val="5F7B1730"/>
    <w:rsid w:val="5F9576F1"/>
    <w:rsid w:val="60BF40B3"/>
    <w:rsid w:val="63506C62"/>
    <w:rsid w:val="63BD0227"/>
    <w:rsid w:val="63CC2F28"/>
    <w:rsid w:val="64216453"/>
    <w:rsid w:val="64FE64DE"/>
    <w:rsid w:val="65EB4F15"/>
    <w:rsid w:val="666178D9"/>
    <w:rsid w:val="67123590"/>
    <w:rsid w:val="682746DE"/>
    <w:rsid w:val="689D4BB9"/>
    <w:rsid w:val="68B855D7"/>
    <w:rsid w:val="6B10458A"/>
    <w:rsid w:val="6B4051E0"/>
    <w:rsid w:val="6B7B0835"/>
    <w:rsid w:val="6C065B49"/>
    <w:rsid w:val="6C562E6D"/>
    <w:rsid w:val="6C851852"/>
    <w:rsid w:val="6CA707F8"/>
    <w:rsid w:val="6CF55693"/>
    <w:rsid w:val="6DEE5C76"/>
    <w:rsid w:val="6F2A1462"/>
    <w:rsid w:val="704746FE"/>
    <w:rsid w:val="705017AC"/>
    <w:rsid w:val="70BC17F8"/>
    <w:rsid w:val="717B17D0"/>
    <w:rsid w:val="72CE757C"/>
    <w:rsid w:val="73602DCE"/>
    <w:rsid w:val="75092705"/>
    <w:rsid w:val="75123935"/>
    <w:rsid w:val="7788565A"/>
    <w:rsid w:val="77E62515"/>
    <w:rsid w:val="77FE2FC7"/>
    <w:rsid w:val="784D28B2"/>
    <w:rsid w:val="78C70C6D"/>
    <w:rsid w:val="78F05DBF"/>
    <w:rsid w:val="79060E03"/>
    <w:rsid w:val="79D7333A"/>
    <w:rsid w:val="79FD4D1C"/>
    <w:rsid w:val="7A281B72"/>
    <w:rsid w:val="7CBB303E"/>
    <w:rsid w:val="7D4A1525"/>
    <w:rsid w:val="7EB470EC"/>
    <w:rsid w:val="7EE76874"/>
    <w:rsid w:val="7F62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keepNext/>
      <w:spacing w:line="720" w:lineRule="exact"/>
      <w:outlineLvl w:val="1"/>
    </w:pPr>
    <w:rPr>
      <w:rFonts w:ascii="黑体" w:hAnsi="Copperplate Gothic Bold" w:eastAsia="楷体_GB2312"/>
      <w:sz w:val="28"/>
    </w:rPr>
  </w:style>
  <w:style w:type="paragraph" w:styleId="8">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4"/>
    <w:next w:val="5"/>
    <w:qFormat/>
    <w:uiPriority w:val="99"/>
    <w:rPr>
      <w:rFonts w:ascii="Calibri" w:hAnsi="Calibri" w:cs="Times New Roman"/>
      <w:kern w:val="0"/>
    </w:r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_0_0"/>
    <w:next w:val="3"/>
    <w:qFormat/>
    <w:uiPriority w:val="0"/>
    <w:pPr>
      <w:widowControl w:val="0"/>
      <w:jc w:val="both"/>
    </w:pPr>
    <w:rPr>
      <w:rFonts w:ascii="Calibri" w:hAnsi="Calibri" w:eastAsia="宋体" w:cs="Times New Roman"/>
      <w:kern w:val="2"/>
      <w:sz w:val="21"/>
      <w:szCs w:val="22"/>
      <w:lang w:val="en-US" w:eastAsia="zh-CN" w:bidi="ar-SA"/>
    </w:rPr>
  </w:style>
  <w:style w:type="paragraph" w:styleId="11">
    <w:name w:val="Normal Indent"/>
    <w:basedOn w:val="1"/>
    <w:next w:val="12"/>
    <w:qFormat/>
    <w:uiPriority w:val="0"/>
    <w:pPr>
      <w:widowControl/>
      <w:ind w:firstLine="420"/>
      <w:jc w:val="left"/>
    </w:pPr>
    <w:rPr>
      <w:rFonts w:ascii="Calibri" w:hAnsi="Calibri" w:eastAsia="宋体" w:cs="Times New Roman"/>
      <w:kern w:val="0"/>
      <w:sz w:val="20"/>
    </w:rPr>
  </w:style>
  <w:style w:type="paragraph" w:styleId="12">
    <w:name w:val="toc 4"/>
    <w:basedOn w:val="1"/>
    <w:next w:val="1"/>
    <w:qFormat/>
    <w:uiPriority w:val="0"/>
    <w:pPr>
      <w:ind w:left="1260" w:leftChars="600"/>
    </w:pPr>
    <w:rPr>
      <w:rFonts w:ascii="Calibri" w:hAnsi="Calibri" w:eastAsia="宋体" w:cs="Times New Roman"/>
    </w:rPr>
  </w:style>
  <w:style w:type="paragraph" w:styleId="13">
    <w:name w:val="annotation text"/>
    <w:basedOn w:val="1"/>
    <w:qFormat/>
    <w:uiPriority w:val="0"/>
    <w:pPr>
      <w:jc w:val="left"/>
    </w:pPr>
  </w:style>
  <w:style w:type="paragraph" w:styleId="14">
    <w:name w:val="Body Text Indent"/>
    <w:basedOn w:val="1"/>
    <w:qFormat/>
    <w:uiPriority w:val="0"/>
    <w:pPr>
      <w:spacing w:line="360" w:lineRule="auto"/>
      <w:ind w:left="424" w:leftChars="202" w:firstLine="567"/>
    </w:pPr>
    <w:rPr>
      <w:sz w:val="2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rPr>
  </w:style>
  <w:style w:type="paragraph" w:styleId="17">
    <w:name w:val="Date"/>
    <w:basedOn w:val="1"/>
    <w:next w:val="1"/>
    <w:qFormat/>
    <w:uiPriority w:val="0"/>
    <w:rPr>
      <w:rFonts w:ascii="Copperplate Gothic Bold" w:hAnsi="Copperplate Gothic Bold"/>
      <w:sz w:val="32"/>
    </w:rPr>
  </w:style>
  <w:style w:type="paragraph" w:styleId="18">
    <w:name w:val="Body Text Indent 2"/>
    <w:basedOn w:val="19"/>
    <w:qFormat/>
    <w:uiPriority w:val="0"/>
    <w:pPr>
      <w:spacing w:line="560" w:lineRule="exact"/>
      <w:ind w:firstLine="560"/>
    </w:pPr>
    <w:rPr>
      <w:rFonts w:ascii="仿宋_GB2312" w:hAnsi="宋体" w:eastAsia="仿宋_GB2312" w:cs="Times New Roman"/>
      <w:color w:val="000000"/>
      <w:sz w:val="28"/>
      <w:szCs w:val="22"/>
    </w:rPr>
  </w:style>
  <w:style w:type="paragraph" w:customStyle="1" w:styleId="1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0">
    <w:name w:val="footer"/>
    <w:basedOn w:val="1"/>
    <w:qFormat/>
    <w:uiPriority w:val="0"/>
    <w:pPr>
      <w:pBdr>
        <w:top w:val="double" w:color="auto" w:sz="4" w:space="1"/>
        <w:left w:val="none" w:color="auto" w:sz="0" w:space="4"/>
        <w:bottom w:val="none" w:color="auto" w:sz="0" w:space="1"/>
        <w:right w:val="none" w:color="auto" w:sz="0" w:space="4"/>
      </w:pBdr>
      <w:tabs>
        <w:tab w:val="center" w:pos="4153"/>
        <w:tab w:val="right" w:pos="8306"/>
      </w:tabs>
      <w:snapToGrid w:val="0"/>
      <w:jc w:val="left"/>
    </w:pPr>
    <w:rPr>
      <w:rFonts w:asciiTheme="minorAscii" w:hAnsiTheme="minorAscii"/>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qFormat/>
    <w:uiPriority w:val="0"/>
  </w:style>
  <w:style w:type="paragraph" w:styleId="23">
    <w:name w:val="toc 2"/>
    <w:basedOn w:val="1"/>
    <w:next w:val="1"/>
    <w:qFormat/>
    <w:uiPriority w:val="0"/>
    <w:pPr>
      <w:ind w:left="420" w:leftChars="200"/>
    </w:pPr>
  </w:style>
  <w:style w:type="paragraph" w:styleId="24">
    <w:name w:val="Body Text 2"/>
    <w:basedOn w:val="1"/>
    <w:qFormat/>
    <w:uiPriority w:val="0"/>
    <w:pPr>
      <w:adjustRightInd w:val="0"/>
      <w:snapToGrid w:val="0"/>
      <w:spacing w:line="480" w:lineRule="atLeast"/>
    </w:pPr>
    <w:rPr>
      <w:rFonts w:ascii="宋体" w:hAnsi="宋体"/>
      <w:sz w:val="28"/>
    </w:r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Title"/>
    <w:basedOn w:val="1"/>
    <w:next w:val="1"/>
    <w:qFormat/>
    <w:uiPriority w:val="0"/>
    <w:pPr>
      <w:jc w:val="center"/>
    </w:pPr>
    <w:rPr>
      <w:rFonts w:ascii="Calibri" w:hAnsi="Calibri"/>
      <w:kern w:val="1"/>
      <w:sz w:val="30"/>
      <w:szCs w:val="24"/>
    </w:rPr>
  </w:style>
  <w:style w:type="paragraph" w:styleId="27">
    <w:name w:val="Body Text First Indent 2"/>
    <w:basedOn w:val="14"/>
    <w:unhideWhenUsed/>
    <w:qFormat/>
    <w:uiPriority w:val="99"/>
    <w:pPr>
      <w:spacing w:after="120" w:line="240" w:lineRule="auto"/>
      <w:ind w:left="420" w:leftChars="20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paragraph" w:customStyle="1" w:styleId="3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MessageHeader"/>
    <w:basedOn w:val="1"/>
    <w:next w:val="34"/>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4">
    <w:name w:val="BodyText"/>
    <w:basedOn w:val="1"/>
    <w:next w:val="1"/>
    <w:qFormat/>
    <w:uiPriority w:val="0"/>
    <w:pPr>
      <w:jc w:val="center"/>
      <w:textAlignment w:val="baseline"/>
    </w:pPr>
  </w:style>
  <w:style w:type="paragraph" w:customStyle="1" w:styleId="35">
    <w:name w:val="List Paragraph1"/>
    <w:qFormat/>
    <w:uiPriority w:val="0"/>
    <w:pPr>
      <w:ind w:firstLine="420" w:firstLineChars="200"/>
    </w:pPr>
    <w:rPr>
      <w:rFonts w:ascii="Calibri" w:hAnsi="Calibri" w:eastAsia="宋体" w:cs="Times New Roman"/>
      <w:lang w:val="en-US" w:eastAsia="zh-CN" w:bidi="ar-SA"/>
    </w:rPr>
  </w:style>
  <w:style w:type="paragraph" w:customStyle="1" w:styleId="36">
    <w:name w:val="正文文本1"/>
    <w:basedOn w:val="1"/>
    <w:qFormat/>
    <w:uiPriority w:val="0"/>
    <w:pPr>
      <w:widowControl w:val="0"/>
      <w:shd w:val="clear" w:color="auto" w:fill="FFFFFF"/>
      <w:spacing w:after="60" w:line="463" w:lineRule="auto"/>
      <w:ind w:firstLine="400"/>
    </w:pPr>
    <w:rPr>
      <w:rFonts w:ascii="黑体" w:hAnsi="黑体" w:eastAsia="黑体" w:cs="黑体"/>
      <w:sz w:val="34"/>
      <w:szCs w:val="34"/>
      <w:u w:val="none"/>
      <w:lang w:val="zh-CN" w:eastAsia="zh-CN" w:bidi="zh-CN"/>
    </w:rPr>
  </w:style>
  <w:style w:type="character" w:customStyle="1" w:styleId="37">
    <w:name w:val="font31"/>
    <w:basedOn w:val="30"/>
    <w:qFormat/>
    <w:uiPriority w:val="0"/>
    <w:rPr>
      <w:rFonts w:hint="eastAsia" w:ascii="仿宋" w:hAnsi="仿宋" w:eastAsia="仿宋" w:cs="仿宋"/>
      <w:b/>
      <w:color w:val="000000"/>
      <w:sz w:val="20"/>
      <w:szCs w:val="20"/>
      <w:u w:val="none"/>
    </w:rPr>
  </w:style>
  <w:style w:type="character" w:customStyle="1" w:styleId="38">
    <w:name w:val="font112"/>
    <w:basedOn w:val="30"/>
    <w:qFormat/>
    <w:uiPriority w:val="0"/>
    <w:rPr>
      <w:rFonts w:hint="eastAsia" w:ascii="仿宋" w:hAnsi="仿宋" w:eastAsia="仿宋" w:cs="仿宋"/>
      <w:color w:val="000000"/>
      <w:sz w:val="20"/>
      <w:szCs w:val="20"/>
      <w:u w:val="none"/>
    </w:rPr>
  </w:style>
  <w:style w:type="character" w:customStyle="1" w:styleId="39">
    <w:name w:val="font101"/>
    <w:basedOn w:val="30"/>
    <w:qFormat/>
    <w:uiPriority w:val="0"/>
    <w:rPr>
      <w:rFonts w:hint="eastAsia" w:ascii="仿宋" w:hAnsi="仿宋" w:eastAsia="仿宋" w:cs="仿宋"/>
      <w:color w:val="000000"/>
      <w:sz w:val="20"/>
      <w:szCs w:val="20"/>
      <w:u w:val="none"/>
    </w:rPr>
  </w:style>
  <w:style w:type="character" w:customStyle="1" w:styleId="40">
    <w:name w:val="font41"/>
    <w:basedOn w:val="30"/>
    <w:qFormat/>
    <w:uiPriority w:val="0"/>
    <w:rPr>
      <w:rFonts w:hint="eastAsia" w:ascii="仿宋" w:hAnsi="仿宋" w:eastAsia="仿宋" w:cs="仿宋"/>
      <w:color w:val="000000"/>
      <w:sz w:val="20"/>
      <w:szCs w:val="20"/>
      <w:u w:val="none"/>
    </w:rPr>
  </w:style>
  <w:style w:type="character" w:customStyle="1" w:styleId="41">
    <w:name w:val="font51"/>
    <w:basedOn w:val="30"/>
    <w:qFormat/>
    <w:uiPriority w:val="0"/>
    <w:rPr>
      <w:rFonts w:hint="eastAsia" w:ascii="仿宋" w:hAnsi="仿宋" w:eastAsia="仿宋" w:cs="仿宋"/>
      <w:b/>
      <w:color w:val="FF0000"/>
      <w:sz w:val="20"/>
      <w:szCs w:val="20"/>
      <w:u w:val="none"/>
    </w:rPr>
  </w:style>
  <w:style w:type="character" w:customStyle="1" w:styleId="42">
    <w:name w:val="font61"/>
    <w:basedOn w:val="30"/>
    <w:qFormat/>
    <w:uiPriority w:val="0"/>
    <w:rPr>
      <w:rFonts w:hint="eastAsia" w:ascii="仿宋" w:hAnsi="仿宋" w:eastAsia="仿宋" w:cs="仿宋"/>
      <w:b/>
      <w:color w:val="000000"/>
      <w:sz w:val="20"/>
      <w:szCs w:val="20"/>
      <w:u w:val="none"/>
    </w:rPr>
  </w:style>
  <w:style w:type="character" w:customStyle="1" w:styleId="43">
    <w:name w:val="font81"/>
    <w:basedOn w:val="30"/>
    <w:qFormat/>
    <w:uiPriority w:val="0"/>
    <w:rPr>
      <w:rFonts w:hint="eastAsia" w:ascii="仿宋" w:hAnsi="仿宋" w:eastAsia="仿宋" w:cs="仿宋"/>
      <w:b/>
      <w:color w:val="C00000"/>
      <w:sz w:val="20"/>
      <w:szCs w:val="20"/>
      <w:u w:val="none"/>
    </w:rPr>
  </w:style>
  <w:style w:type="character" w:customStyle="1" w:styleId="44">
    <w:name w:val="font11"/>
    <w:basedOn w:val="30"/>
    <w:qFormat/>
    <w:uiPriority w:val="0"/>
    <w:rPr>
      <w:rFonts w:hint="eastAsia" w:ascii="仿宋" w:hAnsi="仿宋" w:eastAsia="仿宋" w:cs="仿宋"/>
      <w:b/>
      <w:color w:val="00B050"/>
      <w:sz w:val="20"/>
      <w:szCs w:val="20"/>
      <w:u w:val="none"/>
    </w:rPr>
  </w:style>
  <w:style w:type="character" w:customStyle="1" w:styleId="45">
    <w:name w:val="font71"/>
    <w:basedOn w:val="30"/>
    <w:qFormat/>
    <w:uiPriority w:val="0"/>
    <w:rPr>
      <w:rFonts w:hint="eastAsia" w:ascii="仿宋" w:hAnsi="仿宋" w:eastAsia="仿宋" w:cs="仿宋"/>
      <w:b/>
      <w:color w:val="000000"/>
      <w:sz w:val="20"/>
      <w:szCs w:val="20"/>
      <w:u w:val="none"/>
    </w:rPr>
  </w:style>
  <w:style w:type="paragraph" w:customStyle="1" w:styleId="46">
    <w:name w:val="Char"/>
    <w:basedOn w:val="1"/>
    <w:qFormat/>
    <w:uiPriority w:val="0"/>
    <w:rPr>
      <w:rFonts w:ascii="Tahoma" w:hAnsi="Tahoma"/>
      <w:sz w:val="24"/>
    </w:rPr>
  </w:style>
  <w:style w:type="paragraph" w:customStyle="1" w:styleId="47">
    <w:name w:val="正文_1_0"/>
    <w:basedOn w:val="19"/>
    <w:next w:val="18"/>
    <w:qFormat/>
    <w:uiPriority w:val="0"/>
    <w:pPr>
      <w:widowControl w:val="0"/>
      <w:jc w:val="both"/>
    </w:pPr>
    <w:rPr>
      <w:rFonts w:ascii="Calibri" w:hAnsi="Calibri"/>
      <w:kern w:val="2"/>
      <w:sz w:val="21"/>
      <w:szCs w:val="22"/>
      <w:lang w:val="en-US" w:eastAsia="zh-CN" w:bidi="ar-SA"/>
    </w:rPr>
  </w:style>
  <w:style w:type="paragraph" w:customStyle="1" w:styleId="4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5_0"/>
    <w:qFormat/>
    <w:uiPriority w:val="0"/>
    <w:pPr>
      <w:spacing w:after="160"/>
    </w:pPr>
    <w:rPr>
      <w:rFonts w:ascii="宋体" w:hAnsi="宋体" w:eastAsia="宋体" w:cs="宋体"/>
      <w:sz w:val="22"/>
      <w:szCs w:val="22"/>
      <w:lang w:val="zh-CN" w:eastAsia="zh-CN" w:bidi="zh-CN"/>
    </w:rPr>
  </w:style>
  <w:style w:type="paragraph" w:customStyle="1" w:styleId="51">
    <w:name w:val="正文_5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15334</Words>
  <Characters>16196</Characters>
  <Lines>0</Lines>
  <Paragraphs>0</Paragraphs>
  <TotalTime>15</TotalTime>
  <ScaleCrop>false</ScaleCrop>
  <LinksUpToDate>false</LinksUpToDate>
  <CharactersWithSpaces>18061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2020-06-07T13:56:00Z</dcterms:created>
  <dc:creator>没人给我穿袜子</dc:creator>
  <cp:lastModifiedBy>延安方逸造价咨询有限公司 主证</cp:lastModifiedBy>
  <cp:lastPrinted>2022-08-26T09:26:00Z</cp:lastPrinted>
  <dcterms:modified xsi:type="dcterms:W3CDTF">2025-08-29T05:21:34Z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v1.0_mb_JTkv4FRecwauV9R5PE+DoQ==</vt:lpwstr>
  </property>
  <property fmtid="{D5CDD505-2E9C-101B-9397-08002B2CF9AE}" pid="4" name="ICV">
    <vt:lpwstr>89F9B79534F44A6290703A9B9DE4B013_13</vt:lpwstr>
  </property>
  <property fmtid="{D5CDD505-2E9C-101B-9397-08002B2CF9AE}" pid="5" name="KSOTemplateDocerSaveRecord">
    <vt:lpwstr>eyJoZGlkIjoiY2NmYjU4NGVhZTg1ZjlkYWJkYjc5ZDEzYTlmNWEzOTAiLCJ1c2VySWQiOiIzMjY5NDg0MTIifQ==</vt:lpwstr>
  </property>
</Properties>
</file>